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B68CB" w:rsidRDefault="003B68CB" w:rsidP="0051354C">
      <w:pPr>
        <w:rPr>
          <w:rFonts w:cs="Arial"/>
          <w:sz w:val="20"/>
          <w:szCs w:val="20"/>
        </w:rPr>
      </w:pPr>
    </w:p>
    <w:p w:rsidR="00DF3194" w:rsidRDefault="003B68CB" w:rsidP="0051354C">
      <w:pPr>
        <w:rPr>
          <w:rFonts w:cs="Arial"/>
          <w:sz w:val="20"/>
          <w:szCs w:val="20"/>
        </w:rPr>
      </w:pPr>
      <w:r>
        <w:rPr>
          <w:rFonts w:cs="Arial"/>
          <w:sz w:val="20"/>
          <w:szCs w:val="20"/>
        </w:rPr>
        <w:t>Sčítání lidu, domů a bytů</w:t>
      </w:r>
    </w:p>
    <w:p w:rsidR="00DF3194" w:rsidRPr="00515740" w:rsidRDefault="00DF3194" w:rsidP="0051354C">
      <w:pPr>
        <w:rPr>
          <w:rFonts w:cs="Arial"/>
          <w:sz w:val="20"/>
          <w:szCs w:val="20"/>
        </w:rPr>
      </w:pPr>
      <w:r w:rsidRPr="00515740">
        <w:rPr>
          <w:sz w:val="20"/>
          <w:szCs w:val="20"/>
        </w:rPr>
        <w:t>Kód publikace: 170221-14</w:t>
      </w: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3B68CB" w:rsidRDefault="003B68CB"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515740" w:rsidRPr="003B68CB" w:rsidRDefault="003B68CB" w:rsidP="003B68CB">
      <w:pPr>
        <w:jc w:val="center"/>
        <w:rPr>
          <w:rFonts w:cs="Arial"/>
          <w:b/>
          <w:sz w:val="32"/>
          <w:szCs w:val="32"/>
        </w:rPr>
      </w:pPr>
      <w:r>
        <w:rPr>
          <w:rFonts w:cs="Arial"/>
          <w:b/>
          <w:sz w:val="32"/>
          <w:szCs w:val="32"/>
        </w:rPr>
        <w:t>OBYVATELSTVO PODLE ZPŮSOBU BYDLENÍ</w:t>
      </w: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DF3194" w:rsidRDefault="00DF3194" w:rsidP="0051354C">
      <w:pPr>
        <w:rPr>
          <w:rFonts w:cs="Arial"/>
          <w:sz w:val="20"/>
          <w:szCs w:val="20"/>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3B68CB" w:rsidRDefault="003B68CB" w:rsidP="00DF3194">
      <w:pPr>
        <w:rPr>
          <w:b/>
        </w:rPr>
      </w:pPr>
    </w:p>
    <w:p w:rsidR="004F1145" w:rsidRDefault="004F1145" w:rsidP="00DF3194">
      <w:pPr>
        <w:rPr>
          <w:b/>
        </w:rPr>
      </w:pPr>
    </w:p>
    <w:p w:rsidR="004F1145" w:rsidRDefault="004F1145" w:rsidP="00DF3194">
      <w:pPr>
        <w:rPr>
          <w:b/>
        </w:rPr>
      </w:pPr>
    </w:p>
    <w:p w:rsidR="004F1145" w:rsidRDefault="004F1145" w:rsidP="00DF3194">
      <w:pPr>
        <w:rPr>
          <w:b/>
        </w:rPr>
      </w:pPr>
    </w:p>
    <w:p w:rsidR="004F1145" w:rsidRDefault="004F1145" w:rsidP="00DF3194">
      <w:pPr>
        <w:rPr>
          <w:b/>
        </w:rPr>
      </w:pPr>
    </w:p>
    <w:p w:rsidR="003B68CB" w:rsidRDefault="003B68CB" w:rsidP="00DF3194">
      <w:pPr>
        <w:rPr>
          <w:b/>
        </w:rPr>
      </w:pPr>
    </w:p>
    <w:p w:rsidR="003B68CB" w:rsidRDefault="003B68CB" w:rsidP="00DF3194">
      <w:pPr>
        <w:rPr>
          <w:b/>
        </w:rPr>
      </w:pPr>
      <w:r>
        <w:rPr>
          <w:b/>
        </w:rPr>
        <w:t>Kontakt:</w:t>
      </w:r>
    </w:p>
    <w:p w:rsidR="00DF3194" w:rsidRPr="003B68CB" w:rsidRDefault="003B68CB" w:rsidP="00DF3194">
      <w:r w:rsidRPr="003B68CB">
        <w:t>Ing. Štěpánka Morávková</w:t>
      </w:r>
    </w:p>
    <w:p w:rsidR="00DF3194" w:rsidRDefault="00DF3194" w:rsidP="00DF3194">
      <w:r>
        <w:t>Odbor</w:t>
      </w:r>
      <w:r w:rsidR="003B68CB">
        <w:t xml:space="preserve"> statistiky obyvatelstva</w:t>
      </w:r>
    </w:p>
    <w:p w:rsidR="00DF3194" w:rsidRDefault="00DF3194" w:rsidP="00DF3194">
      <w:r>
        <w:t>Tel.:</w:t>
      </w:r>
      <w:r w:rsidR="003B68CB">
        <w:t xml:space="preserve"> 274 052 876</w:t>
      </w:r>
    </w:p>
    <w:p w:rsidR="003B68CB" w:rsidRDefault="00DF3194" w:rsidP="0051354C">
      <w:r>
        <w:t>E-mail:</w:t>
      </w:r>
      <w:r w:rsidR="003B68CB">
        <w:t xml:space="preserve"> </w:t>
      </w:r>
      <w:hyperlink r:id="rId8" w:history="1">
        <w:r w:rsidR="003B68CB" w:rsidRPr="00E72C89">
          <w:rPr>
            <w:rStyle w:val="Hypertextovodkaz"/>
            <w:sz w:val="19"/>
          </w:rPr>
          <w:t>stepanka.moravkova@czso.cz</w:t>
        </w:r>
      </w:hyperlink>
    </w:p>
    <w:p w:rsidR="00CA4012" w:rsidRDefault="00DF3194" w:rsidP="0051354C">
      <w:pPr>
        <w:rPr>
          <w:rFonts w:cs="Arial"/>
          <w:sz w:val="20"/>
          <w:szCs w:val="20"/>
        </w:rPr>
      </w:pPr>
      <w:r>
        <w:rPr>
          <w:rFonts w:cs="Arial"/>
          <w:sz w:val="20"/>
          <w:szCs w:val="20"/>
        </w:rPr>
        <w:br w:type="page"/>
      </w:r>
    </w:p>
    <w:p w:rsidR="00CA4012" w:rsidRDefault="00CA4012" w:rsidP="0051354C">
      <w:pPr>
        <w:rPr>
          <w:rFonts w:cs="Arial"/>
          <w:sz w:val="20"/>
          <w:szCs w:val="20"/>
        </w:rPr>
      </w:pPr>
    </w:p>
    <w:p w:rsidR="00CA4012" w:rsidRDefault="00CA4012" w:rsidP="0051354C">
      <w:pPr>
        <w:rPr>
          <w:rFonts w:cs="Arial"/>
          <w:sz w:val="20"/>
          <w:szCs w:val="20"/>
        </w:rPr>
      </w:pPr>
    </w:p>
    <w:p w:rsidR="00CA4012" w:rsidRDefault="00CA4012" w:rsidP="0051354C">
      <w:pPr>
        <w:rPr>
          <w:rFonts w:cs="Arial"/>
          <w:sz w:val="20"/>
          <w:szCs w:val="20"/>
        </w:rPr>
      </w:pPr>
    </w:p>
    <w:p w:rsidR="0051354C" w:rsidRPr="00413F59" w:rsidRDefault="0051354C" w:rsidP="0051354C">
      <w:pPr>
        <w:rPr>
          <w:rFonts w:cs="Arial"/>
          <w:sz w:val="20"/>
          <w:szCs w:val="20"/>
        </w:rPr>
      </w:pPr>
      <w:r w:rsidRPr="00413F59">
        <w:rPr>
          <w:rFonts w:cs="Arial"/>
          <w:sz w:val="20"/>
          <w:szCs w:val="20"/>
        </w:rPr>
        <w:t>Obsah</w:t>
      </w:r>
    </w:p>
    <w:p w:rsidR="0051354C" w:rsidRPr="00413F59" w:rsidRDefault="0051354C" w:rsidP="0051354C">
      <w:pPr>
        <w:rPr>
          <w:rFonts w:cs="Arial"/>
          <w:sz w:val="20"/>
          <w:szCs w:val="20"/>
        </w:rPr>
      </w:pPr>
    </w:p>
    <w:p w:rsidR="00341839" w:rsidRPr="00B82F65" w:rsidRDefault="009966B7" w:rsidP="004C5116">
      <w:pPr>
        <w:pStyle w:val="Odstavecseseznamem"/>
        <w:numPr>
          <w:ilvl w:val="0"/>
          <w:numId w:val="4"/>
        </w:numPr>
        <w:spacing w:line="276" w:lineRule="auto"/>
        <w:rPr>
          <w:rFonts w:cs="Arial"/>
          <w:sz w:val="20"/>
          <w:szCs w:val="20"/>
        </w:rPr>
      </w:pPr>
      <w:r w:rsidRPr="00B82F65">
        <w:rPr>
          <w:rFonts w:cs="Arial"/>
          <w:sz w:val="20"/>
          <w:szCs w:val="20"/>
        </w:rPr>
        <w:t>Metodika zjišťování způsobu bydlení</w:t>
      </w:r>
    </w:p>
    <w:p w:rsidR="00B82F65" w:rsidRPr="00B82F65" w:rsidRDefault="00B82F65" w:rsidP="004C5116">
      <w:pPr>
        <w:pStyle w:val="Odstavecseseznamem"/>
        <w:numPr>
          <w:ilvl w:val="0"/>
          <w:numId w:val="4"/>
        </w:numPr>
        <w:tabs>
          <w:tab w:val="left" w:pos="567"/>
        </w:tabs>
        <w:spacing w:line="276" w:lineRule="auto"/>
        <w:rPr>
          <w:rFonts w:cs="Arial"/>
          <w:sz w:val="20"/>
          <w:szCs w:val="20"/>
        </w:rPr>
      </w:pPr>
      <w:r w:rsidRPr="00B82F65">
        <w:rPr>
          <w:rFonts w:cs="Arial"/>
          <w:sz w:val="20"/>
          <w:szCs w:val="20"/>
        </w:rPr>
        <w:t>Struktura obyvatel podle způsobu bydlení v období  1991 - 2011</w:t>
      </w:r>
    </w:p>
    <w:p w:rsidR="0051354C" w:rsidRPr="00B82F65" w:rsidRDefault="00341839" w:rsidP="004C5116">
      <w:pPr>
        <w:numPr>
          <w:ilvl w:val="0"/>
          <w:numId w:val="4"/>
        </w:numPr>
        <w:suppressAutoHyphens w:val="0"/>
        <w:spacing w:line="276" w:lineRule="auto"/>
        <w:jc w:val="both"/>
        <w:rPr>
          <w:rFonts w:cs="Arial"/>
          <w:sz w:val="20"/>
          <w:szCs w:val="20"/>
        </w:rPr>
      </w:pPr>
      <w:r w:rsidRPr="00B82F65">
        <w:rPr>
          <w:rFonts w:cs="Arial"/>
          <w:sz w:val="20"/>
          <w:szCs w:val="20"/>
        </w:rPr>
        <w:t xml:space="preserve">Osoby bydlící v bytech </w:t>
      </w:r>
    </w:p>
    <w:p w:rsidR="00B82F65" w:rsidRDefault="00797BC3" w:rsidP="004C5116">
      <w:pPr>
        <w:numPr>
          <w:ilvl w:val="0"/>
          <w:numId w:val="4"/>
        </w:numPr>
        <w:tabs>
          <w:tab w:val="left" w:pos="3119"/>
        </w:tabs>
        <w:suppressAutoHyphens w:val="0"/>
        <w:spacing w:line="276" w:lineRule="auto"/>
        <w:jc w:val="both"/>
        <w:rPr>
          <w:rFonts w:cs="Arial"/>
          <w:sz w:val="20"/>
          <w:szCs w:val="20"/>
        </w:rPr>
      </w:pPr>
      <w:r w:rsidRPr="00B82F65">
        <w:rPr>
          <w:rFonts w:cs="Arial"/>
          <w:sz w:val="20"/>
          <w:szCs w:val="20"/>
        </w:rPr>
        <w:t xml:space="preserve">Osoby </w:t>
      </w:r>
      <w:r w:rsidR="004F4C67">
        <w:rPr>
          <w:rFonts w:cs="Arial"/>
          <w:sz w:val="20"/>
          <w:szCs w:val="20"/>
        </w:rPr>
        <w:t xml:space="preserve">bydlící </w:t>
      </w:r>
      <w:r w:rsidRPr="00B82F65">
        <w:rPr>
          <w:rFonts w:cs="Arial"/>
          <w:sz w:val="20"/>
          <w:szCs w:val="20"/>
        </w:rPr>
        <w:t xml:space="preserve">v zařízeních </w:t>
      </w:r>
    </w:p>
    <w:p w:rsidR="00061F3F" w:rsidRPr="00061F3F" w:rsidRDefault="00061F3F" w:rsidP="004C5116">
      <w:pPr>
        <w:pStyle w:val="Odstavecseseznamem"/>
        <w:tabs>
          <w:tab w:val="left" w:pos="993"/>
        </w:tabs>
        <w:spacing w:line="276" w:lineRule="auto"/>
        <w:ind w:left="502"/>
        <w:rPr>
          <w:sz w:val="20"/>
          <w:szCs w:val="20"/>
        </w:rPr>
      </w:pPr>
      <w:r w:rsidRPr="00061F3F">
        <w:rPr>
          <w:sz w:val="20"/>
          <w:szCs w:val="20"/>
        </w:rPr>
        <w:t>4.1</w:t>
      </w:r>
      <w:r w:rsidRPr="00061F3F">
        <w:rPr>
          <w:sz w:val="20"/>
          <w:szCs w:val="20"/>
        </w:rPr>
        <w:tab/>
        <w:t>Zařízení pro seniory</w:t>
      </w:r>
    </w:p>
    <w:p w:rsidR="00061F3F" w:rsidRPr="00061F3F" w:rsidRDefault="00061F3F" w:rsidP="004C5116">
      <w:pPr>
        <w:pStyle w:val="Odstavecseseznamem"/>
        <w:tabs>
          <w:tab w:val="left" w:pos="993"/>
        </w:tabs>
        <w:spacing w:line="276" w:lineRule="auto"/>
        <w:ind w:left="502"/>
        <w:rPr>
          <w:sz w:val="20"/>
          <w:szCs w:val="20"/>
        </w:rPr>
      </w:pPr>
      <w:r w:rsidRPr="00061F3F">
        <w:rPr>
          <w:sz w:val="20"/>
          <w:szCs w:val="20"/>
        </w:rPr>
        <w:t>4.2</w:t>
      </w:r>
      <w:r w:rsidRPr="00061F3F">
        <w:rPr>
          <w:sz w:val="20"/>
          <w:szCs w:val="20"/>
        </w:rPr>
        <w:tab/>
        <w:t xml:space="preserve">Ubytovny </w:t>
      </w:r>
    </w:p>
    <w:p w:rsidR="00061F3F" w:rsidRPr="00061F3F" w:rsidRDefault="00061F3F" w:rsidP="004C5116">
      <w:pPr>
        <w:keepNext/>
        <w:keepLines/>
        <w:tabs>
          <w:tab w:val="left" w:pos="993"/>
        </w:tabs>
        <w:spacing w:line="276" w:lineRule="auto"/>
        <w:ind w:firstLine="502"/>
        <w:rPr>
          <w:szCs w:val="20"/>
        </w:rPr>
      </w:pPr>
      <w:r w:rsidRPr="00061F3F">
        <w:rPr>
          <w:szCs w:val="20"/>
        </w:rPr>
        <w:t>4.3</w:t>
      </w:r>
      <w:r w:rsidRPr="00061F3F">
        <w:rPr>
          <w:szCs w:val="20"/>
        </w:rPr>
        <w:tab/>
        <w:t>Ubytovací zařízení v obytných domech</w:t>
      </w:r>
    </w:p>
    <w:p w:rsidR="00797BC3" w:rsidRDefault="00797BC3" w:rsidP="004C5116">
      <w:pPr>
        <w:numPr>
          <w:ilvl w:val="0"/>
          <w:numId w:val="4"/>
        </w:numPr>
        <w:tabs>
          <w:tab w:val="left" w:pos="3119"/>
        </w:tabs>
        <w:suppressAutoHyphens w:val="0"/>
        <w:spacing w:line="276" w:lineRule="auto"/>
        <w:jc w:val="both"/>
        <w:rPr>
          <w:rFonts w:cs="Arial"/>
          <w:sz w:val="20"/>
          <w:szCs w:val="20"/>
        </w:rPr>
      </w:pPr>
      <w:r w:rsidRPr="00B82F65">
        <w:rPr>
          <w:rFonts w:cs="Arial"/>
          <w:sz w:val="20"/>
          <w:szCs w:val="20"/>
        </w:rPr>
        <w:t>Osoby bydlící mimo byty a zařízení (nouzové bydlení)</w:t>
      </w:r>
    </w:p>
    <w:p w:rsidR="00061F3F" w:rsidRPr="00061F3F" w:rsidRDefault="00433AF9" w:rsidP="004C5116">
      <w:pPr>
        <w:pStyle w:val="Odstavecseseznamem"/>
        <w:tabs>
          <w:tab w:val="left" w:pos="993"/>
        </w:tabs>
        <w:spacing w:line="276" w:lineRule="auto"/>
        <w:ind w:left="502"/>
        <w:jc w:val="both"/>
        <w:rPr>
          <w:sz w:val="20"/>
          <w:szCs w:val="20"/>
        </w:rPr>
      </w:pPr>
      <w:r w:rsidRPr="00061F3F">
        <w:rPr>
          <w:sz w:val="20"/>
          <w:szCs w:val="20"/>
        </w:rPr>
        <w:t>5.1</w:t>
      </w:r>
      <w:r w:rsidRPr="00061F3F">
        <w:rPr>
          <w:sz w:val="20"/>
          <w:szCs w:val="20"/>
        </w:rPr>
        <w:tab/>
        <w:t>Osoby bydlící v rekreační chatě nebo chalupě</w:t>
      </w:r>
    </w:p>
    <w:p w:rsidR="00061F3F" w:rsidRPr="00061F3F" w:rsidRDefault="00061F3F" w:rsidP="004C5116">
      <w:pPr>
        <w:pStyle w:val="Normln-web"/>
        <w:tabs>
          <w:tab w:val="left" w:pos="993"/>
        </w:tabs>
        <w:spacing w:before="0" w:line="276" w:lineRule="auto"/>
        <w:ind w:firstLine="502"/>
        <w:rPr>
          <w:sz w:val="20"/>
          <w:szCs w:val="20"/>
        </w:rPr>
      </w:pPr>
      <w:r w:rsidRPr="00061F3F">
        <w:rPr>
          <w:sz w:val="20"/>
          <w:szCs w:val="20"/>
        </w:rPr>
        <w:t>5.2</w:t>
      </w:r>
      <w:r w:rsidRPr="00061F3F">
        <w:rPr>
          <w:sz w:val="20"/>
          <w:szCs w:val="20"/>
        </w:rPr>
        <w:tab/>
        <w:t>Osoby bydlící v domech mimo byty</w:t>
      </w:r>
    </w:p>
    <w:p w:rsidR="00061F3F" w:rsidRPr="00061F3F" w:rsidRDefault="00061F3F" w:rsidP="004C5116">
      <w:pPr>
        <w:pStyle w:val="Normln-web"/>
        <w:tabs>
          <w:tab w:val="left" w:pos="993"/>
        </w:tabs>
        <w:spacing w:before="0" w:line="276" w:lineRule="auto"/>
        <w:ind w:firstLine="502"/>
        <w:rPr>
          <w:sz w:val="20"/>
          <w:szCs w:val="20"/>
        </w:rPr>
      </w:pPr>
      <w:r w:rsidRPr="00061F3F">
        <w:rPr>
          <w:sz w:val="20"/>
          <w:szCs w:val="20"/>
        </w:rPr>
        <w:t>5.3</w:t>
      </w:r>
      <w:r w:rsidRPr="00061F3F">
        <w:rPr>
          <w:sz w:val="20"/>
          <w:szCs w:val="20"/>
        </w:rPr>
        <w:tab/>
        <w:t>Osoby bydlící v nouzových objektech vč. mobilních</w:t>
      </w:r>
    </w:p>
    <w:p w:rsidR="00797BC3" w:rsidRPr="00B82F65" w:rsidRDefault="00797BC3" w:rsidP="004C5116">
      <w:pPr>
        <w:pStyle w:val="Odstavecseseznamem"/>
        <w:numPr>
          <w:ilvl w:val="0"/>
          <w:numId w:val="4"/>
        </w:numPr>
        <w:spacing w:line="276" w:lineRule="auto"/>
        <w:jc w:val="both"/>
        <w:rPr>
          <w:rFonts w:cs="Arial"/>
          <w:sz w:val="20"/>
          <w:szCs w:val="20"/>
        </w:rPr>
      </w:pPr>
      <w:r w:rsidRPr="00B82F65">
        <w:rPr>
          <w:rFonts w:cs="Arial"/>
          <w:sz w:val="20"/>
          <w:szCs w:val="20"/>
        </w:rPr>
        <w:t>Bezdomovci</w:t>
      </w:r>
    </w:p>
    <w:p w:rsidR="00797BC3" w:rsidRDefault="00797BC3" w:rsidP="004C5116">
      <w:pPr>
        <w:numPr>
          <w:ilvl w:val="0"/>
          <w:numId w:val="4"/>
        </w:numPr>
        <w:suppressAutoHyphens w:val="0"/>
        <w:spacing w:line="276" w:lineRule="auto"/>
        <w:jc w:val="both"/>
        <w:rPr>
          <w:rFonts w:cs="Arial"/>
          <w:sz w:val="20"/>
          <w:szCs w:val="20"/>
        </w:rPr>
      </w:pPr>
      <w:r w:rsidRPr="00B82F65">
        <w:rPr>
          <w:rFonts w:cs="Arial"/>
          <w:sz w:val="20"/>
          <w:szCs w:val="20"/>
        </w:rPr>
        <w:t>Bydlení cizinců</w:t>
      </w:r>
    </w:p>
    <w:p w:rsidR="002C6AB4" w:rsidRPr="00B82F65" w:rsidRDefault="002C6AB4" w:rsidP="004C5116">
      <w:pPr>
        <w:numPr>
          <w:ilvl w:val="0"/>
          <w:numId w:val="4"/>
        </w:numPr>
        <w:suppressAutoHyphens w:val="0"/>
        <w:spacing w:line="276" w:lineRule="auto"/>
        <w:jc w:val="both"/>
        <w:rPr>
          <w:rFonts w:cs="Arial"/>
          <w:sz w:val="20"/>
          <w:szCs w:val="20"/>
        </w:rPr>
      </w:pPr>
      <w:r>
        <w:rPr>
          <w:rFonts w:cs="Arial"/>
          <w:sz w:val="20"/>
          <w:szCs w:val="20"/>
        </w:rPr>
        <w:t>Závěr</w:t>
      </w:r>
    </w:p>
    <w:p w:rsidR="0051354C" w:rsidRPr="00B82F65" w:rsidRDefault="0051354C" w:rsidP="004C5116">
      <w:pPr>
        <w:suppressAutoHyphens w:val="0"/>
        <w:spacing w:line="276" w:lineRule="auto"/>
        <w:ind w:left="720"/>
        <w:jc w:val="both"/>
        <w:rPr>
          <w:rFonts w:cs="Arial"/>
          <w:sz w:val="20"/>
          <w:szCs w:val="20"/>
        </w:rPr>
      </w:pPr>
    </w:p>
    <w:p w:rsidR="0051354C" w:rsidRPr="00413F59" w:rsidRDefault="0051354C" w:rsidP="0051354C">
      <w:pPr>
        <w:rPr>
          <w:rFonts w:cs="Arial"/>
          <w:sz w:val="20"/>
          <w:szCs w:val="20"/>
        </w:rPr>
      </w:pPr>
      <w:bookmarkStart w:id="0" w:name="_Toc188932502"/>
    </w:p>
    <w:p w:rsidR="0051354C" w:rsidRPr="00413F59" w:rsidRDefault="0051354C" w:rsidP="0051354C">
      <w:pPr>
        <w:rPr>
          <w:rFonts w:cs="Arial"/>
          <w:sz w:val="20"/>
          <w:szCs w:val="20"/>
        </w:rPr>
      </w:pPr>
    </w:p>
    <w:p w:rsidR="0051354C" w:rsidRPr="00413F59" w:rsidRDefault="0051354C" w:rsidP="0051354C">
      <w:pPr>
        <w:rPr>
          <w:rFonts w:cs="Arial"/>
          <w:sz w:val="20"/>
          <w:szCs w:val="20"/>
        </w:rPr>
      </w:pPr>
    </w:p>
    <w:p w:rsidR="00DF3194" w:rsidRDefault="00DF3194" w:rsidP="00DF3194">
      <w:pPr>
        <w:rPr>
          <w:b/>
        </w:rPr>
      </w:pPr>
    </w:p>
    <w:p w:rsidR="00DF3194" w:rsidRDefault="00DF3194" w:rsidP="00DF3194">
      <w:pPr>
        <w:rPr>
          <w:b/>
        </w:rPr>
      </w:pPr>
    </w:p>
    <w:p w:rsidR="00DF3194" w:rsidRPr="00CA4012" w:rsidRDefault="00CA4012" w:rsidP="00CA4012">
      <w:pPr>
        <w:spacing w:line="276" w:lineRule="auto"/>
      </w:pPr>
      <w:r w:rsidRPr="00CA4012">
        <w:t>Tabulková příloha</w:t>
      </w:r>
    </w:p>
    <w:p w:rsidR="00DF3194" w:rsidRPr="00CA4012" w:rsidRDefault="00DF3194" w:rsidP="00CA4012">
      <w:pPr>
        <w:spacing w:line="276" w:lineRule="auto"/>
      </w:pPr>
    </w:p>
    <w:p w:rsidR="00DF3194" w:rsidRPr="00CA4012" w:rsidRDefault="00CA4012" w:rsidP="004C5116">
      <w:pPr>
        <w:spacing w:line="276" w:lineRule="auto"/>
      </w:pPr>
      <w:r w:rsidRPr="00CA4012">
        <w:t>Tab. 1  Obyvatelstvo podle způsobu bydlení a podle pohlaví a věku k 26. 3. 2011</w:t>
      </w:r>
    </w:p>
    <w:p w:rsidR="00CA4012" w:rsidRPr="00CA4012" w:rsidRDefault="00CA4012" w:rsidP="004C5116">
      <w:pPr>
        <w:spacing w:line="276" w:lineRule="auto"/>
      </w:pPr>
      <w:r w:rsidRPr="00CA4012">
        <w:t>Tab. 2  Obyvatelstvo podle způsobu bydlení a podle pohlaví a rodinného stavu k 26. 3. 2011</w:t>
      </w:r>
    </w:p>
    <w:p w:rsidR="00CA4012" w:rsidRPr="00CA4012" w:rsidRDefault="00CA4012" w:rsidP="004C5116">
      <w:pPr>
        <w:spacing w:line="276" w:lineRule="auto"/>
      </w:pPr>
      <w:r w:rsidRPr="00CA4012">
        <w:t>Tab. 3  Obyvatelstvo podle způsobu bydlení a podle pohlaví a nejvyššího ukončeného vzdělání k 26. 3. 2011</w:t>
      </w:r>
    </w:p>
    <w:p w:rsidR="00CA4012" w:rsidRPr="00CA4012" w:rsidRDefault="00CA4012" w:rsidP="004C5116">
      <w:pPr>
        <w:spacing w:line="276" w:lineRule="auto"/>
      </w:pPr>
      <w:r w:rsidRPr="00CA4012">
        <w:t>Tab. 4  Obyvatelstvo podle způsobu bydlení a podle pohlaví a ekonomické aktivity k 26. 3. 2011</w:t>
      </w:r>
    </w:p>
    <w:p w:rsidR="00CA4012" w:rsidRPr="00CA4012" w:rsidRDefault="00CA4012" w:rsidP="004C5116">
      <w:pPr>
        <w:spacing w:line="276" w:lineRule="auto"/>
      </w:pPr>
      <w:r w:rsidRPr="00CA4012">
        <w:t>Tab. 5  Zaměstnaní podle způsobu bydlení a podle pohlaví a postavení v zaměstnání k 26. 3. 2011</w:t>
      </w:r>
    </w:p>
    <w:p w:rsidR="00CA4012" w:rsidRPr="00CA4012" w:rsidRDefault="00CA4012" w:rsidP="004C5116">
      <w:pPr>
        <w:spacing w:line="276" w:lineRule="auto"/>
      </w:pPr>
      <w:r w:rsidRPr="00CA4012">
        <w:t>Tab. 6  Zaměstnaní podle způsobu bydlení a podle pohlaví a nejvyššího ukončeného vzdělání k 26. 3. 2011</w:t>
      </w:r>
    </w:p>
    <w:p w:rsidR="00CA4012" w:rsidRPr="00CA4012" w:rsidRDefault="00CA4012" w:rsidP="004C5116">
      <w:pPr>
        <w:spacing w:line="276" w:lineRule="auto"/>
      </w:pPr>
      <w:r w:rsidRPr="00CA4012">
        <w:t>Tab. 7  Nezaměstnaní podle způsobu bydlení a podle pohlaví a nejvyššího ukončeného vzdělání k 26. 3. 2011</w:t>
      </w:r>
    </w:p>
    <w:p w:rsidR="00DF3194" w:rsidRDefault="00DF3194" w:rsidP="004C5116">
      <w:pPr>
        <w:spacing w:line="276" w:lineRule="auto"/>
        <w:rPr>
          <w:b/>
        </w:rPr>
      </w:pPr>
    </w:p>
    <w:p w:rsidR="00DF3194" w:rsidRDefault="00DF3194" w:rsidP="00DF3194">
      <w:pPr>
        <w:rPr>
          <w:b/>
        </w:rPr>
      </w:pPr>
    </w:p>
    <w:p w:rsidR="00DF3194" w:rsidRDefault="00DF3194" w:rsidP="00DF3194">
      <w:pPr>
        <w:rPr>
          <w:b/>
        </w:rPr>
      </w:pPr>
    </w:p>
    <w:p w:rsidR="0051354C" w:rsidRPr="009966B7" w:rsidRDefault="0051354C" w:rsidP="003C5316">
      <w:pPr>
        <w:pStyle w:val="Odstavecseseznamem"/>
        <w:numPr>
          <w:ilvl w:val="0"/>
          <w:numId w:val="9"/>
        </w:numPr>
        <w:ind w:left="851" w:hanging="851"/>
        <w:rPr>
          <w:rFonts w:cs="Arial"/>
          <w:b/>
          <w:sz w:val="24"/>
        </w:rPr>
      </w:pPr>
      <w:r w:rsidRPr="00341839">
        <w:rPr>
          <w:rFonts w:cs="Arial"/>
          <w:sz w:val="20"/>
          <w:szCs w:val="20"/>
        </w:rPr>
        <w:br w:type="page"/>
      </w:r>
      <w:r w:rsidRPr="009966B7">
        <w:rPr>
          <w:rFonts w:cs="Arial"/>
          <w:b/>
          <w:sz w:val="24"/>
        </w:rPr>
        <w:lastRenderedPageBreak/>
        <w:t>M</w:t>
      </w:r>
      <w:r w:rsidR="009966B7" w:rsidRPr="009966B7">
        <w:rPr>
          <w:rFonts w:cs="Arial"/>
          <w:b/>
          <w:sz w:val="24"/>
        </w:rPr>
        <w:t xml:space="preserve">etodika zjišťování způsobu bydlení </w:t>
      </w:r>
      <w:r w:rsidRPr="009966B7">
        <w:rPr>
          <w:rFonts w:cs="Arial"/>
          <w:b/>
          <w:sz w:val="24"/>
        </w:rPr>
        <w:t xml:space="preserve"> </w:t>
      </w:r>
    </w:p>
    <w:p w:rsidR="00341839" w:rsidRPr="00341839" w:rsidRDefault="00341839" w:rsidP="00341839">
      <w:pPr>
        <w:pStyle w:val="Odstavecseseznamem"/>
        <w:rPr>
          <w:rFonts w:cs="Arial"/>
          <w:sz w:val="20"/>
          <w:szCs w:val="20"/>
        </w:rPr>
      </w:pPr>
    </w:p>
    <w:p w:rsidR="0051354C" w:rsidRPr="00413F59" w:rsidRDefault="00520968" w:rsidP="004F4C67">
      <w:pPr>
        <w:spacing w:line="276" w:lineRule="auto"/>
        <w:jc w:val="both"/>
        <w:rPr>
          <w:rFonts w:cs="Arial"/>
          <w:sz w:val="20"/>
          <w:szCs w:val="20"/>
        </w:rPr>
      </w:pPr>
      <w:r>
        <w:rPr>
          <w:rFonts w:cs="Arial"/>
          <w:sz w:val="20"/>
          <w:szCs w:val="20"/>
          <w:lang w:val="en-AU"/>
        </w:rPr>
        <w:t>Způsob bydlení je kombinací informací zjištěných konkrétní otázkou</w:t>
      </w:r>
      <w:r w:rsidR="00406B82">
        <w:rPr>
          <w:rFonts w:cs="Arial"/>
          <w:sz w:val="20"/>
          <w:szCs w:val="20"/>
          <w:lang w:val="en-AU"/>
        </w:rPr>
        <w:t xml:space="preserve"> na sčítacím formuláři</w:t>
      </w:r>
      <w:r w:rsidR="000D1E4D">
        <w:rPr>
          <w:rFonts w:cs="Arial"/>
          <w:sz w:val="20"/>
          <w:szCs w:val="20"/>
          <w:lang w:val="en-AU"/>
        </w:rPr>
        <w:t xml:space="preserve"> a</w:t>
      </w:r>
      <w:r>
        <w:rPr>
          <w:rFonts w:cs="Arial"/>
          <w:sz w:val="20"/>
          <w:szCs w:val="20"/>
          <w:lang w:val="en-AU"/>
        </w:rPr>
        <w:t xml:space="preserve"> odvozených z</w:t>
      </w:r>
      <w:r w:rsidR="000D1E4D">
        <w:rPr>
          <w:rFonts w:cs="Arial"/>
          <w:sz w:val="20"/>
          <w:szCs w:val="20"/>
          <w:lang w:val="en-AU"/>
        </w:rPr>
        <w:t>e zkonstruovaného čísla bytu v případech, kdy způsob bydlení identifikoval sčítací komisař při distribuci sčítacích formulářů.</w:t>
      </w:r>
      <w:r>
        <w:rPr>
          <w:rFonts w:cs="Arial"/>
          <w:sz w:val="20"/>
          <w:szCs w:val="20"/>
          <w:lang w:val="en-AU"/>
        </w:rPr>
        <w:t xml:space="preserve"> </w:t>
      </w:r>
      <w:r w:rsidR="0088193B">
        <w:rPr>
          <w:rFonts w:cs="Arial"/>
          <w:sz w:val="20"/>
          <w:szCs w:val="20"/>
          <w:lang w:val="en-AU"/>
        </w:rPr>
        <w:t>V rámci samostatné otázky na bytovém listu ve s</w:t>
      </w:r>
      <w:r w:rsidR="0051354C" w:rsidRPr="00413F59">
        <w:rPr>
          <w:rFonts w:cs="Arial"/>
          <w:sz w:val="20"/>
          <w:szCs w:val="20"/>
        </w:rPr>
        <w:t xml:space="preserve">čítání 2001 a 2011 </w:t>
      </w:r>
      <w:r w:rsidR="0088193B">
        <w:rPr>
          <w:rFonts w:cs="Arial"/>
          <w:sz w:val="20"/>
          <w:szCs w:val="20"/>
        </w:rPr>
        <w:t>se rozlišoval</w:t>
      </w:r>
      <w:r w:rsidR="0051354C" w:rsidRPr="00413F59">
        <w:rPr>
          <w:rFonts w:cs="Arial"/>
          <w:sz w:val="20"/>
          <w:szCs w:val="20"/>
        </w:rPr>
        <w:t xml:space="preserve"> způsob bydlení bytové domácnosti </w:t>
      </w:r>
      <w:r w:rsidR="0088193B">
        <w:rPr>
          <w:rFonts w:cs="Arial"/>
          <w:sz w:val="20"/>
          <w:szCs w:val="20"/>
        </w:rPr>
        <w:t>– a to</w:t>
      </w:r>
      <w:r w:rsidR="0051354C" w:rsidRPr="00413F59">
        <w:rPr>
          <w:rFonts w:cs="Arial"/>
          <w:sz w:val="20"/>
          <w:szCs w:val="20"/>
        </w:rPr>
        <w:t xml:space="preserve"> byt, rekreační chat</w:t>
      </w:r>
      <w:r w:rsidR="0088193B">
        <w:rPr>
          <w:rFonts w:cs="Arial"/>
          <w:sz w:val="20"/>
          <w:szCs w:val="20"/>
        </w:rPr>
        <w:t>a</w:t>
      </w:r>
      <w:r w:rsidR="0051354C" w:rsidRPr="00413F59">
        <w:rPr>
          <w:rFonts w:cs="Arial"/>
          <w:sz w:val="20"/>
          <w:szCs w:val="20"/>
        </w:rPr>
        <w:t>, nouzové obydlí, mobilní obydlí a v roce 2011 navíc ještě i ubytovací zařízení (pro rodiny v zařízení).</w:t>
      </w:r>
    </w:p>
    <w:p w:rsidR="0051354C" w:rsidRPr="00413F59" w:rsidRDefault="0051354C" w:rsidP="004F4C67">
      <w:pPr>
        <w:spacing w:line="276" w:lineRule="auto"/>
        <w:jc w:val="both"/>
        <w:rPr>
          <w:rFonts w:cs="Arial"/>
          <w:sz w:val="20"/>
          <w:szCs w:val="20"/>
        </w:rPr>
      </w:pPr>
    </w:p>
    <w:p w:rsidR="00537191" w:rsidRDefault="0088193B" w:rsidP="004F4C67">
      <w:pPr>
        <w:spacing w:line="276" w:lineRule="auto"/>
        <w:jc w:val="both"/>
        <w:rPr>
          <w:rFonts w:cs="Arial"/>
          <w:sz w:val="20"/>
          <w:szCs w:val="20"/>
        </w:rPr>
      </w:pPr>
      <w:r>
        <w:rPr>
          <w:rFonts w:cs="Arial"/>
          <w:sz w:val="20"/>
          <w:szCs w:val="20"/>
        </w:rPr>
        <w:t xml:space="preserve">Metodická změna konceptu bydlícího obyvatelstva z trvale bydlících na obvykle bydlící ovlivnila podstatným způsobem datové výstupy o způsobu bydlení. </w:t>
      </w:r>
      <w:r w:rsidR="00537191">
        <w:rPr>
          <w:rFonts w:cs="Arial"/>
          <w:sz w:val="20"/>
          <w:szCs w:val="20"/>
        </w:rPr>
        <w:t>Byly to zejména:</w:t>
      </w:r>
    </w:p>
    <w:p w:rsidR="000867F7" w:rsidRDefault="00537191" w:rsidP="00537191">
      <w:pPr>
        <w:pStyle w:val="Odstavecseseznamem"/>
        <w:numPr>
          <w:ilvl w:val="0"/>
          <w:numId w:val="11"/>
        </w:numPr>
        <w:spacing w:line="276" w:lineRule="auto"/>
        <w:jc w:val="both"/>
        <w:rPr>
          <w:rFonts w:cs="Arial"/>
          <w:sz w:val="20"/>
          <w:szCs w:val="20"/>
        </w:rPr>
      </w:pPr>
      <w:r>
        <w:rPr>
          <w:rFonts w:cs="Arial"/>
          <w:sz w:val="20"/>
          <w:szCs w:val="20"/>
        </w:rPr>
        <w:t>Podmínka obvyklého pobytu v zařízení změnila</w:t>
      </w:r>
      <w:r w:rsidR="0088193B" w:rsidRPr="00537191">
        <w:rPr>
          <w:rFonts w:cs="Arial"/>
          <w:sz w:val="20"/>
          <w:szCs w:val="20"/>
        </w:rPr>
        <w:t xml:space="preserve"> počt</w:t>
      </w:r>
      <w:r>
        <w:rPr>
          <w:rFonts w:cs="Arial"/>
          <w:sz w:val="20"/>
          <w:szCs w:val="20"/>
        </w:rPr>
        <w:t>y</w:t>
      </w:r>
      <w:r w:rsidR="0088193B" w:rsidRPr="00537191">
        <w:rPr>
          <w:rFonts w:cs="Arial"/>
          <w:sz w:val="20"/>
          <w:szCs w:val="20"/>
        </w:rPr>
        <w:t xml:space="preserve"> i struktur</w:t>
      </w:r>
      <w:r>
        <w:rPr>
          <w:rFonts w:cs="Arial"/>
          <w:sz w:val="20"/>
          <w:szCs w:val="20"/>
        </w:rPr>
        <w:t xml:space="preserve">u </w:t>
      </w:r>
      <w:r w:rsidR="0088193B" w:rsidRPr="00537191">
        <w:rPr>
          <w:rFonts w:cs="Arial"/>
          <w:sz w:val="20"/>
          <w:szCs w:val="20"/>
        </w:rPr>
        <w:t xml:space="preserve">osob v zařízeních. </w:t>
      </w:r>
      <w:r>
        <w:rPr>
          <w:rFonts w:cs="Arial"/>
          <w:sz w:val="20"/>
          <w:szCs w:val="20"/>
        </w:rPr>
        <w:t xml:space="preserve">Na rozdíl od předchozích sčítání nebyl důležitý fakt, zda má osoba na adrese zařízení i své </w:t>
      </w:r>
      <w:r w:rsidR="000867F7">
        <w:rPr>
          <w:rFonts w:cs="Arial"/>
          <w:sz w:val="20"/>
          <w:szCs w:val="20"/>
        </w:rPr>
        <w:t>trvalé</w:t>
      </w:r>
      <w:r>
        <w:rPr>
          <w:rFonts w:cs="Arial"/>
          <w:sz w:val="20"/>
          <w:szCs w:val="20"/>
        </w:rPr>
        <w:t xml:space="preserve"> bydliště, ale rozhodující byla skutečnost, zda v daném objektu skutečně dlouhodobě bydlí (zda splňuje podmínky pro obvykl</w:t>
      </w:r>
      <w:r w:rsidR="00286DC6">
        <w:rPr>
          <w:rFonts w:cs="Arial"/>
          <w:sz w:val="20"/>
          <w:szCs w:val="20"/>
        </w:rPr>
        <w:t>ý</w:t>
      </w:r>
      <w:r>
        <w:rPr>
          <w:rFonts w:cs="Arial"/>
          <w:sz w:val="20"/>
          <w:szCs w:val="20"/>
        </w:rPr>
        <w:t xml:space="preserve"> </w:t>
      </w:r>
      <w:r w:rsidR="000867F7">
        <w:rPr>
          <w:rFonts w:cs="Arial"/>
          <w:sz w:val="20"/>
          <w:szCs w:val="20"/>
        </w:rPr>
        <w:t>pobyt</w:t>
      </w:r>
      <w:r>
        <w:rPr>
          <w:rFonts w:cs="Arial"/>
          <w:sz w:val="20"/>
          <w:szCs w:val="20"/>
        </w:rPr>
        <w:t xml:space="preserve">). </w:t>
      </w:r>
      <w:r w:rsidR="0088193B" w:rsidRPr="00537191">
        <w:rPr>
          <w:rFonts w:cs="Arial"/>
          <w:sz w:val="20"/>
          <w:szCs w:val="20"/>
        </w:rPr>
        <w:t xml:space="preserve">V předchozích sčítáních </w:t>
      </w:r>
      <w:r w:rsidR="00613DCD" w:rsidRPr="00537191">
        <w:rPr>
          <w:rFonts w:cs="Arial"/>
          <w:sz w:val="20"/>
          <w:szCs w:val="20"/>
        </w:rPr>
        <w:t xml:space="preserve">zařízení </w:t>
      </w:r>
      <w:r>
        <w:rPr>
          <w:rFonts w:cs="Arial"/>
          <w:sz w:val="20"/>
          <w:szCs w:val="20"/>
        </w:rPr>
        <w:t>většinou plnila</w:t>
      </w:r>
      <w:r w:rsidR="00613DCD" w:rsidRPr="00537191">
        <w:rPr>
          <w:rFonts w:cs="Arial"/>
          <w:sz w:val="20"/>
          <w:szCs w:val="20"/>
        </w:rPr>
        <w:t xml:space="preserve"> úlohu pouze místa sečtení.</w:t>
      </w:r>
      <w:r w:rsidR="0051354C" w:rsidRPr="00537191">
        <w:rPr>
          <w:rFonts w:cs="Arial"/>
          <w:sz w:val="20"/>
          <w:szCs w:val="20"/>
        </w:rPr>
        <w:t xml:space="preserve"> </w:t>
      </w:r>
      <w:r w:rsidRPr="00537191">
        <w:rPr>
          <w:rFonts w:cs="Arial"/>
          <w:sz w:val="20"/>
          <w:szCs w:val="20"/>
        </w:rPr>
        <w:t>I když v</w:t>
      </w:r>
      <w:r>
        <w:rPr>
          <w:rFonts w:cs="Arial"/>
          <w:sz w:val="20"/>
          <w:szCs w:val="20"/>
        </w:rPr>
        <w:t xml:space="preserve"> nich </w:t>
      </w:r>
      <w:r w:rsidR="0051354C" w:rsidRPr="00537191">
        <w:rPr>
          <w:rFonts w:cs="Arial"/>
          <w:sz w:val="20"/>
          <w:szCs w:val="20"/>
        </w:rPr>
        <w:t xml:space="preserve">žily osoby dlouhodobě, </w:t>
      </w:r>
      <w:r w:rsidRPr="00537191">
        <w:rPr>
          <w:rFonts w:cs="Arial"/>
          <w:sz w:val="20"/>
          <w:szCs w:val="20"/>
        </w:rPr>
        <w:t>pokud měly trvalé bydliště</w:t>
      </w:r>
      <w:r w:rsidR="0051354C" w:rsidRPr="00537191">
        <w:rPr>
          <w:rFonts w:cs="Arial"/>
          <w:sz w:val="20"/>
          <w:szCs w:val="20"/>
        </w:rPr>
        <w:t xml:space="preserve"> na jiné adrese</w:t>
      </w:r>
      <w:r w:rsidRPr="00537191">
        <w:rPr>
          <w:rFonts w:cs="Arial"/>
          <w:sz w:val="20"/>
          <w:szCs w:val="20"/>
        </w:rPr>
        <w:t>, byly v rámci zpracování na t</w:t>
      </w:r>
      <w:r w:rsidR="0051354C" w:rsidRPr="00537191">
        <w:rPr>
          <w:rFonts w:cs="Arial"/>
          <w:sz w:val="20"/>
          <w:szCs w:val="20"/>
        </w:rPr>
        <w:t xml:space="preserve">yto evidenční adresy </w:t>
      </w:r>
      <w:r w:rsidRPr="00537191">
        <w:rPr>
          <w:rFonts w:cs="Arial"/>
          <w:sz w:val="20"/>
          <w:szCs w:val="20"/>
        </w:rPr>
        <w:t>přeřazeny</w:t>
      </w:r>
      <w:r w:rsidR="0051354C" w:rsidRPr="00537191">
        <w:rPr>
          <w:rFonts w:cs="Arial"/>
          <w:sz w:val="20"/>
          <w:szCs w:val="20"/>
        </w:rPr>
        <w:t>.</w:t>
      </w:r>
    </w:p>
    <w:p w:rsidR="00537191" w:rsidRDefault="000867F7" w:rsidP="00537191">
      <w:pPr>
        <w:pStyle w:val="Odstavecseseznamem"/>
        <w:numPr>
          <w:ilvl w:val="0"/>
          <w:numId w:val="11"/>
        </w:numPr>
        <w:spacing w:line="276" w:lineRule="auto"/>
        <w:jc w:val="both"/>
        <w:rPr>
          <w:rFonts w:cs="Arial"/>
          <w:sz w:val="20"/>
          <w:szCs w:val="20"/>
        </w:rPr>
      </w:pPr>
      <w:r>
        <w:rPr>
          <w:rFonts w:cs="Arial"/>
          <w:sz w:val="20"/>
          <w:szCs w:val="20"/>
        </w:rPr>
        <w:t xml:space="preserve">Podle </w:t>
      </w:r>
      <w:r w:rsidR="00286DC6">
        <w:rPr>
          <w:rFonts w:cs="Arial"/>
          <w:sz w:val="20"/>
          <w:szCs w:val="20"/>
        </w:rPr>
        <w:t>nové (</w:t>
      </w:r>
      <w:r>
        <w:rPr>
          <w:rFonts w:cs="Arial"/>
          <w:sz w:val="20"/>
          <w:szCs w:val="20"/>
        </w:rPr>
        <w:t>mezinárodní</w:t>
      </w:r>
      <w:r w:rsidR="00286DC6">
        <w:rPr>
          <w:rFonts w:cs="Arial"/>
          <w:sz w:val="20"/>
          <w:szCs w:val="20"/>
        </w:rPr>
        <w:t>)</w:t>
      </w:r>
      <w:r>
        <w:rPr>
          <w:rFonts w:cs="Arial"/>
          <w:sz w:val="20"/>
          <w:szCs w:val="20"/>
        </w:rPr>
        <w:t xml:space="preserve"> metodiky se místem obvyklého pobytu mohly stát (a staly) i studentské vysokoškolské koleje</w:t>
      </w:r>
      <w:r w:rsidR="0051354C" w:rsidRPr="00537191">
        <w:rPr>
          <w:rFonts w:cs="Arial"/>
          <w:sz w:val="20"/>
          <w:szCs w:val="20"/>
        </w:rPr>
        <w:t xml:space="preserve"> </w:t>
      </w:r>
      <w:r>
        <w:rPr>
          <w:rFonts w:cs="Arial"/>
          <w:sz w:val="20"/>
          <w:szCs w:val="20"/>
        </w:rPr>
        <w:t>nebo věznice</w:t>
      </w:r>
      <w:r w:rsidR="00F309E9">
        <w:rPr>
          <w:rFonts w:cs="Arial"/>
          <w:sz w:val="20"/>
          <w:szCs w:val="20"/>
        </w:rPr>
        <w:t>.</w:t>
      </w:r>
    </w:p>
    <w:p w:rsidR="00537191" w:rsidRDefault="000867F7" w:rsidP="00537191">
      <w:pPr>
        <w:pStyle w:val="Odstavecseseznamem"/>
        <w:numPr>
          <w:ilvl w:val="0"/>
          <w:numId w:val="11"/>
        </w:numPr>
        <w:spacing w:line="276" w:lineRule="auto"/>
        <w:jc w:val="both"/>
        <w:rPr>
          <w:rFonts w:cs="Arial"/>
          <w:sz w:val="20"/>
          <w:szCs w:val="20"/>
        </w:rPr>
      </w:pPr>
      <w:r>
        <w:rPr>
          <w:rFonts w:cs="Arial"/>
          <w:sz w:val="20"/>
          <w:szCs w:val="20"/>
        </w:rPr>
        <w:t xml:space="preserve">Obvyklý pobyt umožnil kvantifikovat bezdomovce – jejich místem obvyklého pobytu se stalo místo sečtení. V předchozích sčítáních byli zařazeni vždy podle trvalého bydliště, přestože se v něm nezdržovali. </w:t>
      </w:r>
    </w:p>
    <w:p w:rsidR="000867F7" w:rsidRDefault="000867F7" w:rsidP="00537191">
      <w:pPr>
        <w:pStyle w:val="Odstavecseseznamem"/>
        <w:numPr>
          <w:ilvl w:val="0"/>
          <w:numId w:val="11"/>
        </w:numPr>
        <w:spacing w:line="276" w:lineRule="auto"/>
        <w:jc w:val="both"/>
        <w:rPr>
          <w:rFonts w:cs="Arial"/>
          <w:sz w:val="20"/>
          <w:szCs w:val="20"/>
        </w:rPr>
      </w:pPr>
      <w:r>
        <w:rPr>
          <w:rFonts w:cs="Arial"/>
          <w:sz w:val="20"/>
          <w:szCs w:val="20"/>
        </w:rPr>
        <w:t>Obydlenost bytů a složení bytových domácností se více přiblížilo realitě. V případech pronajatých bytů a v případech faktických soužití, kdy uživatelé bytů resp. partneři měli odlišné trvalé bydliště nebyla v přechozích sčítáních realita respektována.</w:t>
      </w:r>
    </w:p>
    <w:p w:rsidR="00537191" w:rsidRDefault="00537191" w:rsidP="004F4C67">
      <w:pPr>
        <w:spacing w:line="276" w:lineRule="auto"/>
        <w:jc w:val="both"/>
        <w:rPr>
          <w:rFonts w:cs="Arial"/>
          <w:sz w:val="20"/>
          <w:szCs w:val="20"/>
        </w:rPr>
      </w:pPr>
    </w:p>
    <w:p w:rsidR="0051354C" w:rsidRPr="00413F59" w:rsidRDefault="00F309E9" w:rsidP="004F4C67">
      <w:pPr>
        <w:spacing w:line="276" w:lineRule="auto"/>
        <w:jc w:val="both"/>
        <w:rPr>
          <w:rFonts w:cs="Arial"/>
          <w:sz w:val="20"/>
          <w:szCs w:val="20"/>
        </w:rPr>
      </w:pPr>
      <w:r>
        <w:rPr>
          <w:rFonts w:cs="Arial"/>
          <w:sz w:val="20"/>
          <w:szCs w:val="20"/>
        </w:rPr>
        <w:t>Metodické změny sčítání 2011 byly pro způsob bydlení osob natolik zásadní, že srovnání vývoje spíše charakterizuje intenzitu této metodické změny než skutečný vývoj</w:t>
      </w:r>
      <w:r w:rsidR="00286DC6">
        <w:rPr>
          <w:rFonts w:cs="Arial"/>
          <w:sz w:val="20"/>
          <w:szCs w:val="20"/>
        </w:rPr>
        <w:t>,</w:t>
      </w:r>
      <w:r w:rsidR="0051354C" w:rsidRPr="00413F59">
        <w:rPr>
          <w:rFonts w:cs="Arial"/>
          <w:sz w:val="20"/>
          <w:szCs w:val="20"/>
        </w:rPr>
        <w:t xml:space="preserve"> takže hodnocení změn v absolutním vyjádření není zcela vypovídající.</w:t>
      </w:r>
      <w:r w:rsidR="004F1145">
        <w:rPr>
          <w:rFonts w:cs="Arial"/>
          <w:sz w:val="20"/>
          <w:szCs w:val="20"/>
        </w:rPr>
        <w:t xml:space="preserve"> </w:t>
      </w:r>
    </w:p>
    <w:p w:rsidR="0051354C" w:rsidRPr="00413F59" w:rsidRDefault="0051354C" w:rsidP="00F309E9">
      <w:pPr>
        <w:spacing w:line="276" w:lineRule="auto"/>
        <w:jc w:val="both"/>
        <w:rPr>
          <w:rFonts w:cs="Arial"/>
          <w:sz w:val="20"/>
          <w:szCs w:val="20"/>
        </w:rPr>
      </w:pPr>
    </w:p>
    <w:p w:rsidR="00F309E9" w:rsidRDefault="0051354C" w:rsidP="00F309E9">
      <w:pPr>
        <w:spacing w:line="276" w:lineRule="auto"/>
        <w:jc w:val="both"/>
        <w:rPr>
          <w:rFonts w:cs="Arial"/>
          <w:sz w:val="20"/>
          <w:szCs w:val="20"/>
        </w:rPr>
      </w:pPr>
      <w:r w:rsidRPr="00413F59">
        <w:rPr>
          <w:rFonts w:cs="Arial"/>
          <w:sz w:val="20"/>
          <w:szCs w:val="20"/>
        </w:rPr>
        <w:t xml:space="preserve">Každá osoba, která splňovala podmínky algoritmu odvození obvyklého pobytu (deklarovala faktické bydliště na území ČR, měla na území republiky trvalý pobyt nebo zde pobývala alespoň jeden rok) byla podle dostupných informací z bytového listu zařazena do výsledků sčítání podle způsobu bydlení. Výjimky byly dvě. Bezdomovci ani jednotlivé osoby v zařízeních žádný bytový list nevyplňovali, protože jejich způsob bydlení neumožňoval vytvořit bytovou domácnost v pravém slova smyslu. Tyto osoby byly identifikovány pouze pomocí speciálního číselného intervalu v čísle bytu na jejich sčítacím listu osoby. Tato informace se v rámci zpracování transformovala do údaje o způsobu bydlení. </w:t>
      </w:r>
    </w:p>
    <w:p w:rsidR="00F309E9" w:rsidRDefault="00F309E9" w:rsidP="00F309E9">
      <w:pPr>
        <w:spacing w:line="276" w:lineRule="auto"/>
        <w:jc w:val="both"/>
        <w:rPr>
          <w:rFonts w:cs="Arial"/>
          <w:sz w:val="20"/>
          <w:szCs w:val="20"/>
        </w:rPr>
      </w:pPr>
    </w:p>
    <w:p w:rsidR="0051354C" w:rsidRPr="00413F59" w:rsidRDefault="0051354C" w:rsidP="00F309E9">
      <w:pPr>
        <w:spacing w:line="276" w:lineRule="auto"/>
        <w:jc w:val="both"/>
        <w:rPr>
          <w:rFonts w:cs="Arial"/>
          <w:sz w:val="20"/>
          <w:szCs w:val="20"/>
        </w:rPr>
      </w:pPr>
      <w:r w:rsidRPr="00413F59">
        <w:rPr>
          <w:rFonts w:cs="Arial"/>
          <w:sz w:val="20"/>
          <w:szCs w:val="20"/>
        </w:rPr>
        <w:t xml:space="preserve">Ve finálních výsledcích byly </w:t>
      </w:r>
      <w:r w:rsidR="00DF2482">
        <w:rPr>
          <w:rFonts w:cs="Arial"/>
          <w:sz w:val="20"/>
          <w:szCs w:val="20"/>
        </w:rPr>
        <w:t xml:space="preserve">v roce 2011 </w:t>
      </w:r>
      <w:r w:rsidRPr="00413F59">
        <w:rPr>
          <w:rFonts w:cs="Arial"/>
          <w:sz w:val="20"/>
          <w:szCs w:val="20"/>
        </w:rPr>
        <w:t>osoby rozděleny na osoby bydlící v bytě, mimo byty, v zařízeních v rodinách, v zařízeních jako jednotlivci a bezdomovce.</w:t>
      </w:r>
    </w:p>
    <w:p w:rsidR="0051354C" w:rsidRPr="009966B7" w:rsidRDefault="0051354C" w:rsidP="00286DC6">
      <w:pPr>
        <w:pStyle w:val="Odstavecseseznamem"/>
        <w:tabs>
          <w:tab w:val="left" w:pos="851"/>
        </w:tabs>
        <w:ind w:left="851" w:hanging="851"/>
        <w:rPr>
          <w:rFonts w:cs="Arial"/>
          <w:b/>
          <w:sz w:val="20"/>
          <w:szCs w:val="20"/>
        </w:rPr>
      </w:pPr>
      <w:r w:rsidRPr="00341839">
        <w:rPr>
          <w:rFonts w:cs="Arial"/>
          <w:sz w:val="20"/>
          <w:szCs w:val="20"/>
        </w:rPr>
        <w:br w:type="page"/>
      </w:r>
      <w:r w:rsidR="009966B7" w:rsidRPr="009966B7">
        <w:rPr>
          <w:rFonts w:cs="Arial"/>
          <w:b/>
          <w:sz w:val="24"/>
        </w:rPr>
        <w:lastRenderedPageBreak/>
        <w:t>2.</w:t>
      </w:r>
      <w:r w:rsidR="009966B7" w:rsidRPr="009966B7">
        <w:rPr>
          <w:rFonts w:cs="Arial"/>
          <w:b/>
          <w:sz w:val="24"/>
        </w:rPr>
        <w:tab/>
        <w:t xml:space="preserve">Struktura obyvatel podle způsobu bydlení v období </w:t>
      </w:r>
      <w:r w:rsidR="008A4180" w:rsidRPr="009966B7">
        <w:rPr>
          <w:rFonts w:cs="Arial"/>
          <w:b/>
          <w:sz w:val="24"/>
        </w:rPr>
        <w:t xml:space="preserve"> </w:t>
      </w:r>
      <w:r w:rsidR="009966B7" w:rsidRPr="009966B7">
        <w:rPr>
          <w:rFonts w:cs="Arial"/>
          <w:b/>
          <w:sz w:val="24"/>
        </w:rPr>
        <w:t>1991 - 2011</w:t>
      </w:r>
    </w:p>
    <w:p w:rsidR="0051354C" w:rsidRPr="00413F59" w:rsidRDefault="0051354C" w:rsidP="0051354C">
      <w:pPr>
        <w:rPr>
          <w:rFonts w:cs="Arial"/>
          <w:sz w:val="20"/>
          <w:szCs w:val="20"/>
        </w:rPr>
      </w:pPr>
    </w:p>
    <w:p w:rsidR="000C0495" w:rsidRDefault="007962B8" w:rsidP="00461252">
      <w:pPr>
        <w:spacing w:line="276" w:lineRule="auto"/>
        <w:jc w:val="both"/>
        <w:rPr>
          <w:rFonts w:cs="Arial"/>
          <w:sz w:val="20"/>
          <w:szCs w:val="20"/>
        </w:rPr>
      </w:pPr>
      <w:r>
        <w:rPr>
          <w:rFonts w:cs="Arial"/>
          <w:sz w:val="20"/>
          <w:szCs w:val="20"/>
        </w:rPr>
        <w:t>V základním členění obyvatel podle způsobu bydlení tvoří majoritní skupinu osoby bydlící v bytech. V</w:t>
      </w:r>
      <w:r w:rsidR="000C0495">
        <w:rPr>
          <w:rFonts w:cs="Arial"/>
          <w:sz w:val="20"/>
          <w:szCs w:val="20"/>
        </w:rPr>
        <w:t> delším časovém horizontu se měn</w:t>
      </w:r>
      <w:r w:rsidR="00461252">
        <w:rPr>
          <w:rFonts w:cs="Arial"/>
          <w:sz w:val="20"/>
          <w:szCs w:val="20"/>
        </w:rPr>
        <w:t>ily</w:t>
      </w:r>
      <w:r w:rsidR="000C0495">
        <w:rPr>
          <w:rFonts w:cs="Arial"/>
          <w:sz w:val="20"/>
          <w:szCs w:val="20"/>
        </w:rPr>
        <w:t xml:space="preserve"> podíly osob v zařízeních příp. podíly osob bydlících nouzově, přičemž některé změny nejsou důsledkem objektivních procesů</w:t>
      </w:r>
      <w:r w:rsidR="00461252">
        <w:rPr>
          <w:rFonts w:cs="Arial"/>
          <w:sz w:val="20"/>
          <w:szCs w:val="20"/>
        </w:rPr>
        <w:t xml:space="preserve"> změn způsobu bydlení</w:t>
      </w:r>
      <w:r w:rsidR="000C0495">
        <w:rPr>
          <w:rFonts w:cs="Arial"/>
          <w:sz w:val="20"/>
          <w:szCs w:val="20"/>
        </w:rPr>
        <w:t xml:space="preserve">, ale </w:t>
      </w:r>
      <w:r w:rsidR="00461252">
        <w:rPr>
          <w:rFonts w:cs="Arial"/>
          <w:sz w:val="20"/>
          <w:szCs w:val="20"/>
        </w:rPr>
        <w:t>byly vyvolány do určité míry</w:t>
      </w:r>
      <w:r w:rsidR="000C0495">
        <w:rPr>
          <w:rFonts w:cs="Arial"/>
          <w:sz w:val="20"/>
          <w:szCs w:val="20"/>
        </w:rPr>
        <w:t xml:space="preserve"> změnou metodiky nebo způsobu získání informací. </w:t>
      </w:r>
    </w:p>
    <w:p w:rsidR="000C0495" w:rsidRDefault="000C0495" w:rsidP="0051354C">
      <w:pPr>
        <w:rPr>
          <w:rFonts w:cs="Arial"/>
          <w:sz w:val="20"/>
          <w:szCs w:val="20"/>
        </w:rPr>
      </w:pPr>
    </w:p>
    <w:tbl>
      <w:tblPr>
        <w:tblW w:w="9347" w:type="dxa"/>
        <w:jc w:val="center"/>
        <w:tblInd w:w="-214" w:type="dxa"/>
        <w:tblCellMar>
          <w:left w:w="70" w:type="dxa"/>
          <w:right w:w="70" w:type="dxa"/>
        </w:tblCellMar>
        <w:tblLook w:val="04A0"/>
      </w:tblPr>
      <w:tblGrid>
        <w:gridCol w:w="2788"/>
        <w:gridCol w:w="1181"/>
        <w:gridCol w:w="1060"/>
        <w:gridCol w:w="1060"/>
        <w:gridCol w:w="1086"/>
        <w:gridCol w:w="1086"/>
        <w:gridCol w:w="1086"/>
      </w:tblGrid>
      <w:tr w:rsidR="0051354C" w:rsidRPr="00413F59" w:rsidTr="00100BE2">
        <w:trPr>
          <w:trHeight w:val="285"/>
          <w:jc w:val="center"/>
        </w:trPr>
        <w:tc>
          <w:tcPr>
            <w:tcW w:w="8261" w:type="dxa"/>
            <w:gridSpan w:val="6"/>
            <w:tcBorders>
              <w:top w:val="nil"/>
              <w:left w:val="nil"/>
              <w:bottom w:val="nil"/>
              <w:right w:val="nil"/>
            </w:tcBorders>
            <w:shd w:val="clear" w:color="auto" w:fill="auto"/>
            <w:noWrap/>
            <w:vAlign w:val="bottom"/>
            <w:hideMark/>
          </w:tcPr>
          <w:p w:rsidR="0051354C" w:rsidRPr="00413F59" w:rsidRDefault="00474198" w:rsidP="003C5316">
            <w:pPr>
              <w:rPr>
                <w:rFonts w:cs="Arial"/>
                <w:b/>
                <w:bCs/>
                <w:sz w:val="20"/>
                <w:szCs w:val="20"/>
              </w:rPr>
            </w:pPr>
            <w:r>
              <w:rPr>
                <w:rFonts w:cs="Arial"/>
                <w:b/>
                <w:bCs/>
                <w:sz w:val="20"/>
                <w:szCs w:val="20"/>
              </w:rPr>
              <w:t xml:space="preserve">Tab. č. 1 </w:t>
            </w:r>
            <w:r w:rsidR="0051354C" w:rsidRPr="00413F59">
              <w:rPr>
                <w:rFonts w:cs="Arial"/>
                <w:b/>
                <w:bCs/>
                <w:sz w:val="20"/>
                <w:szCs w:val="20"/>
              </w:rPr>
              <w:t>Vývoj počtu obyvatel podle způsobu bydlení v letech 1991 - 2011</w:t>
            </w:r>
            <w:r w:rsidR="0051354C" w:rsidRPr="00413F59">
              <w:rPr>
                <w:rFonts w:cs="Arial"/>
                <w:b/>
                <w:bCs/>
                <w:sz w:val="20"/>
                <w:szCs w:val="20"/>
                <w:vertAlign w:val="superscript"/>
              </w:rPr>
              <w:t>1)</w:t>
            </w:r>
          </w:p>
        </w:tc>
        <w:tc>
          <w:tcPr>
            <w:tcW w:w="1086" w:type="dxa"/>
            <w:tcBorders>
              <w:top w:val="nil"/>
              <w:left w:val="nil"/>
              <w:bottom w:val="nil"/>
              <w:right w:val="nil"/>
            </w:tcBorders>
            <w:shd w:val="clear" w:color="auto" w:fill="auto"/>
            <w:noWrap/>
            <w:vAlign w:val="bottom"/>
            <w:hideMark/>
          </w:tcPr>
          <w:p w:rsidR="0051354C" w:rsidRPr="00413F59" w:rsidRDefault="0051354C" w:rsidP="00851E06">
            <w:pPr>
              <w:rPr>
                <w:rFonts w:cs="Arial"/>
                <w:sz w:val="20"/>
                <w:szCs w:val="20"/>
              </w:rPr>
            </w:pPr>
          </w:p>
        </w:tc>
      </w:tr>
      <w:tr w:rsidR="0051354C" w:rsidRPr="00413F59" w:rsidTr="00100BE2">
        <w:trPr>
          <w:trHeight w:val="255"/>
          <w:jc w:val="center"/>
        </w:trPr>
        <w:tc>
          <w:tcPr>
            <w:tcW w:w="2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B452EA" w:rsidRDefault="0051354C" w:rsidP="00851E06">
            <w:pPr>
              <w:jc w:val="center"/>
              <w:rPr>
                <w:rFonts w:cs="Arial"/>
                <w:sz w:val="18"/>
                <w:szCs w:val="18"/>
              </w:rPr>
            </w:pPr>
            <w:r w:rsidRPr="00B452EA">
              <w:rPr>
                <w:rFonts w:cs="Arial"/>
                <w:sz w:val="18"/>
                <w:szCs w:val="18"/>
              </w:rPr>
              <w:t> </w:t>
            </w:r>
          </w:p>
        </w:tc>
        <w:tc>
          <w:tcPr>
            <w:tcW w:w="33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B452EA" w:rsidRDefault="0051354C" w:rsidP="00851E06">
            <w:pPr>
              <w:jc w:val="center"/>
              <w:rPr>
                <w:rFonts w:cs="Arial"/>
                <w:sz w:val="18"/>
                <w:szCs w:val="18"/>
              </w:rPr>
            </w:pPr>
            <w:r w:rsidRPr="00B452EA">
              <w:rPr>
                <w:rFonts w:cs="Arial"/>
                <w:sz w:val="18"/>
                <w:szCs w:val="18"/>
              </w:rPr>
              <w:t>Obyvatelstvo celkem</w:t>
            </w:r>
          </w:p>
        </w:tc>
        <w:tc>
          <w:tcPr>
            <w:tcW w:w="32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B452EA" w:rsidRDefault="0051354C" w:rsidP="00851E06">
            <w:pPr>
              <w:jc w:val="center"/>
              <w:rPr>
                <w:rFonts w:cs="Arial"/>
                <w:sz w:val="18"/>
                <w:szCs w:val="18"/>
              </w:rPr>
            </w:pPr>
            <w:r w:rsidRPr="00B452EA">
              <w:rPr>
                <w:rFonts w:cs="Arial"/>
                <w:sz w:val="18"/>
                <w:szCs w:val="18"/>
              </w:rPr>
              <w:t>Index</w:t>
            </w:r>
            <w:r w:rsidR="00461252">
              <w:rPr>
                <w:rFonts w:cs="Arial"/>
                <w:sz w:val="18"/>
                <w:szCs w:val="18"/>
              </w:rPr>
              <w:t xml:space="preserve"> v %</w:t>
            </w:r>
          </w:p>
        </w:tc>
      </w:tr>
      <w:tr w:rsidR="0051354C" w:rsidRPr="00413F59" w:rsidTr="00100BE2">
        <w:trPr>
          <w:trHeight w:val="255"/>
          <w:jc w:val="center"/>
        </w:trPr>
        <w:tc>
          <w:tcPr>
            <w:tcW w:w="2788" w:type="dxa"/>
            <w:vMerge/>
            <w:tcBorders>
              <w:top w:val="single" w:sz="4" w:space="0" w:color="auto"/>
              <w:left w:val="single" w:sz="4" w:space="0" w:color="auto"/>
              <w:bottom w:val="single" w:sz="4" w:space="0" w:color="auto"/>
              <w:right w:val="single" w:sz="4" w:space="0" w:color="auto"/>
            </w:tcBorders>
            <w:vAlign w:val="center"/>
            <w:hideMark/>
          </w:tcPr>
          <w:p w:rsidR="0051354C" w:rsidRPr="00B452EA" w:rsidRDefault="0051354C" w:rsidP="00851E06">
            <w:pPr>
              <w:rPr>
                <w:rFonts w:cs="Arial"/>
                <w:sz w:val="18"/>
                <w:szCs w:val="18"/>
              </w:rPr>
            </w:pPr>
          </w:p>
        </w:tc>
        <w:tc>
          <w:tcPr>
            <w:tcW w:w="3301" w:type="dxa"/>
            <w:gridSpan w:val="3"/>
            <w:vMerge/>
            <w:tcBorders>
              <w:top w:val="single" w:sz="4" w:space="0" w:color="auto"/>
              <w:left w:val="single" w:sz="4" w:space="0" w:color="auto"/>
              <w:bottom w:val="single" w:sz="4" w:space="0" w:color="auto"/>
              <w:right w:val="single" w:sz="4" w:space="0" w:color="auto"/>
            </w:tcBorders>
            <w:vAlign w:val="center"/>
            <w:hideMark/>
          </w:tcPr>
          <w:p w:rsidR="0051354C" w:rsidRPr="00B452EA" w:rsidRDefault="0051354C" w:rsidP="00851E06">
            <w:pPr>
              <w:rPr>
                <w:rFonts w:cs="Arial"/>
                <w:sz w:val="18"/>
                <w:szCs w:val="18"/>
              </w:rPr>
            </w:pPr>
          </w:p>
        </w:tc>
        <w:tc>
          <w:tcPr>
            <w:tcW w:w="3258" w:type="dxa"/>
            <w:gridSpan w:val="3"/>
            <w:vMerge/>
            <w:tcBorders>
              <w:top w:val="single" w:sz="4" w:space="0" w:color="auto"/>
              <w:left w:val="single" w:sz="4" w:space="0" w:color="auto"/>
              <w:bottom w:val="single" w:sz="4" w:space="0" w:color="auto"/>
              <w:right w:val="single" w:sz="4" w:space="0" w:color="auto"/>
            </w:tcBorders>
            <w:vAlign w:val="center"/>
            <w:hideMark/>
          </w:tcPr>
          <w:p w:rsidR="0051354C" w:rsidRPr="00B452EA" w:rsidRDefault="0051354C" w:rsidP="00851E06">
            <w:pPr>
              <w:rPr>
                <w:rFonts w:cs="Arial"/>
                <w:sz w:val="18"/>
                <w:szCs w:val="18"/>
              </w:rPr>
            </w:pPr>
          </w:p>
        </w:tc>
      </w:tr>
      <w:tr w:rsidR="0051354C" w:rsidRPr="00413F59" w:rsidTr="009B5FC7">
        <w:trPr>
          <w:trHeight w:val="300"/>
          <w:jc w:val="center"/>
        </w:trPr>
        <w:tc>
          <w:tcPr>
            <w:tcW w:w="2788" w:type="dxa"/>
            <w:vMerge/>
            <w:tcBorders>
              <w:top w:val="single" w:sz="4" w:space="0" w:color="auto"/>
              <w:left w:val="single" w:sz="4" w:space="0" w:color="auto"/>
              <w:bottom w:val="single" w:sz="4" w:space="0" w:color="auto"/>
              <w:right w:val="single" w:sz="4" w:space="0" w:color="auto"/>
            </w:tcBorders>
            <w:vAlign w:val="center"/>
            <w:hideMark/>
          </w:tcPr>
          <w:p w:rsidR="0051354C" w:rsidRPr="00B452EA" w:rsidRDefault="0051354C" w:rsidP="00851E06">
            <w:pPr>
              <w:rPr>
                <w:rFonts w:cs="Arial"/>
                <w:sz w:val="18"/>
                <w:szCs w:val="18"/>
              </w:rPr>
            </w:pPr>
          </w:p>
        </w:tc>
        <w:tc>
          <w:tcPr>
            <w:tcW w:w="1181" w:type="dxa"/>
            <w:tcBorders>
              <w:top w:val="nil"/>
              <w:left w:val="nil"/>
              <w:bottom w:val="single" w:sz="4" w:space="0" w:color="auto"/>
              <w:right w:val="single" w:sz="4" w:space="0" w:color="auto"/>
            </w:tcBorders>
            <w:shd w:val="clear" w:color="auto" w:fill="auto"/>
            <w:vAlign w:val="center"/>
            <w:hideMark/>
          </w:tcPr>
          <w:p w:rsidR="0051354C" w:rsidRPr="00B452EA" w:rsidRDefault="0051354C" w:rsidP="009B5FC7">
            <w:pPr>
              <w:jc w:val="center"/>
              <w:rPr>
                <w:rFonts w:cs="Arial"/>
                <w:sz w:val="18"/>
                <w:szCs w:val="18"/>
              </w:rPr>
            </w:pPr>
            <w:r w:rsidRPr="00B452EA">
              <w:rPr>
                <w:rFonts w:cs="Arial"/>
                <w:sz w:val="18"/>
                <w:szCs w:val="18"/>
              </w:rPr>
              <w:t>1991</w:t>
            </w:r>
          </w:p>
        </w:tc>
        <w:tc>
          <w:tcPr>
            <w:tcW w:w="1060" w:type="dxa"/>
            <w:tcBorders>
              <w:top w:val="nil"/>
              <w:left w:val="nil"/>
              <w:bottom w:val="single" w:sz="4" w:space="0" w:color="auto"/>
              <w:right w:val="single" w:sz="4" w:space="0" w:color="auto"/>
            </w:tcBorders>
            <w:shd w:val="clear" w:color="auto" w:fill="auto"/>
            <w:noWrap/>
            <w:vAlign w:val="center"/>
            <w:hideMark/>
          </w:tcPr>
          <w:p w:rsidR="0051354C" w:rsidRPr="00B452EA" w:rsidRDefault="0051354C" w:rsidP="009B5FC7">
            <w:pPr>
              <w:jc w:val="center"/>
              <w:rPr>
                <w:rFonts w:cs="Arial"/>
                <w:sz w:val="18"/>
                <w:szCs w:val="18"/>
              </w:rPr>
            </w:pPr>
            <w:r w:rsidRPr="00B452EA">
              <w:rPr>
                <w:rFonts w:cs="Arial"/>
                <w:sz w:val="18"/>
                <w:szCs w:val="18"/>
              </w:rPr>
              <w:t>2001</w:t>
            </w:r>
          </w:p>
        </w:tc>
        <w:tc>
          <w:tcPr>
            <w:tcW w:w="1060" w:type="dxa"/>
            <w:tcBorders>
              <w:top w:val="nil"/>
              <w:left w:val="nil"/>
              <w:bottom w:val="single" w:sz="4" w:space="0" w:color="auto"/>
              <w:right w:val="single" w:sz="4" w:space="0" w:color="auto"/>
            </w:tcBorders>
            <w:shd w:val="clear" w:color="auto" w:fill="auto"/>
            <w:noWrap/>
            <w:vAlign w:val="center"/>
            <w:hideMark/>
          </w:tcPr>
          <w:p w:rsidR="0051354C" w:rsidRPr="00B452EA" w:rsidRDefault="0051354C" w:rsidP="009B5FC7">
            <w:pPr>
              <w:jc w:val="center"/>
              <w:rPr>
                <w:rFonts w:cs="Arial"/>
                <w:sz w:val="18"/>
                <w:szCs w:val="18"/>
              </w:rPr>
            </w:pPr>
            <w:r w:rsidRPr="00B452EA">
              <w:rPr>
                <w:rFonts w:cs="Arial"/>
                <w:sz w:val="18"/>
                <w:szCs w:val="18"/>
              </w:rPr>
              <w:t>2011</w:t>
            </w:r>
          </w:p>
        </w:tc>
        <w:tc>
          <w:tcPr>
            <w:tcW w:w="1086" w:type="dxa"/>
            <w:tcBorders>
              <w:top w:val="nil"/>
              <w:left w:val="nil"/>
              <w:bottom w:val="single" w:sz="4" w:space="0" w:color="auto"/>
              <w:right w:val="single" w:sz="4" w:space="0" w:color="auto"/>
            </w:tcBorders>
            <w:shd w:val="clear" w:color="auto" w:fill="auto"/>
            <w:vAlign w:val="center"/>
            <w:hideMark/>
          </w:tcPr>
          <w:p w:rsidR="0051354C" w:rsidRPr="00B452EA" w:rsidRDefault="0051354C" w:rsidP="009B5FC7">
            <w:pPr>
              <w:jc w:val="center"/>
              <w:rPr>
                <w:rFonts w:cs="Arial"/>
                <w:sz w:val="18"/>
                <w:szCs w:val="18"/>
              </w:rPr>
            </w:pPr>
            <w:r w:rsidRPr="00B452EA">
              <w:rPr>
                <w:rFonts w:cs="Arial"/>
                <w:sz w:val="18"/>
                <w:szCs w:val="18"/>
              </w:rPr>
              <w:t>2001/1991</w:t>
            </w:r>
          </w:p>
        </w:tc>
        <w:tc>
          <w:tcPr>
            <w:tcW w:w="1086" w:type="dxa"/>
            <w:tcBorders>
              <w:top w:val="nil"/>
              <w:left w:val="nil"/>
              <w:bottom w:val="single" w:sz="4" w:space="0" w:color="auto"/>
              <w:right w:val="single" w:sz="4" w:space="0" w:color="auto"/>
            </w:tcBorders>
            <w:shd w:val="clear" w:color="auto" w:fill="auto"/>
            <w:noWrap/>
            <w:vAlign w:val="center"/>
            <w:hideMark/>
          </w:tcPr>
          <w:p w:rsidR="0051354C" w:rsidRPr="00B452EA" w:rsidRDefault="0051354C" w:rsidP="009B5FC7">
            <w:pPr>
              <w:jc w:val="center"/>
              <w:rPr>
                <w:rFonts w:cs="Arial"/>
                <w:sz w:val="18"/>
                <w:szCs w:val="18"/>
              </w:rPr>
            </w:pPr>
            <w:r w:rsidRPr="00B452EA">
              <w:rPr>
                <w:rFonts w:cs="Arial"/>
                <w:sz w:val="18"/>
                <w:szCs w:val="18"/>
              </w:rPr>
              <w:t>2011/2001</w:t>
            </w:r>
          </w:p>
        </w:tc>
        <w:tc>
          <w:tcPr>
            <w:tcW w:w="1086" w:type="dxa"/>
            <w:tcBorders>
              <w:top w:val="nil"/>
              <w:left w:val="nil"/>
              <w:bottom w:val="single" w:sz="4" w:space="0" w:color="auto"/>
              <w:right w:val="single" w:sz="4" w:space="0" w:color="auto"/>
            </w:tcBorders>
            <w:shd w:val="clear" w:color="auto" w:fill="auto"/>
            <w:noWrap/>
            <w:vAlign w:val="center"/>
            <w:hideMark/>
          </w:tcPr>
          <w:p w:rsidR="0051354C" w:rsidRPr="00B452EA" w:rsidRDefault="0051354C" w:rsidP="009B5FC7">
            <w:pPr>
              <w:jc w:val="center"/>
              <w:rPr>
                <w:rFonts w:cs="Arial"/>
                <w:sz w:val="18"/>
                <w:szCs w:val="18"/>
              </w:rPr>
            </w:pPr>
            <w:r w:rsidRPr="00B452EA">
              <w:rPr>
                <w:rFonts w:cs="Arial"/>
                <w:sz w:val="18"/>
                <w:szCs w:val="18"/>
              </w:rPr>
              <w:t>2011/1991</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vAlign w:val="bottom"/>
            <w:hideMark/>
          </w:tcPr>
          <w:p w:rsidR="0051354C" w:rsidRPr="00B452EA" w:rsidRDefault="0051354C" w:rsidP="00851E06">
            <w:pPr>
              <w:rPr>
                <w:rFonts w:cs="Arial"/>
                <w:sz w:val="18"/>
                <w:szCs w:val="18"/>
              </w:rPr>
            </w:pPr>
            <w:r w:rsidRPr="00B452EA">
              <w:rPr>
                <w:rFonts w:cs="Arial"/>
                <w:sz w:val="18"/>
                <w:szCs w:val="18"/>
              </w:rPr>
              <w:t>Bydlící osoby v domech celkem</w:t>
            </w:r>
          </w:p>
        </w:tc>
        <w:tc>
          <w:tcPr>
            <w:tcW w:w="1181" w:type="dxa"/>
            <w:tcBorders>
              <w:top w:val="nil"/>
              <w:left w:val="nil"/>
              <w:bottom w:val="nil"/>
              <w:right w:val="single" w:sz="4" w:space="0" w:color="auto"/>
            </w:tcBorders>
            <w:shd w:val="clear" w:color="auto" w:fill="auto"/>
            <w:vAlign w:val="bottom"/>
            <w:hideMark/>
          </w:tcPr>
          <w:p w:rsidR="0051354C" w:rsidRPr="00B452EA" w:rsidRDefault="0051354C" w:rsidP="00851E06">
            <w:pPr>
              <w:jc w:val="right"/>
              <w:rPr>
                <w:rFonts w:cs="Arial"/>
                <w:sz w:val="18"/>
                <w:szCs w:val="18"/>
              </w:rPr>
            </w:pPr>
            <w:r w:rsidRPr="00B452EA">
              <w:rPr>
                <w:rFonts w:cs="Arial"/>
                <w:sz w:val="18"/>
                <w:szCs w:val="18"/>
              </w:rPr>
              <w:t>10 297 322</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10 214 087</w:t>
            </w:r>
          </w:p>
        </w:tc>
        <w:tc>
          <w:tcPr>
            <w:tcW w:w="1060" w:type="dxa"/>
            <w:tcBorders>
              <w:top w:val="nil"/>
              <w:left w:val="nil"/>
              <w:bottom w:val="nil"/>
              <w:right w:val="single" w:sz="4" w:space="0" w:color="auto"/>
            </w:tcBorders>
            <w:shd w:val="clear" w:color="auto" w:fill="auto"/>
            <w:vAlign w:val="bottom"/>
            <w:hideMark/>
          </w:tcPr>
          <w:p w:rsidR="0051354C" w:rsidRPr="00B452EA" w:rsidRDefault="0051354C" w:rsidP="00851E06">
            <w:pPr>
              <w:jc w:val="right"/>
              <w:rPr>
                <w:rFonts w:cs="Arial"/>
                <w:sz w:val="18"/>
                <w:szCs w:val="18"/>
              </w:rPr>
            </w:pPr>
            <w:r w:rsidRPr="00B452EA">
              <w:rPr>
                <w:rFonts w:cs="Arial"/>
                <w:sz w:val="18"/>
                <w:szCs w:val="18"/>
              </w:rPr>
              <w:t>10 370 107</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99,2</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101,5</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100,7</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vAlign w:val="bottom"/>
            <w:hideMark/>
          </w:tcPr>
          <w:p w:rsidR="0051354C" w:rsidRPr="00B452EA" w:rsidRDefault="0051354C" w:rsidP="00B452EA">
            <w:pPr>
              <w:ind w:firstLineChars="100" w:firstLine="180"/>
              <w:rPr>
                <w:rFonts w:cs="Arial"/>
                <w:sz w:val="18"/>
                <w:szCs w:val="18"/>
              </w:rPr>
            </w:pPr>
            <w:r w:rsidRPr="00B452EA">
              <w:rPr>
                <w:rFonts w:cs="Arial"/>
                <w:sz w:val="18"/>
                <w:szCs w:val="18"/>
              </w:rPr>
              <w:t xml:space="preserve">v bytech </w:t>
            </w:r>
            <w:r w:rsidRPr="00B452EA">
              <w:rPr>
                <w:rFonts w:cs="Arial"/>
                <w:sz w:val="18"/>
                <w:szCs w:val="18"/>
                <w:vertAlign w:val="superscript"/>
              </w:rPr>
              <w:t>2)</w:t>
            </w:r>
          </w:p>
        </w:tc>
        <w:tc>
          <w:tcPr>
            <w:tcW w:w="1181" w:type="dxa"/>
            <w:tcBorders>
              <w:top w:val="nil"/>
              <w:left w:val="nil"/>
              <w:bottom w:val="nil"/>
              <w:right w:val="single" w:sz="4" w:space="0" w:color="auto"/>
            </w:tcBorders>
            <w:shd w:val="clear" w:color="auto" w:fill="auto"/>
            <w:vAlign w:val="bottom"/>
            <w:hideMark/>
          </w:tcPr>
          <w:p w:rsidR="0051354C" w:rsidRPr="00B452EA" w:rsidRDefault="0051354C" w:rsidP="00851E06">
            <w:pPr>
              <w:jc w:val="right"/>
              <w:rPr>
                <w:rFonts w:cs="Arial"/>
                <w:sz w:val="18"/>
                <w:szCs w:val="18"/>
              </w:rPr>
            </w:pPr>
            <w:r w:rsidRPr="00B452EA">
              <w:rPr>
                <w:rFonts w:cs="Arial"/>
                <w:sz w:val="18"/>
                <w:szCs w:val="18"/>
              </w:rPr>
              <w:t>10 238 057</w:t>
            </w:r>
          </w:p>
        </w:tc>
        <w:tc>
          <w:tcPr>
            <w:tcW w:w="1060" w:type="dxa"/>
            <w:tcBorders>
              <w:top w:val="nil"/>
              <w:left w:val="nil"/>
              <w:bottom w:val="nil"/>
              <w:right w:val="single" w:sz="4" w:space="0" w:color="auto"/>
            </w:tcBorders>
            <w:shd w:val="clear" w:color="auto" w:fill="auto"/>
            <w:vAlign w:val="bottom"/>
            <w:hideMark/>
          </w:tcPr>
          <w:p w:rsidR="0051354C" w:rsidRPr="00B452EA" w:rsidRDefault="0051354C" w:rsidP="00851E06">
            <w:pPr>
              <w:jc w:val="right"/>
              <w:rPr>
                <w:rFonts w:cs="Arial"/>
                <w:sz w:val="18"/>
                <w:szCs w:val="18"/>
              </w:rPr>
            </w:pPr>
            <w:r w:rsidRPr="00B452EA">
              <w:rPr>
                <w:rFonts w:cs="Arial"/>
                <w:sz w:val="18"/>
                <w:szCs w:val="18"/>
              </w:rPr>
              <w:t>10 101 302</w:t>
            </w:r>
          </w:p>
        </w:tc>
        <w:tc>
          <w:tcPr>
            <w:tcW w:w="1060" w:type="dxa"/>
            <w:tcBorders>
              <w:top w:val="nil"/>
              <w:left w:val="nil"/>
              <w:bottom w:val="nil"/>
              <w:right w:val="single" w:sz="4" w:space="0" w:color="auto"/>
            </w:tcBorders>
            <w:shd w:val="clear" w:color="auto" w:fill="auto"/>
            <w:vAlign w:val="bottom"/>
            <w:hideMark/>
          </w:tcPr>
          <w:p w:rsidR="0051354C" w:rsidRPr="00B452EA" w:rsidRDefault="0051354C" w:rsidP="00851E06">
            <w:pPr>
              <w:jc w:val="right"/>
              <w:rPr>
                <w:rFonts w:cs="Arial"/>
                <w:sz w:val="18"/>
                <w:szCs w:val="18"/>
              </w:rPr>
            </w:pPr>
            <w:r w:rsidRPr="00B452EA">
              <w:rPr>
                <w:rFonts w:cs="Arial"/>
                <w:sz w:val="18"/>
                <w:szCs w:val="18"/>
              </w:rPr>
              <w:t>10 144 961</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98,7</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100,4</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99,1</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vAlign w:val="bottom"/>
            <w:hideMark/>
          </w:tcPr>
          <w:p w:rsidR="0051354C" w:rsidRPr="00B452EA" w:rsidRDefault="0051354C" w:rsidP="00B452EA">
            <w:pPr>
              <w:ind w:firstLineChars="100" w:firstLine="180"/>
              <w:rPr>
                <w:rFonts w:cs="Arial"/>
                <w:sz w:val="18"/>
                <w:szCs w:val="18"/>
              </w:rPr>
            </w:pPr>
            <w:r w:rsidRPr="00B452EA">
              <w:rPr>
                <w:rFonts w:cs="Arial"/>
                <w:sz w:val="18"/>
                <w:szCs w:val="18"/>
              </w:rPr>
              <w:t>v zařízeních</w:t>
            </w:r>
          </w:p>
        </w:tc>
        <w:tc>
          <w:tcPr>
            <w:tcW w:w="1181"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54 872</w:t>
            </w:r>
          </w:p>
        </w:tc>
        <w:tc>
          <w:tcPr>
            <w:tcW w:w="1060" w:type="dxa"/>
            <w:tcBorders>
              <w:top w:val="nil"/>
              <w:left w:val="nil"/>
              <w:bottom w:val="nil"/>
              <w:right w:val="single" w:sz="4" w:space="0" w:color="auto"/>
            </w:tcBorders>
            <w:shd w:val="clear" w:color="auto" w:fill="auto"/>
            <w:vAlign w:val="bottom"/>
            <w:hideMark/>
          </w:tcPr>
          <w:p w:rsidR="0051354C" w:rsidRPr="00B452EA" w:rsidRDefault="0051354C" w:rsidP="00851E06">
            <w:pPr>
              <w:jc w:val="right"/>
              <w:rPr>
                <w:rFonts w:cs="Arial"/>
                <w:sz w:val="18"/>
                <w:szCs w:val="18"/>
              </w:rPr>
            </w:pPr>
            <w:r w:rsidRPr="00B452EA">
              <w:rPr>
                <w:rFonts w:cs="Arial"/>
                <w:sz w:val="18"/>
                <w:szCs w:val="18"/>
              </w:rPr>
              <w:t>71 181</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192 738</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129,7</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270,8</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351,3</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vAlign w:val="bottom"/>
            <w:hideMark/>
          </w:tcPr>
          <w:p w:rsidR="0051354C" w:rsidRPr="00B452EA" w:rsidRDefault="0051354C" w:rsidP="00B452EA">
            <w:pPr>
              <w:ind w:firstLineChars="100" w:firstLine="180"/>
              <w:rPr>
                <w:rFonts w:cs="Arial"/>
                <w:sz w:val="18"/>
                <w:szCs w:val="18"/>
              </w:rPr>
            </w:pPr>
            <w:r w:rsidRPr="00B452EA">
              <w:rPr>
                <w:rFonts w:cs="Arial"/>
                <w:sz w:val="18"/>
                <w:szCs w:val="18"/>
              </w:rPr>
              <w:t>ostatní</w:t>
            </w:r>
          </w:p>
        </w:tc>
        <w:tc>
          <w:tcPr>
            <w:tcW w:w="1181" w:type="dxa"/>
            <w:tcBorders>
              <w:top w:val="nil"/>
              <w:left w:val="nil"/>
              <w:bottom w:val="nil"/>
              <w:right w:val="single" w:sz="4" w:space="0" w:color="auto"/>
            </w:tcBorders>
            <w:shd w:val="clear" w:color="auto" w:fill="auto"/>
            <w:vAlign w:val="bottom"/>
            <w:hideMark/>
          </w:tcPr>
          <w:p w:rsidR="0051354C" w:rsidRPr="00B452EA" w:rsidRDefault="0051354C" w:rsidP="00851E06">
            <w:pPr>
              <w:jc w:val="right"/>
              <w:rPr>
                <w:rFonts w:cs="Arial"/>
                <w:sz w:val="18"/>
                <w:szCs w:val="18"/>
              </w:rPr>
            </w:pPr>
            <w:r w:rsidRPr="00B452EA">
              <w:rPr>
                <w:rFonts w:cs="Arial"/>
                <w:sz w:val="18"/>
                <w:szCs w:val="18"/>
              </w:rPr>
              <w:t>4 393</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41 604</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32 408</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947,1</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77,9</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737,7</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vAlign w:val="bottom"/>
            <w:hideMark/>
          </w:tcPr>
          <w:p w:rsidR="0051354C" w:rsidRPr="00B452EA" w:rsidRDefault="0051354C" w:rsidP="00851E06">
            <w:pPr>
              <w:rPr>
                <w:rFonts w:cs="Arial"/>
                <w:sz w:val="18"/>
                <w:szCs w:val="18"/>
              </w:rPr>
            </w:pPr>
            <w:r w:rsidRPr="00B452EA">
              <w:rPr>
                <w:rFonts w:cs="Arial"/>
                <w:sz w:val="18"/>
                <w:szCs w:val="18"/>
              </w:rPr>
              <w:t>Bydlící osoby mimo bytový fond</w:t>
            </w:r>
          </w:p>
        </w:tc>
        <w:tc>
          <w:tcPr>
            <w:tcW w:w="1181"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8 046</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15 973</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54 957</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198,5</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344,1</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683,0</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noWrap/>
            <w:vAlign w:val="bottom"/>
            <w:hideMark/>
          </w:tcPr>
          <w:p w:rsidR="0051354C" w:rsidRPr="00B452EA" w:rsidRDefault="0051354C" w:rsidP="00851E06">
            <w:pPr>
              <w:rPr>
                <w:rFonts w:cs="Arial"/>
                <w:sz w:val="18"/>
                <w:szCs w:val="18"/>
              </w:rPr>
            </w:pPr>
            <w:r w:rsidRPr="00B452EA">
              <w:rPr>
                <w:rFonts w:cs="Arial"/>
                <w:sz w:val="18"/>
                <w:szCs w:val="18"/>
              </w:rPr>
              <w:t xml:space="preserve"> v tom:</w:t>
            </w:r>
          </w:p>
        </w:tc>
        <w:tc>
          <w:tcPr>
            <w:tcW w:w="1181"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 </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 </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 </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rPr>
                <w:rFonts w:cs="Arial"/>
                <w:sz w:val="18"/>
                <w:szCs w:val="18"/>
              </w:rPr>
            </w:pPr>
            <w:r w:rsidRPr="00B452EA">
              <w:rPr>
                <w:rFonts w:cs="Arial"/>
                <w:sz w:val="18"/>
                <w:szCs w:val="18"/>
              </w:rPr>
              <w:t> </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rPr>
                <w:rFonts w:cs="Arial"/>
                <w:sz w:val="18"/>
                <w:szCs w:val="18"/>
              </w:rPr>
            </w:pPr>
            <w:r w:rsidRPr="00B452EA">
              <w:rPr>
                <w:rFonts w:cs="Arial"/>
                <w:sz w:val="18"/>
                <w:szCs w:val="18"/>
              </w:rPr>
              <w:t> </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rPr>
                <w:rFonts w:cs="Arial"/>
                <w:sz w:val="18"/>
                <w:szCs w:val="18"/>
              </w:rPr>
            </w:pPr>
            <w:r w:rsidRPr="00B452EA">
              <w:rPr>
                <w:rFonts w:cs="Arial"/>
                <w:sz w:val="18"/>
                <w:szCs w:val="18"/>
              </w:rPr>
              <w:t> </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noWrap/>
            <w:vAlign w:val="bottom"/>
            <w:hideMark/>
          </w:tcPr>
          <w:p w:rsidR="0051354C" w:rsidRPr="00B452EA" w:rsidRDefault="0051354C" w:rsidP="00B452EA">
            <w:pPr>
              <w:ind w:firstLineChars="100" w:firstLine="180"/>
              <w:rPr>
                <w:rFonts w:cs="Arial"/>
                <w:sz w:val="18"/>
                <w:szCs w:val="18"/>
              </w:rPr>
            </w:pPr>
            <w:r w:rsidRPr="00B452EA">
              <w:rPr>
                <w:rFonts w:cs="Arial"/>
                <w:sz w:val="18"/>
                <w:szCs w:val="18"/>
              </w:rPr>
              <w:t>v mobilním obydlí</w:t>
            </w:r>
          </w:p>
        </w:tc>
        <w:tc>
          <w:tcPr>
            <w:tcW w:w="1181"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41</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222</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925</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541,5</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416,7</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2256,1</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noWrap/>
            <w:vAlign w:val="bottom"/>
            <w:hideMark/>
          </w:tcPr>
          <w:p w:rsidR="0051354C" w:rsidRPr="00B452EA" w:rsidRDefault="0051354C" w:rsidP="00B452EA">
            <w:pPr>
              <w:ind w:firstLineChars="100" w:firstLine="180"/>
              <w:rPr>
                <w:rFonts w:cs="Arial"/>
                <w:sz w:val="18"/>
                <w:szCs w:val="18"/>
              </w:rPr>
            </w:pPr>
            <w:r w:rsidRPr="00B452EA">
              <w:rPr>
                <w:rFonts w:cs="Arial"/>
                <w:sz w:val="18"/>
                <w:szCs w:val="18"/>
              </w:rPr>
              <w:t>v nouzovém obydlí</w:t>
            </w:r>
          </w:p>
        </w:tc>
        <w:tc>
          <w:tcPr>
            <w:tcW w:w="1181"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4 723</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3 232</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16 834</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68,4</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520,9</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356,4</w:t>
            </w:r>
          </w:p>
        </w:tc>
      </w:tr>
      <w:tr w:rsidR="0051354C"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noWrap/>
            <w:vAlign w:val="bottom"/>
            <w:hideMark/>
          </w:tcPr>
          <w:p w:rsidR="0051354C" w:rsidRPr="00B452EA" w:rsidRDefault="0051354C" w:rsidP="00B452EA">
            <w:pPr>
              <w:ind w:firstLineChars="100" w:firstLine="180"/>
              <w:rPr>
                <w:rFonts w:cs="Arial"/>
                <w:sz w:val="18"/>
                <w:szCs w:val="18"/>
              </w:rPr>
            </w:pPr>
            <w:r w:rsidRPr="00B452EA">
              <w:rPr>
                <w:rFonts w:cs="Arial"/>
                <w:sz w:val="18"/>
                <w:szCs w:val="18"/>
              </w:rPr>
              <w:t>v rekreační chatě, chalupě</w:t>
            </w:r>
          </w:p>
        </w:tc>
        <w:tc>
          <w:tcPr>
            <w:tcW w:w="1181"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3 282</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12 519</w:t>
            </w:r>
          </w:p>
        </w:tc>
        <w:tc>
          <w:tcPr>
            <w:tcW w:w="1060"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35 480</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381,4</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283,4</w:t>
            </w:r>
          </w:p>
        </w:tc>
        <w:tc>
          <w:tcPr>
            <w:tcW w:w="1086" w:type="dxa"/>
            <w:tcBorders>
              <w:top w:val="nil"/>
              <w:left w:val="nil"/>
              <w:bottom w:val="nil"/>
              <w:right w:val="single" w:sz="4" w:space="0" w:color="auto"/>
            </w:tcBorders>
            <w:shd w:val="clear" w:color="auto" w:fill="auto"/>
            <w:noWrap/>
            <w:vAlign w:val="bottom"/>
            <w:hideMark/>
          </w:tcPr>
          <w:p w:rsidR="0051354C" w:rsidRPr="00B452EA" w:rsidRDefault="0051354C" w:rsidP="00851E06">
            <w:pPr>
              <w:jc w:val="right"/>
              <w:rPr>
                <w:rFonts w:cs="Arial"/>
                <w:sz w:val="18"/>
                <w:szCs w:val="18"/>
              </w:rPr>
            </w:pPr>
            <w:r w:rsidRPr="00B452EA">
              <w:rPr>
                <w:rFonts w:cs="Arial"/>
                <w:sz w:val="18"/>
                <w:szCs w:val="18"/>
              </w:rPr>
              <w:t>1081,0</w:t>
            </w:r>
          </w:p>
        </w:tc>
      </w:tr>
      <w:tr w:rsidR="009B5FC7" w:rsidRPr="00413F59" w:rsidTr="00100BE2">
        <w:trPr>
          <w:trHeight w:val="300"/>
          <w:jc w:val="center"/>
        </w:trPr>
        <w:tc>
          <w:tcPr>
            <w:tcW w:w="2788" w:type="dxa"/>
            <w:tcBorders>
              <w:top w:val="nil"/>
              <w:left w:val="single" w:sz="4" w:space="0" w:color="auto"/>
              <w:bottom w:val="nil"/>
              <w:right w:val="single" w:sz="4" w:space="0" w:color="auto"/>
            </w:tcBorders>
            <w:shd w:val="clear" w:color="auto" w:fill="auto"/>
            <w:noWrap/>
            <w:vAlign w:val="bottom"/>
            <w:hideMark/>
          </w:tcPr>
          <w:p w:rsidR="009B5FC7" w:rsidRPr="00B452EA" w:rsidRDefault="009B5FC7" w:rsidP="00B452EA">
            <w:pPr>
              <w:ind w:firstLineChars="100" w:firstLine="180"/>
              <w:rPr>
                <w:rFonts w:cs="Arial"/>
                <w:sz w:val="18"/>
                <w:szCs w:val="18"/>
              </w:rPr>
            </w:pPr>
            <w:r w:rsidRPr="00B452EA">
              <w:rPr>
                <w:rFonts w:cs="Arial"/>
                <w:sz w:val="18"/>
                <w:szCs w:val="18"/>
              </w:rPr>
              <w:t>v zařízeních</w:t>
            </w:r>
          </w:p>
        </w:tc>
        <w:tc>
          <w:tcPr>
            <w:tcW w:w="1181" w:type="dxa"/>
            <w:tcBorders>
              <w:top w:val="nil"/>
              <w:left w:val="nil"/>
              <w:bottom w:val="nil"/>
              <w:right w:val="single" w:sz="4" w:space="0" w:color="auto"/>
            </w:tcBorders>
            <w:shd w:val="clear" w:color="auto" w:fill="auto"/>
            <w:noWrap/>
            <w:vAlign w:val="bottom"/>
            <w:hideMark/>
          </w:tcPr>
          <w:p w:rsidR="009B5FC7" w:rsidRPr="00B452EA" w:rsidRDefault="009B5FC7" w:rsidP="00851E06">
            <w:pPr>
              <w:jc w:val="center"/>
              <w:rPr>
                <w:rFonts w:cs="Arial"/>
                <w:sz w:val="18"/>
                <w:szCs w:val="18"/>
              </w:rPr>
            </w:pPr>
            <w:r w:rsidRPr="00B452EA">
              <w:rPr>
                <w:rFonts w:cs="Arial"/>
                <w:sz w:val="18"/>
                <w:szCs w:val="18"/>
              </w:rPr>
              <w:t>.</w:t>
            </w:r>
          </w:p>
        </w:tc>
        <w:tc>
          <w:tcPr>
            <w:tcW w:w="1060" w:type="dxa"/>
            <w:tcBorders>
              <w:top w:val="nil"/>
              <w:left w:val="nil"/>
              <w:bottom w:val="nil"/>
              <w:right w:val="single" w:sz="4" w:space="0" w:color="auto"/>
            </w:tcBorders>
            <w:shd w:val="clear" w:color="auto" w:fill="auto"/>
            <w:noWrap/>
            <w:vAlign w:val="bottom"/>
            <w:hideMark/>
          </w:tcPr>
          <w:p w:rsidR="009B5FC7" w:rsidRPr="00B452EA" w:rsidRDefault="009B5FC7" w:rsidP="00851E06">
            <w:pPr>
              <w:jc w:val="center"/>
              <w:rPr>
                <w:rFonts w:cs="Arial"/>
                <w:sz w:val="18"/>
                <w:szCs w:val="18"/>
              </w:rPr>
            </w:pPr>
            <w:r w:rsidRPr="00B452EA">
              <w:rPr>
                <w:rFonts w:cs="Arial"/>
                <w:sz w:val="18"/>
                <w:szCs w:val="18"/>
              </w:rPr>
              <w:t>.</w:t>
            </w:r>
          </w:p>
        </w:tc>
        <w:tc>
          <w:tcPr>
            <w:tcW w:w="1060" w:type="dxa"/>
            <w:tcBorders>
              <w:top w:val="nil"/>
              <w:left w:val="nil"/>
              <w:bottom w:val="nil"/>
              <w:right w:val="single" w:sz="4" w:space="0" w:color="auto"/>
            </w:tcBorders>
            <w:shd w:val="clear" w:color="auto" w:fill="auto"/>
            <w:noWrap/>
            <w:vAlign w:val="bottom"/>
            <w:hideMark/>
          </w:tcPr>
          <w:p w:rsidR="009B5FC7" w:rsidRPr="00B452EA" w:rsidRDefault="009B5FC7" w:rsidP="00851E06">
            <w:pPr>
              <w:jc w:val="right"/>
              <w:rPr>
                <w:rFonts w:cs="Arial"/>
                <w:sz w:val="18"/>
                <w:szCs w:val="18"/>
              </w:rPr>
            </w:pPr>
            <w:r w:rsidRPr="00B452EA">
              <w:rPr>
                <w:rFonts w:cs="Arial"/>
                <w:sz w:val="18"/>
                <w:szCs w:val="18"/>
              </w:rPr>
              <w:t>1 718</w:t>
            </w:r>
          </w:p>
        </w:tc>
        <w:tc>
          <w:tcPr>
            <w:tcW w:w="1086" w:type="dxa"/>
            <w:tcBorders>
              <w:top w:val="nil"/>
              <w:left w:val="nil"/>
              <w:bottom w:val="nil"/>
              <w:right w:val="single" w:sz="4" w:space="0" w:color="auto"/>
            </w:tcBorders>
            <w:shd w:val="clear" w:color="auto" w:fill="auto"/>
            <w:noWrap/>
            <w:vAlign w:val="bottom"/>
            <w:hideMark/>
          </w:tcPr>
          <w:p w:rsidR="009B5FC7" w:rsidRPr="00B452EA" w:rsidRDefault="009B5FC7" w:rsidP="009B5FC7">
            <w:pPr>
              <w:jc w:val="right"/>
              <w:rPr>
                <w:rFonts w:cs="Arial"/>
                <w:sz w:val="18"/>
                <w:szCs w:val="18"/>
              </w:rPr>
            </w:pPr>
            <w:r w:rsidRPr="00B452EA">
              <w:rPr>
                <w:rFonts w:cs="Arial"/>
                <w:sz w:val="18"/>
                <w:szCs w:val="18"/>
              </w:rPr>
              <w:t>x</w:t>
            </w:r>
          </w:p>
        </w:tc>
        <w:tc>
          <w:tcPr>
            <w:tcW w:w="1086" w:type="dxa"/>
            <w:tcBorders>
              <w:top w:val="nil"/>
              <w:left w:val="nil"/>
              <w:bottom w:val="nil"/>
              <w:right w:val="single" w:sz="4" w:space="0" w:color="auto"/>
            </w:tcBorders>
            <w:shd w:val="clear" w:color="auto" w:fill="auto"/>
            <w:noWrap/>
            <w:vAlign w:val="bottom"/>
            <w:hideMark/>
          </w:tcPr>
          <w:p w:rsidR="009B5FC7" w:rsidRPr="00B452EA" w:rsidRDefault="009B5FC7" w:rsidP="009B5FC7">
            <w:pPr>
              <w:jc w:val="right"/>
              <w:rPr>
                <w:rFonts w:cs="Arial"/>
                <w:sz w:val="18"/>
                <w:szCs w:val="18"/>
              </w:rPr>
            </w:pPr>
            <w:r w:rsidRPr="00B452EA">
              <w:rPr>
                <w:rFonts w:cs="Arial"/>
                <w:sz w:val="18"/>
                <w:szCs w:val="18"/>
              </w:rPr>
              <w:t>x</w:t>
            </w:r>
          </w:p>
        </w:tc>
        <w:tc>
          <w:tcPr>
            <w:tcW w:w="1086" w:type="dxa"/>
            <w:tcBorders>
              <w:top w:val="nil"/>
              <w:left w:val="nil"/>
              <w:bottom w:val="nil"/>
              <w:right w:val="single" w:sz="4" w:space="0" w:color="auto"/>
            </w:tcBorders>
            <w:shd w:val="clear" w:color="auto" w:fill="auto"/>
            <w:noWrap/>
            <w:vAlign w:val="bottom"/>
            <w:hideMark/>
          </w:tcPr>
          <w:p w:rsidR="009B5FC7" w:rsidRPr="00B452EA" w:rsidRDefault="009B5FC7" w:rsidP="009B5FC7">
            <w:pPr>
              <w:jc w:val="right"/>
              <w:rPr>
                <w:rFonts w:cs="Arial"/>
                <w:sz w:val="18"/>
                <w:szCs w:val="18"/>
              </w:rPr>
            </w:pPr>
            <w:r w:rsidRPr="00B452EA">
              <w:rPr>
                <w:rFonts w:cs="Arial"/>
                <w:sz w:val="18"/>
                <w:szCs w:val="18"/>
              </w:rPr>
              <w:t>x</w:t>
            </w:r>
          </w:p>
        </w:tc>
      </w:tr>
      <w:tr w:rsidR="009B5FC7" w:rsidRPr="00413F59" w:rsidTr="00100BE2">
        <w:trPr>
          <w:trHeight w:val="300"/>
          <w:jc w:val="center"/>
        </w:trPr>
        <w:tc>
          <w:tcPr>
            <w:tcW w:w="2788" w:type="dxa"/>
            <w:tcBorders>
              <w:top w:val="nil"/>
              <w:left w:val="single" w:sz="4" w:space="0" w:color="auto"/>
              <w:bottom w:val="single" w:sz="4" w:space="0" w:color="auto"/>
              <w:right w:val="single" w:sz="4" w:space="0" w:color="auto"/>
            </w:tcBorders>
            <w:shd w:val="clear" w:color="auto" w:fill="auto"/>
            <w:noWrap/>
            <w:vAlign w:val="bottom"/>
            <w:hideMark/>
          </w:tcPr>
          <w:p w:rsidR="009B5FC7" w:rsidRPr="00B452EA" w:rsidRDefault="009B5FC7" w:rsidP="00851E06">
            <w:pPr>
              <w:rPr>
                <w:rFonts w:cs="Arial"/>
                <w:sz w:val="18"/>
                <w:szCs w:val="18"/>
              </w:rPr>
            </w:pPr>
            <w:r w:rsidRPr="00B452EA">
              <w:rPr>
                <w:rFonts w:cs="Arial"/>
                <w:sz w:val="18"/>
                <w:szCs w:val="18"/>
              </w:rPr>
              <w:t>Bezdomovci</w:t>
            </w:r>
          </w:p>
        </w:tc>
        <w:tc>
          <w:tcPr>
            <w:tcW w:w="1181" w:type="dxa"/>
            <w:tcBorders>
              <w:top w:val="nil"/>
              <w:left w:val="nil"/>
              <w:bottom w:val="single" w:sz="4" w:space="0" w:color="auto"/>
              <w:right w:val="single" w:sz="4" w:space="0" w:color="auto"/>
            </w:tcBorders>
            <w:shd w:val="clear" w:color="auto" w:fill="auto"/>
            <w:noWrap/>
            <w:vAlign w:val="bottom"/>
            <w:hideMark/>
          </w:tcPr>
          <w:p w:rsidR="009B5FC7" w:rsidRPr="00B452EA" w:rsidRDefault="009B5FC7" w:rsidP="00851E06">
            <w:pPr>
              <w:jc w:val="center"/>
              <w:rPr>
                <w:rFonts w:cs="Arial"/>
                <w:sz w:val="18"/>
                <w:szCs w:val="18"/>
              </w:rPr>
            </w:pPr>
            <w:r w:rsidRPr="00B452EA">
              <w:rPr>
                <w:rFonts w:cs="Arial"/>
                <w:sz w:val="18"/>
                <w:szCs w:val="18"/>
              </w:rPr>
              <w:t>.</w:t>
            </w:r>
          </w:p>
        </w:tc>
        <w:tc>
          <w:tcPr>
            <w:tcW w:w="1060" w:type="dxa"/>
            <w:tcBorders>
              <w:top w:val="nil"/>
              <w:left w:val="nil"/>
              <w:bottom w:val="single" w:sz="4" w:space="0" w:color="auto"/>
              <w:right w:val="single" w:sz="4" w:space="0" w:color="auto"/>
            </w:tcBorders>
            <w:shd w:val="clear" w:color="auto" w:fill="auto"/>
            <w:noWrap/>
            <w:vAlign w:val="bottom"/>
            <w:hideMark/>
          </w:tcPr>
          <w:p w:rsidR="009B5FC7" w:rsidRPr="00B452EA" w:rsidRDefault="009B5FC7" w:rsidP="00851E06">
            <w:pPr>
              <w:jc w:val="center"/>
              <w:rPr>
                <w:rFonts w:cs="Arial"/>
                <w:sz w:val="18"/>
                <w:szCs w:val="18"/>
              </w:rPr>
            </w:pPr>
            <w:r w:rsidRPr="00B452EA">
              <w:rPr>
                <w:rFonts w:cs="Arial"/>
                <w:sz w:val="18"/>
                <w:szCs w:val="18"/>
              </w:rPr>
              <w:t>.</w:t>
            </w:r>
          </w:p>
        </w:tc>
        <w:tc>
          <w:tcPr>
            <w:tcW w:w="1060" w:type="dxa"/>
            <w:tcBorders>
              <w:top w:val="nil"/>
              <w:left w:val="nil"/>
              <w:bottom w:val="single" w:sz="4" w:space="0" w:color="auto"/>
              <w:right w:val="single" w:sz="4" w:space="0" w:color="auto"/>
            </w:tcBorders>
            <w:shd w:val="clear" w:color="auto" w:fill="auto"/>
            <w:noWrap/>
            <w:vAlign w:val="bottom"/>
            <w:hideMark/>
          </w:tcPr>
          <w:p w:rsidR="009B5FC7" w:rsidRPr="00B452EA" w:rsidRDefault="009B5FC7" w:rsidP="00851E06">
            <w:pPr>
              <w:jc w:val="right"/>
              <w:rPr>
                <w:rFonts w:cs="Arial"/>
                <w:sz w:val="18"/>
                <w:szCs w:val="18"/>
              </w:rPr>
            </w:pPr>
            <w:r w:rsidRPr="00B452EA">
              <w:rPr>
                <w:rFonts w:cs="Arial"/>
                <w:sz w:val="18"/>
                <w:szCs w:val="18"/>
              </w:rPr>
              <w:t>11 496</w:t>
            </w:r>
          </w:p>
        </w:tc>
        <w:tc>
          <w:tcPr>
            <w:tcW w:w="1086" w:type="dxa"/>
            <w:tcBorders>
              <w:top w:val="nil"/>
              <w:left w:val="nil"/>
              <w:bottom w:val="single" w:sz="4" w:space="0" w:color="auto"/>
              <w:right w:val="single" w:sz="4" w:space="0" w:color="auto"/>
            </w:tcBorders>
            <w:shd w:val="clear" w:color="auto" w:fill="auto"/>
            <w:noWrap/>
            <w:vAlign w:val="bottom"/>
            <w:hideMark/>
          </w:tcPr>
          <w:p w:rsidR="009B5FC7" w:rsidRPr="00B452EA" w:rsidRDefault="009B5FC7" w:rsidP="009B5FC7">
            <w:pPr>
              <w:jc w:val="right"/>
              <w:rPr>
                <w:rFonts w:cs="Arial"/>
                <w:sz w:val="18"/>
                <w:szCs w:val="18"/>
              </w:rPr>
            </w:pPr>
            <w:r w:rsidRPr="00B452EA">
              <w:rPr>
                <w:rFonts w:cs="Arial"/>
                <w:sz w:val="18"/>
                <w:szCs w:val="18"/>
              </w:rPr>
              <w:t>x</w:t>
            </w:r>
          </w:p>
        </w:tc>
        <w:tc>
          <w:tcPr>
            <w:tcW w:w="1086" w:type="dxa"/>
            <w:tcBorders>
              <w:top w:val="nil"/>
              <w:left w:val="nil"/>
              <w:bottom w:val="single" w:sz="4" w:space="0" w:color="auto"/>
              <w:right w:val="single" w:sz="4" w:space="0" w:color="auto"/>
            </w:tcBorders>
            <w:shd w:val="clear" w:color="auto" w:fill="auto"/>
            <w:noWrap/>
            <w:vAlign w:val="bottom"/>
            <w:hideMark/>
          </w:tcPr>
          <w:p w:rsidR="009B5FC7" w:rsidRPr="00B452EA" w:rsidRDefault="009B5FC7" w:rsidP="009B5FC7">
            <w:pPr>
              <w:jc w:val="right"/>
              <w:rPr>
                <w:rFonts w:cs="Arial"/>
                <w:sz w:val="18"/>
                <w:szCs w:val="18"/>
              </w:rPr>
            </w:pPr>
            <w:r w:rsidRPr="00B452EA">
              <w:rPr>
                <w:rFonts w:cs="Arial"/>
                <w:sz w:val="18"/>
                <w:szCs w:val="18"/>
              </w:rPr>
              <w:t>x</w:t>
            </w:r>
          </w:p>
        </w:tc>
        <w:tc>
          <w:tcPr>
            <w:tcW w:w="1086" w:type="dxa"/>
            <w:tcBorders>
              <w:top w:val="nil"/>
              <w:left w:val="nil"/>
              <w:bottom w:val="single" w:sz="4" w:space="0" w:color="auto"/>
              <w:right w:val="single" w:sz="4" w:space="0" w:color="auto"/>
            </w:tcBorders>
            <w:shd w:val="clear" w:color="auto" w:fill="auto"/>
            <w:noWrap/>
            <w:vAlign w:val="bottom"/>
            <w:hideMark/>
          </w:tcPr>
          <w:p w:rsidR="009B5FC7" w:rsidRPr="00B452EA" w:rsidRDefault="009B5FC7" w:rsidP="009B5FC7">
            <w:pPr>
              <w:jc w:val="right"/>
              <w:rPr>
                <w:rFonts w:cs="Arial"/>
                <w:sz w:val="18"/>
                <w:szCs w:val="18"/>
              </w:rPr>
            </w:pPr>
            <w:r w:rsidRPr="00B452EA">
              <w:rPr>
                <w:rFonts w:cs="Arial"/>
                <w:sz w:val="18"/>
                <w:szCs w:val="18"/>
              </w:rPr>
              <w:t>x</w:t>
            </w:r>
          </w:p>
        </w:tc>
      </w:tr>
      <w:tr w:rsidR="009B5FC7" w:rsidRPr="00413F59" w:rsidTr="00100BE2">
        <w:trPr>
          <w:trHeight w:hRule="exact" w:val="227"/>
          <w:jc w:val="center"/>
        </w:trPr>
        <w:tc>
          <w:tcPr>
            <w:tcW w:w="6089" w:type="dxa"/>
            <w:gridSpan w:val="4"/>
            <w:tcBorders>
              <w:top w:val="nil"/>
              <w:left w:val="nil"/>
              <w:bottom w:val="nil"/>
              <w:right w:val="nil"/>
            </w:tcBorders>
            <w:shd w:val="clear" w:color="auto" w:fill="auto"/>
            <w:noWrap/>
            <w:vAlign w:val="bottom"/>
            <w:hideMark/>
          </w:tcPr>
          <w:p w:rsidR="009B5FC7" w:rsidRPr="00B452EA" w:rsidRDefault="009B5FC7" w:rsidP="003C5316">
            <w:pPr>
              <w:rPr>
                <w:rFonts w:cs="Arial"/>
                <w:sz w:val="16"/>
                <w:szCs w:val="16"/>
              </w:rPr>
            </w:pPr>
            <w:r w:rsidRPr="00B452EA">
              <w:rPr>
                <w:rFonts w:cs="Arial"/>
                <w:sz w:val="16"/>
                <w:szCs w:val="16"/>
                <w:vertAlign w:val="superscript"/>
              </w:rPr>
              <w:t>1)</w:t>
            </w:r>
            <w:r w:rsidRPr="00B452EA">
              <w:rPr>
                <w:rFonts w:cs="Arial"/>
                <w:sz w:val="16"/>
                <w:szCs w:val="16"/>
              </w:rPr>
              <w:t xml:space="preserve">  v letech 1991 a 2001 trvale bydlící osoby, v roce 2011 obvykle bydlící osoby</w:t>
            </w:r>
          </w:p>
        </w:tc>
        <w:tc>
          <w:tcPr>
            <w:tcW w:w="1086" w:type="dxa"/>
            <w:tcBorders>
              <w:top w:val="nil"/>
              <w:left w:val="nil"/>
              <w:bottom w:val="nil"/>
              <w:right w:val="nil"/>
            </w:tcBorders>
            <w:shd w:val="clear" w:color="auto" w:fill="auto"/>
            <w:noWrap/>
            <w:vAlign w:val="bottom"/>
            <w:hideMark/>
          </w:tcPr>
          <w:p w:rsidR="009B5FC7" w:rsidRPr="00B452EA" w:rsidRDefault="009B5FC7" w:rsidP="003C5316">
            <w:pPr>
              <w:rPr>
                <w:rFonts w:cs="Arial"/>
                <w:sz w:val="16"/>
                <w:szCs w:val="16"/>
              </w:rPr>
            </w:pPr>
          </w:p>
        </w:tc>
        <w:tc>
          <w:tcPr>
            <w:tcW w:w="1086" w:type="dxa"/>
            <w:tcBorders>
              <w:top w:val="nil"/>
              <w:left w:val="nil"/>
              <w:bottom w:val="nil"/>
              <w:right w:val="nil"/>
            </w:tcBorders>
            <w:shd w:val="clear" w:color="auto" w:fill="auto"/>
            <w:noWrap/>
            <w:vAlign w:val="bottom"/>
            <w:hideMark/>
          </w:tcPr>
          <w:p w:rsidR="009B5FC7" w:rsidRPr="00B452EA" w:rsidRDefault="009B5FC7" w:rsidP="003C5316">
            <w:pPr>
              <w:rPr>
                <w:rFonts w:cs="Arial"/>
                <w:sz w:val="16"/>
                <w:szCs w:val="16"/>
              </w:rPr>
            </w:pPr>
          </w:p>
        </w:tc>
        <w:tc>
          <w:tcPr>
            <w:tcW w:w="1086" w:type="dxa"/>
            <w:tcBorders>
              <w:top w:val="nil"/>
              <w:left w:val="nil"/>
              <w:bottom w:val="nil"/>
              <w:right w:val="nil"/>
            </w:tcBorders>
            <w:shd w:val="clear" w:color="auto" w:fill="auto"/>
            <w:noWrap/>
            <w:vAlign w:val="bottom"/>
            <w:hideMark/>
          </w:tcPr>
          <w:p w:rsidR="009B5FC7" w:rsidRPr="00B452EA" w:rsidRDefault="009B5FC7" w:rsidP="003C5316">
            <w:pPr>
              <w:rPr>
                <w:rFonts w:cs="Arial"/>
                <w:sz w:val="16"/>
                <w:szCs w:val="16"/>
              </w:rPr>
            </w:pPr>
          </w:p>
        </w:tc>
      </w:tr>
      <w:tr w:rsidR="009B5FC7" w:rsidRPr="00413F59" w:rsidTr="00100BE2">
        <w:trPr>
          <w:trHeight w:hRule="exact" w:val="227"/>
          <w:jc w:val="center"/>
        </w:trPr>
        <w:tc>
          <w:tcPr>
            <w:tcW w:w="9347" w:type="dxa"/>
            <w:gridSpan w:val="7"/>
            <w:tcBorders>
              <w:top w:val="nil"/>
              <w:left w:val="nil"/>
              <w:bottom w:val="nil"/>
              <w:right w:val="nil"/>
            </w:tcBorders>
            <w:shd w:val="clear" w:color="auto" w:fill="auto"/>
            <w:noWrap/>
            <w:vAlign w:val="bottom"/>
            <w:hideMark/>
          </w:tcPr>
          <w:p w:rsidR="009B5FC7" w:rsidRPr="00B452EA" w:rsidRDefault="009B5FC7" w:rsidP="003C5316">
            <w:pPr>
              <w:rPr>
                <w:rFonts w:cs="Arial"/>
                <w:sz w:val="16"/>
                <w:szCs w:val="16"/>
              </w:rPr>
            </w:pPr>
            <w:r w:rsidRPr="00B452EA">
              <w:rPr>
                <w:rFonts w:cs="Arial"/>
                <w:sz w:val="16"/>
                <w:szCs w:val="16"/>
                <w:vertAlign w:val="superscript"/>
              </w:rPr>
              <w:t>2)</w:t>
            </w:r>
            <w:r w:rsidRPr="00B452EA">
              <w:rPr>
                <w:rFonts w:cs="Arial"/>
                <w:sz w:val="16"/>
                <w:szCs w:val="16"/>
              </w:rPr>
              <w:t xml:space="preserve">  v roce 1991 v obyvatelstvu v bytech zahrnuty i osoby dočasně přítomné z důvodu zaměstnání, studia nebo učení</w:t>
            </w:r>
          </w:p>
        </w:tc>
      </w:tr>
    </w:tbl>
    <w:p w:rsidR="0051354C" w:rsidRDefault="0051354C" w:rsidP="0051354C">
      <w:pPr>
        <w:rPr>
          <w:rFonts w:cs="Arial"/>
          <w:sz w:val="20"/>
          <w:szCs w:val="20"/>
        </w:rPr>
      </w:pPr>
    </w:p>
    <w:p w:rsidR="00D24D92" w:rsidRDefault="000C0495" w:rsidP="00D24D92">
      <w:pPr>
        <w:spacing w:line="276" w:lineRule="auto"/>
        <w:jc w:val="both"/>
        <w:rPr>
          <w:rFonts w:cs="Arial"/>
          <w:sz w:val="20"/>
          <w:szCs w:val="20"/>
        </w:rPr>
      </w:pPr>
      <w:r w:rsidRPr="00413F59">
        <w:rPr>
          <w:rFonts w:cs="Arial"/>
          <w:sz w:val="20"/>
          <w:szCs w:val="20"/>
        </w:rPr>
        <w:t xml:space="preserve">V období mezi sčítáními 2001 a 2011 v absolutním vyjádření mírně vzrostl počet osob v bytech. </w:t>
      </w:r>
      <w:r w:rsidR="0051354C" w:rsidRPr="00413F59">
        <w:rPr>
          <w:rFonts w:cs="Arial"/>
          <w:sz w:val="20"/>
          <w:szCs w:val="20"/>
        </w:rPr>
        <w:t xml:space="preserve">Ve stejném období se významně zvýšil počet osob v zařízeních a ještě dynamičtější byl vývoj počtu osob mimo bytový fond. </w:t>
      </w:r>
    </w:p>
    <w:p w:rsidR="00D24D92" w:rsidRDefault="00D24D92" w:rsidP="00D24D92">
      <w:pPr>
        <w:spacing w:line="276" w:lineRule="auto"/>
        <w:jc w:val="both"/>
        <w:rPr>
          <w:rFonts w:cs="Arial"/>
          <w:sz w:val="20"/>
          <w:szCs w:val="20"/>
        </w:rPr>
      </w:pPr>
    </w:p>
    <w:p w:rsidR="00D24D92" w:rsidRDefault="00D24D92" w:rsidP="009B5FC7">
      <w:pPr>
        <w:jc w:val="both"/>
        <w:rPr>
          <w:rFonts w:cs="Arial"/>
          <w:b/>
          <w:sz w:val="20"/>
          <w:szCs w:val="20"/>
        </w:rPr>
      </w:pPr>
      <w:r w:rsidRPr="00D24D92">
        <w:rPr>
          <w:rFonts w:cs="Arial"/>
          <w:b/>
          <w:sz w:val="20"/>
          <w:szCs w:val="20"/>
        </w:rPr>
        <w:t xml:space="preserve">Graf č. 1 Osoby doplněné z administrativního zdroje </w:t>
      </w:r>
    </w:p>
    <w:p w:rsidR="00D24D92" w:rsidRDefault="00D24D92" w:rsidP="009B5FC7">
      <w:pPr>
        <w:jc w:val="both"/>
        <w:rPr>
          <w:rFonts w:cs="Arial"/>
          <w:b/>
          <w:sz w:val="20"/>
          <w:szCs w:val="20"/>
        </w:rPr>
      </w:pPr>
      <w:r w:rsidRPr="00D24D92">
        <w:rPr>
          <w:rFonts w:cs="Arial"/>
          <w:b/>
          <w:sz w:val="20"/>
          <w:szCs w:val="20"/>
        </w:rPr>
        <w:t>podle způsobu bydlení k 26. 3. 2011</w:t>
      </w:r>
    </w:p>
    <w:p w:rsidR="00262417" w:rsidRDefault="00634E58" w:rsidP="009B5FC7">
      <w:pPr>
        <w:jc w:val="both"/>
        <w:rPr>
          <w:rFonts w:cs="Arial"/>
          <w:b/>
          <w:sz w:val="20"/>
          <w:szCs w:val="20"/>
        </w:rPr>
      </w:pPr>
      <w:r>
        <w:rPr>
          <w:rFonts w:cs="Arial"/>
          <w:b/>
          <w:sz w:val="20"/>
          <w:szCs w:val="20"/>
          <w:lang w:eastAsia="cs-CZ"/>
        </w:rPr>
        <w:drawing>
          <wp:anchor distT="0" distB="0" distL="114300" distR="114300" simplePos="0" relativeHeight="251680768" behindDoc="0" locked="0" layoutInCell="1" allowOverlap="1">
            <wp:simplePos x="0" y="0"/>
            <wp:positionH relativeFrom="column">
              <wp:posOffset>20320</wp:posOffset>
            </wp:positionH>
            <wp:positionV relativeFrom="paragraph">
              <wp:posOffset>110490</wp:posOffset>
            </wp:positionV>
            <wp:extent cx="3352800" cy="2457450"/>
            <wp:effectExtent l="19050" t="0" r="19050" b="0"/>
            <wp:wrapSquare wrapText="bothSides"/>
            <wp:docPr id="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633C42" w:rsidRDefault="0051354C" w:rsidP="00DF2482">
      <w:pPr>
        <w:spacing w:line="276" w:lineRule="auto"/>
        <w:jc w:val="both"/>
        <w:rPr>
          <w:rFonts w:cs="Arial"/>
          <w:sz w:val="20"/>
          <w:szCs w:val="20"/>
        </w:rPr>
      </w:pPr>
      <w:r w:rsidRPr="00413F59">
        <w:rPr>
          <w:rFonts w:cs="Arial"/>
          <w:sz w:val="20"/>
          <w:szCs w:val="20"/>
        </w:rPr>
        <w:t xml:space="preserve">V případě bydlení osob mimo byty ale růst neodráží zcela reálný vývoj; výsledky jsou ovlivněny osobami, které </w:t>
      </w:r>
      <w:r w:rsidR="000C0495">
        <w:rPr>
          <w:rFonts w:cs="Arial"/>
          <w:sz w:val="20"/>
          <w:szCs w:val="20"/>
        </w:rPr>
        <w:t xml:space="preserve">nebyly sečteny pomocí sčítacích formulářů, ale </w:t>
      </w:r>
      <w:r w:rsidRPr="00413F59">
        <w:rPr>
          <w:rFonts w:cs="Arial"/>
          <w:sz w:val="20"/>
          <w:szCs w:val="20"/>
        </w:rPr>
        <w:t xml:space="preserve">byly doplněny z administrativního zdroje. Celkem bylo do sčítání zařazeno tímto způsobem 354,3 tisíc osob, </w:t>
      </w:r>
      <w:r w:rsidR="00633C42">
        <w:rPr>
          <w:rFonts w:cs="Arial"/>
          <w:sz w:val="20"/>
          <w:szCs w:val="20"/>
        </w:rPr>
        <w:t>u kterých byl</w:t>
      </w:r>
      <w:r w:rsidRPr="00413F59">
        <w:rPr>
          <w:rFonts w:cs="Arial"/>
          <w:sz w:val="20"/>
          <w:szCs w:val="20"/>
        </w:rPr>
        <w:t xml:space="preserve"> způsob bydlení</w:t>
      </w:r>
      <w:r w:rsidR="00633C42">
        <w:rPr>
          <w:rFonts w:cs="Arial"/>
          <w:sz w:val="20"/>
          <w:szCs w:val="20"/>
        </w:rPr>
        <w:t xml:space="preserve"> </w:t>
      </w:r>
      <w:r w:rsidRPr="00413F59">
        <w:rPr>
          <w:rFonts w:cs="Arial"/>
          <w:sz w:val="20"/>
          <w:szCs w:val="20"/>
        </w:rPr>
        <w:t xml:space="preserve">odvozen podle adresy jejich trvalého pobytu, (která se stala i adresou obvyklého pobytu) a podle druhu domu. </w:t>
      </w:r>
    </w:p>
    <w:p w:rsidR="0051354C" w:rsidRDefault="00634E58" w:rsidP="00E049E3">
      <w:pPr>
        <w:spacing w:line="276" w:lineRule="auto"/>
        <w:jc w:val="both"/>
        <w:rPr>
          <w:rFonts w:cs="Arial"/>
          <w:sz w:val="20"/>
          <w:szCs w:val="20"/>
        </w:rPr>
      </w:pPr>
      <w:r>
        <w:rPr>
          <w:rFonts w:cs="Arial"/>
          <w:sz w:val="20"/>
          <w:szCs w:val="20"/>
        </w:rPr>
        <w:t>Zhruba 85</w:t>
      </w:r>
      <w:r w:rsidR="0051354C" w:rsidRPr="00413F59">
        <w:rPr>
          <w:rFonts w:cs="Arial"/>
          <w:sz w:val="20"/>
          <w:szCs w:val="20"/>
        </w:rPr>
        <w:t xml:space="preserve"> % osob doplněných z registru bylo na dané adrese zařazeno do bytů. Pro necelá 2 % (7 tis. osob) se nepodařilo na adrese najít odpovídající bydlení a zůstaly jako nouzově bydlící. Do zařízení bylo </w:t>
      </w:r>
      <w:r w:rsidR="0051354C" w:rsidRPr="00413F59">
        <w:rPr>
          <w:rFonts w:cs="Arial"/>
          <w:sz w:val="20"/>
          <w:szCs w:val="20"/>
        </w:rPr>
        <w:lastRenderedPageBreak/>
        <w:t xml:space="preserve">zařazeno téměř 12 % doplněných osob (41,6 tis. osob). Vztaženo k celkovému počtu osob v zařízeních to znamená, že více než pětina osob v tomto způsobu bydlení byla doplněna z registru a nebyla tedy fyzicky v daných objektech sečtena. </w:t>
      </w:r>
    </w:p>
    <w:p w:rsidR="00E049E3" w:rsidRPr="00413F59" w:rsidRDefault="00E049E3" w:rsidP="00E049E3">
      <w:pPr>
        <w:spacing w:line="276" w:lineRule="auto"/>
        <w:jc w:val="both"/>
        <w:rPr>
          <w:rFonts w:cs="Arial"/>
          <w:sz w:val="20"/>
          <w:szCs w:val="20"/>
        </w:rPr>
      </w:pPr>
    </w:p>
    <w:p w:rsidR="0051354C" w:rsidRDefault="00DF2482" w:rsidP="00E049E3">
      <w:pPr>
        <w:pStyle w:val="Nadpis1a"/>
        <w:keepNext w:val="0"/>
        <w:widowControl w:val="0"/>
        <w:tabs>
          <w:tab w:val="left" w:pos="3119"/>
        </w:tabs>
        <w:spacing w:before="0" w:after="0" w:line="276" w:lineRule="auto"/>
        <w:rPr>
          <w:b w:val="0"/>
          <w:i w:val="0"/>
          <w:sz w:val="20"/>
          <w:szCs w:val="20"/>
        </w:rPr>
      </w:pPr>
      <w:r>
        <w:rPr>
          <w:b w:val="0"/>
          <w:i w:val="0"/>
          <w:sz w:val="20"/>
          <w:szCs w:val="20"/>
        </w:rPr>
        <w:t xml:space="preserve">Nejpočetnější </w:t>
      </w:r>
      <w:r w:rsidR="0051354C" w:rsidRPr="00413F59">
        <w:rPr>
          <w:b w:val="0"/>
          <w:i w:val="0"/>
          <w:sz w:val="20"/>
          <w:szCs w:val="20"/>
        </w:rPr>
        <w:t xml:space="preserve">skupinu obyvatel tvoří dlouhodobě osoby bydlící v bytě. Jejich podíl na počtu obyvatel sice klesal, ale pouze v desetinách procentního bodu. V absolutním vyjádření počty osob v bytech </w:t>
      </w:r>
      <w:r>
        <w:rPr>
          <w:b w:val="0"/>
          <w:i w:val="0"/>
          <w:sz w:val="20"/>
          <w:szCs w:val="20"/>
        </w:rPr>
        <w:t xml:space="preserve">v delším časovém období </w:t>
      </w:r>
      <w:r w:rsidR="0051354C" w:rsidRPr="00413F59">
        <w:rPr>
          <w:b w:val="0"/>
          <w:i w:val="0"/>
          <w:sz w:val="20"/>
          <w:szCs w:val="20"/>
        </w:rPr>
        <w:t>kolísaly; mezi sčítáními 1991</w:t>
      </w:r>
      <w:r w:rsidR="00830A13">
        <w:rPr>
          <w:b w:val="0"/>
          <w:i w:val="0"/>
          <w:sz w:val="20"/>
          <w:szCs w:val="20"/>
        </w:rPr>
        <w:t xml:space="preserve"> </w:t>
      </w:r>
      <w:r w:rsidR="0051354C" w:rsidRPr="00413F59">
        <w:rPr>
          <w:b w:val="0"/>
          <w:i w:val="0"/>
          <w:sz w:val="20"/>
          <w:szCs w:val="20"/>
        </w:rPr>
        <w:t>-</w:t>
      </w:r>
      <w:r w:rsidR="00830A13">
        <w:rPr>
          <w:b w:val="0"/>
          <w:i w:val="0"/>
          <w:sz w:val="20"/>
          <w:szCs w:val="20"/>
        </w:rPr>
        <w:t xml:space="preserve"> </w:t>
      </w:r>
      <w:r w:rsidR="0051354C" w:rsidRPr="00413F59">
        <w:rPr>
          <w:b w:val="0"/>
          <w:i w:val="0"/>
          <w:sz w:val="20"/>
          <w:szCs w:val="20"/>
        </w:rPr>
        <w:t>2001 počty osob v bytech klesly a v období  2001</w:t>
      </w:r>
      <w:r w:rsidR="00830A13">
        <w:rPr>
          <w:b w:val="0"/>
          <w:i w:val="0"/>
          <w:sz w:val="20"/>
          <w:szCs w:val="20"/>
        </w:rPr>
        <w:t xml:space="preserve"> </w:t>
      </w:r>
      <w:r w:rsidR="0051354C" w:rsidRPr="00413F59">
        <w:rPr>
          <w:b w:val="0"/>
          <w:i w:val="0"/>
          <w:sz w:val="20"/>
          <w:szCs w:val="20"/>
        </w:rPr>
        <w:t>-</w:t>
      </w:r>
      <w:r w:rsidR="00830A13">
        <w:rPr>
          <w:b w:val="0"/>
          <w:i w:val="0"/>
          <w:sz w:val="20"/>
          <w:szCs w:val="20"/>
        </w:rPr>
        <w:t xml:space="preserve"> </w:t>
      </w:r>
      <w:r w:rsidR="0051354C" w:rsidRPr="00413F59">
        <w:rPr>
          <w:b w:val="0"/>
          <w:i w:val="0"/>
          <w:sz w:val="20"/>
          <w:szCs w:val="20"/>
        </w:rPr>
        <w:t>2011 opět vzrostly. Změna mezi sčítáními 2001 a 2011 byla do určité míry ovlivněna i změnou konceptu bydlícího obyvatelstva z trvale bydlícího (2001) na obvykle bydlící (2011). Míru změny nelze</w:t>
      </w:r>
      <w:r w:rsidR="00830A13">
        <w:rPr>
          <w:b w:val="0"/>
          <w:i w:val="0"/>
          <w:sz w:val="20"/>
          <w:szCs w:val="20"/>
        </w:rPr>
        <w:t xml:space="preserve"> ale </w:t>
      </w:r>
      <w:r w:rsidR="0051354C" w:rsidRPr="00413F59">
        <w:rPr>
          <w:b w:val="0"/>
          <w:i w:val="0"/>
          <w:sz w:val="20"/>
          <w:szCs w:val="20"/>
        </w:rPr>
        <w:t>v případě bytů</w:t>
      </w:r>
      <w:r w:rsidR="00777A4C">
        <w:rPr>
          <w:b w:val="0"/>
          <w:i w:val="0"/>
          <w:sz w:val="20"/>
          <w:szCs w:val="20"/>
        </w:rPr>
        <w:t xml:space="preserve"> přesně</w:t>
      </w:r>
      <w:r w:rsidR="0051354C" w:rsidRPr="00413F59">
        <w:rPr>
          <w:b w:val="0"/>
          <w:i w:val="0"/>
          <w:sz w:val="20"/>
          <w:szCs w:val="20"/>
        </w:rPr>
        <w:t xml:space="preserve"> kvantifikovat, </w:t>
      </w:r>
      <w:r w:rsidR="0051354C" w:rsidRPr="00777A4C">
        <w:rPr>
          <w:b w:val="0"/>
          <w:i w:val="0"/>
          <w:sz w:val="20"/>
          <w:szCs w:val="20"/>
        </w:rPr>
        <w:t xml:space="preserve">protože informace o </w:t>
      </w:r>
      <w:proofErr w:type="spellStart"/>
      <w:r w:rsidR="0051354C" w:rsidRPr="00777A4C">
        <w:rPr>
          <w:b w:val="0"/>
          <w:i w:val="0"/>
          <w:sz w:val="20"/>
          <w:szCs w:val="20"/>
        </w:rPr>
        <w:t>obydlenosti</w:t>
      </w:r>
      <w:proofErr w:type="spellEnd"/>
      <w:r w:rsidR="0051354C" w:rsidRPr="00777A4C">
        <w:rPr>
          <w:b w:val="0"/>
          <w:i w:val="0"/>
          <w:sz w:val="20"/>
          <w:szCs w:val="20"/>
        </w:rPr>
        <w:t xml:space="preserve"> bytu byla k dispozici jen podle obvykle bydlících osob. Určitou orientaci mohou poskytnout údaje o </w:t>
      </w:r>
      <w:r w:rsidR="00830A13" w:rsidRPr="00777A4C">
        <w:rPr>
          <w:b w:val="0"/>
          <w:i w:val="0"/>
          <w:sz w:val="20"/>
          <w:szCs w:val="20"/>
        </w:rPr>
        <w:t>shodě adresy místa obvyklého pobytu a místa trvalého pobytu osoby</w:t>
      </w:r>
      <w:r w:rsidR="0051354C" w:rsidRPr="00777A4C">
        <w:rPr>
          <w:b w:val="0"/>
          <w:i w:val="0"/>
          <w:sz w:val="20"/>
          <w:szCs w:val="20"/>
        </w:rPr>
        <w:t xml:space="preserve">.  </w:t>
      </w:r>
      <w:r w:rsidR="00777A4C">
        <w:rPr>
          <w:b w:val="0"/>
          <w:i w:val="0"/>
          <w:sz w:val="20"/>
          <w:szCs w:val="20"/>
        </w:rPr>
        <w:t xml:space="preserve">Z celkového počtu osob v bytech </w:t>
      </w:r>
      <w:r w:rsidR="00DF2AF0">
        <w:rPr>
          <w:b w:val="0"/>
          <w:i w:val="0"/>
          <w:sz w:val="20"/>
          <w:szCs w:val="20"/>
        </w:rPr>
        <w:t>89,7</w:t>
      </w:r>
      <w:r w:rsidR="00777A4C">
        <w:rPr>
          <w:b w:val="0"/>
          <w:i w:val="0"/>
          <w:sz w:val="20"/>
          <w:szCs w:val="20"/>
        </w:rPr>
        <w:t xml:space="preserve"> % mělo shodu v obou adresách,</w:t>
      </w:r>
      <w:r w:rsidR="00DF2AF0">
        <w:rPr>
          <w:b w:val="0"/>
          <w:i w:val="0"/>
          <w:sz w:val="20"/>
          <w:szCs w:val="20"/>
        </w:rPr>
        <w:t xml:space="preserve"> 0,3 % osob mělo pouze obvyklý pobyt a desetina měla rozdílné obvyklé a trvalé bydliště. </w:t>
      </w:r>
    </w:p>
    <w:p w:rsidR="00E049E3" w:rsidRPr="00E049E3" w:rsidRDefault="00E049E3" w:rsidP="00E049E3">
      <w:pPr>
        <w:pStyle w:val="Normln-web"/>
      </w:pPr>
    </w:p>
    <w:p w:rsidR="0051354C" w:rsidRDefault="0051354C" w:rsidP="00E049E3">
      <w:pPr>
        <w:pStyle w:val="Nadpis1a"/>
        <w:tabs>
          <w:tab w:val="left" w:pos="1418"/>
        </w:tabs>
        <w:spacing w:before="0" w:after="0" w:line="276" w:lineRule="auto"/>
        <w:rPr>
          <w:b w:val="0"/>
          <w:i w:val="0"/>
          <w:sz w:val="20"/>
          <w:szCs w:val="20"/>
        </w:rPr>
      </w:pPr>
      <w:r w:rsidRPr="00413F59">
        <w:rPr>
          <w:b w:val="0"/>
          <w:i w:val="0"/>
          <w:sz w:val="20"/>
          <w:szCs w:val="20"/>
        </w:rPr>
        <w:t xml:space="preserve">Charakteristiky osob bydlících v bytě se – vzhledem k absolutním počtům – takřka rovnají charakteristikám populace celkem. </w:t>
      </w:r>
      <w:r w:rsidR="00C321C7">
        <w:rPr>
          <w:b w:val="0"/>
          <w:i w:val="0"/>
          <w:sz w:val="20"/>
          <w:szCs w:val="20"/>
        </w:rPr>
        <w:t>Charakteristiky osob v zařízeních vykazují specifické rysy ovlivněné</w:t>
      </w:r>
      <w:r w:rsidR="00DF2AF0">
        <w:rPr>
          <w:b w:val="0"/>
          <w:i w:val="0"/>
          <w:sz w:val="20"/>
          <w:szCs w:val="20"/>
        </w:rPr>
        <w:t xml:space="preserve"> výrazně</w:t>
      </w:r>
      <w:r w:rsidR="00C321C7">
        <w:rPr>
          <w:b w:val="0"/>
          <w:i w:val="0"/>
          <w:sz w:val="20"/>
          <w:szCs w:val="20"/>
        </w:rPr>
        <w:t xml:space="preserve"> typem zařízení, proto skupina osob bydlících v zařízení </w:t>
      </w:r>
      <w:r w:rsidR="00DF2482">
        <w:rPr>
          <w:b w:val="0"/>
          <w:i w:val="0"/>
          <w:sz w:val="20"/>
          <w:szCs w:val="20"/>
        </w:rPr>
        <w:t>je velmi různorodá zejména z hlediska věku, pohlaví a ekonomické aktivity</w:t>
      </w:r>
      <w:r w:rsidR="00C321C7">
        <w:rPr>
          <w:b w:val="0"/>
          <w:i w:val="0"/>
          <w:sz w:val="20"/>
          <w:szCs w:val="20"/>
        </w:rPr>
        <w:t>. Ani osoby bydlící nouzově netvoří kompaktní celek - charakteristiky osob bydlících v rekreačních chatách jsou zcela jiné než osob bydlících v nouzových objektech nebo osob</w:t>
      </w:r>
      <w:r w:rsidR="00DF2AF0">
        <w:rPr>
          <w:b w:val="0"/>
          <w:i w:val="0"/>
          <w:sz w:val="20"/>
          <w:szCs w:val="20"/>
        </w:rPr>
        <w:t xml:space="preserve"> mimo byty</w:t>
      </w:r>
      <w:r w:rsidR="00C321C7">
        <w:rPr>
          <w:b w:val="0"/>
          <w:i w:val="0"/>
          <w:sz w:val="20"/>
          <w:szCs w:val="20"/>
        </w:rPr>
        <w:t xml:space="preserve"> v domech. </w:t>
      </w:r>
      <w:r w:rsidRPr="00413F59">
        <w:rPr>
          <w:b w:val="0"/>
          <w:i w:val="0"/>
          <w:sz w:val="20"/>
          <w:szCs w:val="20"/>
        </w:rPr>
        <w:t xml:space="preserve">Vzhledem k nesouměřitelnosti souborů jednotlivých způsobů bydlení v absolutním vyjádření </w:t>
      </w:r>
      <w:r w:rsidR="00C321C7">
        <w:rPr>
          <w:b w:val="0"/>
          <w:i w:val="0"/>
          <w:sz w:val="20"/>
          <w:szCs w:val="20"/>
        </w:rPr>
        <w:t xml:space="preserve">a také s ohledem na jejich vnitřní různorodou skladbu, </w:t>
      </w:r>
      <w:r w:rsidRPr="00413F59">
        <w:rPr>
          <w:b w:val="0"/>
          <w:i w:val="0"/>
          <w:sz w:val="20"/>
          <w:szCs w:val="20"/>
        </w:rPr>
        <w:t xml:space="preserve">nemá </w:t>
      </w:r>
      <w:r w:rsidR="00DF2482">
        <w:rPr>
          <w:b w:val="0"/>
          <w:i w:val="0"/>
          <w:sz w:val="20"/>
          <w:szCs w:val="20"/>
        </w:rPr>
        <w:t>praktický</w:t>
      </w:r>
      <w:r w:rsidR="00C321C7">
        <w:rPr>
          <w:b w:val="0"/>
          <w:i w:val="0"/>
          <w:sz w:val="20"/>
          <w:szCs w:val="20"/>
        </w:rPr>
        <w:t xml:space="preserve"> </w:t>
      </w:r>
      <w:r w:rsidRPr="00413F59">
        <w:rPr>
          <w:b w:val="0"/>
          <w:i w:val="0"/>
          <w:sz w:val="20"/>
          <w:szCs w:val="20"/>
        </w:rPr>
        <w:t xml:space="preserve">význam jejich vzájemné porovnávání. Souhrnné </w:t>
      </w:r>
      <w:r w:rsidR="00DF2482">
        <w:rPr>
          <w:b w:val="0"/>
          <w:i w:val="0"/>
          <w:sz w:val="20"/>
          <w:szCs w:val="20"/>
        </w:rPr>
        <w:t xml:space="preserve">absolutní </w:t>
      </w:r>
      <w:r w:rsidRPr="00413F59">
        <w:rPr>
          <w:b w:val="0"/>
          <w:i w:val="0"/>
          <w:sz w:val="20"/>
          <w:szCs w:val="20"/>
        </w:rPr>
        <w:t>údaje podle jednotlivých způsobů bydlení jsou</w:t>
      </w:r>
      <w:r w:rsidR="00DF2482">
        <w:rPr>
          <w:b w:val="0"/>
          <w:i w:val="0"/>
          <w:sz w:val="20"/>
          <w:szCs w:val="20"/>
        </w:rPr>
        <w:t xml:space="preserve"> proto</w:t>
      </w:r>
      <w:r w:rsidRPr="00413F59">
        <w:rPr>
          <w:b w:val="0"/>
          <w:i w:val="0"/>
          <w:sz w:val="20"/>
          <w:szCs w:val="20"/>
        </w:rPr>
        <w:t xml:space="preserve"> </w:t>
      </w:r>
      <w:r w:rsidR="00DF2AF0">
        <w:rPr>
          <w:b w:val="0"/>
          <w:i w:val="0"/>
          <w:sz w:val="20"/>
          <w:szCs w:val="20"/>
        </w:rPr>
        <w:t xml:space="preserve">pouze </w:t>
      </w:r>
      <w:r w:rsidRPr="00413F59">
        <w:rPr>
          <w:b w:val="0"/>
          <w:i w:val="0"/>
          <w:sz w:val="20"/>
          <w:szCs w:val="20"/>
        </w:rPr>
        <w:t>součástí tabulkové přílohy</w:t>
      </w:r>
      <w:r w:rsidR="00DF2AF0">
        <w:rPr>
          <w:b w:val="0"/>
          <w:i w:val="0"/>
          <w:sz w:val="20"/>
          <w:szCs w:val="20"/>
        </w:rPr>
        <w:t xml:space="preserve"> (viz tabulky č. 1 – 7).</w:t>
      </w:r>
    </w:p>
    <w:p w:rsidR="00E049E3" w:rsidRPr="00E049E3" w:rsidRDefault="00E049E3" w:rsidP="00E049E3">
      <w:pPr>
        <w:pStyle w:val="Normln-web"/>
      </w:pPr>
    </w:p>
    <w:p w:rsidR="00013296" w:rsidRDefault="0051354C" w:rsidP="00E049E3">
      <w:pPr>
        <w:pStyle w:val="Normln-web"/>
        <w:spacing w:before="0" w:line="276" w:lineRule="auto"/>
        <w:rPr>
          <w:rFonts w:cs="Arial"/>
          <w:sz w:val="20"/>
          <w:szCs w:val="20"/>
        </w:rPr>
      </w:pPr>
      <w:r w:rsidRPr="00413F59">
        <w:rPr>
          <w:rFonts w:cs="Arial"/>
          <w:sz w:val="20"/>
          <w:szCs w:val="20"/>
        </w:rPr>
        <w:t>Způsob bydlení měl při sčítání 2011 vazbu výlučně na adresu obvyklého bydliště. Podle místa obvyklého pobytu byly osoby zařazeny do domácnosti, bytu nebo jiného způsobu bydlení. K dispozici mělo ale sčítání 2011 i adresu trvalého pobytu resp. dlouhodobého pobytu cizince (dále jen „trvalý pobyt“), která se přímo prostřednictvím sčítacího formuláře nezjišťovala, ale byla přebírána z administrativního zdroje – z Informa</w:t>
      </w:r>
      <w:r w:rsidR="0077255D">
        <w:rPr>
          <w:rFonts w:cs="Arial"/>
          <w:sz w:val="20"/>
          <w:szCs w:val="20"/>
        </w:rPr>
        <w:t>čního systému evidence obyvatel</w:t>
      </w:r>
      <w:r w:rsidRPr="00413F59">
        <w:rPr>
          <w:rFonts w:cs="Arial"/>
          <w:sz w:val="20"/>
          <w:szCs w:val="20"/>
        </w:rPr>
        <w:t xml:space="preserve">. Oba typy adres umožnily vyhodnotit míru shody resp. rozdíly mezi obvyklým a trvalým pobytem a umožnily i identifikovat případy osob s adresou trvalého bydliště na ohlašovně pobytu. </w:t>
      </w:r>
    </w:p>
    <w:p w:rsidR="00E049E3" w:rsidRDefault="00E049E3" w:rsidP="00E049E3">
      <w:pPr>
        <w:pStyle w:val="Normln-web"/>
        <w:spacing w:before="0" w:line="276" w:lineRule="auto"/>
        <w:rPr>
          <w:rFonts w:cs="Arial"/>
          <w:sz w:val="20"/>
          <w:szCs w:val="20"/>
        </w:rPr>
      </w:pPr>
    </w:p>
    <w:p w:rsidR="00D7770A" w:rsidRDefault="00DF2AF0" w:rsidP="00E049E3">
      <w:pPr>
        <w:pStyle w:val="Normln-web"/>
        <w:spacing w:before="0" w:line="276" w:lineRule="auto"/>
        <w:rPr>
          <w:rFonts w:cs="Arial"/>
          <w:sz w:val="20"/>
          <w:szCs w:val="20"/>
        </w:rPr>
      </w:pPr>
      <w:r w:rsidRPr="00D7770A">
        <w:rPr>
          <w:rFonts w:cs="Arial"/>
          <w:sz w:val="20"/>
          <w:szCs w:val="20"/>
        </w:rPr>
        <w:t>Počet o</w:t>
      </w:r>
      <w:r w:rsidR="0051354C" w:rsidRPr="00D7770A">
        <w:rPr>
          <w:rFonts w:cs="Arial"/>
          <w:sz w:val="20"/>
          <w:szCs w:val="20"/>
        </w:rPr>
        <w:t xml:space="preserve">bvykle bydlících </w:t>
      </w:r>
      <w:r w:rsidRPr="00D7770A">
        <w:rPr>
          <w:rFonts w:cs="Arial"/>
          <w:sz w:val="20"/>
          <w:szCs w:val="20"/>
        </w:rPr>
        <w:t xml:space="preserve">osob činil </w:t>
      </w:r>
      <w:r w:rsidR="0051354C" w:rsidRPr="00D7770A">
        <w:rPr>
          <w:rFonts w:cs="Arial"/>
          <w:sz w:val="20"/>
          <w:szCs w:val="20"/>
        </w:rPr>
        <w:t xml:space="preserve">k datu sčítání 10 436 560 osob, z nich 99,5 % mělo na území republiky i trvalý pobyt. Zcela shodnou adresu obvyklého i trvalého pobytu mělo </w:t>
      </w:r>
      <w:r w:rsidR="00D7770A" w:rsidRPr="00D7770A">
        <w:rPr>
          <w:rFonts w:cs="Arial"/>
          <w:sz w:val="20"/>
          <w:szCs w:val="20"/>
        </w:rPr>
        <w:t>9 244 466</w:t>
      </w:r>
      <w:r w:rsidR="0051354C" w:rsidRPr="00D7770A">
        <w:rPr>
          <w:rFonts w:cs="Arial"/>
          <w:sz w:val="20"/>
          <w:szCs w:val="20"/>
        </w:rPr>
        <w:t xml:space="preserve"> osob, tj. 88,</w:t>
      </w:r>
      <w:r w:rsidR="00D7770A" w:rsidRPr="00D7770A">
        <w:rPr>
          <w:rFonts w:cs="Arial"/>
          <w:sz w:val="20"/>
          <w:szCs w:val="20"/>
        </w:rPr>
        <w:t>6</w:t>
      </w:r>
      <w:r w:rsidR="0051354C" w:rsidRPr="00D7770A">
        <w:rPr>
          <w:rFonts w:cs="Arial"/>
          <w:sz w:val="20"/>
          <w:szCs w:val="20"/>
        </w:rPr>
        <w:t xml:space="preserve"> % obvykle bydlících obyvatel. </w:t>
      </w:r>
    </w:p>
    <w:p w:rsidR="00E049E3" w:rsidRDefault="00E049E3" w:rsidP="00E049E3">
      <w:pPr>
        <w:pStyle w:val="Normln-web"/>
        <w:spacing w:before="0" w:line="276" w:lineRule="auto"/>
        <w:rPr>
          <w:rFonts w:cs="Arial"/>
          <w:sz w:val="20"/>
          <w:szCs w:val="20"/>
        </w:rPr>
      </w:pPr>
    </w:p>
    <w:p w:rsidR="0051354C" w:rsidRPr="00413F59" w:rsidRDefault="0051354C" w:rsidP="00E049E3">
      <w:pPr>
        <w:pStyle w:val="Zkladntext"/>
        <w:spacing w:after="0" w:line="276" w:lineRule="auto"/>
        <w:jc w:val="both"/>
        <w:rPr>
          <w:rFonts w:cs="Arial"/>
          <w:sz w:val="20"/>
          <w:szCs w:val="20"/>
        </w:rPr>
      </w:pPr>
      <w:r w:rsidRPr="00A92FC8">
        <w:rPr>
          <w:rFonts w:cs="Arial"/>
          <w:sz w:val="20"/>
          <w:szCs w:val="20"/>
        </w:rPr>
        <w:t xml:space="preserve">Existence adresy obvyklého nebo trvalého bydliště se transformovala při zpracování </w:t>
      </w:r>
      <w:r w:rsidR="00A92FC8" w:rsidRPr="00A92FC8">
        <w:rPr>
          <w:rFonts w:cs="Arial"/>
          <w:sz w:val="20"/>
          <w:szCs w:val="20"/>
        </w:rPr>
        <w:t xml:space="preserve">také </w:t>
      </w:r>
      <w:r w:rsidRPr="00A92FC8">
        <w:rPr>
          <w:rFonts w:cs="Arial"/>
          <w:sz w:val="20"/>
          <w:szCs w:val="20"/>
        </w:rPr>
        <w:t>do údajů o typu pobytu, kde bylo rozlišeno, zda má osoba</w:t>
      </w:r>
      <w:r w:rsidR="00FD74EF" w:rsidRPr="00A92FC8">
        <w:rPr>
          <w:rFonts w:cs="Arial"/>
          <w:sz w:val="20"/>
          <w:szCs w:val="20"/>
        </w:rPr>
        <w:t xml:space="preserve"> </w:t>
      </w:r>
      <w:r w:rsidR="00A27222">
        <w:rPr>
          <w:rFonts w:cs="Arial"/>
          <w:sz w:val="20"/>
          <w:szCs w:val="20"/>
        </w:rPr>
        <w:t xml:space="preserve">pouze </w:t>
      </w:r>
      <w:r w:rsidR="00FD74EF" w:rsidRPr="00A92FC8">
        <w:rPr>
          <w:rFonts w:cs="Arial"/>
          <w:sz w:val="20"/>
          <w:szCs w:val="20"/>
        </w:rPr>
        <w:t xml:space="preserve">obvyklý nebo </w:t>
      </w:r>
      <w:r w:rsidR="00A27222">
        <w:rPr>
          <w:rFonts w:cs="Arial"/>
          <w:sz w:val="20"/>
          <w:szCs w:val="20"/>
        </w:rPr>
        <w:t xml:space="preserve">obvyklý </w:t>
      </w:r>
      <w:r w:rsidR="00FD74EF" w:rsidRPr="00A92FC8">
        <w:rPr>
          <w:rFonts w:cs="Arial"/>
          <w:sz w:val="20"/>
          <w:szCs w:val="20"/>
        </w:rPr>
        <w:t>i trvalý pobyt na území republiky.</w:t>
      </w:r>
      <w:r w:rsidRPr="00A92FC8">
        <w:rPr>
          <w:rFonts w:cs="Arial"/>
          <w:sz w:val="20"/>
          <w:szCs w:val="20"/>
        </w:rPr>
        <w:t xml:space="preserve"> </w:t>
      </w:r>
      <w:r w:rsidR="00A27222">
        <w:rPr>
          <w:rFonts w:cs="Arial"/>
          <w:sz w:val="20"/>
          <w:szCs w:val="20"/>
        </w:rPr>
        <w:t>O</w:t>
      </w:r>
      <w:r w:rsidRPr="00A92FC8">
        <w:rPr>
          <w:rFonts w:cs="Arial"/>
          <w:sz w:val="20"/>
          <w:szCs w:val="20"/>
        </w:rPr>
        <w:t>sob pouze s obvyklým pobytem bylo 50 444, přitom 48 666 z nich byli cizinci.</w:t>
      </w:r>
      <w:r w:rsidR="00FD74EF">
        <w:rPr>
          <w:rFonts w:cs="Arial"/>
          <w:sz w:val="20"/>
          <w:szCs w:val="20"/>
        </w:rPr>
        <w:t xml:space="preserve"> </w:t>
      </w:r>
    </w:p>
    <w:p w:rsidR="0051354C" w:rsidRPr="00413F59" w:rsidRDefault="0051354C" w:rsidP="0051354C">
      <w:pPr>
        <w:pStyle w:val="Zkladntext"/>
        <w:rPr>
          <w:rFonts w:cs="Arial"/>
          <w:sz w:val="20"/>
          <w:szCs w:val="20"/>
        </w:rPr>
      </w:pPr>
    </w:p>
    <w:tbl>
      <w:tblPr>
        <w:tblW w:w="8614" w:type="dxa"/>
        <w:jc w:val="center"/>
        <w:tblInd w:w="-519" w:type="dxa"/>
        <w:tblLayout w:type="fixed"/>
        <w:tblCellMar>
          <w:left w:w="70" w:type="dxa"/>
          <w:right w:w="70" w:type="dxa"/>
        </w:tblCellMar>
        <w:tblLook w:val="04A0"/>
      </w:tblPr>
      <w:tblGrid>
        <w:gridCol w:w="3228"/>
        <w:gridCol w:w="1361"/>
        <w:gridCol w:w="1048"/>
        <w:gridCol w:w="1082"/>
        <w:gridCol w:w="903"/>
        <w:gridCol w:w="992"/>
      </w:tblGrid>
      <w:tr w:rsidR="0051354C" w:rsidRPr="00E8177B" w:rsidTr="00851E06">
        <w:trPr>
          <w:trHeight w:val="255"/>
          <w:jc w:val="center"/>
        </w:trPr>
        <w:tc>
          <w:tcPr>
            <w:tcW w:w="8614" w:type="dxa"/>
            <w:gridSpan w:val="6"/>
            <w:tcBorders>
              <w:top w:val="nil"/>
              <w:left w:val="nil"/>
              <w:bottom w:val="nil"/>
            </w:tcBorders>
            <w:shd w:val="clear" w:color="auto" w:fill="auto"/>
            <w:noWrap/>
            <w:vAlign w:val="bottom"/>
            <w:hideMark/>
          </w:tcPr>
          <w:p w:rsidR="0051354C" w:rsidRPr="00ED42A5" w:rsidRDefault="00474198" w:rsidP="00A62C9C">
            <w:pPr>
              <w:keepNext/>
              <w:keepLines/>
              <w:rPr>
                <w:rFonts w:cs="Arial"/>
                <w:color w:val="000000"/>
                <w:sz w:val="20"/>
                <w:szCs w:val="20"/>
              </w:rPr>
            </w:pPr>
            <w:r>
              <w:rPr>
                <w:rFonts w:cs="Arial"/>
                <w:b/>
                <w:bCs/>
                <w:sz w:val="20"/>
                <w:szCs w:val="20"/>
              </w:rPr>
              <w:lastRenderedPageBreak/>
              <w:t xml:space="preserve">Tab. č. 2 </w:t>
            </w:r>
            <w:r w:rsidR="0051354C" w:rsidRPr="00ED42A5">
              <w:rPr>
                <w:rFonts w:cs="Arial"/>
                <w:b/>
                <w:color w:val="000000"/>
                <w:sz w:val="20"/>
                <w:szCs w:val="20"/>
              </w:rPr>
              <w:t>Obyvatelstvo</w:t>
            </w:r>
            <w:r w:rsidR="00A62C9C">
              <w:rPr>
                <w:rFonts w:cs="Arial"/>
                <w:b/>
                <w:color w:val="000000"/>
                <w:sz w:val="20"/>
                <w:szCs w:val="20"/>
              </w:rPr>
              <w:t xml:space="preserve"> </w:t>
            </w:r>
            <w:r w:rsidR="0051354C" w:rsidRPr="00ED42A5">
              <w:rPr>
                <w:rFonts w:cs="Arial"/>
                <w:b/>
                <w:color w:val="000000"/>
                <w:sz w:val="20"/>
                <w:szCs w:val="20"/>
              </w:rPr>
              <w:t>obvykle bydlící podle typu pobytu a způsobu bydlení k 26.</w:t>
            </w:r>
            <w:r w:rsidR="00ED42A5">
              <w:rPr>
                <w:rFonts w:cs="Arial"/>
                <w:b/>
                <w:color w:val="000000"/>
                <w:sz w:val="20"/>
                <w:szCs w:val="20"/>
              </w:rPr>
              <w:t xml:space="preserve"> </w:t>
            </w:r>
            <w:r w:rsidR="0051354C" w:rsidRPr="00ED42A5">
              <w:rPr>
                <w:rFonts w:cs="Arial"/>
                <w:b/>
                <w:color w:val="000000"/>
                <w:sz w:val="20"/>
                <w:szCs w:val="20"/>
              </w:rPr>
              <w:t>3.</w:t>
            </w:r>
            <w:r w:rsidR="00ED42A5">
              <w:rPr>
                <w:rFonts w:cs="Arial"/>
                <w:b/>
                <w:color w:val="000000"/>
                <w:sz w:val="20"/>
                <w:szCs w:val="20"/>
              </w:rPr>
              <w:t xml:space="preserve"> </w:t>
            </w:r>
            <w:r w:rsidR="0051354C" w:rsidRPr="00ED42A5">
              <w:rPr>
                <w:rFonts w:cs="Arial"/>
                <w:b/>
                <w:color w:val="000000"/>
                <w:sz w:val="20"/>
                <w:szCs w:val="20"/>
              </w:rPr>
              <w:t>2011</w:t>
            </w:r>
          </w:p>
        </w:tc>
      </w:tr>
      <w:tr w:rsidR="0051354C" w:rsidRPr="00E8177B" w:rsidTr="00851E06">
        <w:trPr>
          <w:trHeight w:val="480"/>
          <w:jc w:val="center"/>
        </w:trPr>
        <w:tc>
          <w:tcPr>
            <w:tcW w:w="32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4C" w:rsidRPr="00E8177B" w:rsidRDefault="0051354C" w:rsidP="004D60B0">
            <w:pPr>
              <w:keepNext/>
              <w:keepLines/>
              <w:rPr>
                <w:rFonts w:cs="Arial"/>
                <w:color w:val="000000"/>
                <w:sz w:val="18"/>
                <w:szCs w:val="18"/>
              </w:rPr>
            </w:pPr>
            <w:r w:rsidRPr="00E8177B">
              <w:rPr>
                <w:rFonts w:cs="Arial"/>
                <w:color w:val="000000"/>
                <w:sz w:val="18"/>
                <w:szCs w:val="18"/>
              </w:rPr>
              <w:t>Způsob bydlení</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E8177B" w:rsidRDefault="0051354C" w:rsidP="00C16D7E">
            <w:pPr>
              <w:keepNext/>
              <w:keepLines/>
              <w:jc w:val="center"/>
              <w:rPr>
                <w:rFonts w:cs="Arial"/>
                <w:color w:val="000000"/>
                <w:sz w:val="18"/>
                <w:szCs w:val="18"/>
              </w:rPr>
            </w:pPr>
            <w:r w:rsidRPr="00E8177B">
              <w:rPr>
                <w:rFonts w:cs="Arial"/>
                <w:color w:val="000000"/>
                <w:sz w:val="18"/>
                <w:szCs w:val="18"/>
              </w:rPr>
              <w:t>Obvykle bydlící obyvatelstvo celkem</w:t>
            </w:r>
          </w:p>
        </w:tc>
        <w:tc>
          <w:tcPr>
            <w:tcW w:w="2130" w:type="dxa"/>
            <w:gridSpan w:val="2"/>
            <w:tcBorders>
              <w:top w:val="single" w:sz="4" w:space="0" w:color="auto"/>
              <w:left w:val="nil"/>
              <w:bottom w:val="single" w:sz="4" w:space="0" w:color="auto"/>
              <w:right w:val="single" w:sz="4" w:space="0" w:color="auto"/>
            </w:tcBorders>
            <w:shd w:val="clear" w:color="auto" w:fill="auto"/>
            <w:noWrap/>
            <w:vAlign w:val="center"/>
            <w:hideMark/>
          </w:tcPr>
          <w:p w:rsidR="0051354C" w:rsidRPr="00E8177B" w:rsidRDefault="0051354C" w:rsidP="00C16D7E">
            <w:pPr>
              <w:keepNext/>
              <w:keepLines/>
              <w:jc w:val="center"/>
              <w:rPr>
                <w:rFonts w:cs="Arial"/>
                <w:color w:val="000000"/>
                <w:sz w:val="18"/>
                <w:szCs w:val="18"/>
              </w:rPr>
            </w:pPr>
            <w:r w:rsidRPr="00E8177B">
              <w:rPr>
                <w:rFonts w:cs="Arial"/>
                <w:color w:val="000000"/>
                <w:sz w:val="18"/>
                <w:szCs w:val="18"/>
              </w:rPr>
              <w:t>Typ pobytu</w:t>
            </w:r>
          </w:p>
        </w:tc>
        <w:tc>
          <w:tcPr>
            <w:tcW w:w="1895" w:type="dxa"/>
            <w:gridSpan w:val="2"/>
            <w:tcBorders>
              <w:top w:val="single" w:sz="4" w:space="0" w:color="auto"/>
              <w:left w:val="nil"/>
              <w:bottom w:val="single" w:sz="4" w:space="0" w:color="auto"/>
              <w:right w:val="single" w:sz="4" w:space="0" w:color="auto"/>
            </w:tcBorders>
            <w:shd w:val="clear" w:color="auto" w:fill="auto"/>
            <w:vAlign w:val="center"/>
            <w:hideMark/>
          </w:tcPr>
          <w:p w:rsidR="0051354C" w:rsidRPr="00E8177B" w:rsidRDefault="0051354C" w:rsidP="00A92FC8">
            <w:pPr>
              <w:keepNext/>
              <w:keepLines/>
              <w:jc w:val="center"/>
              <w:rPr>
                <w:rFonts w:cs="Arial"/>
                <w:color w:val="000000"/>
                <w:sz w:val="18"/>
                <w:szCs w:val="18"/>
              </w:rPr>
            </w:pPr>
            <w:r w:rsidRPr="00E8177B">
              <w:rPr>
                <w:rFonts w:cs="Arial"/>
                <w:color w:val="000000"/>
                <w:sz w:val="18"/>
                <w:szCs w:val="18"/>
              </w:rPr>
              <w:t>Struktura podle pobytu</w:t>
            </w:r>
            <w:r w:rsidR="00A92FC8">
              <w:rPr>
                <w:rFonts w:cs="Arial"/>
                <w:color w:val="000000"/>
                <w:sz w:val="18"/>
                <w:szCs w:val="18"/>
              </w:rPr>
              <w:t xml:space="preserve"> </w:t>
            </w:r>
            <w:r w:rsidRPr="00E8177B">
              <w:rPr>
                <w:rFonts w:cs="Arial"/>
                <w:color w:val="000000"/>
                <w:sz w:val="18"/>
                <w:szCs w:val="18"/>
              </w:rPr>
              <w:t>v %</w:t>
            </w:r>
          </w:p>
        </w:tc>
      </w:tr>
      <w:tr w:rsidR="0051354C" w:rsidRPr="00E8177B" w:rsidTr="00851E06">
        <w:trPr>
          <w:trHeight w:val="555"/>
          <w:jc w:val="center"/>
        </w:trPr>
        <w:tc>
          <w:tcPr>
            <w:tcW w:w="3228" w:type="dxa"/>
            <w:vMerge/>
            <w:tcBorders>
              <w:top w:val="single" w:sz="4" w:space="0" w:color="auto"/>
              <w:left w:val="single" w:sz="4" w:space="0" w:color="auto"/>
              <w:bottom w:val="single" w:sz="4" w:space="0" w:color="auto"/>
              <w:right w:val="single" w:sz="4" w:space="0" w:color="auto"/>
            </w:tcBorders>
            <w:vAlign w:val="center"/>
            <w:hideMark/>
          </w:tcPr>
          <w:p w:rsidR="0051354C" w:rsidRPr="00E8177B" w:rsidRDefault="0051354C" w:rsidP="00C16D7E">
            <w:pPr>
              <w:keepNext/>
              <w:keepLines/>
              <w:rPr>
                <w:rFonts w:cs="Arial"/>
                <w:color w:val="000000"/>
                <w:sz w:val="18"/>
                <w:szCs w:val="18"/>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51354C" w:rsidRPr="00E8177B" w:rsidRDefault="0051354C" w:rsidP="00C16D7E">
            <w:pPr>
              <w:keepNext/>
              <w:keepLines/>
              <w:rPr>
                <w:rFonts w:cs="Arial"/>
                <w:color w:val="000000"/>
                <w:sz w:val="18"/>
                <w:szCs w:val="18"/>
              </w:rPr>
            </w:pPr>
          </w:p>
        </w:tc>
        <w:tc>
          <w:tcPr>
            <w:tcW w:w="1048" w:type="dxa"/>
            <w:tcBorders>
              <w:top w:val="nil"/>
              <w:left w:val="nil"/>
              <w:bottom w:val="single" w:sz="4" w:space="0" w:color="auto"/>
              <w:right w:val="single" w:sz="4" w:space="0" w:color="auto"/>
            </w:tcBorders>
            <w:shd w:val="clear" w:color="auto" w:fill="auto"/>
            <w:vAlign w:val="center"/>
            <w:hideMark/>
          </w:tcPr>
          <w:p w:rsidR="0051354C" w:rsidRPr="00E8177B" w:rsidRDefault="0051354C" w:rsidP="00C16D7E">
            <w:pPr>
              <w:keepNext/>
              <w:keepLines/>
              <w:jc w:val="center"/>
              <w:rPr>
                <w:rFonts w:cs="Arial"/>
                <w:color w:val="000000"/>
                <w:sz w:val="18"/>
                <w:szCs w:val="18"/>
              </w:rPr>
            </w:pPr>
            <w:r w:rsidRPr="00E8177B">
              <w:rPr>
                <w:rFonts w:cs="Arial"/>
                <w:color w:val="000000"/>
                <w:sz w:val="18"/>
                <w:szCs w:val="18"/>
              </w:rPr>
              <w:t xml:space="preserve">jen </w:t>
            </w:r>
          </w:p>
          <w:p w:rsidR="0051354C" w:rsidRPr="00E8177B" w:rsidRDefault="0051354C" w:rsidP="00C16D7E">
            <w:pPr>
              <w:keepNext/>
              <w:keepLines/>
              <w:jc w:val="center"/>
              <w:rPr>
                <w:rFonts w:cs="Arial"/>
                <w:color w:val="000000"/>
                <w:sz w:val="18"/>
                <w:szCs w:val="18"/>
              </w:rPr>
            </w:pPr>
            <w:r w:rsidRPr="00E8177B">
              <w:rPr>
                <w:rFonts w:cs="Arial"/>
                <w:color w:val="000000"/>
                <w:sz w:val="18"/>
                <w:szCs w:val="18"/>
              </w:rPr>
              <w:t>obvyklý</w:t>
            </w:r>
          </w:p>
        </w:tc>
        <w:tc>
          <w:tcPr>
            <w:tcW w:w="1082" w:type="dxa"/>
            <w:tcBorders>
              <w:top w:val="nil"/>
              <w:left w:val="nil"/>
              <w:bottom w:val="single" w:sz="4" w:space="0" w:color="auto"/>
              <w:right w:val="single" w:sz="4" w:space="0" w:color="auto"/>
            </w:tcBorders>
            <w:shd w:val="clear" w:color="auto" w:fill="auto"/>
            <w:vAlign w:val="center"/>
            <w:hideMark/>
          </w:tcPr>
          <w:p w:rsidR="0051354C" w:rsidRPr="00E8177B" w:rsidRDefault="0051354C" w:rsidP="00C16D7E">
            <w:pPr>
              <w:keepNext/>
              <w:keepLines/>
              <w:jc w:val="center"/>
              <w:rPr>
                <w:rFonts w:cs="Arial"/>
                <w:color w:val="000000"/>
                <w:sz w:val="18"/>
                <w:szCs w:val="18"/>
              </w:rPr>
            </w:pPr>
            <w:r w:rsidRPr="00E8177B">
              <w:rPr>
                <w:rFonts w:cs="Arial"/>
                <w:color w:val="000000"/>
                <w:sz w:val="18"/>
                <w:szCs w:val="18"/>
              </w:rPr>
              <w:t>obvyklý</w:t>
            </w:r>
          </w:p>
          <w:p w:rsidR="0051354C" w:rsidRPr="00E8177B" w:rsidRDefault="0051354C" w:rsidP="00C16D7E">
            <w:pPr>
              <w:keepNext/>
              <w:keepLines/>
              <w:jc w:val="center"/>
              <w:rPr>
                <w:rFonts w:cs="Arial"/>
                <w:color w:val="000000"/>
                <w:sz w:val="18"/>
                <w:szCs w:val="18"/>
              </w:rPr>
            </w:pPr>
            <w:r w:rsidRPr="00E8177B">
              <w:rPr>
                <w:rFonts w:cs="Arial"/>
                <w:color w:val="000000"/>
                <w:sz w:val="18"/>
                <w:szCs w:val="18"/>
              </w:rPr>
              <w:t xml:space="preserve"> i trvalý</w:t>
            </w:r>
          </w:p>
        </w:tc>
        <w:tc>
          <w:tcPr>
            <w:tcW w:w="903" w:type="dxa"/>
            <w:tcBorders>
              <w:top w:val="nil"/>
              <w:left w:val="nil"/>
              <w:bottom w:val="single" w:sz="4" w:space="0" w:color="auto"/>
              <w:right w:val="single" w:sz="4" w:space="0" w:color="auto"/>
            </w:tcBorders>
            <w:shd w:val="clear" w:color="auto" w:fill="auto"/>
            <w:vAlign w:val="center"/>
            <w:hideMark/>
          </w:tcPr>
          <w:p w:rsidR="0051354C" w:rsidRPr="00E8177B" w:rsidRDefault="0051354C" w:rsidP="00C16D7E">
            <w:pPr>
              <w:keepNext/>
              <w:keepLines/>
              <w:jc w:val="center"/>
              <w:rPr>
                <w:rFonts w:cs="Arial"/>
                <w:color w:val="000000"/>
                <w:sz w:val="18"/>
                <w:szCs w:val="18"/>
              </w:rPr>
            </w:pPr>
            <w:r w:rsidRPr="00E8177B">
              <w:rPr>
                <w:rFonts w:cs="Arial"/>
                <w:color w:val="000000"/>
                <w:sz w:val="18"/>
                <w:szCs w:val="18"/>
              </w:rPr>
              <w:t>jen obvyklý</w:t>
            </w:r>
          </w:p>
        </w:tc>
        <w:tc>
          <w:tcPr>
            <w:tcW w:w="992" w:type="dxa"/>
            <w:tcBorders>
              <w:top w:val="nil"/>
              <w:left w:val="nil"/>
              <w:bottom w:val="single" w:sz="4" w:space="0" w:color="auto"/>
              <w:right w:val="single" w:sz="4" w:space="0" w:color="auto"/>
            </w:tcBorders>
            <w:shd w:val="clear" w:color="auto" w:fill="auto"/>
            <w:vAlign w:val="center"/>
            <w:hideMark/>
          </w:tcPr>
          <w:p w:rsidR="0051354C" w:rsidRPr="00E8177B" w:rsidRDefault="0051354C" w:rsidP="00C16D7E">
            <w:pPr>
              <w:keepNext/>
              <w:keepLines/>
              <w:jc w:val="center"/>
              <w:rPr>
                <w:rFonts w:cs="Arial"/>
                <w:color w:val="000000"/>
                <w:sz w:val="18"/>
                <w:szCs w:val="18"/>
              </w:rPr>
            </w:pPr>
            <w:r w:rsidRPr="00E8177B">
              <w:rPr>
                <w:rFonts w:cs="Arial"/>
                <w:color w:val="000000"/>
                <w:sz w:val="18"/>
                <w:szCs w:val="18"/>
              </w:rPr>
              <w:t xml:space="preserve">obvyklý </w:t>
            </w:r>
          </w:p>
          <w:p w:rsidR="0051354C" w:rsidRPr="00E8177B" w:rsidRDefault="0051354C" w:rsidP="00C16D7E">
            <w:pPr>
              <w:keepNext/>
              <w:keepLines/>
              <w:jc w:val="center"/>
              <w:rPr>
                <w:rFonts w:cs="Arial"/>
                <w:color w:val="000000"/>
                <w:sz w:val="18"/>
                <w:szCs w:val="18"/>
              </w:rPr>
            </w:pPr>
            <w:r w:rsidRPr="00E8177B">
              <w:rPr>
                <w:rFonts w:cs="Arial"/>
                <w:color w:val="000000"/>
                <w:sz w:val="18"/>
                <w:szCs w:val="18"/>
              </w:rPr>
              <w:t>i trvalý</w:t>
            </w:r>
          </w:p>
        </w:tc>
      </w:tr>
      <w:tr w:rsidR="0051354C" w:rsidRPr="00E8177B" w:rsidTr="00851E06">
        <w:trPr>
          <w:trHeight w:val="315"/>
          <w:jc w:val="center"/>
        </w:trPr>
        <w:tc>
          <w:tcPr>
            <w:tcW w:w="3228" w:type="dxa"/>
            <w:tcBorders>
              <w:top w:val="nil"/>
              <w:left w:val="single" w:sz="4" w:space="0" w:color="auto"/>
              <w:bottom w:val="nil"/>
              <w:right w:val="single" w:sz="4" w:space="0" w:color="auto"/>
            </w:tcBorders>
            <w:shd w:val="clear" w:color="auto" w:fill="auto"/>
            <w:noWrap/>
            <w:vAlign w:val="center"/>
            <w:hideMark/>
          </w:tcPr>
          <w:p w:rsidR="0051354C" w:rsidRPr="00E8177B" w:rsidRDefault="0051354C" w:rsidP="00C16D7E">
            <w:pPr>
              <w:keepNext/>
              <w:keepLines/>
              <w:rPr>
                <w:rFonts w:cs="Arial"/>
                <w:color w:val="000000"/>
                <w:sz w:val="18"/>
                <w:szCs w:val="18"/>
              </w:rPr>
            </w:pPr>
            <w:r w:rsidRPr="00E8177B">
              <w:rPr>
                <w:rFonts w:cs="Arial"/>
                <w:color w:val="000000"/>
                <w:sz w:val="18"/>
                <w:szCs w:val="18"/>
              </w:rPr>
              <w:t>Obyvatelstvo celkem</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10 436 560</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50 444</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10 386 116</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0,</w:t>
            </w:r>
            <w:r w:rsidR="0077255D">
              <w:rPr>
                <w:rFonts w:cs="Arial"/>
                <w:color w:val="000000"/>
                <w:sz w:val="18"/>
                <w:szCs w:val="18"/>
              </w:rPr>
              <w:t>5</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99,5</w:t>
            </w:r>
          </w:p>
        </w:tc>
      </w:tr>
      <w:tr w:rsidR="0051354C" w:rsidRPr="00E8177B" w:rsidTr="00851E06">
        <w:trPr>
          <w:trHeight w:val="315"/>
          <w:jc w:val="center"/>
        </w:trPr>
        <w:tc>
          <w:tcPr>
            <w:tcW w:w="3228" w:type="dxa"/>
            <w:tcBorders>
              <w:top w:val="nil"/>
              <w:left w:val="single" w:sz="4" w:space="0" w:color="auto"/>
              <w:bottom w:val="nil"/>
              <w:right w:val="single" w:sz="4" w:space="0" w:color="auto"/>
            </w:tcBorders>
            <w:shd w:val="clear" w:color="auto" w:fill="auto"/>
            <w:noWrap/>
            <w:vAlign w:val="center"/>
            <w:hideMark/>
          </w:tcPr>
          <w:p w:rsidR="0051354C" w:rsidRPr="00E8177B" w:rsidRDefault="0051354C" w:rsidP="00C16D7E">
            <w:pPr>
              <w:keepNext/>
              <w:keepLines/>
              <w:rPr>
                <w:rFonts w:cs="Arial"/>
                <w:color w:val="000000"/>
                <w:sz w:val="18"/>
                <w:szCs w:val="18"/>
              </w:rPr>
            </w:pPr>
            <w:r w:rsidRPr="00E8177B">
              <w:rPr>
                <w:rFonts w:cs="Arial"/>
                <w:color w:val="000000"/>
                <w:sz w:val="18"/>
                <w:szCs w:val="18"/>
              </w:rPr>
              <w:t>v tom způsob bydlení:</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rPr>
                <w:rFonts w:cs="Arial"/>
                <w:color w:val="000000"/>
                <w:sz w:val="18"/>
                <w:szCs w:val="18"/>
              </w:rPr>
            </w:pPr>
            <w:r w:rsidRPr="00E8177B">
              <w:rPr>
                <w:rFonts w:cs="Arial"/>
                <w:color w:val="000000"/>
                <w:sz w:val="18"/>
                <w:szCs w:val="18"/>
              </w:rPr>
              <w:t> </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rPr>
                <w:rFonts w:cs="Arial"/>
                <w:color w:val="000000"/>
                <w:sz w:val="18"/>
                <w:szCs w:val="18"/>
              </w:rPr>
            </w:pPr>
            <w:r w:rsidRPr="00E8177B">
              <w:rPr>
                <w:rFonts w:cs="Arial"/>
                <w:color w:val="000000"/>
                <w:sz w:val="18"/>
                <w:szCs w:val="18"/>
              </w:rPr>
              <w:t> </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rPr>
                <w:rFonts w:cs="Arial"/>
                <w:color w:val="000000"/>
                <w:sz w:val="18"/>
                <w:szCs w:val="18"/>
              </w:rPr>
            </w:pPr>
            <w:r w:rsidRPr="00E8177B">
              <w:rPr>
                <w:rFonts w:cs="Arial"/>
                <w:color w:val="000000"/>
                <w:sz w:val="18"/>
                <w:szCs w:val="18"/>
              </w:rPr>
              <w:t> </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rPr>
                <w:rFonts w:cs="Arial"/>
                <w:color w:val="000000"/>
                <w:sz w:val="18"/>
                <w:szCs w:val="18"/>
              </w:rPr>
            </w:pPr>
            <w:r w:rsidRPr="00E8177B">
              <w:rPr>
                <w:rFonts w:cs="Arial"/>
                <w:color w:val="000000"/>
                <w:sz w:val="18"/>
                <w:szCs w:val="18"/>
              </w:rPr>
              <w:t> </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rPr>
                <w:rFonts w:cs="Arial"/>
                <w:color w:val="000000"/>
                <w:sz w:val="18"/>
                <w:szCs w:val="18"/>
              </w:rPr>
            </w:pPr>
            <w:r w:rsidRPr="00E8177B">
              <w:rPr>
                <w:rFonts w:cs="Arial"/>
                <w:color w:val="000000"/>
                <w:sz w:val="18"/>
                <w:szCs w:val="18"/>
              </w:rPr>
              <w:t> </w:t>
            </w:r>
          </w:p>
        </w:tc>
      </w:tr>
      <w:tr w:rsidR="0051354C" w:rsidRPr="00E8177B" w:rsidTr="00851E06">
        <w:trPr>
          <w:trHeight w:val="255"/>
          <w:jc w:val="center"/>
        </w:trPr>
        <w:tc>
          <w:tcPr>
            <w:tcW w:w="3228" w:type="dxa"/>
            <w:tcBorders>
              <w:top w:val="nil"/>
              <w:left w:val="single" w:sz="4" w:space="0" w:color="auto"/>
              <w:bottom w:val="nil"/>
              <w:right w:val="single" w:sz="4" w:space="0" w:color="auto"/>
            </w:tcBorders>
            <w:shd w:val="clear" w:color="auto" w:fill="auto"/>
            <w:noWrap/>
            <w:vAlign w:val="bottom"/>
            <w:hideMark/>
          </w:tcPr>
          <w:p w:rsidR="0051354C" w:rsidRPr="00E8177B" w:rsidRDefault="0051354C" w:rsidP="00C16D7E">
            <w:pPr>
              <w:keepNext/>
              <w:keepLines/>
              <w:ind w:firstLineChars="100" w:firstLine="180"/>
              <w:rPr>
                <w:rFonts w:cs="Arial"/>
                <w:color w:val="000000"/>
                <w:sz w:val="18"/>
                <w:szCs w:val="18"/>
              </w:rPr>
            </w:pPr>
            <w:r w:rsidRPr="00E8177B">
              <w:rPr>
                <w:rFonts w:cs="Arial"/>
                <w:color w:val="000000"/>
                <w:sz w:val="18"/>
                <w:szCs w:val="18"/>
              </w:rPr>
              <w:t>byt</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10 144 961</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30 444</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10 114 517</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0,3</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99,7</w:t>
            </w:r>
          </w:p>
        </w:tc>
      </w:tr>
      <w:tr w:rsidR="0051354C" w:rsidRPr="00E8177B" w:rsidTr="00851E06">
        <w:trPr>
          <w:trHeight w:val="255"/>
          <w:jc w:val="center"/>
        </w:trPr>
        <w:tc>
          <w:tcPr>
            <w:tcW w:w="3228" w:type="dxa"/>
            <w:tcBorders>
              <w:top w:val="nil"/>
              <w:left w:val="single" w:sz="4" w:space="0" w:color="auto"/>
              <w:bottom w:val="nil"/>
              <w:right w:val="single" w:sz="4" w:space="0" w:color="auto"/>
            </w:tcBorders>
            <w:shd w:val="clear" w:color="auto" w:fill="auto"/>
            <w:noWrap/>
            <w:vAlign w:val="bottom"/>
            <w:hideMark/>
          </w:tcPr>
          <w:p w:rsidR="0051354C" w:rsidRPr="00E8177B" w:rsidRDefault="0051354C" w:rsidP="00C16D7E">
            <w:pPr>
              <w:keepNext/>
              <w:keepLines/>
              <w:ind w:firstLineChars="100" w:firstLine="180"/>
              <w:rPr>
                <w:rFonts w:cs="Arial"/>
                <w:color w:val="000000"/>
                <w:sz w:val="18"/>
                <w:szCs w:val="18"/>
              </w:rPr>
            </w:pPr>
            <w:r w:rsidRPr="00E8177B">
              <w:rPr>
                <w:rFonts w:cs="Arial"/>
                <w:color w:val="000000"/>
                <w:sz w:val="18"/>
                <w:szCs w:val="18"/>
              </w:rPr>
              <w:t>mobilní obydlí</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925</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113</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812</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12,2</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87,</w:t>
            </w:r>
            <w:r w:rsidR="0077255D" w:rsidRPr="00E8177B">
              <w:rPr>
                <w:rFonts w:cs="Arial"/>
                <w:color w:val="000000"/>
                <w:sz w:val="18"/>
                <w:szCs w:val="18"/>
              </w:rPr>
              <w:t xml:space="preserve"> </w:t>
            </w:r>
            <w:r w:rsidRPr="00E8177B">
              <w:rPr>
                <w:rFonts w:cs="Arial"/>
                <w:color w:val="000000"/>
                <w:sz w:val="18"/>
                <w:szCs w:val="18"/>
              </w:rPr>
              <w:t>8</w:t>
            </w:r>
          </w:p>
        </w:tc>
      </w:tr>
      <w:tr w:rsidR="0051354C" w:rsidRPr="00E8177B" w:rsidTr="00851E06">
        <w:trPr>
          <w:trHeight w:val="255"/>
          <w:jc w:val="center"/>
        </w:trPr>
        <w:tc>
          <w:tcPr>
            <w:tcW w:w="3228" w:type="dxa"/>
            <w:tcBorders>
              <w:top w:val="nil"/>
              <w:left w:val="single" w:sz="4" w:space="0" w:color="auto"/>
              <w:bottom w:val="nil"/>
              <w:right w:val="single" w:sz="4" w:space="0" w:color="auto"/>
            </w:tcBorders>
            <w:shd w:val="clear" w:color="auto" w:fill="auto"/>
            <w:noWrap/>
            <w:vAlign w:val="bottom"/>
            <w:hideMark/>
          </w:tcPr>
          <w:p w:rsidR="0051354C" w:rsidRPr="00E8177B" w:rsidRDefault="0051354C" w:rsidP="00C16D7E">
            <w:pPr>
              <w:keepNext/>
              <w:keepLines/>
              <w:ind w:firstLineChars="100" w:firstLine="180"/>
              <w:rPr>
                <w:rFonts w:cs="Arial"/>
                <w:color w:val="000000"/>
                <w:sz w:val="18"/>
                <w:szCs w:val="18"/>
              </w:rPr>
            </w:pPr>
            <w:r w:rsidRPr="00E8177B">
              <w:rPr>
                <w:rFonts w:cs="Arial"/>
                <w:color w:val="000000"/>
                <w:sz w:val="18"/>
                <w:szCs w:val="18"/>
              </w:rPr>
              <w:t>nouzové obydlí</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49 242</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3 403</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45 839</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6,9</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93,</w:t>
            </w:r>
            <w:r w:rsidR="0077255D">
              <w:rPr>
                <w:rFonts w:cs="Arial"/>
                <w:color w:val="000000"/>
                <w:sz w:val="18"/>
                <w:szCs w:val="18"/>
              </w:rPr>
              <w:t>1</w:t>
            </w:r>
          </w:p>
        </w:tc>
      </w:tr>
      <w:tr w:rsidR="0051354C" w:rsidRPr="00E8177B" w:rsidTr="00851E06">
        <w:trPr>
          <w:trHeight w:val="255"/>
          <w:jc w:val="center"/>
        </w:trPr>
        <w:tc>
          <w:tcPr>
            <w:tcW w:w="3228" w:type="dxa"/>
            <w:tcBorders>
              <w:top w:val="nil"/>
              <w:left w:val="single" w:sz="4" w:space="0" w:color="auto"/>
              <w:bottom w:val="nil"/>
              <w:right w:val="single" w:sz="4" w:space="0" w:color="auto"/>
            </w:tcBorders>
            <w:shd w:val="clear" w:color="auto" w:fill="auto"/>
            <w:noWrap/>
            <w:vAlign w:val="bottom"/>
            <w:hideMark/>
          </w:tcPr>
          <w:p w:rsidR="0051354C" w:rsidRPr="00E8177B" w:rsidRDefault="0051354C" w:rsidP="00C16D7E">
            <w:pPr>
              <w:keepNext/>
              <w:keepLines/>
              <w:ind w:firstLineChars="100" w:firstLine="180"/>
              <w:rPr>
                <w:rFonts w:cs="Arial"/>
                <w:color w:val="000000"/>
                <w:sz w:val="18"/>
                <w:szCs w:val="18"/>
              </w:rPr>
            </w:pPr>
            <w:r w:rsidRPr="00E8177B">
              <w:rPr>
                <w:rFonts w:cs="Arial"/>
                <w:color w:val="000000"/>
                <w:sz w:val="18"/>
                <w:szCs w:val="18"/>
              </w:rPr>
              <w:t>rekreační chata</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35 480</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94</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35 386</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0,</w:t>
            </w:r>
            <w:r w:rsidR="0077255D">
              <w:rPr>
                <w:rFonts w:cs="Arial"/>
                <w:color w:val="000000"/>
                <w:sz w:val="18"/>
                <w:szCs w:val="18"/>
              </w:rPr>
              <w:t>3</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99,7</w:t>
            </w:r>
          </w:p>
        </w:tc>
      </w:tr>
      <w:tr w:rsidR="0051354C" w:rsidRPr="00E8177B" w:rsidTr="00851E06">
        <w:trPr>
          <w:trHeight w:val="255"/>
          <w:jc w:val="center"/>
        </w:trPr>
        <w:tc>
          <w:tcPr>
            <w:tcW w:w="3228" w:type="dxa"/>
            <w:tcBorders>
              <w:top w:val="nil"/>
              <w:left w:val="single" w:sz="4" w:space="0" w:color="auto"/>
              <w:bottom w:val="nil"/>
              <w:right w:val="single" w:sz="4" w:space="0" w:color="auto"/>
            </w:tcBorders>
            <w:shd w:val="clear" w:color="auto" w:fill="auto"/>
            <w:noWrap/>
            <w:vAlign w:val="bottom"/>
            <w:hideMark/>
          </w:tcPr>
          <w:p w:rsidR="0051354C" w:rsidRPr="00E8177B" w:rsidRDefault="0051354C" w:rsidP="00C16D7E">
            <w:pPr>
              <w:keepNext/>
              <w:keepLines/>
              <w:ind w:firstLineChars="100" w:firstLine="180"/>
              <w:rPr>
                <w:rFonts w:cs="Arial"/>
                <w:color w:val="000000"/>
                <w:sz w:val="18"/>
                <w:szCs w:val="18"/>
              </w:rPr>
            </w:pPr>
            <w:r w:rsidRPr="00E8177B">
              <w:rPr>
                <w:rFonts w:cs="Arial"/>
                <w:color w:val="000000"/>
                <w:sz w:val="18"/>
                <w:szCs w:val="18"/>
              </w:rPr>
              <w:t>ubytovací zařízení-rodiny</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8 407</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141</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8 266</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1,</w:t>
            </w:r>
            <w:r w:rsidR="0077255D">
              <w:rPr>
                <w:rFonts w:cs="Arial"/>
                <w:color w:val="000000"/>
                <w:sz w:val="18"/>
                <w:szCs w:val="18"/>
              </w:rPr>
              <w:t>7</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98,3</w:t>
            </w:r>
          </w:p>
        </w:tc>
      </w:tr>
      <w:tr w:rsidR="0051354C" w:rsidRPr="00E8177B" w:rsidTr="00851E06">
        <w:trPr>
          <w:trHeight w:val="255"/>
          <w:jc w:val="center"/>
        </w:trPr>
        <w:tc>
          <w:tcPr>
            <w:tcW w:w="3228" w:type="dxa"/>
            <w:tcBorders>
              <w:top w:val="nil"/>
              <w:left w:val="single" w:sz="4" w:space="0" w:color="auto"/>
              <w:bottom w:val="nil"/>
              <w:right w:val="single" w:sz="4" w:space="0" w:color="auto"/>
            </w:tcBorders>
            <w:shd w:val="clear" w:color="auto" w:fill="auto"/>
            <w:noWrap/>
            <w:vAlign w:val="bottom"/>
            <w:hideMark/>
          </w:tcPr>
          <w:p w:rsidR="0051354C" w:rsidRPr="00E8177B" w:rsidRDefault="0051354C" w:rsidP="00C16D7E">
            <w:pPr>
              <w:keepNext/>
              <w:keepLines/>
              <w:ind w:firstLineChars="100" w:firstLine="180"/>
              <w:rPr>
                <w:rFonts w:cs="Arial"/>
                <w:color w:val="000000"/>
                <w:sz w:val="18"/>
                <w:szCs w:val="18"/>
              </w:rPr>
            </w:pPr>
            <w:r w:rsidRPr="00E8177B">
              <w:rPr>
                <w:rFonts w:cs="Arial"/>
                <w:color w:val="000000"/>
                <w:sz w:val="18"/>
                <w:szCs w:val="18"/>
              </w:rPr>
              <w:t>ubytovací zařízení-jednotlivci</w:t>
            </w:r>
          </w:p>
        </w:tc>
        <w:tc>
          <w:tcPr>
            <w:tcW w:w="1361"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186 049</w:t>
            </w:r>
          </w:p>
        </w:tc>
        <w:tc>
          <w:tcPr>
            <w:tcW w:w="1048"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16 051</w:t>
            </w:r>
          </w:p>
        </w:tc>
        <w:tc>
          <w:tcPr>
            <w:tcW w:w="1082" w:type="dxa"/>
            <w:tcBorders>
              <w:top w:val="nil"/>
              <w:left w:val="nil"/>
              <w:bottom w:val="nil"/>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169 998</w:t>
            </w:r>
          </w:p>
        </w:tc>
        <w:tc>
          <w:tcPr>
            <w:tcW w:w="903"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8,6</w:t>
            </w:r>
          </w:p>
        </w:tc>
        <w:tc>
          <w:tcPr>
            <w:tcW w:w="992" w:type="dxa"/>
            <w:tcBorders>
              <w:top w:val="nil"/>
              <w:left w:val="nil"/>
              <w:bottom w:val="nil"/>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91,</w:t>
            </w:r>
            <w:r w:rsidR="0077255D">
              <w:rPr>
                <w:rFonts w:cs="Arial"/>
                <w:color w:val="000000"/>
                <w:sz w:val="18"/>
                <w:szCs w:val="18"/>
              </w:rPr>
              <w:t>4</w:t>
            </w:r>
          </w:p>
        </w:tc>
      </w:tr>
      <w:tr w:rsidR="0051354C" w:rsidRPr="00E8177B" w:rsidTr="00851E06">
        <w:trPr>
          <w:trHeight w:val="255"/>
          <w:jc w:val="center"/>
        </w:trPr>
        <w:tc>
          <w:tcPr>
            <w:tcW w:w="3228" w:type="dxa"/>
            <w:tcBorders>
              <w:top w:val="nil"/>
              <w:left w:val="single" w:sz="4" w:space="0" w:color="auto"/>
              <w:bottom w:val="single" w:sz="4" w:space="0" w:color="auto"/>
              <w:right w:val="single" w:sz="4" w:space="0" w:color="auto"/>
            </w:tcBorders>
            <w:shd w:val="clear" w:color="auto" w:fill="auto"/>
            <w:noWrap/>
            <w:vAlign w:val="bottom"/>
            <w:hideMark/>
          </w:tcPr>
          <w:p w:rsidR="0051354C" w:rsidRPr="00E8177B" w:rsidRDefault="0051354C" w:rsidP="00C16D7E">
            <w:pPr>
              <w:keepNext/>
              <w:keepLines/>
              <w:ind w:firstLineChars="100" w:firstLine="180"/>
              <w:rPr>
                <w:rFonts w:cs="Arial"/>
                <w:color w:val="000000"/>
                <w:sz w:val="18"/>
                <w:szCs w:val="18"/>
              </w:rPr>
            </w:pPr>
            <w:r w:rsidRPr="00E8177B">
              <w:rPr>
                <w:rFonts w:cs="Arial"/>
                <w:color w:val="000000"/>
                <w:sz w:val="18"/>
                <w:szCs w:val="18"/>
              </w:rPr>
              <w:t>bezdomovci</w:t>
            </w:r>
          </w:p>
        </w:tc>
        <w:tc>
          <w:tcPr>
            <w:tcW w:w="1361" w:type="dxa"/>
            <w:tcBorders>
              <w:top w:val="nil"/>
              <w:left w:val="nil"/>
              <w:bottom w:val="single" w:sz="4" w:space="0" w:color="auto"/>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11 496</w:t>
            </w:r>
          </w:p>
        </w:tc>
        <w:tc>
          <w:tcPr>
            <w:tcW w:w="1048" w:type="dxa"/>
            <w:tcBorders>
              <w:top w:val="nil"/>
              <w:left w:val="nil"/>
              <w:bottom w:val="single" w:sz="4" w:space="0" w:color="auto"/>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198</w:t>
            </w:r>
          </w:p>
        </w:tc>
        <w:tc>
          <w:tcPr>
            <w:tcW w:w="1082" w:type="dxa"/>
            <w:tcBorders>
              <w:top w:val="nil"/>
              <w:left w:val="nil"/>
              <w:bottom w:val="single" w:sz="4" w:space="0" w:color="auto"/>
              <w:right w:val="single" w:sz="4" w:space="0" w:color="auto"/>
            </w:tcBorders>
            <w:shd w:val="clear" w:color="auto" w:fill="auto"/>
            <w:noWrap/>
            <w:vAlign w:val="bottom"/>
            <w:hideMark/>
          </w:tcPr>
          <w:p w:rsidR="0051354C" w:rsidRPr="00E8177B" w:rsidRDefault="0051354C" w:rsidP="00C16D7E">
            <w:pPr>
              <w:keepNext/>
              <w:keepLines/>
              <w:jc w:val="right"/>
              <w:rPr>
                <w:rFonts w:cs="Arial"/>
                <w:color w:val="000000"/>
                <w:sz w:val="18"/>
                <w:szCs w:val="18"/>
              </w:rPr>
            </w:pPr>
            <w:r w:rsidRPr="00E8177B">
              <w:rPr>
                <w:rFonts w:cs="Arial"/>
                <w:color w:val="000000"/>
                <w:sz w:val="18"/>
                <w:szCs w:val="18"/>
              </w:rPr>
              <w:t>11 298</w:t>
            </w:r>
          </w:p>
        </w:tc>
        <w:tc>
          <w:tcPr>
            <w:tcW w:w="903" w:type="dxa"/>
            <w:tcBorders>
              <w:top w:val="nil"/>
              <w:left w:val="nil"/>
              <w:bottom w:val="single" w:sz="4" w:space="0" w:color="auto"/>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rsidR="0051354C" w:rsidRPr="00E8177B" w:rsidRDefault="0051354C" w:rsidP="0077255D">
            <w:pPr>
              <w:keepNext/>
              <w:keepLines/>
              <w:jc w:val="right"/>
              <w:rPr>
                <w:rFonts w:cs="Arial"/>
                <w:color w:val="000000"/>
                <w:sz w:val="18"/>
                <w:szCs w:val="18"/>
              </w:rPr>
            </w:pPr>
            <w:r w:rsidRPr="00E8177B">
              <w:rPr>
                <w:rFonts w:cs="Arial"/>
                <w:color w:val="000000"/>
                <w:sz w:val="18"/>
                <w:szCs w:val="18"/>
              </w:rPr>
              <w:t>98,</w:t>
            </w:r>
            <w:r w:rsidR="0077255D">
              <w:rPr>
                <w:rFonts w:cs="Arial"/>
                <w:color w:val="000000"/>
                <w:sz w:val="18"/>
                <w:szCs w:val="18"/>
              </w:rPr>
              <w:t>3</w:t>
            </w:r>
          </w:p>
        </w:tc>
      </w:tr>
    </w:tbl>
    <w:p w:rsidR="0051354C" w:rsidRDefault="0051354C" w:rsidP="0051354C">
      <w:pPr>
        <w:pStyle w:val="Zkladntext"/>
        <w:rPr>
          <w:rFonts w:cs="Arial"/>
          <w:sz w:val="20"/>
          <w:szCs w:val="20"/>
        </w:rPr>
      </w:pPr>
    </w:p>
    <w:tbl>
      <w:tblPr>
        <w:tblpPr w:leftFromText="170" w:rightFromText="170" w:topFromText="119" w:bottomFromText="249" w:vertAnchor="page" w:horzAnchor="margin" w:tblpXSpec="right" w:tblpY="8058"/>
        <w:tblOverlap w:val="never"/>
        <w:tblW w:w="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97"/>
        <w:gridCol w:w="1417"/>
        <w:gridCol w:w="992"/>
        <w:gridCol w:w="654"/>
      </w:tblGrid>
      <w:tr w:rsidR="00B82F65" w:rsidRPr="00B452EA" w:rsidTr="00760C72">
        <w:trPr>
          <w:trHeight w:val="390"/>
        </w:trPr>
        <w:tc>
          <w:tcPr>
            <w:tcW w:w="5260" w:type="dxa"/>
            <w:gridSpan w:val="4"/>
            <w:tcBorders>
              <w:top w:val="nil"/>
              <w:left w:val="nil"/>
              <w:bottom w:val="single" w:sz="4" w:space="0" w:color="auto"/>
              <w:right w:val="nil"/>
            </w:tcBorders>
            <w:shd w:val="clear" w:color="auto" w:fill="auto"/>
            <w:noWrap/>
            <w:vAlign w:val="bottom"/>
            <w:hideMark/>
          </w:tcPr>
          <w:p w:rsidR="00474198" w:rsidRDefault="00474198" w:rsidP="00760C72">
            <w:pPr>
              <w:rPr>
                <w:rFonts w:cs="Arial"/>
                <w:b/>
                <w:bCs/>
                <w:color w:val="000000"/>
                <w:sz w:val="20"/>
                <w:szCs w:val="20"/>
              </w:rPr>
            </w:pPr>
            <w:r>
              <w:rPr>
                <w:rFonts w:cs="Arial"/>
                <w:b/>
                <w:bCs/>
                <w:sz w:val="20"/>
                <w:szCs w:val="20"/>
              </w:rPr>
              <w:t xml:space="preserve">Tab. č. 3 </w:t>
            </w:r>
            <w:r w:rsidR="00B82F65" w:rsidRPr="00ED42A5">
              <w:rPr>
                <w:rFonts w:cs="Arial"/>
                <w:b/>
                <w:bCs/>
                <w:color w:val="000000"/>
                <w:sz w:val="20"/>
                <w:szCs w:val="20"/>
              </w:rPr>
              <w:t xml:space="preserve">Počty obvykle bydlících obyvatel krajů </w:t>
            </w:r>
          </w:p>
          <w:p w:rsidR="00B82F65" w:rsidRPr="00ED42A5" w:rsidRDefault="00B82F65" w:rsidP="00760C72">
            <w:pPr>
              <w:rPr>
                <w:rFonts w:cs="Arial"/>
                <w:b/>
                <w:bCs/>
                <w:color w:val="000000"/>
                <w:sz w:val="20"/>
                <w:szCs w:val="20"/>
              </w:rPr>
            </w:pPr>
            <w:r w:rsidRPr="00ED42A5">
              <w:rPr>
                <w:rFonts w:cs="Arial"/>
                <w:b/>
                <w:bCs/>
                <w:color w:val="000000"/>
                <w:sz w:val="20"/>
                <w:szCs w:val="20"/>
              </w:rPr>
              <w:t>k 26.</w:t>
            </w:r>
            <w:r w:rsidR="00ED42A5" w:rsidRPr="00ED42A5">
              <w:rPr>
                <w:rFonts w:cs="Arial"/>
                <w:b/>
                <w:bCs/>
                <w:color w:val="000000"/>
                <w:sz w:val="20"/>
                <w:szCs w:val="20"/>
              </w:rPr>
              <w:t xml:space="preserve"> </w:t>
            </w:r>
            <w:r w:rsidRPr="00ED42A5">
              <w:rPr>
                <w:rFonts w:cs="Arial"/>
                <w:b/>
                <w:bCs/>
                <w:color w:val="000000"/>
                <w:sz w:val="20"/>
                <w:szCs w:val="20"/>
              </w:rPr>
              <w:t>3.</w:t>
            </w:r>
            <w:r w:rsidR="00ED42A5" w:rsidRPr="00ED42A5">
              <w:rPr>
                <w:rFonts w:cs="Arial"/>
                <w:b/>
                <w:bCs/>
                <w:color w:val="000000"/>
                <w:sz w:val="20"/>
                <w:szCs w:val="20"/>
              </w:rPr>
              <w:t xml:space="preserve"> </w:t>
            </w:r>
            <w:r w:rsidRPr="00ED42A5">
              <w:rPr>
                <w:rFonts w:cs="Arial"/>
                <w:b/>
                <w:bCs/>
                <w:color w:val="000000"/>
                <w:sz w:val="20"/>
                <w:szCs w:val="20"/>
              </w:rPr>
              <w:t>2011</w:t>
            </w:r>
          </w:p>
        </w:tc>
      </w:tr>
      <w:tr w:rsidR="00B82F65" w:rsidRPr="00B452EA" w:rsidTr="00BB7C6C">
        <w:trPr>
          <w:trHeight w:val="720"/>
        </w:trPr>
        <w:tc>
          <w:tcPr>
            <w:tcW w:w="2197" w:type="dxa"/>
            <w:vMerge w:val="restart"/>
            <w:tcBorders>
              <w:left w:val="single" w:sz="4" w:space="0" w:color="auto"/>
            </w:tcBorders>
            <w:shd w:val="clear" w:color="auto" w:fill="auto"/>
            <w:noWrap/>
            <w:vAlign w:val="center"/>
            <w:hideMark/>
          </w:tcPr>
          <w:p w:rsidR="00B82F65" w:rsidRPr="00B452EA" w:rsidRDefault="00B82F65" w:rsidP="004D60B0">
            <w:pPr>
              <w:rPr>
                <w:rFonts w:cs="Arial"/>
                <w:color w:val="000000"/>
                <w:sz w:val="18"/>
                <w:szCs w:val="18"/>
              </w:rPr>
            </w:pPr>
            <w:r w:rsidRPr="00B452EA">
              <w:rPr>
                <w:rFonts w:cs="Arial"/>
                <w:color w:val="000000"/>
                <w:sz w:val="18"/>
                <w:szCs w:val="18"/>
              </w:rPr>
              <w:t>Kraje</w:t>
            </w:r>
          </w:p>
        </w:tc>
        <w:tc>
          <w:tcPr>
            <w:tcW w:w="1417" w:type="dxa"/>
            <w:vMerge w:val="restart"/>
            <w:shd w:val="clear" w:color="auto" w:fill="auto"/>
            <w:vAlign w:val="center"/>
            <w:hideMark/>
          </w:tcPr>
          <w:p w:rsidR="00B82F65" w:rsidRPr="00B452EA" w:rsidRDefault="00B82F65" w:rsidP="00760C72">
            <w:pPr>
              <w:jc w:val="center"/>
              <w:rPr>
                <w:rFonts w:cs="Arial"/>
                <w:color w:val="000000"/>
                <w:sz w:val="18"/>
                <w:szCs w:val="18"/>
              </w:rPr>
            </w:pPr>
            <w:r w:rsidRPr="00B452EA">
              <w:rPr>
                <w:rFonts w:cs="Arial"/>
                <w:color w:val="000000"/>
                <w:sz w:val="18"/>
                <w:szCs w:val="18"/>
              </w:rPr>
              <w:t xml:space="preserve">Počet obyvatel </w:t>
            </w:r>
            <w:r w:rsidRPr="00B452EA">
              <w:rPr>
                <w:rFonts w:cs="Arial"/>
                <w:color w:val="000000"/>
                <w:sz w:val="18"/>
                <w:szCs w:val="18"/>
              </w:rPr>
              <w:br/>
              <w:t xml:space="preserve">s obvyklým </w:t>
            </w:r>
            <w:r w:rsidRPr="00B452EA">
              <w:rPr>
                <w:rFonts w:cs="Arial"/>
                <w:color w:val="000000"/>
                <w:sz w:val="18"/>
                <w:szCs w:val="18"/>
              </w:rPr>
              <w:br/>
              <w:t xml:space="preserve">pobytem </w:t>
            </w:r>
          </w:p>
        </w:tc>
        <w:tc>
          <w:tcPr>
            <w:tcW w:w="1646" w:type="dxa"/>
            <w:gridSpan w:val="2"/>
            <w:tcBorders>
              <w:right w:val="single" w:sz="4" w:space="0" w:color="auto"/>
            </w:tcBorders>
            <w:shd w:val="clear" w:color="auto" w:fill="auto"/>
            <w:vAlign w:val="center"/>
            <w:hideMark/>
          </w:tcPr>
          <w:p w:rsidR="00B82F65" w:rsidRPr="00B452EA" w:rsidRDefault="00B82F65" w:rsidP="00760C72">
            <w:pPr>
              <w:jc w:val="center"/>
              <w:rPr>
                <w:rFonts w:cs="Arial"/>
                <w:color w:val="000000"/>
                <w:sz w:val="18"/>
                <w:szCs w:val="18"/>
              </w:rPr>
            </w:pPr>
            <w:r w:rsidRPr="00B452EA">
              <w:rPr>
                <w:rFonts w:cs="Arial"/>
                <w:color w:val="000000"/>
                <w:sz w:val="18"/>
                <w:szCs w:val="18"/>
              </w:rPr>
              <w:t xml:space="preserve">z nich </w:t>
            </w:r>
            <w:r w:rsidRPr="00B452EA">
              <w:rPr>
                <w:rFonts w:cs="Arial"/>
                <w:color w:val="000000"/>
                <w:sz w:val="18"/>
                <w:szCs w:val="18"/>
              </w:rPr>
              <w:br/>
              <w:t xml:space="preserve">s adresou trvalého pobytu </w:t>
            </w:r>
            <w:r w:rsidRPr="00B452EA">
              <w:rPr>
                <w:rFonts w:cs="Arial"/>
                <w:color w:val="000000"/>
                <w:sz w:val="18"/>
                <w:szCs w:val="18"/>
              </w:rPr>
              <w:br/>
              <w:t>na ohlašovně</w:t>
            </w:r>
          </w:p>
        </w:tc>
      </w:tr>
      <w:tr w:rsidR="00B82F65" w:rsidRPr="00B452EA" w:rsidTr="00BB7C6C">
        <w:trPr>
          <w:trHeight w:val="300"/>
        </w:trPr>
        <w:tc>
          <w:tcPr>
            <w:tcW w:w="2197" w:type="dxa"/>
            <w:vMerge/>
            <w:tcBorders>
              <w:left w:val="single" w:sz="4" w:space="0" w:color="auto"/>
              <w:bottom w:val="single" w:sz="4" w:space="0" w:color="auto"/>
            </w:tcBorders>
            <w:vAlign w:val="center"/>
            <w:hideMark/>
          </w:tcPr>
          <w:p w:rsidR="00B82F65" w:rsidRPr="00B452EA" w:rsidRDefault="00B82F65" w:rsidP="00760C72">
            <w:pPr>
              <w:rPr>
                <w:rFonts w:cs="Arial"/>
                <w:color w:val="000000"/>
                <w:sz w:val="18"/>
                <w:szCs w:val="18"/>
              </w:rPr>
            </w:pPr>
          </w:p>
        </w:tc>
        <w:tc>
          <w:tcPr>
            <w:tcW w:w="1417" w:type="dxa"/>
            <w:vMerge/>
            <w:tcBorders>
              <w:bottom w:val="single" w:sz="4" w:space="0" w:color="auto"/>
            </w:tcBorders>
            <w:vAlign w:val="center"/>
            <w:hideMark/>
          </w:tcPr>
          <w:p w:rsidR="00B82F65" w:rsidRPr="00B452EA" w:rsidRDefault="00B82F65" w:rsidP="00760C72">
            <w:pPr>
              <w:rPr>
                <w:rFonts w:cs="Arial"/>
                <w:color w:val="000000"/>
                <w:sz w:val="18"/>
                <w:szCs w:val="18"/>
              </w:rPr>
            </w:pPr>
          </w:p>
        </w:tc>
        <w:tc>
          <w:tcPr>
            <w:tcW w:w="992" w:type="dxa"/>
            <w:tcBorders>
              <w:bottom w:val="single" w:sz="4" w:space="0" w:color="auto"/>
            </w:tcBorders>
            <w:shd w:val="clear" w:color="auto" w:fill="auto"/>
            <w:vAlign w:val="center"/>
            <w:hideMark/>
          </w:tcPr>
          <w:p w:rsidR="00B82F65" w:rsidRPr="00B452EA" w:rsidRDefault="00B82F65" w:rsidP="00760C72">
            <w:pPr>
              <w:jc w:val="center"/>
              <w:rPr>
                <w:rFonts w:cs="Arial"/>
                <w:color w:val="000000"/>
                <w:sz w:val="18"/>
                <w:szCs w:val="18"/>
              </w:rPr>
            </w:pPr>
            <w:r w:rsidRPr="00B452EA">
              <w:rPr>
                <w:rFonts w:cs="Arial"/>
                <w:color w:val="000000"/>
                <w:sz w:val="18"/>
                <w:szCs w:val="18"/>
              </w:rPr>
              <w:t>abs.</w:t>
            </w:r>
          </w:p>
        </w:tc>
        <w:tc>
          <w:tcPr>
            <w:tcW w:w="654" w:type="dxa"/>
            <w:tcBorders>
              <w:bottom w:val="single" w:sz="4" w:space="0" w:color="auto"/>
              <w:right w:val="single" w:sz="4" w:space="0" w:color="auto"/>
            </w:tcBorders>
            <w:shd w:val="clear" w:color="auto" w:fill="auto"/>
            <w:vAlign w:val="center"/>
            <w:hideMark/>
          </w:tcPr>
          <w:p w:rsidR="00B82F65" w:rsidRPr="00B452EA" w:rsidRDefault="00B82F65" w:rsidP="00760C72">
            <w:pPr>
              <w:jc w:val="center"/>
              <w:rPr>
                <w:rFonts w:cs="Arial"/>
                <w:color w:val="000000"/>
                <w:sz w:val="18"/>
                <w:szCs w:val="18"/>
              </w:rPr>
            </w:pPr>
            <w:r w:rsidRPr="00B452EA">
              <w:rPr>
                <w:rFonts w:cs="Arial"/>
                <w:color w:val="000000"/>
                <w:sz w:val="18"/>
                <w:szCs w:val="18"/>
              </w:rPr>
              <w:t>%</w:t>
            </w:r>
          </w:p>
        </w:tc>
      </w:tr>
      <w:tr w:rsidR="00A27222" w:rsidRPr="00B452EA" w:rsidTr="00BB7C6C">
        <w:trPr>
          <w:trHeight w:hRule="exact" w:val="284"/>
        </w:trPr>
        <w:tc>
          <w:tcPr>
            <w:tcW w:w="2197" w:type="dxa"/>
            <w:tcBorders>
              <w:left w:val="single" w:sz="4" w:space="0" w:color="auto"/>
              <w:bottom w:val="nil"/>
            </w:tcBorders>
            <w:shd w:val="clear" w:color="auto" w:fill="auto"/>
            <w:vAlign w:val="bottom"/>
            <w:hideMark/>
          </w:tcPr>
          <w:p w:rsidR="00A27222" w:rsidRPr="00ED42A5" w:rsidRDefault="00A27222" w:rsidP="00A27222">
            <w:pPr>
              <w:rPr>
                <w:rFonts w:cs="Arial"/>
                <w:bCs/>
                <w:color w:val="000000"/>
                <w:sz w:val="18"/>
                <w:szCs w:val="18"/>
              </w:rPr>
            </w:pPr>
            <w:r w:rsidRPr="00ED42A5">
              <w:rPr>
                <w:rFonts w:cs="Arial"/>
                <w:bCs/>
                <w:color w:val="000000"/>
                <w:sz w:val="18"/>
                <w:szCs w:val="18"/>
              </w:rPr>
              <w:t>Česká republika</w:t>
            </w:r>
          </w:p>
        </w:tc>
        <w:tc>
          <w:tcPr>
            <w:tcW w:w="1417" w:type="dxa"/>
            <w:tcBorders>
              <w:bottom w:val="nil"/>
            </w:tcBorders>
            <w:shd w:val="clear" w:color="auto" w:fill="auto"/>
            <w:noWrap/>
            <w:vAlign w:val="bottom"/>
            <w:hideMark/>
          </w:tcPr>
          <w:p w:rsidR="00A27222" w:rsidRPr="00ED42A5" w:rsidRDefault="00A27222" w:rsidP="00A27222">
            <w:pPr>
              <w:jc w:val="right"/>
              <w:rPr>
                <w:rFonts w:cs="Arial"/>
                <w:bCs/>
                <w:color w:val="000000"/>
                <w:sz w:val="18"/>
                <w:szCs w:val="18"/>
              </w:rPr>
            </w:pPr>
            <w:r w:rsidRPr="00ED42A5">
              <w:rPr>
                <w:rFonts w:cs="Arial"/>
                <w:bCs/>
                <w:color w:val="000000"/>
                <w:sz w:val="18"/>
                <w:szCs w:val="18"/>
              </w:rPr>
              <w:t>10 436 560</w:t>
            </w:r>
          </w:p>
        </w:tc>
        <w:tc>
          <w:tcPr>
            <w:tcW w:w="992" w:type="dxa"/>
            <w:tcBorders>
              <w:bottom w:val="nil"/>
            </w:tcBorders>
            <w:shd w:val="clear" w:color="auto" w:fill="auto"/>
            <w:noWrap/>
            <w:vAlign w:val="bottom"/>
            <w:hideMark/>
          </w:tcPr>
          <w:p w:rsidR="00A27222" w:rsidRPr="00ED42A5" w:rsidRDefault="00A27222" w:rsidP="00A27222">
            <w:pPr>
              <w:jc w:val="right"/>
              <w:rPr>
                <w:rFonts w:cs="Arial"/>
                <w:bCs/>
                <w:color w:val="000000"/>
                <w:sz w:val="18"/>
                <w:szCs w:val="18"/>
              </w:rPr>
            </w:pPr>
            <w:r w:rsidRPr="00ED42A5">
              <w:rPr>
                <w:rFonts w:cs="Arial"/>
                <w:bCs/>
                <w:color w:val="000000"/>
                <w:sz w:val="18"/>
                <w:szCs w:val="18"/>
              </w:rPr>
              <w:t>18 733</w:t>
            </w:r>
          </w:p>
        </w:tc>
        <w:tc>
          <w:tcPr>
            <w:tcW w:w="654" w:type="dxa"/>
            <w:tcBorders>
              <w:bottom w:val="nil"/>
              <w:right w:val="single" w:sz="4" w:space="0" w:color="auto"/>
            </w:tcBorders>
            <w:shd w:val="clear" w:color="auto" w:fill="auto"/>
            <w:vAlign w:val="bottom"/>
            <w:hideMark/>
          </w:tcPr>
          <w:p w:rsidR="00A27222" w:rsidRPr="00ED42A5" w:rsidRDefault="00A27222" w:rsidP="00A27222">
            <w:pPr>
              <w:jc w:val="right"/>
              <w:rPr>
                <w:rFonts w:cs="Arial"/>
                <w:color w:val="000000"/>
                <w:sz w:val="18"/>
                <w:szCs w:val="18"/>
              </w:rPr>
            </w:pPr>
            <w:r w:rsidRPr="00ED42A5">
              <w:rPr>
                <w:rFonts w:cs="Arial"/>
                <w:color w:val="000000"/>
                <w:sz w:val="18"/>
                <w:szCs w:val="18"/>
              </w:rPr>
              <w:t>0,18</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00BB7C6C">
              <w:rPr>
                <w:rFonts w:cs="Arial"/>
                <w:color w:val="000000"/>
                <w:sz w:val="18"/>
                <w:szCs w:val="18"/>
              </w:rPr>
              <w:t xml:space="preserve">Hl.m. </w:t>
            </w:r>
            <w:r w:rsidRPr="00B452EA">
              <w:rPr>
                <w:rFonts w:cs="Arial"/>
                <w:color w:val="000000"/>
                <w:sz w:val="18"/>
                <w:szCs w:val="18"/>
              </w:rPr>
              <w:t>Praha</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1 268 796</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1355</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0,11</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Středočeský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1 289 211</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2668</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0,21</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Jihočeský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628 336</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1593</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0,25</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Plzeňský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570 401</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1027</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0,18</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Karlovarský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295 595</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708</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0,24</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Ústecký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808 961</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1384</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0,17</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Liberecký</w:t>
            </w:r>
            <w:r w:rsidR="00BB7C6C" w:rsidRP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432 439</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802</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0,19</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Královéhradecký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547 916</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1026</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0,19</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Pardubický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511 627</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1023</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0,20</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00BB7C6C">
              <w:rPr>
                <w:rFonts w:cs="Arial"/>
                <w:color w:val="000000"/>
                <w:sz w:val="18"/>
                <w:szCs w:val="18"/>
              </w:rPr>
              <w:t xml:space="preserve">Kraj </w:t>
            </w:r>
            <w:r w:rsidRPr="00B452EA">
              <w:rPr>
                <w:rFonts w:cs="Arial"/>
                <w:color w:val="000000"/>
                <w:sz w:val="18"/>
                <w:szCs w:val="18"/>
              </w:rPr>
              <w:t>Vyso</w:t>
            </w:r>
            <w:r>
              <w:rPr>
                <w:rFonts w:cs="Arial"/>
                <w:color w:val="000000"/>
                <w:sz w:val="18"/>
                <w:szCs w:val="18"/>
              </w:rPr>
              <w:t>č</w:t>
            </w:r>
            <w:r w:rsidRPr="00B452EA">
              <w:rPr>
                <w:rFonts w:cs="Arial"/>
                <w:color w:val="000000"/>
                <w:sz w:val="18"/>
                <w:szCs w:val="18"/>
              </w:rPr>
              <w:t>ina</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505 565</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1364</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0,27</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Jihomoravský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1 163 508</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2023</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0,17</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Olomoucký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628 427</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1218</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0,19</w:t>
            </w:r>
          </w:p>
        </w:tc>
      </w:tr>
      <w:tr w:rsidR="00A27222" w:rsidRPr="00B452EA" w:rsidTr="00BB7C6C">
        <w:trPr>
          <w:trHeight w:hRule="exact" w:val="284"/>
        </w:trPr>
        <w:tc>
          <w:tcPr>
            <w:tcW w:w="2197" w:type="dxa"/>
            <w:tcBorders>
              <w:top w:val="nil"/>
              <w:left w:val="single" w:sz="4" w:space="0" w:color="auto"/>
              <w:bottom w:val="nil"/>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Zlínský</w:t>
            </w:r>
            <w:r w:rsidR="00BB7C6C">
              <w:rPr>
                <w:rFonts w:cs="Arial"/>
                <w:color w:val="000000"/>
                <w:sz w:val="18"/>
                <w:szCs w:val="18"/>
              </w:rPr>
              <w:t xml:space="preserve"> kraj</w:t>
            </w:r>
          </w:p>
        </w:tc>
        <w:tc>
          <w:tcPr>
            <w:tcW w:w="1417"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579 944</w:t>
            </w:r>
          </w:p>
        </w:tc>
        <w:tc>
          <w:tcPr>
            <w:tcW w:w="992" w:type="dxa"/>
            <w:tcBorders>
              <w:top w:val="nil"/>
              <w:bottom w:val="nil"/>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772</w:t>
            </w:r>
          </w:p>
        </w:tc>
        <w:tc>
          <w:tcPr>
            <w:tcW w:w="654" w:type="dxa"/>
            <w:tcBorders>
              <w:top w:val="nil"/>
              <w:bottom w:val="nil"/>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0,13</w:t>
            </w:r>
          </w:p>
        </w:tc>
      </w:tr>
      <w:tr w:rsidR="00A27222" w:rsidRPr="00B452EA" w:rsidTr="00BB7C6C">
        <w:trPr>
          <w:trHeight w:hRule="exact" w:val="284"/>
        </w:trPr>
        <w:tc>
          <w:tcPr>
            <w:tcW w:w="2197" w:type="dxa"/>
            <w:tcBorders>
              <w:top w:val="nil"/>
              <w:left w:val="single" w:sz="4" w:space="0" w:color="auto"/>
              <w:bottom w:val="single" w:sz="4" w:space="0" w:color="auto"/>
            </w:tcBorders>
            <w:shd w:val="clear" w:color="auto" w:fill="auto"/>
            <w:vAlign w:val="bottom"/>
            <w:hideMark/>
          </w:tcPr>
          <w:p w:rsidR="00A27222" w:rsidRPr="00B452EA" w:rsidRDefault="00A27222" w:rsidP="00A27222">
            <w:pPr>
              <w:rPr>
                <w:rFonts w:cs="Arial"/>
                <w:color w:val="000000"/>
                <w:sz w:val="18"/>
                <w:szCs w:val="18"/>
              </w:rPr>
            </w:pPr>
            <w:r>
              <w:rPr>
                <w:rFonts w:cs="Arial"/>
                <w:color w:val="000000"/>
                <w:sz w:val="18"/>
                <w:szCs w:val="18"/>
              </w:rPr>
              <w:t xml:space="preserve">  </w:t>
            </w:r>
            <w:r w:rsidRPr="00B452EA">
              <w:rPr>
                <w:rFonts w:cs="Arial"/>
                <w:color w:val="000000"/>
                <w:sz w:val="18"/>
                <w:szCs w:val="18"/>
              </w:rPr>
              <w:t>Moravskoslezský</w:t>
            </w:r>
            <w:r w:rsidR="00BB7C6C">
              <w:rPr>
                <w:rFonts w:cs="Arial"/>
                <w:color w:val="000000"/>
                <w:sz w:val="18"/>
                <w:szCs w:val="18"/>
              </w:rPr>
              <w:t xml:space="preserve"> kraj</w:t>
            </w:r>
          </w:p>
        </w:tc>
        <w:tc>
          <w:tcPr>
            <w:tcW w:w="1417" w:type="dxa"/>
            <w:tcBorders>
              <w:top w:val="nil"/>
              <w:bottom w:val="single" w:sz="4" w:space="0" w:color="auto"/>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1 205 834</w:t>
            </w:r>
          </w:p>
        </w:tc>
        <w:tc>
          <w:tcPr>
            <w:tcW w:w="992" w:type="dxa"/>
            <w:tcBorders>
              <w:top w:val="nil"/>
              <w:bottom w:val="single" w:sz="4" w:space="0" w:color="auto"/>
            </w:tcBorders>
            <w:shd w:val="clear" w:color="auto" w:fill="auto"/>
            <w:noWrap/>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1770</w:t>
            </w:r>
          </w:p>
        </w:tc>
        <w:tc>
          <w:tcPr>
            <w:tcW w:w="654" w:type="dxa"/>
            <w:tcBorders>
              <w:top w:val="nil"/>
              <w:bottom w:val="single" w:sz="4" w:space="0" w:color="auto"/>
              <w:right w:val="single" w:sz="4" w:space="0" w:color="auto"/>
            </w:tcBorders>
            <w:shd w:val="clear" w:color="auto" w:fill="auto"/>
            <w:vAlign w:val="bottom"/>
            <w:hideMark/>
          </w:tcPr>
          <w:p w:rsidR="00A27222" w:rsidRPr="00B452EA" w:rsidRDefault="00A27222" w:rsidP="00A27222">
            <w:pPr>
              <w:jc w:val="right"/>
              <w:rPr>
                <w:rFonts w:cs="Arial"/>
                <w:color w:val="000000"/>
                <w:sz w:val="18"/>
                <w:szCs w:val="18"/>
              </w:rPr>
            </w:pPr>
            <w:r w:rsidRPr="00B452EA">
              <w:rPr>
                <w:rFonts w:cs="Arial"/>
                <w:color w:val="000000"/>
                <w:sz w:val="18"/>
                <w:szCs w:val="18"/>
              </w:rPr>
              <w:t>0,15</w:t>
            </w:r>
          </w:p>
        </w:tc>
      </w:tr>
    </w:tbl>
    <w:p w:rsidR="0051354C" w:rsidRDefault="0051354C" w:rsidP="00E049E3">
      <w:pPr>
        <w:pStyle w:val="Zkladntext"/>
        <w:spacing w:after="0" w:line="276" w:lineRule="auto"/>
        <w:jc w:val="both"/>
        <w:rPr>
          <w:rFonts w:cs="Arial"/>
          <w:sz w:val="20"/>
          <w:szCs w:val="20"/>
        </w:rPr>
      </w:pPr>
      <w:r>
        <w:rPr>
          <w:rFonts w:cs="Arial"/>
          <w:sz w:val="20"/>
          <w:szCs w:val="20"/>
        </w:rPr>
        <w:t>Adresa trvalého pobytu byla doplněna u 10 490 609 osob. Z nich více než 2 % měla adresu trvalého bydliště na ohlašovně pobytu. Adresa trvalého pobytu byla jedním ze vstupů do algoritmu odvození místa obvyklého pobytu. Přestože algoritmus neumožňoval adresu trvalého pobytu na ohlašovně transformovat na adresu obvyklého pobytu (zejména proto, že je logické, že na ohlašovně nikdo obvykle bydlet nemůže), některé kombinace vstupů adresu ohlašovny jako adre</w:t>
      </w:r>
      <w:r w:rsidR="003B3622">
        <w:rPr>
          <w:rFonts w:cs="Arial"/>
          <w:sz w:val="20"/>
          <w:szCs w:val="20"/>
        </w:rPr>
        <w:t>su obvyklého pobytu nevyloučily</w:t>
      </w:r>
      <w:r w:rsidR="00A27222">
        <w:rPr>
          <w:rFonts w:cs="Arial"/>
          <w:sz w:val="20"/>
          <w:szCs w:val="20"/>
        </w:rPr>
        <w:t>.</w:t>
      </w:r>
      <w:r w:rsidR="003B3622">
        <w:rPr>
          <w:rFonts w:cs="Arial"/>
          <w:sz w:val="20"/>
          <w:szCs w:val="20"/>
        </w:rPr>
        <w:t xml:space="preserve"> </w:t>
      </w:r>
      <w:r w:rsidR="00A27222">
        <w:rPr>
          <w:rFonts w:cs="Arial"/>
          <w:sz w:val="20"/>
          <w:szCs w:val="20"/>
        </w:rPr>
        <w:t>P</w:t>
      </w:r>
      <w:r>
        <w:rPr>
          <w:rFonts w:cs="Arial"/>
          <w:sz w:val="20"/>
          <w:szCs w:val="20"/>
        </w:rPr>
        <w:t>ředevším to byly případy, kdy osoba sečtená prostřednictvím formuláře mimo své trvalé bydliště adresu ohlašovny uvedla jako své faktické bydliště v rozhodný okamžik.</w:t>
      </w:r>
      <w:r w:rsidR="000C2170">
        <w:rPr>
          <w:rFonts w:cs="Arial"/>
          <w:sz w:val="20"/>
          <w:szCs w:val="20"/>
        </w:rPr>
        <w:t xml:space="preserve"> </w:t>
      </w:r>
      <w:r w:rsidR="003B3622">
        <w:rPr>
          <w:rFonts w:cs="Arial"/>
          <w:sz w:val="20"/>
          <w:szCs w:val="20"/>
        </w:rPr>
        <w:t>V definitivních výsledcích podle obvyklého pobytu bylo tedy necelých 19 tisíc osob (0,2</w:t>
      </w:r>
      <w:r w:rsidR="00A27222">
        <w:rPr>
          <w:rFonts w:cs="Arial"/>
          <w:sz w:val="20"/>
          <w:szCs w:val="20"/>
        </w:rPr>
        <w:t> </w:t>
      </w:r>
      <w:r w:rsidR="003B3622">
        <w:rPr>
          <w:rFonts w:cs="Arial"/>
          <w:sz w:val="20"/>
          <w:szCs w:val="20"/>
        </w:rPr>
        <w:t>%) z počtu obyvatel s obvyklým pobytem, kte</w:t>
      </w:r>
      <w:r w:rsidR="000C2170">
        <w:rPr>
          <w:rFonts w:cs="Arial"/>
          <w:sz w:val="20"/>
          <w:szCs w:val="20"/>
        </w:rPr>
        <w:t>rým adresa ohlašovny zůstala jako obvyklé bydliště. Vzhledem k tomu, že jde o administrativní resp. provozní budovu, jsou tyto osoby zařazeny do bydlení mimo byty a zařízení.</w:t>
      </w:r>
    </w:p>
    <w:p w:rsidR="00E049E3" w:rsidRDefault="00E049E3" w:rsidP="00E049E3">
      <w:pPr>
        <w:pStyle w:val="Zkladntext"/>
        <w:spacing w:after="0" w:line="276" w:lineRule="auto"/>
        <w:jc w:val="both"/>
        <w:rPr>
          <w:rFonts w:cs="Arial"/>
          <w:sz w:val="20"/>
          <w:szCs w:val="20"/>
        </w:rPr>
      </w:pPr>
    </w:p>
    <w:p w:rsidR="0051354C" w:rsidRDefault="0051354C" w:rsidP="00E049E3">
      <w:pPr>
        <w:pStyle w:val="Normln-web"/>
        <w:spacing w:before="0" w:line="276" w:lineRule="auto"/>
        <w:rPr>
          <w:sz w:val="20"/>
          <w:szCs w:val="20"/>
        </w:rPr>
      </w:pPr>
      <w:r>
        <w:rPr>
          <w:sz w:val="20"/>
          <w:szCs w:val="20"/>
        </w:rPr>
        <w:t>I</w:t>
      </w:r>
      <w:r w:rsidRPr="000C0FEE">
        <w:rPr>
          <w:sz w:val="20"/>
          <w:szCs w:val="20"/>
        </w:rPr>
        <w:t>nstitut trvalého pobytu na adrese sídla ohlašovny</w:t>
      </w:r>
      <w:r>
        <w:rPr>
          <w:sz w:val="20"/>
          <w:szCs w:val="20"/>
        </w:rPr>
        <w:t xml:space="preserve"> měl v době vzniku příslušného zákona řešit výjimečné případy</w:t>
      </w:r>
      <w:r w:rsidR="00ED42A5">
        <w:rPr>
          <w:sz w:val="20"/>
          <w:szCs w:val="20"/>
        </w:rPr>
        <w:t>.</w:t>
      </w:r>
      <w:r>
        <w:rPr>
          <w:sz w:val="20"/>
          <w:szCs w:val="20"/>
        </w:rPr>
        <w:t xml:space="preserve"> Časem ale převládly případy zrušených trvalých pobytů ve správním řízení obcí, a to nejen z oprávněných důvodů (např. proto, že </w:t>
      </w:r>
      <w:r w:rsidRPr="000C0FEE">
        <w:rPr>
          <w:sz w:val="20"/>
          <w:szCs w:val="20"/>
        </w:rPr>
        <w:t>objekt byl zbourán</w:t>
      </w:r>
      <w:r>
        <w:rPr>
          <w:sz w:val="20"/>
          <w:szCs w:val="20"/>
        </w:rPr>
        <w:t>)</w:t>
      </w:r>
      <w:r w:rsidRPr="000C0FEE">
        <w:rPr>
          <w:sz w:val="20"/>
          <w:szCs w:val="20"/>
        </w:rPr>
        <w:t xml:space="preserve">, ale zejména </w:t>
      </w:r>
      <w:r>
        <w:rPr>
          <w:sz w:val="20"/>
          <w:szCs w:val="20"/>
        </w:rPr>
        <w:t>na základě</w:t>
      </w:r>
      <w:r w:rsidRPr="000C0FEE">
        <w:rPr>
          <w:sz w:val="20"/>
          <w:szCs w:val="20"/>
        </w:rPr>
        <w:t xml:space="preserve"> řízení o zrušení trvalého pobytu na návrh oprávněné osoby. </w:t>
      </w:r>
      <w:r>
        <w:rPr>
          <w:sz w:val="20"/>
          <w:szCs w:val="20"/>
        </w:rPr>
        <w:t xml:space="preserve">Řada případů s trvalým pobytem na ohlašovně měla a má i spekulativní charakter (vyhýbání se exekucím). </w:t>
      </w:r>
    </w:p>
    <w:p w:rsidR="00E049E3" w:rsidRDefault="00E049E3" w:rsidP="00E049E3">
      <w:pPr>
        <w:pStyle w:val="Normln-web"/>
        <w:spacing w:before="0" w:line="276" w:lineRule="auto"/>
        <w:rPr>
          <w:sz w:val="20"/>
          <w:szCs w:val="20"/>
        </w:rPr>
      </w:pPr>
    </w:p>
    <w:p w:rsidR="00666CC7" w:rsidRDefault="0051354C" w:rsidP="00E049E3">
      <w:pPr>
        <w:pStyle w:val="Normln-web"/>
        <w:spacing w:before="0" w:line="276" w:lineRule="auto"/>
        <w:jc w:val="left"/>
        <w:rPr>
          <w:rFonts w:cs="Arial"/>
          <w:bCs/>
          <w:kern w:val="32"/>
          <w:sz w:val="20"/>
          <w:szCs w:val="20"/>
        </w:rPr>
      </w:pPr>
      <w:r w:rsidRPr="003E7836">
        <w:rPr>
          <w:sz w:val="20"/>
          <w:szCs w:val="20"/>
        </w:rPr>
        <w:t xml:space="preserve">Bydlení v zařízeních </w:t>
      </w:r>
      <w:r>
        <w:rPr>
          <w:rFonts w:cs="Arial"/>
          <w:bCs/>
          <w:kern w:val="32"/>
          <w:sz w:val="20"/>
          <w:szCs w:val="20"/>
        </w:rPr>
        <w:t xml:space="preserve">podle metodiky sčítání znamenalo způsob bydlení, nikoliv nutně odpovídající druh domu. Osoby v zařízeních mohly tedy být např. i v bytových domech, pokud v domě bylo zařízení spolu </w:t>
      </w:r>
      <w:r>
        <w:rPr>
          <w:rFonts w:cs="Arial"/>
          <w:bCs/>
          <w:kern w:val="32"/>
          <w:sz w:val="20"/>
          <w:szCs w:val="20"/>
        </w:rPr>
        <w:lastRenderedPageBreak/>
        <w:t xml:space="preserve">s byty. Druh domu se určoval podle převažujícího využívání domu. Jestliže tedy převažovaly byty, byl dům označen jako bytový bez ohledu na to, že např. jedno patro domu sloužilo jako ubytovna. </w:t>
      </w:r>
    </w:p>
    <w:p w:rsidR="00666CC7" w:rsidRDefault="00666CC7" w:rsidP="00C16D7E">
      <w:pPr>
        <w:pStyle w:val="Normln-web"/>
        <w:spacing w:line="276" w:lineRule="auto"/>
        <w:jc w:val="left"/>
        <w:rPr>
          <w:rFonts w:cs="Arial"/>
          <w:bCs/>
          <w:kern w:val="32"/>
          <w:sz w:val="20"/>
          <w:szCs w:val="20"/>
        </w:rPr>
      </w:pPr>
    </w:p>
    <w:tbl>
      <w:tblPr>
        <w:tblW w:w="9522" w:type="dxa"/>
        <w:tblInd w:w="55" w:type="dxa"/>
        <w:tblCellMar>
          <w:left w:w="70" w:type="dxa"/>
          <w:right w:w="70" w:type="dxa"/>
        </w:tblCellMar>
        <w:tblLook w:val="04A0"/>
      </w:tblPr>
      <w:tblGrid>
        <w:gridCol w:w="2992"/>
        <w:gridCol w:w="1134"/>
        <w:gridCol w:w="992"/>
        <w:gridCol w:w="851"/>
        <w:gridCol w:w="1134"/>
        <w:gridCol w:w="992"/>
        <w:gridCol w:w="716"/>
        <w:gridCol w:w="711"/>
      </w:tblGrid>
      <w:tr w:rsidR="00A92FC8" w:rsidRPr="00F7485B" w:rsidTr="00A92FC8">
        <w:trPr>
          <w:trHeight w:hRule="exact" w:val="227"/>
        </w:trPr>
        <w:tc>
          <w:tcPr>
            <w:tcW w:w="9522" w:type="dxa"/>
            <w:gridSpan w:val="8"/>
            <w:tcBorders>
              <w:top w:val="nil"/>
              <w:left w:val="nil"/>
              <w:bottom w:val="nil"/>
              <w:right w:val="nil"/>
            </w:tcBorders>
            <w:shd w:val="clear" w:color="000000" w:fill="FFFFFF"/>
            <w:noWrap/>
            <w:vAlign w:val="bottom"/>
            <w:hideMark/>
          </w:tcPr>
          <w:p w:rsidR="00A92FC8" w:rsidRPr="00A92FC8" w:rsidRDefault="00760C72" w:rsidP="00A27222">
            <w:pPr>
              <w:suppressAutoHyphens w:val="0"/>
              <w:rPr>
                <w:rFonts w:cs="Arial"/>
                <w:b/>
                <w:noProof w:val="0"/>
                <w:sz w:val="20"/>
                <w:szCs w:val="20"/>
                <w:lang w:eastAsia="cs-CZ"/>
              </w:rPr>
            </w:pPr>
            <w:r>
              <w:rPr>
                <w:rFonts w:cs="Arial"/>
                <w:b/>
                <w:bCs/>
                <w:sz w:val="20"/>
                <w:szCs w:val="20"/>
              </w:rPr>
              <w:t xml:space="preserve">Tab. č. 4 </w:t>
            </w:r>
            <w:r w:rsidR="00A92FC8" w:rsidRPr="00A92FC8">
              <w:rPr>
                <w:rFonts w:cs="Arial"/>
                <w:b/>
                <w:noProof w:val="0"/>
                <w:sz w:val="20"/>
                <w:szCs w:val="20"/>
                <w:lang w:eastAsia="cs-CZ"/>
              </w:rPr>
              <w:t>Osoby podle způsobu bydlení a druhu domu v letech 2001 a 2011</w:t>
            </w:r>
          </w:p>
        </w:tc>
      </w:tr>
      <w:tr w:rsidR="001B3330" w:rsidRPr="00F7485B" w:rsidTr="00FD35EB">
        <w:trPr>
          <w:trHeight w:val="600"/>
        </w:trPr>
        <w:tc>
          <w:tcPr>
            <w:tcW w:w="2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7485B" w:rsidRPr="00F7485B" w:rsidRDefault="00F7485B" w:rsidP="004D60B0">
            <w:pPr>
              <w:suppressAutoHyphens w:val="0"/>
              <w:rPr>
                <w:rFonts w:cs="Arial"/>
                <w:noProof w:val="0"/>
                <w:sz w:val="18"/>
                <w:szCs w:val="18"/>
                <w:lang w:eastAsia="cs-CZ"/>
              </w:rPr>
            </w:pPr>
            <w:r w:rsidRPr="00F7485B">
              <w:rPr>
                <w:rFonts w:cs="Arial"/>
                <w:noProof w:val="0"/>
                <w:sz w:val="18"/>
                <w:szCs w:val="18"/>
                <w:lang w:eastAsia="cs-CZ"/>
              </w:rPr>
              <w:t>Druh domu</w:t>
            </w:r>
          </w:p>
        </w:tc>
        <w:tc>
          <w:tcPr>
            <w:tcW w:w="2977" w:type="dxa"/>
            <w:gridSpan w:val="3"/>
            <w:tcBorders>
              <w:top w:val="single" w:sz="4" w:space="0" w:color="auto"/>
              <w:left w:val="nil"/>
              <w:bottom w:val="single" w:sz="4" w:space="0" w:color="auto"/>
              <w:right w:val="single" w:sz="4" w:space="0" w:color="auto"/>
            </w:tcBorders>
            <w:shd w:val="clear" w:color="000000" w:fill="FFFFFF"/>
            <w:vAlign w:val="center"/>
            <w:hideMark/>
          </w:tcPr>
          <w:p w:rsidR="00F7485B" w:rsidRPr="00F7485B" w:rsidRDefault="00F7485B" w:rsidP="001B3330">
            <w:pPr>
              <w:suppressAutoHyphens w:val="0"/>
              <w:jc w:val="center"/>
              <w:rPr>
                <w:rFonts w:cs="Arial"/>
                <w:noProof w:val="0"/>
                <w:sz w:val="18"/>
                <w:szCs w:val="18"/>
                <w:lang w:eastAsia="cs-CZ"/>
              </w:rPr>
            </w:pPr>
            <w:r w:rsidRPr="00F7485B">
              <w:rPr>
                <w:rFonts w:cs="Arial"/>
                <w:noProof w:val="0"/>
                <w:sz w:val="18"/>
                <w:szCs w:val="18"/>
                <w:lang w:eastAsia="cs-CZ"/>
              </w:rPr>
              <w:t>200</w:t>
            </w:r>
            <w:r w:rsidR="001B3330">
              <w:rPr>
                <w:rFonts w:cs="Arial"/>
                <w:noProof w:val="0"/>
                <w:sz w:val="18"/>
                <w:szCs w:val="18"/>
                <w:lang w:eastAsia="cs-CZ"/>
              </w:rPr>
              <w:t>1</w:t>
            </w:r>
            <w:r w:rsidRPr="00F7485B">
              <w:rPr>
                <w:rFonts w:cs="Arial"/>
                <w:noProof w:val="0"/>
                <w:sz w:val="18"/>
                <w:szCs w:val="18"/>
                <w:lang w:eastAsia="cs-CZ"/>
              </w:rPr>
              <w:t xml:space="preserve"> </w:t>
            </w:r>
            <w:r w:rsidRPr="00F7485B">
              <w:rPr>
                <w:rFonts w:cs="Arial"/>
                <w:noProof w:val="0"/>
                <w:sz w:val="18"/>
                <w:szCs w:val="18"/>
                <w:lang w:eastAsia="cs-CZ"/>
              </w:rPr>
              <w:br/>
              <w:t>Trvale bydlící osoby</w:t>
            </w:r>
          </w:p>
        </w:tc>
        <w:tc>
          <w:tcPr>
            <w:tcW w:w="2842" w:type="dxa"/>
            <w:gridSpan w:val="3"/>
            <w:tcBorders>
              <w:top w:val="single" w:sz="4" w:space="0" w:color="auto"/>
              <w:left w:val="nil"/>
              <w:bottom w:val="single" w:sz="4" w:space="0" w:color="auto"/>
              <w:right w:val="single" w:sz="4" w:space="0" w:color="auto"/>
            </w:tcBorders>
            <w:shd w:val="clear" w:color="000000" w:fill="FFFFFF"/>
            <w:vAlign w:val="center"/>
            <w:hideMark/>
          </w:tcPr>
          <w:p w:rsidR="00F7485B" w:rsidRPr="00F7485B" w:rsidRDefault="00F7485B" w:rsidP="001B3330">
            <w:pPr>
              <w:suppressAutoHyphens w:val="0"/>
              <w:jc w:val="center"/>
              <w:rPr>
                <w:rFonts w:cs="Arial"/>
                <w:noProof w:val="0"/>
                <w:sz w:val="18"/>
                <w:szCs w:val="18"/>
                <w:lang w:eastAsia="cs-CZ"/>
              </w:rPr>
            </w:pPr>
            <w:r w:rsidRPr="00F7485B">
              <w:rPr>
                <w:rFonts w:cs="Arial"/>
                <w:noProof w:val="0"/>
                <w:sz w:val="18"/>
                <w:szCs w:val="18"/>
                <w:lang w:eastAsia="cs-CZ"/>
              </w:rPr>
              <w:t>201</w:t>
            </w:r>
            <w:r w:rsidR="001B3330">
              <w:rPr>
                <w:rFonts w:cs="Arial"/>
                <w:noProof w:val="0"/>
                <w:sz w:val="18"/>
                <w:szCs w:val="18"/>
                <w:lang w:eastAsia="cs-CZ"/>
              </w:rPr>
              <w:t>1</w:t>
            </w:r>
            <w:r w:rsidRPr="00F7485B">
              <w:rPr>
                <w:rFonts w:cs="Arial"/>
                <w:noProof w:val="0"/>
                <w:sz w:val="18"/>
                <w:szCs w:val="18"/>
                <w:lang w:eastAsia="cs-CZ"/>
              </w:rPr>
              <w:t xml:space="preserve"> </w:t>
            </w:r>
            <w:r w:rsidRPr="00F7485B">
              <w:rPr>
                <w:rFonts w:cs="Arial"/>
                <w:noProof w:val="0"/>
                <w:sz w:val="18"/>
                <w:szCs w:val="18"/>
                <w:lang w:eastAsia="cs-CZ"/>
              </w:rPr>
              <w:br/>
              <w:t>Obvykle bydlící osoby</w:t>
            </w:r>
          </w:p>
        </w:tc>
        <w:tc>
          <w:tcPr>
            <w:tcW w:w="711" w:type="dxa"/>
            <w:tcBorders>
              <w:top w:val="single" w:sz="4" w:space="0" w:color="auto"/>
              <w:left w:val="single" w:sz="4" w:space="0" w:color="auto"/>
              <w:right w:val="single" w:sz="4" w:space="0" w:color="auto"/>
            </w:tcBorders>
            <w:shd w:val="clear" w:color="000000" w:fill="FFFFFF"/>
            <w:vAlign w:val="center"/>
            <w:hideMark/>
          </w:tcPr>
          <w:p w:rsidR="001B3330" w:rsidRDefault="001B3330" w:rsidP="00F7485B">
            <w:pPr>
              <w:suppressAutoHyphens w:val="0"/>
              <w:jc w:val="center"/>
              <w:rPr>
                <w:rFonts w:cs="Arial"/>
                <w:noProof w:val="0"/>
                <w:sz w:val="18"/>
                <w:szCs w:val="18"/>
                <w:lang w:eastAsia="cs-CZ"/>
              </w:rPr>
            </w:pPr>
            <w:r>
              <w:rPr>
                <w:rFonts w:cs="Arial"/>
                <w:noProof w:val="0"/>
                <w:sz w:val="18"/>
                <w:szCs w:val="18"/>
                <w:lang w:eastAsia="cs-CZ"/>
              </w:rPr>
              <w:t xml:space="preserve">2011 </w:t>
            </w:r>
          </w:p>
          <w:p w:rsidR="00F7485B" w:rsidRPr="00F7485B" w:rsidRDefault="00F7485B" w:rsidP="001B3330">
            <w:pPr>
              <w:suppressAutoHyphens w:val="0"/>
              <w:rPr>
                <w:rFonts w:cs="Arial"/>
                <w:noProof w:val="0"/>
                <w:sz w:val="18"/>
                <w:szCs w:val="18"/>
                <w:lang w:eastAsia="cs-CZ"/>
              </w:rPr>
            </w:pPr>
          </w:p>
        </w:tc>
      </w:tr>
      <w:tr w:rsidR="001B3330" w:rsidRPr="00F7485B" w:rsidTr="00ED42A5">
        <w:trPr>
          <w:trHeight w:val="718"/>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1B3330" w:rsidRPr="00F7485B" w:rsidRDefault="001B3330" w:rsidP="00F7485B">
            <w:pPr>
              <w:suppressAutoHyphens w:val="0"/>
              <w:rPr>
                <w:rFonts w:cs="Arial"/>
                <w:noProof w:val="0"/>
                <w:sz w:val="18"/>
                <w:szCs w:val="18"/>
                <w:lang w:eastAsia="cs-CZ"/>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1B3330" w:rsidRPr="00F7485B" w:rsidRDefault="001B3330" w:rsidP="00F7485B">
            <w:pPr>
              <w:suppressAutoHyphens w:val="0"/>
              <w:jc w:val="center"/>
              <w:rPr>
                <w:rFonts w:cs="Arial"/>
                <w:noProof w:val="0"/>
                <w:sz w:val="18"/>
                <w:szCs w:val="18"/>
                <w:lang w:eastAsia="cs-CZ"/>
              </w:rPr>
            </w:pPr>
            <w:r w:rsidRPr="00F7485B">
              <w:rPr>
                <w:rFonts w:cs="Arial"/>
                <w:noProof w:val="0"/>
                <w:sz w:val="18"/>
                <w:szCs w:val="18"/>
                <w:lang w:eastAsia="cs-CZ"/>
              </w:rPr>
              <w:t>v bytech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1B3330" w:rsidRPr="00F7485B" w:rsidRDefault="001B3330" w:rsidP="00F7485B">
            <w:pPr>
              <w:suppressAutoHyphens w:val="0"/>
              <w:jc w:val="center"/>
              <w:rPr>
                <w:rFonts w:cs="Arial"/>
                <w:noProof w:val="0"/>
                <w:sz w:val="18"/>
                <w:szCs w:val="18"/>
                <w:lang w:eastAsia="cs-CZ"/>
              </w:rPr>
            </w:pPr>
            <w:r w:rsidRPr="00F7485B">
              <w:rPr>
                <w:rFonts w:cs="Arial"/>
                <w:noProof w:val="0"/>
                <w:sz w:val="18"/>
                <w:szCs w:val="18"/>
                <w:lang w:eastAsia="cs-CZ"/>
              </w:rPr>
              <w:t xml:space="preserve">v </w:t>
            </w:r>
            <w:proofErr w:type="spellStart"/>
            <w:r w:rsidRPr="00F7485B">
              <w:rPr>
                <w:rFonts w:cs="Arial"/>
                <w:noProof w:val="0"/>
                <w:sz w:val="18"/>
                <w:szCs w:val="18"/>
                <w:lang w:eastAsia="cs-CZ"/>
              </w:rPr>
              <w:t>zaříze</w:t>
            </w:r>
            <w:proofErr w:type="spellEnd"/>
            <w:r w:rsidRPr="00F7485B">
              <w:rPr>
                <w:rFonts w:cs="Arial"/>
                <w:noProof w:val="0"/>
                <w:sz w:val="18"/>
                <w:szCs w:val="18"/>
                <w:lang w:eastAsia="cs-CZ"/>
              </w:rPr>
              <w:t>-</w:t>
            </w:r>
            <w:r w:rsidRPr="00F7485B">
              <w:rPr>
                <w:rFonts w:cs="Arial"/>
                <w:noProof w:val="0"/>
                <w:sz w:val="18"/>
                <w:szCs w:val="18"/>
                <w:lang w:eastAsia="cs-CZ"/>
              </w:rPr>
              <w:br/>
            </w:r>
            <w:proofErr w:type="spellStart"/>
            <w:r w:rsidRPr="00F7485B">
              <w:rPr>
                <w:rFonts w:cs="Arial"/>
                <w:noProof w:val="0"/>
                <w:sz w:val="18"/>
                <w:szCs w:val="18"/>
                <w:lang w:eastAsia="cs-CZ"/>
              </w:rPr>
              <w:t>ních</w:t>
            </w:r>
            <w:proofErr w:type="spellEnd"/>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3330" w:rsidRPr="00F7485B" w:rsidRDefault="001B3330" w:rsidP="00F7485B">
            <w:pPr>
              <w:suppressAutoHyphens w:val="0"/>
              <w:jc w:val="center"/>
              <w:rPr>
                <w:rFonts w:cs="Arial"/>
                <w:noProof w:val="0"/>
                <w:sz w:val="18"/>
                <w:szCs w:val="18"/>
                <w:lang w:eastAsia="cs-CZ"/>
              </w:rPr>
            </w:pPr>
            <w:r w:rsidRPr="00F7485B">
              <w:rPr>
                <w:rFonts w:cs="Arial"/>
                <w:noProof w:val="0"/>
                <w:sz w:val="18"/>
                <w:szCs w:val="18"/>
                <w:lang w:eastAsia="cs-CZ"/>
              </w:rPr>
              <w:t>jinde</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1B3330" w:rsidRPr="00F7485B" w:rsidRDefault="001B3330" w:rsidP="00F7485B">
            <w:pPr>
              <w:suppressAutoHyphens w:val="0"/>
              <w:jc w:val="center"/>
              <w:rPr>
                <w:rFonts w:cs="Arial"/>
                <w:noProof w:val="0"/>
                <w:sz w:val="18"/>
                <w:szCs w:val="18"/>
                <w:lang w:eastAsia="cs-CZ"/>
              </w:rPr>
            </w:pPr>
            <w:r w:rsidRPr="00F7485B">
              <w:rPr>
                <w:rFonts w:cs="Arial"/>
                <w:noProof w:val="0"/>
                <w:sz w:val="18"/>
                <w:szCs w:val="18"/>
                <w:lang w:eastAsia="cs-CZ"/>
              </w:rPr>
              <w:t>v bytech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1B3330" w:rsidRPr="00F7485B" w:rsidRDefault="001B3330" w:rsidP="00F7485B">
            <w:pPr>
              <w:suppressAutoHyphens w:val="0"/>
              <w:jc w:val="center"/>
              <w:rPr>
                <w:rFonts w:cs="Arial"/>
                <w:noProof w:val="0"/>
                <w:sz w:val="18"/>
                <w:szCs w:val="18"/>
                <w:lang w:eastAsia="cs-CZ"/>
              </w:rPr>
            </w:pPr>
            <w:r w:rsidRPr="00F7485B">
              <w:rPr>
                <w:rFonts w:cs="Arial"/>
                <w:noProof w:val="0"/>
                <w:sz w:val="18"/>
                <w:szCs w:val="18"/>
                <w:lang w:eastAsia="cs-CZ"/>
              </w:rPr>
              <w:t xml:space="preserve">v </w:t>
            </w:r>
            <w:proofErr w:type="spellStart"/>
            <w:r w:rsidRPr="00F7485B">
              <w:rPr>
                <w:rFonts w:cs="Arial"/>
                <w:noProof w:val="0"/>
                <w:sz w:val="18"/>
                <w:szCs w:val="18"/>
                <w:lang w:eastAsia="cs-CZ"/>
              </w:rPr>
              <w:t>zaříze</w:t>
            </w:r>
            <w:proofErr w:type="spellEnd"/>
            <w:r w:rsidRPr="00F7485B">
              <w:rPr>
                <w:rFonts w:cs="Arial"/>
                <w:noProof w:val="0"/>
                <w:sz w:val="18"/>
                <w:szCs w:val="18"/>
                <w:lang w:eastAsia="cs-CZ"/>
              </w:rPr>
              <w:t>-</w:t>
            </w:r>
            <w:r w:rsidRPr="00F7485B">
              <w:rPr>
                <w:rFonts w:cs="Arial"/>
                <w:noProof w:val="0"/>
                <w:sz w:val="18"/>
                <w:szCs w:val="18"/>
                <w:lang w:eastAsia="cs-CZ"/>
              </w:rPr>
              <w:br/>
            </w:r>
            <w:proofErr w:type="spellStart"/>
            <w:r w:rsidRPr="00F7485B">
              <w:rPr>
                <w:rFonts w:cs="Arial"/>
                <w:noProof w:val="0"/>
                <w:sz w:val="18"/>
                <w:szCs w:val="18"/>
                <w:lang w:eastAsia="cs-CZ"/>
              </w:rPr>
              <w:t>ních</w:t>
            </w:r>
            <w:proofErr w:type="spellEnd"/>
          </w:p>
        </w:tc>
        <w:tc>
          <w:tcPr>
            <w:tcW w:w="716" w:type="dxa"/>
            <w:tcBorders>
              <w:top w:val="nil"/>
              <w:left w:val="single" w:sz="4" w:space="0" w:color="auto"/>
              <w:bottom w:val="single" w:sz="4" w:space="0" w:color="auto"/>
              <w:right w:val="single" w:sz="4" w:space="0" w:color="auto"/>
            </w:tcBorders>
            <w:shd w:val="clear" w:color="000000" w:fill="FFFFFF"/>
            <w:vAlign w:val="center"/>
            <w:hideMark/>
          </w:tcPr>
          <w:p w:rsidR="001B3330" w:rsidRPr="00F7485B" w:rsidRDefault="001B3330" w:rsidP="00F7485B">
            <w:pPr>
              <w:suppressAutoHyphens w:val="0"/>
              <w:jc w:val="center"/>
              <w:rPr>
                <w:rFonts w:cs="Arial"/>
                <w:noProof w:val="0"/>
                <w:sz w:val="18"/>
                <w:szCs w:val="18"/>
                <w:lang w:eastAsia="cs-CZ"/>
              </w:rPr>
            </w:pPr>
            <w:r w:rsidRPr="00F7485B">
              <w:rPr>
                <w:rFonts w:cs="Arial"/>
                <w:noProof w:val="0"/>
                <w:sz w:val="18"/>
                <w:szCs w:val="18"/>
                <w:lang w:eastAsia="cs-CZ"/>
              </w:rPr>
              <w:t>jinde</w:t>
            </w:r>
          </w:p>
        </w:tc>
        <w:tc>
          <w:tcPr>
            <w:tcW w:w="711" w:type="dxa"/>
            <w:tcBorders>
              <w:left w:val="single" w:sz="4" w:space="0" w:color="auto"/>
              <w:bottom w:val="single" w:sz="4" w:space="0" w:color="auto"/>
              <w:right w:val="single" w:sz="4" w:space="0" w:color="auto"/>
            </w:tcBorders>
            <w:shd w:val="clear" w:color="000000" w:fill="FFFFFF"/>
            <w:vAlign w:val="center"/>
            <w:hideMark/>
          </w:tcPr>
          <w:p w:rsidR="001B3330" w:rsidRPr="00F7485B" w:rsidRDefault="001B3330" w:rsidP="00F7485B">
            <w:pPr>
              <w:suppressAutoHyphens w:val="0"/>
              <w:rPr>
                <w:rFonts w:cs="Arial"/>
                <w:noProof w:val="0"/>
                <w:sz w:val="18"/>
                <w:szCs w:val="18"/>
                <w:lang w:eastAsia="cs-CZ"/>
              </w:rPr>
            </w:pPr>
            <w:r w:rsidRPr="00F7485B">
              <w:rPr>
                <w:rFonts w:cs="Arial"/>
                <w:noProof w:val="0"/>
                <w:sz w:val="18"/>
                <w:szCs w:val="18"/>
                <w:lang w:eastAsia="cs-CZ"/>
              </w:rPr>
              <w:t>Bezdo-</w:t>
            </w:r>
            <w:r w:rsidRPr="00F7485B">
              <w:rPr>
                <w:rFonts w:cs="Arial"/>
                <w:noProof w:val="0"/>
                <w:sz w:val="18"/>
                <w:szCs w:val="18"/>
                <w:lang w:eastAsia="cs-CZ"/>
              </w:rPr>
              <w:br/>
              <w:t>movci</w:t>
            </w:r>
          </w:p>
        </w:tc>
      </w:tr>
      <w:tr w:rsidR="00FD35EB" w:rsidRPr="00F7485B" w:rsidTr="00FD35EB">
        <w:trPr>
          <w:trHeight w:val="402"/>
        </w:trPr>
        <w:tc>
          <w:tcPr>
            <w:tcW w:w="2992" w:type="dxa"/>
            <w:tcBorders>
              <w:top w:val="nil"/>
              <w:left w:val="single" w:sz="4" w:space="0" w:color="auto"/>
              <w:bottom w:val="nil"/>
              <w:right w:val="single" w:sz="4" w:space="0" w:color="000000"/>
            </w:tcBorders>
            <w:shd w:val="clear" w:color="000000" w:fill="FFFFFF"/>
            <w:vAlign w:val="bottom"/>
            <w:hideMark/>
          </w:tcPr>
          <w:p w:rsidR="00F7485B" w:rsidRPr="00F7485B" w:rsidRDefault="00F7485B" w:rsidP="00FD35EB">
            <w:pPr>
              <w:suppressAutoHyphens w:val="0"/>
              <w:rPr>
                <w:rFonts w:cs="Arial"/>
                <w:noProof w:val="0"/>
                <w:sz w:val="18"/>
                <w:szCs w:val="18"/>
                <w:lang w:eastAsia="cs-CZ"/>
              </w:rPr>
            </w:pPr>
            <w:r w:rsidRPr="00F7485B">
              <w:rPr>
                <w:rFonts w:cs="Arial"/>
                <w:noProof w:val="0"/>
                <w:sz w:val="18"/>
                <w:szCs w:val="18"/>
                <w:lang w:eastAsia="cs-CZ"/>
              </w:rPr>
              <w:t>Domy celkem</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10 101 302</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71 181</w:t>
            </w:r>
          </w:p>
        </w:tc>
        <w:tc>
          <w:tcPr>
            <w:tcW w:w="851" w:type="dxa"/>
            <w:tcBorders>
              <w:top w:val="single" w:sz="4" w:space="0" w:color="auto"/>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41 604</w:t>
            </w:r>
          </w:p>
        </w:tc>
        <w:tc>
          <w:tcPr>
            <w:tcW w:w="1134" w:type="dxa"/>
            <w:tcBorders>
              <w:top w:val="single" w:sz="4" w:space="0" w:color="auto"/>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10 144 961</w:t>
            </w:r>
          </w:p>
        </w:tc>
        <w:tc>
          <w:tcPr>
            <w:tcW w:w="992" w:type="dxa"/>
            <w:tcBorders>
              <w:top w:val="single" w:sz="4" w:space="0" w:color="auto"/>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192 738</w:t>
            </w:r>
          </w:p>
        </w:tc>
        <w:tc>
          <w:tcPr>
            <w:tcW w:w="716" w:type="dxa"/>
            <w:tcBorders>
              <w:top w:val="single" w:sz="4" w:space="0" w:color="auto"/>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32 408</w:t>
            </w:r>
          </w:p>
        </w:tc>
        <w:tc>
          <w:tcPr>
            <w:tcW w:w="711" w:type="dxa"/>
            <w:tcBorders>
              <w:top w:val="single" w:sz="4" w:space="0" w:color="auto"/>
              <w:left w:val="nil"/>
              <w:bottom w:val="nil"/>
              <w:right w:val="single" w:sz="4" w:space="0" w:color="auto"/>
            </w:tcBorders>
            <w:shd w:val="clear" w:color="000000" w:fill="FFFFFF"/>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obytné domy</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10 012 829</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1 501</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35 476</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10 033 086</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37 607</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4 831</w:t>
            </w:r>
          </w:p>
        </w:tc>
        <w:tc>
          <w:tcPr>
            <w:tcW w:w="711" w:type="dxa"/>
            <w:tcBorders>
              <w:top w:val="nil"/>
              <w:left w:val="nil"/>
              <w:bottom w:val="nil"/>
              <w:right w:val="single" w:sz="4" w:space="0" w:color="auto"/>
            </w:tcBorders>
            <w:shd w:val="clear" w:color="auto" w:fill="auto"/>
            <w:vAlign w:val="bottom"/>
            <w:hideMark/>
          </w:tcPr>
          <w:p w:rsidR="00F7485B" w:rsidRPr="00F7485B" w:rsidRDefault="00E049E3"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ubytovny a svobodárny</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2 075</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8 684</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647</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4 585</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28 143</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2 077</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studentské koleje</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307</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2 836</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130</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455</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11 446</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154</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zařízení pro děti a mládež</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1 768</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2 143</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124</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1 284</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3 992</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287</w:t>
            </w:r>
          </w:p>
        </w:tc>
        <w:tc>
          <w:tcPr>
            <w:tcW w:w="711" w:type="dxa"/>
            <w:tcBorders>
              <w:top w:val="nil"/>
              <w:left w:val="nil"/>
              <w:bottom w:val="nil"/>
              <w:right w:val="single" w:sz="4" w:space="0" w:color="auto"/>
            </w:tcBorders>
            <w:shd w:val="clear" w:color="auto" w:fill="auto"/>
            <w:vAlign w:val="bottom"/>
            <w:hideMark/>
          </w:tcPr>
          <w:p w:rsidR="00F7485B" w:rsidRPr="00F7485B" w:rsidRDefault="00E049E3"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zařízení pro seniory</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2 678</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32 688</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41</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12 907</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35 010</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297</w:t>
            </w:r>
          </w:p>
        </w:tc>
        <w:tc>
          <w:tcPr>
            <w:tcW w:w="711" w:type="dxa"/>
            <w:tcBorders>
              <w:top w:val="nil"/>
              <w:left w:val="nil"/>
              <w:bottom w:val="nil"/>
              <w:right w:val="single" w:sz="4" w:space="0" w:color="auto"/>
            </w:tcBorders>
            <w:shd w:val="clear" w:color="auto" w:fill="auto"/>
            <w:vAlign w:val="bottom"/>
            <w:hideMark/>
          </w:tcPr>
          <w:p w:rsidR="00F7485B" w:rsidRPr="00F7485B" w:rsidRDefault="00E049E3"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ústavy sociál</w:t>
            </w:r>
            <w:r>
              <w:rPr>
                <w:rFonts w:cs="Arial"/>
                <w:noProof w:val="0"/>
                <w:sz w:val="18"/>
                <w:szCs w:val="18"/>
                <w:lang w:eastAsia="cs-CZ"/>
              </w:rPr>
              <w:t>.</w:t>
            </w:r>
            <w:r w:rsidRPr="00F7485B">
              <w:rPr>
                <w:rFonts w:cs="Arial"/>
                <w:noProof w:val="0"/>
                <w:sz w:val="18"/>
                <w:szCs w:val="18"/>
                <w:lang w:eastAsia="cs-CZ"/>
              </w:rPr>
              <w:t xml:space="preserve"> péče pro postižené</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150</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12 693</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15</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670</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15 015</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274</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kláštery a konventy</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1 787</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1 549</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42</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690</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723</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69</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540"/>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 xml:space="preserve">nemocnice, léčebná zařízení, </w:t>
            </w:r>
            <w:r w:rsidRPr="00F7485B">
              <w:rPr>
                <w:rFonts w:cs="Arial"/>
                <w:noProof w:val="0"/>
                <w:sz w:val="18"/>
                <w:szCs w:val="18"/>
                <w:lang w:eastAsia="cs-CZ"/>
              </w:rPr>
              <w:br/>
            </w:r>
            <w:r>
              <w:rPr>
                <w:rFonts w:cs="Arial"/>
                <w:noProof w:val="0"/>
                <w:sz w:val="18"/>
                <w:szCs w:val="18"/>
                <w:lang w:eastAsia="cs-CZ"/>
              </w:rPr>
              <w:t xml:space="preserve">     </w:t>
            </w:r>
            <w:r w:rsidRPr="00F7485B">
              <w:rPr>
                <w:rFonts w:cs="Arial"/>
                <w:noProof w:val="0"/>
                <w:sz w:val="18"/>
                <w:szCs w:val="18"/>
                <w:lang w:eastAsia="cs-CZ"/>
              </w:rPr>
              <w:t>lázeňské ústavy</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856</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1 299</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83</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418</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7 612</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255</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zařízení pro krátkodobé ubyt</w:t>
            </w:r>
            <w:r>
              <w:rPr>
                <w:rFonts w:cs="Arial"/>
                <w:noProof w:val="0"/>
                <w:sz w:val="18"/>
                <w:szCs w:val="18"/>
                <w:lang w:eastAsia="cs-CZ"/>
              </w:rPr>
              <w:t>.</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4 466</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5 409</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1 005</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5 478</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10 756</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1 799</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věznice, vazební věznice</w:t>
            </w:r>
          </w:p>
        </w:tc>
        <w:tc>
          <w:tcPr>
            <w:tcW w:w="1134" w:type="dxa"/>
            <w:tcBorders>
              <w:top w:val="nil"/>
              <w:left w:val="nil"/>
              <w:bottom w:val="nil"/>
              <w:right w:val="single" w:sz="4" w:space="0" w:color="000000"/>
            </w:tcBorders>
            <w:shd w:val="clear" w:color="auto" w:fill="auto"/>
            <w:vAlign w:val="bottom"/>
            <w:hideMark/>
          </w:tcPr>
          <w:p w:rsidR="00F7485B" w:rsidRPr="00F7485B" w:rsidRDefault="00A27222" w:rsidP="00F7485B">
            <w:pPr>
              <w:suppressAutoHyphens w:val="0"/>
              <w:jc w:val="right"/>
              <w:rPr>
                <w:rFonts w:cs="Arial"/>
                <w:noProof w:val="0"/>
                <w:sz w:val="18"/>
                <w:szCs w:val="18"/>
                <w:lang w:eastAsia="cs-CZ"/>
              </w:rPr>
            </w:pPr>
            <w:r>
              <w:rPr>
                <w:rFonts w:cs="Arial"/>
                <w:noProof w:val="0"/>
                <w:sz w:val="18"/>
                <w:szCs w:val="18"/>
                <w:lang w:eastAsia="cs-CZ"/>
              </w:rPr>
              <w:t>.</w:t>
            </w:r>
            <w:r w:rsidR="00F7485B" w:rsidRPr="00F7485B">
              <w:rPr>
                <w:rFonts w:cs="Arial"/>
                <w:noProof w:val="0"/>
                <w:sz w:val="18"/>
                <w:szCs w:val="18"/>
                <w:lang w:eastAsia="cs-CZ"/>
              </w:rPr>
              <w:t> </w:t>
            </w:r>
          </w:p>
        </w:tc>
        <w:tc>
          <w:tcPr>
            <w:tcW w:w="992" w:type="dxa"/>
            <w:tcBorders>
              <w:top w:val="nil"/>
              <w:left w:val="nil"/>
              <w:bottom w:val="nil"/>
              <w:right w:val="single" w:sz="4" w:space="0" w:color="000000"/>
            </w:tcBorders>
            <w:shd w:val="clear" w:color="auto" w:fill="auto"/>
            <w:vAlign w:val="bottom"/>
            <w:hideMark/>
          </w:tcPr>
          <w:p w:rsidR="00F7485B" w:rsidRPr="00F7485B" w:rsidRDefault="00A27222" w:rsidP="00F7485B">
            <w:pPr>
              <w:suppressAutoHyphens w:val="0"/>
              <w:jc w:val="right"/>
              <w:rPr>
                <w:rFonts w:cs="Arial"/>
                <w:noProof w:val="0"/>
                <w:sz w:val="18"/>
                <w:szCs w:val="18"/>
                <w:lang w:eastAsia="cs-CZ"/>
              </w:rPr>
            </w:pPr>
            <w:r>
              <w:rPr>
                <w:rFonts w:cs="Arial"/>
                <w:noProof w:val="0"/>
                <w:sz w:val="18"/>
                <w:szCs w:val="18"/>
                <w:lang w:eastAsia="cs-CZ"/>
              </w:rPr>
              <w:t>.</w:t>
            </w:r>
            <w:r w:rsidR="00F7485B" w:rsidRPr="00F7485B">
              <w:rPr>
                <w:rFonts w:cs="Arial"/>
                <w:noProof w:val="0"/>
                <w:sz w:val="18"/>
                <w:szCs w:val="18"/>
                <w:lang w:eastAsia="cs-CZ"/>
              </w:rPr>
              <w:t> </w:t>
            </w:r>
          </w:p>
        </w:tc>
        <w:tc>
          <w:tcPr>
            <w:tcW w:w="851" w:type="dxa"/>
            <w:tcBorders>
              <w:top w:val="nil"/>
              <w:left w:val="nil"/>
              <w:bottom w:val="nil"/>
              <w:right w:val="single" w:sz="4" w:space="0" w:color="000000"/>
            </w:tcBorders>
            <w:shd w:val="clear" w:color="auto" w:fill="auto"/>
            <w:vAlign w:val="bottom"/>
            <w:hideMark/>
          </w:tcPr>
          <w:p w:rsidR="00F7485B" w:rsidRPr="00F7485B" w:rsidRDefault="00A27222" w:rsidP="00F7485B">
            <w:pPr>
              <w:suppressAutoHyphens w:val="0"/>
              <w:jc w:val="right"/>
              <w:rPr>
                <w:rFonts w:cs="Arial"/>
                <w:noProof w:val="0"/>
                <w:sz w:val="18"/>
                <w:szCs w:val="18"/>
                <w:lang w:eastAsia="cs-CZ"/>
              </w:rPr>
            </w:pPr>
            <w:r>
              <w:rPr>
                <w:rFonts w:cs="Arial"/>
                <w:noProof w:val="0"/>
                <w:sz w:val="18"/>
                <w:szCs w:val="18"/>
                <w:lang w:eastAsia="cs-CZ"/>
              </w:rPr>
              <w:t>.</w:t>
            </w:r>
            <w:r w:rsidR="00F7485B" w:rsidRPr="00F7485B">
              <w:rPr>
                <w:rFonts w:cs="Arial"/>
                <w:noProof w:val="0"/>
                <w:sz w:val="18"/>
                <w:szCs w:val="18"/>
                <w:lang w:eastAsia="cs-CZ"/>
              </w:rPr>
              <w:t> </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47</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14 455</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16</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provozní budovy s byty</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74 292</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2 034</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3 996</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82 498</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4 765</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3 935</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282"/>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 xml:space="preserve">jiné budovy </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94</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345</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45</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2 843</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23 214</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18 414</w:t>
            </w:r>
          </w:p>
        </w:tc>
        <w:tc>
          <w:tcPr>
            <w:tcW w:w="711" w:type="dxa"/>
            <w:tcBorders>
              <w:top w:val="nil"/>
              <w:left w:val="nil"/>
              <w:bottom w:val="nil"/>
              <w:right w:val="single" w:sz="4" w:space="0" w:color="auto"/>
            </w:tcBorders>
            <w:shd w:val="clear" w:color="auto" w:fill="auto"/>
            <w:vAlign w:val="bottom"/>
            <w:hideMark/>
          </w:tcPr>
          <w:p w:rsidR="00F7485B" w:rsidRPr="00F7485B" w:rsidRDefault="00E049E3" w:rsidP="00E049E3">
            <w:pPr>
              <w:suppressAutoHyphens w:val="0"/>
              <w:jc w:val="right"/>
              <w:rPr>
                <w:rFonts w:cs="Arial"/>
                <w:noProof w:val="0"/>
                <w:sz w:val="18"/>
                <w:szCs w:val="18"/>
                <w:lang w:eastAsia="cs-CZ"/>
              </w:rPr>
            </w:pPr>
            <w:r w:rsidRPr="00F7485B">
              <w:rPr>
                <w:rFonts w:cs="Arial"/>
                <w:noProof w:val="0"/>
                <w:sz w:val="18"/>
                <w:szCs w:val="18"/>
                <w:lang w:eastAsia="cs-CZ"/>
              </w:rPr>
              <w:t>x</w:t>
            </w:r>
          </w:p>
        </w:tc>
      </w:tr>
      <w:tr w:rsidR="00F7485B" w:rsidRPr="00F7485B" w:rsidTr="00FD35EB">
        <w:trPr>
          <w:trHeight w:val="600"/>
        </w:trPr>
        <w:tc>
          <w:tcPr>
            <w:tcW w:w="2992" w:type="dxa"/>
            <w:tcBorders>
              <w:top w:val="nil"/>
              <w:left w:val="single" w:sz="4" w:space="0" w:color="auto"/>
              <w:bottom w:val="nil"/>
              <w:right w:val="single" w:sz="4" w:space="0" w:color="000000"/>
            </w:tcBorders>
            <w:shd w:val="clear" w:color="auto" w:fill="auto"/>
            <w:vAlign w:val="bottom"/>
            <w:hideMark/>
          </w:tcPr>
          <w:p w:rsidR="00F7485B" w:rsidRPr="00F7485B" w:rsidRDefault="00F7485B" w:rsidP="00FD35EB">
            <w:pPr>
              <w:suppressAutoHyphens w:val="0"/>
              <w:rPr>
                <w:rFonts w:cs="Arial"/>
                <w:noProof w:val="0"/>
                <w:sz w:val="18"/>
                <w:szCs w:val="18"/>
                <w:lang w:eastAsia="cs-CZ"/>
              </w:rPr>
            </w:pPr>
            <w:r w:rsidRPr="00F7485B">
              <w:rPr>
                <w:rFonts w:cs="Arial"/>
                <w:noProof w:val="0"/>
                <w:sz w:val="18"/>
                <w:szCs w:val="18"/>
                <w:lang w:eastAsia="cs-CZ"/>
              </w:rPr>
              <w:t xml:space="preserve">Bydlící osoby v objektech mimo </w:t>
            </w:r>
            <w:r w:rsidRPr="00F7485B">
              <w:rPr>
                <w:rFonts w:cs="Arial"/>
                <w:noProof w:val="0"/>
                <w:sz w:val="18"/>
                <w:szCs w:val="18"/>
                <w:lang w:eastAsia="cs-CZ"/>
              </w:rPr>
              <w:br/>
              <w:t>bytový fond</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851"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15 973</w:t>
            </w:r>
          </w:p>
        </w:tc>
        <w:tc>
          <w:tcPr>
            <w:tcW w:w="1134"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1 718</w:t>
            </w:r>
          </w:p>
        </w:tc>
        <w:tc>
          <w:tcPr>
            <w:tcW w:w="716" w:type="dxa"/>
            <w:tcBorders>
              <w:top w:val="nil"/>
              <w:left w:val="nil"/>
              <w:bottom w:val="nil"/>
              <w:right w:val="single" w:sz="4" w:space="0" w:color="000000"/>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53 239</w:t>
            </w:r>
          </w:p>
        </w:tc>
        <w:tc>
          <w:tcPr>
            <w:tcW w:w="711" w:type="dxa"/>
            <w:tcBorders>
              <w:top w:val="nil"/>
              <w:left w:val="nil"/>
              <w:bottom w:val="nil"/>
              <w:right w:val="single" w:sz="4" w:space="0" w:color="auto"/>
            </w:tcBorders>
            <w:shd w:val="clear" w:color="auto" w:fill="auto"/>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r>
      <w:tr w:rsidR="00FD35EB" w:rsidRPr="00F7485B" w:rsidTr="00FD35EB">
        <w:trPr>
          <w:trHeight w:val="282"/>
        </w:trPr>
        <w:tc>
          <w:tcPr>
            <w:tcW w:w="2992" w:type="dxa"/>
            <w:tcBorders>
              <w:top w:val="nil"/>
              <w:left w:val="single" w:sz="4" w:space="0" w:color="auto"/>
              <w:bottom w:val="nil"/>
              <w:right w:val="single" w:sz="4" w:space="0" w:color="000000"/>
            </w:tcBorders>
            <w:shd w:val="clear" w:color="000000" w:fill="FFFFFF"/>
            <w:vAlign w:val="bottom"/>
            <w:hideMark/>
          </w:tcPr>
          <w:p w:rsidR="00F7485B" w:rsidRPr="00F7485B" w:rsidRDefault="00F7485B" w:rsidP="00FD35EB">
            <w:pPr>
              <w:suppressAutoHyphens w:val="0"/>
              <w:rPr>
                <w:rFonts w:cs="Arial"/>
                <w:noProof w:val="0"/>
                <w:sz w:val="18"/>
                <w:szCs w:val="18"/>
                <w:lang w:eastAsia="cs-CZ"/>
              </w:rPr>
            </w:pPr>
            <w:r w:rsidRPr="00F7485B">
              <w:rPr>
                <w:rFonts w:cs="Arial"/>
                <w:noProof w:val="0"/>
                <w:sz w:val="18"/>
                <w:szCs w:val="18"/>
                <w:lang w:eastAsia="cs-CZ"/>
              </w:rPr>
              <w:t>v tom:</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 xml:space="preserve"> </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 xml:space="preserve"> </w:t>
            </w:r>
          </w:p>
        </w:tc>
        <w:tc>
          <w:tcPr>
            <w:tcW w:w="851"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 </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 xml:space="preserve"> </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 xml:space="preserve"> </w:t>
            </w:r>
          </w:p>
        </w:tc>
        <w:tc>
          <w:tcPr>
            <w:tcW w:w="716"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 xml:space="preserve"> </w:t>
            </w:r>
          </w:p>
        </w:tc>
        <w:tc>
          <w:tcPr>
            <w:tcW w:w="711" w:type="dxa"/>
            <w:tcBorders>
              <w:top w:val="nil"/>
              <w:left w:val="nil"/>
              <w:bottom w:val="nil"/>
              <w:right w:val="single" w:sz="4" w:space="0" w:color="auto"/>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 xml:space="preserve"> </w:t>
            </w:r>
          </w:p>
        </w:tc>
      </w:tr>
      <w:tr w:rsidR="00FD35EB" w:rsidRPr="00F7485B" w:rsidTr="00FD35EB">
        <w:trPr>
          <w:trHeight w:val="282"/>
        </w:trPr>
        <w:tc>
          <w:tcPr>
            <w:tcW w:w="2992" w:type="dxa"/>
            <w:tcBorders>
              <w:top w:val="nil"/>
              <w:left w:val="single" w:sz="4" w:space="0" w:color="auto"/>
              <w:bottom w:val="nil"/>
              <w:right w:val="single" w:sz="4" w:space="0" w:color="000000"/>
            </w:tcBorders>
            <w:shd w:val="clear" w:color="000000" w:fill="FFFFFF"/>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rekreační chata, chalupa</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851"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12 519</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716"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35 480</w:t>
            </w:r>
          </w:p>
        </w:tc>
        <w:tc>
          <w:tcPr>
            <w:tcW w:w="711" w:type="dxa"/>
            <w:tcBorders>
              <w:top w:val="nil"/>
              <w:left w:val="nil"/>
              <w:bottom w:val="nil"/>
              <w:right w:val="single" w:sz="4" w:space="0" w:color="auto"/>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r>
      <w:tr w:rsidR="00FD35EB" w:rsidRPr="00F7485B" w:rsidTr="00FD35EB">
        <w:trPr>
          <w:trHeight w:val="282"/>
        </w:trPr>
        <w:tc>
          <w:tcPr>
            <w:tcW w:w="2992" w:type="dxa"/>
            <w:tcBorders>
              <w:top w:val="nil"/>
              <w:left w:val="single" w:sz="4" w:space="0" w:color="auto"/>
              <w:bottom w:val="nil"/>
              <w:right w:val="single" w:sz="4" w:space="0" w:color="000000"/>
            </w:tcBorders>
            <w:shd w:val="clear" w:color="000000" w:fill="FFFFFF"/>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nouzové obydlí, přístřeší</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851"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3 232</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716"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16 834</w:t>
            </w:r>
          </w:p>
        </w:tc>
        <w:tc>
          <w:tcPr>
            <w:tcW w:w="711" w:type="dxa"/>
            <w:tcBorders>
              <w:top w:val="nil"/>
              <w:left w:val="nil"/>
              <w:bottom w:val="nil"/>
              <w:right w:val="single" w:sz="4" w:space="0" w:color="auto"/>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r>
      <w:tr w:rsidR="00FD35EB" w:rsidRPr="00F7485B" w:rsidTr="00FD35EB">
        <w:trPr>
          <w:trHeight w:val="282"/>
        </w:trPr>
        <w:tc>
          <w:tcPr>
            <w:tcW w:w="2992" w:type="dxa"/>
            <w:tcBorders>
              <w:top w:val="nil"/>
              <w:left w:val="single" w:sz="4" w:space="0" w:color="auto"/>
              <w:bottom w:val="nil"/>
              <w:right w:val="single" w:sz="4" w:space="0" w:color="000000"/>
            </w:tcBorders>
            <w:shd w:val="clear" w:color="000000" w:fill="FFFFFF"/>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mobilní (pohyblivé) obydlí</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851"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222</w:t>
            </w:r>
          </w:p>
        </w:tc>
        <w:tc>
          <w:tcPr>
            <w:tcW w:w="1134"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716" w:type="dxa"/>
            <w:tcBorders>
              <w:top w:val="nil"/>
              <w:left w:val="nil"/>
              <w:bottom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925</w:t>
            </w:r>
          </w:p>
        </w:tc>
        <w:tc>
          <w:tcPr>
            <w:tcW w:w="711" w:type="dxa"/>
            <w:tcBorders>
              <w:top w:val="nil"/>
              <w:left w:val="nil"/>
              <w:bottom w:val="nil"/>
              <w:right w:val="single" w:sz="4" w:space="0" w:color="auto"/>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r>
      <w:tr w:rsidR="00FD35EB" w:rsidRPr="00F7485B" w:rsidTr="00FD35EB">
        <w:trPr>
          <w:trHeight w:val="282"/>
        </w:trPr>
        <w:tc>
          <w:tcPr>
            <w:tcW w:w="2992" w:type="dxa"/>
            <w:tcBorders>
              <w:top w:val="nil"/>
              <w:left w:val="single" w:sz="4" w:space="0" w:color="auto"/>
              <w:right w:val="single" w:sz="4" w:space="0" w:color="000000"/>
            </w:tcBorders>
            <w:shd w:val="clear" w:color="000000" w:fill="FFFFFF"/>
            <w:vAlign w:val="bottom"/>
            <w:hideMark/>
          </w:tcPr>
          <w:p w:rsidR="00F7485B" w:rsidRPr="00F7485B" w:rsidRDefault="00F7485B" w:rsidP="00FD35EB">
            <w:pPr>
              <w:suppressAutoHyphens w:val="0"/>
              <w:ind w:firstLineChars="100" w:firstLine="180"/>
              <w:rPr>
                <w:rFonts w:cs="Arial"/>
                <w:noProof w:val="0"/>
                <w:sz w:val="18"/>
                <w:szCs w:val="18"/>
                <w:lang w:eastAsia="cs-CZ"/>
              </w:rPr>
            </w:pPr>
            <w:r w:rsidRPr="00F7485B">
              <w:rPr>
                <w:rFonts w:cs="Arial"/>
                <w:noProof w:val="0"/>
                <w:sz w:val="18"/>
                <w:szCs w:val="18"/>
                <w:lang w:eastAsia="cs-CZ"/>
              </w:rPr>
              <w:t>v zařízeních</w:t>
            </w:r>
          </w:p>
        </w:tc>
        <w:tc>
          <w:tcPr>
            <w:tcW w:w="1134" w:type="dxa"/>
            <w:tcBorders>
              <w:top w:val="nil"/>
              <w:left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851" w:type="dxa"/>
            <w:tcBorders>
              <w:top w:val="nil"/>
              <w:left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w:t>
            </w:r>
          </w:p>
        </w:tc>
        <w:tc>
          <w:tcPr>
            <w:tcW w:w="1134" w:type="dxa"/>
            <w:tcBorders>
              <w:top w:val="nil"/>
              <w:left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1 718</w:t>
            </w:r>
          </w:p>
        </w:tc>
        <w:tc>
          <w:tcPr>
            <w:tcW w:w="716" w:type="dxa"/>
            <w:tcBorders>
              <w:top w:val="nil"/>
              <w:left w:val="nil"/>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711" w:type="dxa"/>
            <w:tcBorders>
              <w:top w:val="nil"/>
              <w:left w:val="nil"/>
              <w:right w:val="single" w:sz="4" w:space="0" w:color="auto"/>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r>
      <w:tr w:rsidR="00FD35EB" w:rsidRPr="00F7485B" w:rsidTr="00FD35EB">
        <w:trPr>
          <w:trHeight w:val="300"/>
        </w:trPr>
        <w:tc>
          <w:tcPr>
            <w:tcW w:w="2992" w:type="dxa"/>
            <w:tcBorders>
              <w:top w:val="nil"/>
              <w:left w:val="single" w:sz="4" w:space="0" w:color="auto"/>
              <w:bottom w:val="single" w:sz="4" w:space="0" w:color="000000"/>
              <w:right w:val="single" w:sz="4" w:space="0" w:color="000000"/>
            </w:tcBorders>
            <w:shd w:val="clear" w:color="000000" w:fill="FFFFFF"/>
            <w:vAlign w:val="bottom"/>
            <w:hideMark/>
          </w:tcPr>
          <w:p w:rsidR="00F7485B" w:rsidRPr="00F7485B" w:rsidRDefault="00F7485B" w:rsidP="00FD35EB">
            <w:pPr>
              <w:suppressAutoHyphens w:val="0"/>
              <w:rPr>
                <w:rFonts w:cs="Arial"/>
                <w:noProof w:val="0"/>
                <w:sz w:val="18"/>
                <w:szCs w:val="18"/>
                <w:lang w:eastAsia="cs-CZ"/>
              </w:rPr>
            </w:pPr>
            <w:r w:rsidRPr="00F7485B">
              <w:rPr>
                <w:rFonts w:cs="Arial"/>
                <w:noProof w:val="0"/>
                <w:sz w:val="18"/>
                <w:szCs w:val="18"/>
                <w:lang w:eastAsia="cs-CZ"/>
              </w:rPr>
              <w:t>Bezdomovci</w:t>
            </w:r>
          </w:p>
        </w:tc>
        <w:tc>
          <w:tcPr>
            <w:tcW w:w="1134" w:type="dxa"/>
            <w:tcBorders>
              <w:top w:val="nil"/>
              <w:left w:val="nil"/>
              <w:bottom w:val="single" w:sz="4" w:space="0" w:color="000000"/>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single" w:sz="4" w:space="0" w:color="000000"/>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851" w:type="dxa"/>
            <w:tcBorders>
              <w:top w:val="nil"/>
              <w:left w:val="nil"/>
              <w:bottom w:val="single" w:sz="4" w:space="0" w:color="000000"/>
              <w:right w:val="single" w:sz="4" w:space="0" w:color="000000"/>
            </w:tcBorders>
            <w:shd w:val="clear" w:color="000000" w:fill="FFFFFF"/>
            <w:vAlign w:val="bottom"/>
            <w:hideMark/>
          </w:tcPr>
          <w:p w:rsidR="00F7485B" w:rsidRPr="00F7485B" w:rsidRDefault="00397E72" w:rsidP="00F7485B">
            <w:pPr>
              <w:suppressAutoHyphens w:val="0"/>
              <w:jc w:val="right"/>
              <w:rPr>
                <w:rFonts w:cs="Arial"/>
                <w:noProof w:val="0"/>
                <w:sz w:val="18"/>
                <w:szCs w:val="18"/>
                <w:lang w:eastAsia="cs-CZ"/>
              </w:rPr>
            </w:pPr>
            <w:r>
              <w:rPr>
                <w:rFonts w:cs="Arial"/>
                <w:noProof w:val="0"/>
                <w:sz w:val="18"/>
                <w:szCs w:val="18"/>
                <w:lang w:eastAsia="cs-CZ"/>
              </w:rPr>
              <w:t>.</w:t>
            </w:r>
          </w:p>
        </w:tc>
        <w:tc>
          <w:tcPr>
            <w:tcW w:w="1134" w:type="dxa"/>
            <w:tcBorders>
              <w:top w:val="nil"/>
              <w:left w:val="nil"/>
              <w:bottom w:val="single" w:sz="4" w:space="0" w:color="000000"/>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992" w:type="dxa"/>
            <w:tcBorders>
              <w:top w:val="nil"/>
              <w:left w:val="nil"/>
              <w:bottom w:val="single" w:sz="4" w:space="0" w:color="000000"/>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716" w:type="dxa"/>
            <w:tcBorders>
              <w:top w:val="nil"/>
              <w:left w:val="nil"/>
              <w:bottom w:val="single" w:sz="4" w:space="0" w:color="000000"/>
              <w:right w:val="single" w:sz="4" w:space="0" w:color="000000"/>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x</w:t>
            </w:r>
          </w:p>
        </w:tc>
        <w:tc>
          <w:tcPr>
            <w:tcW w:w="711" w:type="dxa"/>
            <w:tcBorders>
              <w:top w:val="nil"/>
              <w:left w:val="nil"/>
              <w:bottom w:val="single" w:sz="4" w:space="0" w:color="000000"/>
              <w:right w:val="single" w:sz="4" w:space="0" w:color="auto"/>
            </w:tcBorders>
            <w:shd w:val="clear" w:color="000000" w:fill="FFFFFF"/>
            <w:vAlign w:val="bottom"/>
            <w:hideMark/>
          </w:tcPr>
          <w:p w:rsidR="00F7485B" w:rsidRPr="00F7485B" w:rsidRDefault="00F7485B" w:rsidP="00F7485B">
            <w:pPr>
              <w:suppressAutoHyphens w:val="0"/>
              <w:jc w:val="right"/>
              <w:rPr>
                <w:rFonts w:cs="Arial"/>
                <w:noProof w:val="0"/>
                <w:sz w:val="18"/>
                <w:szCs w:val="18"/>
                <w:lang w:eastAsia="cs-CZ"/>
              </w:rPr>
            </w:pPr>
            <w:r w:rsidRPr="00F7485B">
              <w:rPr>
                <w:rFonts w:cs="Arial"/>
                <w:noProof w:val="0"/>
                <w:sz w:val="18"/>
                <w:szCs w:val="18"/>
                <w:lang w:eastAsia="cs-CZ"/>
              </w:rPr>
              <w:t>11 496</w:t>
            </w:r>
          </w:p>
        </w:tc>
      </w:tr>
    </w:tbl>
    <w:p w:rsidR="00F7485B" w:rsidRDefault="00F7485B" w:rsidP="00C16D7E">
      <w:pPr>
        <w:pStyle w:val="Normln-web"/>
        <w:spacing w:line="276" w:lineRule="auto"/>
        <w:jc w:val="left"/>
        <w:rPr>
          <w:rFonts w:cs="Arial"/>
          <w:bCs/>
          <w:kern w:val="32"/>
          <w:sz w:val="20"/>
          <w:szCs w:val="20"/>
        </w:rPr>
      </w:pPr>
    </w:p>
    <w:p w:rsidR="00F7485B" w:rsidRDefault="00F7485B" w:rsidP="00C16D7E">
      <w:pPr>
        <w:pStyle w:val="Normln-web"/>
        <w:spacing w:line="276" w:lineRule="auto"/>
        <w:jc w:val="left"/>
        <w:rPr>
          <w:rFonts w:cs="Arial"/>
          <w:bCs/>
          <w:kern w:val="32"/>
          <w:sz w:val="20"/>
          <w:szCs w:val="20"/>
        </w:rPr>
      </w:pPr>
    </w:p>
    <w:p w:rsidR="009227D1" w:rsidRDefault="009227D1" w:rsidP="00C16D7E">
      <w:pPr>
        <w:pStyle w:val="Normln-web"/>
        <w:spacing w:line="276" w:lineRule="auto"/>
        <w:jc w:val="left"/>
        <w:rPr>
          <w:rFonts w:cs="Arial"/>
          <w:bCs/>
          <w:kern w:val="32"/>
          <w:sz w:val="20"/>
          <w:szCs w:val="20"/>
        </w:rPr>
      </w:pPr>
    </w:p>
    <w:p w:rsidR="00ED42A5" w:rsidRDefault="00ED42A5">
      <w:pPr>
        <w:suppressAutoHyphens w:val="0"/>
        <w:rPr>
          <w:rFonts w:cs="Arial"/>
          <w:bCs/>
          <w:kern w:val="32"/>
          <w:sz w:val="20"/>
          <w:szCs w:val="20"/>
        </w:rPr>
      </w:pPr>
      <w:r>
        <w:rPr>
          <w:rFonts w:cs="Arial"/>
          <w:bCs/>
          <w:kern w:val="32"/>
          <w:sz w:val="20"/>
          <w:szCs w:val="20"/>
        </w:rPr>
        <w:br w:type="page"/>
      </w:r>
    </w:p>
    <w:p w:rsidR="0051354C" w:rsidRPr="00FE2C46" w:rsidRDefault="0051354C" w:rsidP="003C5316">
      <w:pPr>
        <w:pStyle w:val="Normln-web"/>
        <w:numPr>
          <w:ilvl w:val="0"/>
          <w:numId w:val="12"/>
        </w:numPr>
        <w:spacing w:line="276" w:lineRule="auto"/>
        <w:ind w:left="851" w:hanging="851"/>
        <w:jc w:val="left"/>
        <w:rPr>
          <w:b/>
        </w:rPr>
      </w:pPr>
      <w:r w:rsidRPr="00FE2C46">
        <w:rPr>
          <w:b/>
        </w:rPr>
        <w:lastRenderedPageBreak/>
        <w:t>Osoby bydlící v bytech</w:t>
      </w:r>
    </w:p>
    <w:p w:rsidR="001C15A1" w:rsidRDefault="0051354C" w:rsidP="00171994">
      <w:pPr>
        <w:pStyle w:val="Nadpis1a"/>
        <w:tabs>
          <w:tab w:val="left" w:pos="3119"/>
        </w:tabs>
        <w:spacing w:line="276" w:lineRule="auto"/>
        <w:rPr>
          <w:b w:val="0"/>
          <w:i w:val="0"/>
          <w:sz w:val="20"/>
          <w:szCs w:val="20"/>
        </w:rPr>
      </w:pPr>
      <w:r>
        <w:rPr>
          <w:b w:val="0"/>
          <w:i w:val="0"/>
          <w:sz w:val="20"/>
          <w:szCs w:val="20"/>
        </w:rPr>
        <w:t>V bytech bydlelo k </w:t>
      </w:r>
      <w:r w:rsidR="008463AC">
        <w:rPr>
          <w:b w:val="0"/>
          <w:i w:val="0"/>
          <w:sz w:val="20"/>
          <w:szCs w:val="20"/>
        </w:rPr>
        <w:t>26. 3. 2011</w:t>
      </w:r>
      <w:r>
        <w:rPr>
          <w:b w:val="0"/>
          <w:i w:val="0"/>
          <w:sz w:val="20"/>
          <w:szCs w:val="20"/>
        </w:rPr>
        <w:t xml:space="preserve"> celkem 10 144 961 osob, tedy 97,2 % obyvatel</w:t>
      </w:r>
      <w:r w:rsidR="00C16D7E">
        <w:rPr>
          <w:b w:val="0"/>
          <w:i w:val="0"/>
          <w:sz w:val="20"/>
          <w:szCs w:val="20"/>
        </w:rPr>
        <w:t xml:space="preserve"> s obvyklým pobytem</w:t>
      </w:r>
      <w:r>
        <w:rPr>
          <w:b w:val="0"/>
          <w:i w:val="0"/>
          <w:sz w:val="20"/>
          <w:szCs w:val="20"/>
        </w:rPr>
        <w:t>. Z porovnání se sčítáním 2001 v absolutním vyjádření počet osob v bytech vzrostl o necelých 44 tisíc osob, v relativním vyjádření (podíl na celkovém počtu obyvatel) poklesl o 1,5 procentního bodu. </w:t>
      </w:r>
      <w:r w:rsidR="001C15A1">
        <w:rPr>
          <w:b w:val="0"/>
          <w:i w:val="0"/>
          <w:sz w:val="20"/>
          <w:szCs w:val="20"/>
        </w:rPr>
        <w:t xml:space="preserve"> Zvýšení absolutních počtů osob bydlících v bytě je logické, protože jde o hlavní způsob bydlení</w:t>
      </w:r>
      <w:r w:rsidR="008A4180">
        <w:rPr>
          <w:b w:val="0"/>
          <w:i w:val="0"/>
          <w:sz w:val="20"/>
          <w:szCs w:val="20"/>
        </w:rPr>
        <w:t xml:space="preserve"> a </w:t>
      </w:r>
      <w:r w:rsidR="00DB2853">
        <w:rPr>
          <w:b w:val="0"/>
          <w:i w:val="0"/>
          <w:sz w:val="20"/>
          <w:szCs w:val="20"/>
        </w:rPr>
        <w:t>je v souladu</w:t>
      </w:r>
      <w:r w:rsidR="008A4180">
        <w:rPr>
          <w:b w:val="0"/>
          <w:i w:val="0"/>
          <w:sz w:val="20"/>
          <w:szCs w:val="20"/>
        </w:rPr>
        <w:t xml:space="preserve"> se zvýšením počtu obydlených bytů</w:t>
      </w:r>
      <w:r w:rsidR="001C15A1">
        <w:rPr>
          <w:b w:val="0"/>
          <w:i w:val="0"/>
          <w:sz w:val="20"/>
          <w:szCs w:val="20"/>
        </w:rPr>
        <w:t xml:space="preserve">. Pokles podílu osob bydlících v bytech byl na úkor růstu podílu osob v zařízeních. Z hlediska </w:t>
      </w:r>
      <w:r w:rsidR="002D3629">
        <w:rPr>
          <w:b w:val="0"/>
          <w:i w:val="0"/>
          <w:sz w:val="20"/>
          <w:szCs w:val="20"/>
        </w:rPr>
        <w:t xml:space="preserve">celkových </w:t>
      </w:r>
      <w:r w:rsidR="001C15A1">
        <w:rPr>
          <w:b w:val="0"/>
          <w:i w:val="0"/>
          <w:sz w:val="20"/>
          <w:szCs w:val="20"/>
        </w:rPr>
        <w:t xml:space="preserve">proporcí nebyl ale tento vývoj pro </w:t>
      </w:r>
      <w:r w:rsidR="002D3629">
        <w:rPr>
          <w:b w:val="0"/>
          <w:i w:val="0"/>
          <w:sz w:val="20"/>
          <w:szCs w:val="20"/>
        </w:rPr>
        <w:t>úhrnné</w:t>
      </w:r>
      <w:r w:rsidR="001C15A1">
        <w:rPr>
          <w:b w:val="0"/>
          <w:i w:val="0"/>
          <w:sz w:val="20"/>
          <w:szCs w:val="20"/>
        </w:rPr>
        <w:t xml:space="preserve"> hodnoty způsobu bydlení osob </w:t>
      </w:r>
      <w:r w:rsidR="00C16D7E">
        <w:rPr>
          <w:b w:val="0"/>
          <w:i w:val="0"/>
          <w:sz w:val="20"/>
          <w:szCs w:val="20"/>
        </w:rPr>
        <w:t xml:space="preserve">nikterak </w:t>
      </w:r>
      <w:r w:rsidR="001C15A1">
        <w:rPr>
          <w:b w:val="0"/>
          <w:i w:val="0"/>
          <w:sz w:val="20"/>
          <w:szCs w:val="20"/>
        </w:rPr>
        <w:t xml:space="preserve">zásadní. </w:t>
      </w:r>
    </w:p>
    <w:tbl>
      <w:tblPr>
        <w:tblW w:w="8670" w:type="dxa"/>
        <w:tblInd w:w="212" w:type="dxa"/>
        <w:tblCellMar>
          <w:left w:w="70" w:type="dxa"/>
          <w:right w:w="70" w:type="dxa"/>
        </w:tblCellMar>
        <w:tblLook w:val="04A0"/>
      </w:tblPr>
      <w:tblGrid>
        <w:gridCol w:w="3260"/>
        <w:gridCol w:w="1134"/>
        <w:gridCol w:w="591"/>
        <w:gridCol w:w="1134"/>
        <w:gridCol w:w="708"/>
        <w:gridCol w:w="1134"/>
        <w:gridCol w:w="316"/>
        <w:gridCol w:w="393"/>
      </w:tblGrid>
      <w:tr w:rsidR="00760C72" w:rsidRPr="00515740" w:rsidTr="00760C72">
        <w:trPr>
          <w:trHeight w:val="300"/>
        </w:trPr>
        <w:tc>
          <w:tcPr>
            <w:tcW w:w="8277" w:type="dxa"/>
            <w:gridSpan w:val="7"/>
            <w:tcBorders>
              <w:top w:val="nil"/>
              <w:left w:val="nil"/>
              <w:bottom w:val="nil"/>
              <w:right w:val="nil"/>
            </w:tcBorders>
            <w:shd w:val="clear" w:color="auto" w:fill="auto"/>
            <w:noWrap/>
            <w:vAlign w:val="center"/>
            <w:hideMark/>
          </w:tcPr>
          <w:p w:rsidR="00760C72" w:rsidRPr="00515740" w:rsidRDefault="00760C72" w:rsidP="00397E72">
            <w:pPr>
              <w:suppressAutoHyphens w:val="0"/>
              <w:rPr>
                <w:rFonts w:cs="Arial"/>
                <w:noProof w:val="0"/>
                <w:color w:val="000000"/>
                <w:sz w:val="18"/>
                <w:szCs w:val="18"/>
                <w:lang w:eastAsia="cs-CZ"/>
              </w:rPr>
            </w:pPr>
            <w:r>
              <w:rPr>
                <w:rFonts w:cs="Arial"/>
                <w:b/>
                <w:bCs/>
                <w:sz w:val="20"/>
                <w:szCs w:val="20"/>
              </w:rPr>
              <w:t xml:space="preserve">Tab. č. 5 </w:t>
            </w:r>
            <w:r w:rsidRPr="00515740">
              <w:rPr>
                <w:rFonts w:cs="Arial"/>
                <w:b/>
                <w:noProof w:val="0"/>
                <w:color w:val="000000"/>
                <w:sz w:val="20"/>
                <w:szCs w:val="20"/>
                <w:lang w:eastAsia="cs-CZ"/>
              </w:rPr>
              <w:t>Osoby bydlící v bytech podle druhu domu v letech 1991 - 2011</w:t>
            </w:r>
          </w:p>
        </w:tc>
        <w:tc>
          <w:tcPr>
            <w:tcW w:w="393" w:type="dxa"/>
            <w:tcBorders>
              <w:top w:val="nil"/>
              <w:left w:val="nil"/>
              <w:bottom w:val="nil"/>
              <w:right w:val="nil"/>
            </w:tcBorders>
            <w:shd w:val="clear" w:color="auto" w:fill="auto"/>
            <w:noWrap/>
            <w:vAlign w:val="bottom"/>
            <w:hideMark/>
          </w:tcPr>
          <w:p w:rsidR="00760C72" w:rsidRPr="00515740" w:rsidRDefault="00760C72" w:rsidP="007962B8">
            <w:pPr>
              <w:suppressAutoHyphens w:val="0"/>
              <w:jc w:val="right"/>
              <w:rPr>
                <w:rFonts w:cs="Arial"/>
                <w:noProof w:val="0"/>
                <w:color w:val="000000"/>
                <w:sz w:val="18"/>
                <w:szCs w:val="18"/>
                <w:lang w:eastAsia="cs-CZ"/>
              </w:rPr>
            </w:pPr>
          </w:p>
        </w:tc>
      </w:tr>
      <w:tr w:rsidR="00A13732" w:rsidRPr="00515740" w:rsidTr="00760C72">
        <w:trPr>
          <w:trHeight w:val="300"/>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732" w:rsidRPr="00515740" w:rsidRDefault="00A13732" w:rsidP="007962B8">
            <w:pPr>
              <w:suppressAutoHyphens w:val="0"/>
              <w:rPr>
                <w:rFonts w:cs="Arial"/>
                <w:noProof w:val="0"/>
                <w:color w:val="000000"/>
                <w:sz w:val="18"/>
                <w:szCs w:val="18"/>
                <w:lang w:eastAsia="cs-CZ"/>
              </w:rPr>
            </w:pPr>
            <w:r w:rsidRPr="00515740">
              <w:rPr>
                <w:rFonts w:cs="Arial"/>
                <w:noProof w:val="0"/>
                <w:color w:val="000000"/>
                <w:sz w:val="18"/>
                <w:szCs w:val="18"/>
                <w:lang w:eastAsia="cs-CZ"/>
              </w:rPr>
              <w:t>Druh domu</w:t>
            </w:r>
          </w:p>
        </w:tc>
        <w:tc>
          <w:tcPr>
            <w:tcW w:w="1725" w:type="dxa"/>
            <w:gridSpan w:val="2"/>
            <w:tcBorders>
              <w:top w:val="single" w:sz="4" w:space="0" w:color="auto"/>
              <w:left w:val="nil"/>
              <w:bottom w:val="single" w:sz="4" w:space="0" w:color="auto"/>
              <w:right w:val="single" w:sz="4" w:space="0" w:color="auto"/>
            </w:tcBorders>
            <w:shd w:val="clear" w:color="auto" w:fill="auto"/>
            <w:noWrap/>
            <w:vAlign w:val="center"/>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1991</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2001</w:t>
            </w:r>
          </w:p>
        </w:tc>
        <w:tc>
          <w:tcPr>
            <w:tcW w:w="1843" w:type="dxa"/>
            <w:gridSpan w:val="3"/>
            <w:tcBorders>
              <w:top w:val="single" w:sz="4" w:space="0" w:color="auto"/>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2011</w:t>
            </w:r>
          </w:p>
        </w:tc>
      </w:tr>
      <w:tr w:rsidR="00A13732" w:rsidRPr="00515740" w:rsidTr="00760C72">
        <w:trPr>
          <w:trHeight w:val="300"/>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A13732" w:rsidRPr="00515740" w:rsidRDefault="00A13732" w:rsidP="007962B8">
            <w:pPr>
              <w:suppressAutoHyphens w:val="0"/>
              <w:rPr>
                <w:rFonts w:cs="Arial"/>
                <w:noProof w:val="0"/>
                <w:color w:val="000000"/>
                <w:sz w:val="18"/>
                <w:szCs w:val="18"/>
                <w:lang w:eastAsia="cs-CZ"/>
              </w:rPr>
            </w:pPr>
          </w:p>
        </w:tc>
        <w:tc>
          <w:tcPr>
            <w:tcW w:w="1134"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abs.</w:t>
            </w:r>
          </w:p>
        </w:tc>
        <w:tc>
          <w:tcPr>
            <w:tcW w:w="591"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abs.</w:t>
            </w:r>
          </w:p>
        </w:tc>
        <w:tc>
          <w:tcPr>
            <w:tcW w:w="708"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abs.</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rPr>
                <w:rFonts w:cs="Arial"/>
                <w:noProof w:val="0"/>
                <w:color w:val="000000"/>
                <w:sz w:val="18"/>
                <w:szCs w:val="18"/>
                <w:lang w:eastAsia="cs-CZ"/>
              </w:rPr>
            </w:pPr>
            <w:r w:rsidRPr="00515740">
              <w:rPr>
                <w:rFonts w:cs="Arial"/>
                <w:noProof w:val="0"/>
                <w:color w:val="000000"/>
                <w:sz w:val="18"/>
                <w:szCs w:val="18"/>
                <w:lang w:eastAsia="cs-CZ"/>
              </w:rPr>
              <w:t>Osoby v bytech celkem</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10 238 057</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100,0</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10 101 302</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100,0</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10 144 961</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100,0</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rPr>
                <w:rFonts w:cs="Arial"/>
                <w:noProof w:val="0"/>
                <w:color w:val="000000"/>
                <w:sz w:val="18"/>
                <w:szCs w:val="18"/>
                <w:lang w:eastAsia="cs-CZ"/>
              </w:rPr>
            </w:pPr>
            <w:r w:rsidRPr="00515740">
              <w:rPr>
                <w:rFonts w:cs="Arial"/>
                <w:noProof w:val="0"/>
                <w:color w:val="000000"/>
                <w:sz w:val="18"/>
                <w:szCs w:val="18"/>
                <w:lang w:eastAsia="cs-CZ"/>
              </w:rPr>
              <w:t>rodinné domy</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4 450 763</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43,5</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4 670 854</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46,2</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5 033 359</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49,1</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rPr>
                <w:rFonts w:cs="Arial"/>
                <w:noProof w:val="0"/>
                <w:color w:val="000000"/>
                <w:sz w:val="18"/>
                <w:szCs w:val="18"/>
                <w:lang w:eastAsia="cs-CZ"/>
              </w:rPr>
            </w:pPr>
            <w:r w:rsidRPr="00515740">
              <w:rPr>
                <w:rFonts w:cs="Arial"/>
                <w:noProof w:val="0"/>
                <w:color w:val="000000"/>
                <w:sz w:val="18"/>
                <w:szCs w:val="18"/>
                <w:lang w:eastAsia="cs-CZ"/>
              </w:rPr>
              <w:t>bytové domy</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5 708 289</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55,8</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5 341 975</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52,9</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4 999 727</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48,7</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rPr>
                <w:rFonts w:cs="Arial"/>
                <w:noProof w:val="0"/>
                <w:color w:val="000000"/>
                <w:sz w:val="18"/>
                <w:szCs w:val="18"/>
                <w:lang w:eastAsia="cs-CZ"/>
              </w:rPr>
            </w:pPr>
            <w:r w:rsidRPr="00515740">
              <w:rPr>
                <w:rFonts w:cs="Arial"/>
                <w:noProof w:val="0"/>
                <w:color w:val="000000"/>
                <w:sz w:val="18"/>
                <w:szCs w:val="18"/>
                <w:lang w:eastAsia="cs-CZ"/>
              </w:rPr>
              <w:t>ostatní budovy</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79 005</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0,8</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88 473</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0,9</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111 875</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2,2</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ind w:firstLineChars="100" w:firstLine="180"/>
              <w:rPr>
                <w:rFonts w:cs="Arial"/>
                <w:noProof w:val="0"/>
                <w:color w:val="000000"/>
                <w:sz w:val="18"/>
                <w:szCs w:val="18"/>
                <w:lang w:eastAsia="cs-CZ"/>
              </w:rPr>
            </w:pPr>
            <w:r w:rsidRPr="00515740">
              <w:rPr>
                <w:rFonts w:cs="Arial"/>
                <w:noProof w:val="0"/>
                <w:color w:val="000000"/>
                <w:sz w:val="18"/>
                <w:szCs w:val="18"/>
                <w:lang w:eastAsia="cs-CZ"/>
              </w:rPr>
              <w:t>v tom:</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 </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 </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 </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 </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 </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 </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ind w:firstLineChars="200" w:firstLine="360"/>
              <w:rPr>
                <w:rFonts w:cs="Arial"/>
                <w:noProof w:val="0"/>
                <w:color w:val="000000"/>
                <w:sz w:val="18"/>
                <w:szCs w:val="18"/>
                <w:lang w:eastAsia="cs-CZ"/>
              </w:rPr>
            </w:pPr>
            <w:r w:rsidRPr="00515740">
              <w:rPr>
                <w:rFonts w:cs="Arial"/>
                <w:noProof w:val="0"/>
                <w:color w:val="000000"/>
                <w:sz w:val="18"/>
                <w:szCs w:val="18"/>
                <w:lang w:eastAsia="cs-CZ"/>
              </w:rPr>
              <w:t>zařízení pro seniory</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1 620</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2 678</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12 907</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0,1</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ind w:firstLineChars="200" w:firstLine="360"/>
              <w:rPr>
                <w:rFonts w:cs="Arial"/>
                <w:noProof w:val="0"/>
                <w:color w:val="000000"/>
                <w:sz w:val="18"/>
                <w:szCs w:val="18"/>
                <w:lang w:eastAsia="cs-CZ"/>
              </w:rPr>
            </w:pPr>
            <w:r w:rsidRPr="00515740">
              <w:rPr>
                <w:rFonts w:cs="Arial"/>
                <w:noProof w:val="0"/>
                <w:color w:val="000000"/>
                <w:sz w:val="18"/>
                <w:szCs w:val="18"/>
                <w:lang w:eastAsia="cs-CZ"/>
              </w:rPr>
              <w:t>ubytovny a svobodárny</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6 684</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0,1</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2 075</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4 585</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ind w:firstLineChars="200" w:firstLine="360"/>
              <w:rPr>
                <w:rFonts w:cs="Arial"/>
                <w:noProof w:val="0"/>
                <w:color w:val="000000"/>
                <w:sz w:val="18"/>
                <w:szCs w:val="18"/>
                <w:lang w:eastAsia="cs-CZ"/>
              </w:rPr>
            </w:pPr>
            <w:r w:rsidRPr="00515740">
              <w:rPr>
                <w:rFonts w:cs="Arial"/>
                <w:noProof w:val="0"/>
                <w:color w:val="000000"/>
                <w:sz w:val="18"/>
                <w:szCs w:val="18"/>
                <w:lang w:eastAsia="cs-CZ"/>
              </w:rPr>
              <w:t>provozní budovy s byty</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56 974</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0,6</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74 292</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0,7</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82 498</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0,8</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A13732" w:rsidP="007962B8">
            <w:pPr>
              <w:suppressAutoHyphens w:val="0"/>
              <w:ind w:firstLineChars="200" w:firstLine="360"/>
              <w:rPr>
                <w:rFonts w:cs="Arial"/>
                <w:noProof w:val="0"/>
                <w:color w:val="000000"/>
                <w:sz w:val="18"/>
                <w:szCs w:val="18"/>
                <w:lang w:eastAsia="cs-CZ"/>
              </w:rPr>
            </w:pPr>
            <w:r w:rsidRPr="00515740">
              <w:rPr>
                <w:rFonts w:cs="Arial"/>
                <w:noProof w:val="0"/>
                <w:color w:val="000000"/>
                <w:sz w:val="18"/>
                <w:szCs w:val="18"/>
                <w:lang w:eastAsia="cs-CZ"/>
              </w:rPr>
              <w:t>obecní úřady</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center"/>
              <w:rPr>
                <w:rFonts w:cs="Arial"/>
                <w:noProof w:val="0"/>
                <w:color w:val="000000"/>
                <w:sz w:val="18"/>
                <w:szCs w:val="18"/>
                <w:lang w:eastAsia="cs-CZ"/>
              </w:rPr>
            </w:pPr>
            <w:r w:rsidRPr="00515740">
              <w:rPr>
                <w:rFonts w:cs="Arial"/>
                <w:noProof w:val="0"/>
                <w:color w:val="000000"/>
                <w:sz w:val="18"/>
                <w:szCs w:val="18"/>
                <w:lang w:eastAsia="cs-CZ"/>
              </w:rPr>
              <w:t>.</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2 413</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r>
      <w:tr w:rsidR="00A13732" w:rsidRPr="00515740" w:rsidTr="00760C72">
        <w:trPr>
          <w:trHeight w:val="300"/>
        </w:trPr>
        <w:tc>
          <w:tcPr>
            <w:tcW w:w="3260" w:type="dxa"/>
            <w:tcBorders>
              <w:top w:val="nil"/>
              <w:left w:val="single" w:sz="4" w:space="0" w:color="auto"/>
              <w:bottom w:val="nil"/>
              <w:right w:val="single" w:sz="4" w:space="0" w:color="auto"/>
            </w:tcBorders>
            <w:shd w:val="clear" w:color="auto" w:fill="auto"/>
            <w:noWrap/>
            <w:vAlign w:val="bottom"/>
            <w:hideMark/>
          </w:tcPr>
          <w:p w:rsidR="00A13732" w:rsidRPr="00515740" w:rsidRDefault="00C570F4" w:rsidP="00C570F4">
            <w:pPr>
              <w:suppressAutoHyphens w:val="0"/>
              <w:ind w:firstLineChars="200" w:firstLine="360"/>
              <w:rPr>
                <w:rFonts w:cs="Arial"/>
                <w:noProof w:val="0"/>
                <w:color w:val="000000"/>
                <w:sz w:val="18"/>
                <w:szCs w:val="18"/>
                <w:lang w:eastAsia="cs-CZ"/>
              </w:rPr>
            </w:pPr>
            <w:r>
              <w:rPr>
                <w:rFonts w:cs="Arial"/>
                <w:noProof w:val="0"/>
                <w:color w:val="000000"/>
                <w:sz w:val="18"/>
                <w:szCs w:val="18"/>
                <w:lang w:eastAsia="cs-CZ"/>
              </w:rPr>
              <w:t xml:space="preserve">zařízení pro krátkodobé </w:t>
            </w:r>
            <w:r w:rsidR="002D2B6E">
              <w:rPr>
                <w:rFonts w:cs="Arial"/>
                <w:noProof w:val="0"/>
                <w:color w:val="000000"/>
                <w:sz w:val="18"/>
                <w:szCs w:val="18"/>
                <w:lang w:eastAsia="cs-CZ"/>
              </w:rPr>
              <w:t>ubytování</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3 762</w:t>
            </w:r>
          </w:p>
        </w:tc>
        <w:tc>
          <w:tcPr>
            <w:tcW w:w="591"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4 466</w:t>
            </w:r>
          </w:p>
        </w:tc>
        <w:tc>
          <w:tcPr>
            <w:tcW w:w="708"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c>
          <w:tcPr>
            <w:tcW w:w="1134" w:type="dxa"/>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5 478</w:t>
            </w:r>
          </w:p>
        </w:tc>
        <w:tc>
          <w:tcPr>
            <w:tcW w:w="709" w:type="dxa"/>
            <w:gridSpan w:val="2"/>
            <w:tcBorders>
              <w:top w:val="nil"/>
              <w:left w:val="nil"/>
              <w:bottom w:val="nil"/>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0,1</w:t>
            </w:r>
          </w:p>
        </w:tc>
      </w:tr>
      <w:tr w:rsidR="00A13732" w:rsidRPr="00515740" w:rsidTr="00760C72">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ind w:firstLineChars="200" w:firstLine="360"/>
              <w:rPr>
                <w:rFonts w:cs="Arial"/>
                <w:noProof w:val="0"/>
                <w:color w:val="000000"/>
                <w:sz w:val="18"/>
                <w:szCs w:val="18"/>
                <w:lang w:eastAsia="cs-CZ"/>
              </w:rPr>
            </w:pPr>
            <w:r w:rsidRPr="00515740">
              <w:rPr>
                <w:rFonts w:cs="Arial"/>
                <w:noProof w:val="0"/>
                <w:color w:val="000000"/>
                <w:sz w:val="18"/>
                <w:szCs w:val="18"/>
                <w:lang w:eastAsia="cs-CZ"/>
              </w:rPr>
              <w:t>ostatní</w:t>
            </w:r>
          </w:p>
        </w:tc>
        <w:tc>
          <w:tcPr>
            <w:tcW w:w="1134"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9 965</w:t>
            </w:r>
          </w:p>
        </w:tc>
        <w:tc>
          <w:tcPr>
            <w:tcW w:w="591"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0,1</w:t>
            </w:r>
          </w:p>
        </w:tc>
        <w:tc>
          <w:tcPr>
            <w:tcW w:w="1134"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4 962</w:t>
            </w:r>
          </w:p>
        </w:tc>
        <w:tc>
          <w:tcPr>
            <w:tcW w:w="708"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0,0</w:t>
            </w:r>
          </w:p>
        </w:tc>
        <w:tc>
          <w:tcPr>
            <w:tcW w:w="1134" w:type="dxa"/>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3 994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13732" w:rsidRPr="00515740" w:rsidRDefault="00A13732" w:rsidP="007962B8">
            <w:pPr>
              <w:suppressAutoHyphens w:val="0"/>
              <w:jc w:val="right"/>
              <w:rPr>
                <w:rFonts w:cs="Arial"/>
                <w:noProof w:val="0"/>
                <w:color w:val="000000"/>
                <w:sz w:val="18"/>
                <w:szCs w:val="18"/>
                <w:lang w:eastAsia="cs-CZ"/>
              </w:rPr>
            </w:pPr>
            <w:r w:rsidRPr="00515740">
              <w:rPr>
                <w:rFonts w:cs="Arial"/>
                <w:noProof w:val="0"/>
                <w:color w:val="000000"/>
                <w:sz w:val="18"/>
                <w:szCs w:val="18"/>
                <w:lang w:eastAsia="cs-CZ"/>
              </w:rPr>
              <w:t>1,1</w:t>
            </w:r>
          </w:p>
        </w:tc>
      </w:tr>
    </w:tbl>
    <w:p w:rsidR="00E955B5" w:rsidRDefault="00E955B5" w:rsidP="0001649E">
      <w:pPr>
        <w:pStyle w:val="Normln-web"/>
        <w:spacing w:after="120" w:line="276" w:lineRule="auto"/>
        <w:rPr>
          <w:sz w:val="20"/>
          <w:szCs w:val="20"/>
        </w:rPr>
      </w:pPr>
    </w:p>
    <w:p w:rsidR="0001649E" w:rsidRDefault="0051354C" w:rsidP="0001649E">
      <w:pPr>
        <w:pStyle w:val="Normln-web"/>
        <w:spacing w:after="120" w:line="276" w:lineRule="auto"/>
        <w:rPr>
          <w:sz w:val="20"/>
          <w:szCs w:val="20"/>
        </w:rPr>
      </w:pPr>
      <w:r>
        <w:rPr>
          <w:sz w:val="20"/>
          <w:szCs w:val="20"/>
        </w:rPr>
        <w:t xml:space="preserve">Z údajů sčítání </w:t>
      </w:r>
      <w:r w:rsidR="00957985">
        <w:rPr>
          <w:sz w:val="20"/>
          <w:szCs w:val="20"/>
        </w:rPr>
        <w:t>z období 1991 - 2011</w:t>
      </w:r>
      <w:r>
        <w:rPr>
          <w:sz w:val="20"/>
          <w:szCs w:val="20"/>
        </w:rPr>
        <w:t xml:space="preserve"> vyplývá, že se postupně</w:t>
      </w:r>
      <w:r w:rsidRPr="005324B0">
        <w:rPr>
          <w:sz w:val="20"/>
          <w:szCs w:val="20"/>
        </w:rPr>
        <w:t xml:space="preserve"> měnila struktura osob v bytech podle </w:t>
      </w:r>
      <w:r w:rsidRPr="00840075">
        <w:rPr>
          <w:b/>
          <w:sz w:val="20"/>
          <w:szCs w:val="20"/>
        </w:rPr>
        <w:t>druhu domu,</w:t>
      </w:r>
      <w:r>
        <w:rPr>
          <w:sz w:val="20"/>
          <w:szCs w:val="20"/>
        </w:rPr>
        <w:t xml:space="preserve"> a to v</w:t>
      </w:r>
      <w:r w:rsidR="00957985">
        <w:rPr>
          <w:sz w:val="20"/>
          <w:szCs w:val="20"/>
        </w:rPr>
        <w:t xml:space="preserve"> přímé </w:t>
      </w:r>
      <w:r>
        <w:rPr>
          <w:sz w:val="20"/>
          <w:szCs w:val="20"/>
        </w:rPr>
        <w:t>závislosti na vývoji domovního fondu</w:t>
      </w:r>
      <w:r w:rsidRPr="005324B0">
        <w:rPr>
          <w:sz w:val="20"/>
          <w:szCs w:val="20"/>
        </w:rPr>
        <w:t>.</w:t>
      </w:r>
      <w:r>
        <w:rPr>
          <w:sz w:val="20"/>
          <w:szCs w:val="20"/>
        </w:rPr>
        <w:t xml:space="preserve"> Dlouhodobě se zvyšoval podíl osob bydlících v rodinných domech</w:t>
      </w:r>
      <w:r w:rsidR="00957985">
        <w:rPr>
          <w:sz w:val="20"/>
          <w:szCs w:val="20"/>
        </w:rPr>
        <w:t>; z</w:t>
      </w:r>
      <w:r>
        <w:rPr>
          <w:sz w:val="20"/>
          <w:szCs w:val="20"/>
        </w:rPr>
        <w:t xml:space="preserve">a dvacet let posílil o 5,6 bodu na 49 %. Vyrovnaly se tak téměř podíly osob v bytech v rodinných a bytových domech (v roce 1991 byl mezi těmito podíly rozdíl více než 12 bodů ve prospěch bytových domů). </w:t>
      </w:r>
      <w:r w:rsidR="0001649E">
        <w:rPr>
          <w:sz w:val="20"/>
          <w:szCs w:val="20"/>
        </w:rPr>
        <w:tab/>
      </w:r>
      <w:r w:rsidR="0001649E">
        <w:rPr>
          <w:sz w:val="20"/>
          <w:szCs w:val="20"/>
        </w:rPr>
        <w:tab/>
      </w:r>
    </w:p>
    <w:p w:rsidR="0001649E" w:rsidRDefault="00AB46F5" w:rsidP="0001649E">
      <w:pPr>
        <w:pStyle w:val="Normln-web"/>
        <w:spacing w:before="0"/>
        <w:rPr>
          <w:b/>
          <w:bCs/>
          <w:sz w:val="20"/>
          <w:szCs w:val="20"/>
        </w:rPr>
      </w:pPr>
      <w:r>
        <w:rPr>
          <w:b/>
          <w:sz w:val="20"/>
          <w:szCs w:val="20"/>
        </w:rPr>
        <w:t>Graf</w:t>
      </w:r>
      <w:r w:rsidR="0001649E" w:rsidRPr="0001649E">
        <w:rPr>
          <w:b/>
          <w:sz w:val="20"/>
          <w:szCs w:val="20"/>
        </w:rPr>
        <w:t xml:space="preserve"> č. 2 </w:t>
      </w:r>
      <w:r w:rsidR="0001649E" w:rsidRPr="0001649E">
        <w:rPr>
          <w:b/>
          <w:bCs/>
          <w:sz w:val="20"/>
          <w:szCs w:val="20"/>
        </w:rPr>
        <w:t xml:space="preserve">Průměrný počet osob na 1 byt podle druhu </w:t>
      </w:r>
    </w:p>
    <w:p w:rsidR="0001649E" w:rsidRPr="0001649E" w:rsidRDefault="0001649E" w:rsidP="0001649E">
      <w:pPr>
        <w:pStyle w:val="Normln-web"/>
        <w:spacing w:before="0"/>
        <w:rPr>
          <w:sz w:val="20"/>
          <w:szCs w:val="20"/>
        </w:rPr>
      </w:pPr>
      <w:r>
        <w:rPr>
          <w:b/>
          <w:bCs/>
          <w:sz w:val="20"/>
          <w:szCs w:val="20"/>
        </w:rPr>
        <w:t>d</w:t>
      </w:r>
      <w:r w:rsidRPr="0001649E">
        <w:rPr>
          <w:b/>
          <w:bCs/>
          <w:sz w:val="20"/>
          <w:szCs w:val="20"/>
        </w:rPr>
        <w:t>omu</w:t>
      </w:r>
      <w:r>
        <w:rPr>
          <w:b/>
          <w:bCs/>
          <w:sz w:val="20"/>
          <w:szCs w:val="20"/>
        </w:rPr>
        <w:t xml:space="preserve"> v letech 1991 - 2011</w:t>
      </w:r>
    </w:p>
    <w:p w:rsidR="0051354C" w:rsidRDefault="00E955B5" w:rsidP="00AC2069">
      <w:pPr>
        <w:pStyle w:val="Normln-web"/>
        <w:spacing w:before="0" w:line="276" w:lineRule="auto"/>
        <w:rPr>
          <w:sz w:val="20"/>
          <w:szCs w:val="20"/>
        </w:rPr>
      </w:pPr>
      <w:r>
        <w:rPr>
          <w:sz w:val="20"/>
          <w:szCs w:val="20"/>
        </w:rPr>
        <w:drawing>
          <wp:anchor distT="0" distB="71755" distL="114300" distR="114300" simplePos="0" relativeHeight="251658240" behindDoc="0" locked="0" layoutInCell="1" allowOverlap="1">
            <wp:simplePos x="0" y="0"/>
            <wp:positionH relativeFrom="column">
              <wp:posOffset>65405</wp:posOffset>
            </wp:positionH>
            <wp:positionV relativeFrom="paragraph">
              <wp:posOffset>52705</wp:posOffset>
            </wp:positionV>
            <wp:extent cx="3347085" cy="2124075"/>
            <wp:effectExtent l="19050" t="0" r="24765" b="0"/>
            <wp:wrapSquare wrapText="bothSides"/>
            <wp:docPr id="14" name="obráze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1354C">
        <w:rPr>
          <w:sz w:val="20"/>
          <w:szCs w:val="20"/>
        </w:rPr>
        <w:t>Zatímco počty osob v rodinných domech dlouhodobě rostly a tempa růstu se zrychlovala, v případě bytových domů se počty osob v nich bydlících dlouhodobě snižovaly. Tento trend nebyl v souladu s vývojem počtu bytů, který ve stejném období zaznamenal růst jak u rodinných tak u bytových domů, byť s odlišným tempem</w:t>
      </w:r>
      <w:r w:rsidR="00CD63ED">
        <w:rPr>
          <w:sz w:val="20"/>
          <w:szCs w:val="20"/>
        </w:rPr>
        <w:t xml:space="preserve">. </w:t>
      </w:r>
      <w:r w:rsidR="0051354C">
        <w:rPr>
          <w:sz w:val="20"/>
          <w:szCs w:val="20"/>
        </w:rPr>
        <w:t xml:space="preserve"> </w:t>
      </w:r>
      <w:r w:rsidR="00CD63ED">
        <w:rPr>
          <w:sz w:val="20"/>
          <w:szCs w:val="20"/>
        </w:rPr>
        <w:t>N</w:t>
      </w:r>
      <w:r w:rsidR="0051354C">
        <w:rPr>
          <w:sz w:val="20"/>
          <w:szCs w:val="20"/>
        </w:rPr>
        <w:t>árůst počtu bytů v rodinných domech byl několikanásobně</w:t>
      </w:r>
      <w:r w:rsidR="00CD63ED">
        <w:rPr>
          <w:sz w:val="20"/>
          <w:szCs w:val="20"/>
        </w:rPr>
        <w:t xml:space="preserve"> </w:t>
      </w:r>
      <w:r w:rsidR="0051354C">
        <w:rPr>
          <w:sz w:val="20"/>
          <w:szCs w:val="20"/>
        </w:rPr>
        <w:t>rychlejší.</w:t>
      </w:r>
      <w:r w:rsidR="008A4180">
        <w:rPr>
          <w:sz w:val="20"/>
          <w:szCs w:val="20"/>
        </w:rPr>
        <w:t xml:space="preserve"> </w:t>
      </w:r>
      <w:r w:rsidR="009D0018">
        <w:rPr>
          <w:sz w:val="20"/>
          <w:szCs w:val="20"/>
        </w:rPr>
        <w:t xml:space="preserve">Protikladné trendy vývoje počtu bytů a osob v nich bydlících znamenaly v případě bytových domů snižování </w:t>
      </w:r>
      <w:r w:rsidR="008A4180">
        <w:rPr>
          <w:sz w:val="20"/>
          <w:szCs w:val="20"/>
        </w:rPr>
        <w:t>průměrn</w:t>
      </w:r>
      <w:r w:rsidR="009D0018">
        <w:rPr>
          <w:sz w:val="20"/>
          <w:szCs w:val="20"/>
        </w:rPr>
        <w:t>ého</w:t>
      </w:r>
      <w:r w:rsidR="008A4180">
        <w:rPr>
          <w:sz w:val="20"/>
          <w:szCs w:val="20"/>
        </w:rPr>
        <w:t xml:space="preserve"> počt</w:t>
      </w:r>
      <w:r w:rsidR="009D0018">
        <w:rPr>
          <w:sz w:val="20"/>
          <w:szCs w:val="20"/>
        </w:rPr>
        <w:t>u</w:t>
      </w:r>
      <w:r w:rsidR="008A4180">
        <w:rPr>
          <w:sz w:val="20"/>
          <w:szCs w:val="20"/>
        </w:rPr>
        <w:t xml:space="preserve"> osob na </w:t>
      </w:r>
      <w:r w:rsidR="008A4180">
        <w:rPr>
          <w:sz w:val="20"/>
          <w:szCs w:val="20"/>
        </w:rPr>
        <w:lastRenderedPageBreak/>
        <w:t>jeden byt</w:t>
      </w:r>
      <w:r w:rsidR="009D0018">
        <w:rPr>
          <w:sz w:val="20"/>
          <w:szCs w:val="20"/>
        </w:rPr>
        <w:t xml:space="preserve"> </w:t>
      </w:r>
      <w:r w:rsidR="00DC1985">
        <w:rPr>
          <w:sz w:val="20"/>
          <w:szCs w:val="20"/>
        </w:rPr>
        <w:t>významněji než u rodinných domů, kde bylo toto snížení mírnější.</w:t>
      </w:r>
      <w:r w:rsidR="00171994">
        <w:rPr>
          <w:sz w:val="20"/>
          <w:szCs w:val="20"/>
        </w:rPr>
        <w:t xml:space="preserve"> </w:t>
      </w:r>
    </w:p>
    <w:p w:rsidR="00AC2069" w:rsidRDefault="00AC2069" w:rsidP="00AC2069">
      <w:pPr>
        <w:pStyle w:val="Normln-web"/>
        <w:spacing w:before="0" w:line="276" w:lineRule="auto"/>
        <w:rPr>
          <w:sz w:val="20"/>
          <w:szCs w:val="20"/>
        </w:rPr>
      </w:pPr>
    </w:p>
    <w:p w:rsidR="0051354C" w:rsidRDefault="00171994" w:rsidP="00AC2069">
      <w:pPr>
        <w:pStyle w:val="Normln-web"/>
        <w:spacing w:before="0" w:line="276" w:lineRule="auto"/>
        <w:rPr>
          <w:sz w:val="20"/>
          <w:szCs w:val="20"/>
        </w:rPr>
      </w:pPr>
      <w:r>
        <w:rPr>
          <w:sz w:val="20"/>
          <w:szCs w:val="20"/>
        </w:rPr>
        <w:t xml:space="preserve">Z pohledu </w:t>
      </w:r>
      <w:r w:rsidRPr="00840075">
        <w:rPr>
          <w:sz w:val="20"/>
          <w:szCs w:val="20"/>
        </w:rPr>
        <w:t>druhu domu</w:t>
      </w:r>
      <w:r>
        <w:rPr>
          <w:sz w:val="20"/>
          <w:szCs w:val="20"/>
        </w:rPr>
        <w:t xml:space="preserve"> nejvíce vzrostly</w:t>
      </w:r>
      <w:r w:rsidR="0051354C">
        <w:rPr>
          <w:sz w:val="20"/>
          <w:szCs w:val="20"/>
        </w:rPr>
        <w:t xml:space="preserve"> </w:t>
      </w:r>
      <w:r w:rsidR="001D5A67">
        <w:rPr>
          <w:sz w:val="20"/>
          <w:szCs w:val="20"/>
        </w:rPr>
        <w:t>počty osob bydlících v bytech v</w:t>
      </w:r>
      <w:r w:rsidR="0051354C">
        <w:rPr>
          <w:sz w:val="20"/>
          <w:szCs w:val="20"/>
        </w:rPr>
        <w:t xml:space="preserve"> ostatní</w:t>
      </w:r>
      <w:r w:rsidR="001D5A67">
        <w:rPr>
          <w:sz w:val="20"/>
          <w:szCs w:val="20"/>
        </w:rPr>
        <w:t>ch</w:t>
      </w:r>
      <w:r w:rsidR="0051354C">
        <w:rPr>
          <w:sz w:val="20"/>
          <w:szCs w:val="20"/>
        </w:rPr>
        <w:t xml:space="preserve"> budov</w:t>
      </w:r>
      <w:r w:rsidR="001D5A67">
        <w:rPr>
          <w:sz w:val="20"/>
          <w:szCs w:val="20"/>
        </w:rPr>
        <w:t>ách</w:t>
      </w:r>
      <w:r w:rsidR="0051354C">
        <w:rPr>
          <w:sz w:val="20"/>
          <w:szCs w:val="20"/>
        </w:rPr>
        <w:t xml:space="preserve"> s byty – </w:t>
      </w:r>
      <w:r w:rsidR="001D5A67">
        <w:rPr>
          <w:sz w:val="20"/>
          <w:szCs w:val="20"/>
        </w:rPr>
        <w:t>což  byly</w:t>
      </w:r>
      <w:r w:rsidR="0051354C">
        <w:rPr>
          <w:sz w:val="20"/>
          <w:szCs w:val="20"/>
        </w:rPr>
        <w:t xml:space="preserve"> různé provozní budovy, zařízení pro dlouhodobé či krátkodobé ubytování, objekty sloužící k jiným účelům než bydlení apod., ve kterých byl alespoň jeden byt. </w:t>
      </w:r>
    </w:p>
    <w:p w:rsidR="001D5A67" w:rsidRDefault="001D5A67" w:rsidP="0051354C">
      <w:pPr>
        <w:pStyle w:val="Normln-web"/>
        <w:rPr>
          <w:sz w:val="20"/>
          <w:szCs w:val="20"/>
        </w:rPr>
      </w:pPr>
    </w:p>
    <w:tbl>
      <w:tblPr>
        <w:tblW w:w="6793" w:type="dxa"/>
        <w:jc w:val="center"/>
        <w:tblInd w:w="-344" w:type="dxa"/>
        <w:tblCellMar>
          <w:left w:w="70" w:type="dxa"/>
          <w:right w:w="70" w:type="dxa"/>
        </w:tblCellMar>
        <w:tblLook w:val="04A0"/>
      </w:tblPr>
      <w:tblGrid>
        <w:gridCol w:w="3391"/>
        <w:gridCol w:w="1134"/>
        <w:gridCol w:w="1134"/>
        <w:gridCol w:w="1134"/>
      </w:tblGrid>
      <w:tr w:rsidR="00957985" w:rsidRPr="001B557E" w:rsidTr="001B557E">
        <w:trPr>
          <w:trHeight w:val="300"/>
          <w:jc w:val="center"/>
        </w:trPr>
        <w:tc>
          <w:tcPr>
            <w:tcW w:w="6793" w:type="dxa"/>
            <w:gridSpan w:val="4"/>
            <w:tcBorders>
              <w:top w:val="nil"/>
              <w:left w:val="nil"/>
              <w:bottom w:val="nil"/>
              <w:right w:val="nil"/>
            </w:tcBorders>
            <w:shd w:val="clear" w:color="auto" w:fill="auto"/>
            <w:noWrap/>
            <w:vAlign w:val="bottom"/>
            <w:hideMark/>
          </w:tcPr>
          <w:p w:rsidR="00957985" w:rsidRPr="001B557E" w:rsidRDefault="00760C72" w:rsidP="00760C72">
            <w:pPr>
              <w:keepNext/>
              <w:keepLines/>
              <w:rPr>
                <w:rFonts w:cs="Arial"/>
                <w:b/>
                <w:color w:val="000000"/>
                <w:sz w:val="20"/>
                <w:szCs w:val="20"/>
              </w:rPr>
            </w:pPr>
            <w:r>
              <w:rPr>
                <w:rFonts w:cs="Arial"/>
                <w:b/>
                <w:bCs/>
                <w:sz w:val="20"/>
                <w:szCs w:val="20"/>
              </w:rPr>
              <w:t xml:space="preserve">Tab. č. 6  </w:t>
            </w:r>
            <w:r w:rsidR="00957985" w:rsidRPr="001B557E">
              <w:rPr>
                <w:rFonts w:cs="Arial"/>
                <w:b/>
                <w:color w:val="000000"/>
                <w:sz w:val="20"/>
                <w:szCs w:val="20"/>
              </w:rPr>
              <w:t>Indexy růstu počtu osob bydlících v bytech podle druhu domu v letech 1991 – 2011</w:t>
            </w:r>
          </w:p>
        </w:tc>
      </w:tr>
      <w:tr w:rsidR="00957985" w:rsidRPr="001B557E" w:rsidTr="001B557E">
        <w:trPr>
          <w:trHeight w:val="300"/>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Druh domu</w:t>
            </w:r>
          </w:p>
        </w:tc>
        <w:tc>
          <w:tcPr>
            <w:tcW w:w="3402"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985" w:rsidRPr="001B557E" w:rsidRDefault="00957985" w:rsidP="00CD63ED">
            <w:pPr>
              <w:keepNext/>
              <w:keepLines/>
              <w:jc w:val="center"/>
              <w:rPr>
                <w:rFonts w:cs="Arial"/>
                <w:color w:val="000000"/>
                <w:sz w:val="18"/>
                <w:szCs w:val="18"/>
              </w:rPr>
            </w:pPr>
            <w:r w:rsidRPr="001B557E">
              <w:rPr>
                <w:rFonts w:cs="Arial"/>
                <w:color w:val="000000"/>
                <w:sz w:val="18"/>
                <w:szCs w:val="18"/>
              </w:rPr>
              <w:t>Indexy růstu v %</w:t>
            </w:r>
            <w:r w:rsidR="00AB094A">
              <w:rPr>
                <w:rFonts w:cs="Arial"/>
                <w:color w:val="000000"/>
                <w:sz w:val="18"/>
                <w:szCs w:val="18"/>
              </w:rPr>
              <w:t xml:space="preserve"> </w:t>
            </w:r>
          </w:p>
        </w:tc>
      </w:tr>
      <w:tr w:rsidR="00957985" w:rsidRPr="001B557E" w:rsidTr="001B557E">
        <w:trPr>
          <w:trHeight w:val="300"/>
          <w:jc w:val="center"/>
        </w:trPr>
        <w:tc>
          <w:tcPr>
            <w:tcW w:w="3391" w:type="dxa"/>
            <w:vMerge/>
            <w:tcBorders>
              <w:top w:val="single" w:sz="4" w:space="0" w:color="auto"/>
              <w:left w:val="single" w:sz="4" w:space="0" w:color="auto"/>
              <w:bottom w:val="single" w:sz="4" w:space="0" w:color="auto"/>
              <w:right w:val="single" w:sz="4" w:space="0" w:color="auto"/>
            </w:tcBorders>
            <w:vAlign w:val="center"/>
            <w:hideMark/>
          </w:tcPr>
          <w:p w:rsidR="00957985" w:rsidRPr="001B557E" w:rsidRDefault="00957985" w:rsidP="00171994">
            <w:pPr>
              <w:keepNext/>
              <w:keepLines/>
              <w:rPr>
                <w:rFonts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2001/1991</w:t>
            </w:r>
          </w:p>
        </w:tc>
        <w:tc>
          <w:tcPr>
            <w:tcW w:w="1134" w:type="dxa"/>
            <w:tcBorders>
              <w:top w:val="nil"/>
              <w:left w:val="nil"/>
              <w:bottom w:val="single" w:sz="4" w:space="0" w:color="auto"/>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2011/2001</w:t>
            </w:r>
          </w:p>
        </w:tc>
        <w:tc>
          <w:tcPr>
            <w:tcW w:w="1134" w:type="dxa"/>
            <w:tcBorders>
              <w:top w:val="nil"/>
              <w:left w:val="nil"/>
              <w:bottom w:val="single" w:sz="4" w:space="0" w:color="auto"/>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2011/1991</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Osoby v bytech celkem</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98,7</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100,4</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99,1</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rodinné domy</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104,9</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107,8</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113,1</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bytové domy</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93,6</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93,6</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87,6</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ostatní budovy</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112,0</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126,5</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141,6</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B557E">
            <w:pPr>
              <w:keepNext/>
              <w:keepLines/>
              <w:ind w:firstLineChars="100" w:firstLine="180"/>
              <w:rPr>
                <w:rFonts w:cs="Arial"/>
                <w:color w:val="000000"/>
                <w:sz w:val="18"/>
                <w:szCs w:val="18"/>
              </w:rPr>
            </w:pPr>
            <w:r w:rsidRPr="001B557E">
              <w:rPr>
                <w:rFonts w:cs="Arial"/>
                <w:color w:val="000000"/>
                <w:sz w:val="18"/>
                <w:szCs w:val="18"/>
              </w:rPr>
              <w:t>v tom:</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 </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 </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rPr>
                <w:rFonts w:cs="Arial"/>
                <w:color w:val="000000"/>
                <w:sz w:val="18"/>
                <w:szCs w:val="18"/>
              </w:rPr>
            </w:pPr>
            <w:r w:rsidRPr="001B557E">
              <w:rPr>
                <w:rFonts w:cs="Arial"/>
                <w:color w:val="000000"/>
                <w:sz w:val="18"/>
                <w:szCs w:val="18"/>
              </w:rPr>
              <w:t> </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B557E">
            <w:pPr>
              <w:keepNext/>
              <w:keepLines/>
              <w:ind w:firstLineChars="200" w:firstLine="360"/>
              <w:rPr>
                <w:rFonts w:cs="Arial"/>
                <w:color w:val="000000"/>
                <w:sz w:val="18"/>
                <w:szCs w:val="18"/>
              </w:rPr>
            </w:pPr>
            <w:r w:rsidRPr="001B557E">
              <w:rPr>
                <w:rFonts w:cs="Arial"/>
                <w:color w:val="000000"/>
                <w:sz w:val="18"/>
                <w:szCs w:val="18"/>
              </w:rPr>
              <w:t>zařízení pro seniory</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165,3</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482,0</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796,7</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B557E">
            <w:pPr>
              <w:keepNext/>
              <w:keepLines/>
              <w:ind w:firstLineChars="200" w:firstLine="360"/>
              <w:rPr>
                <w:rFonts w:cs="Arial"/>
                <w:color w:val="000000"/>
                <w:sz w:val="18"/>
                <w:szCs w:val="18"/>
              </w:rPr>
            </w:pPr>
            <w:r w:rsidRPr="001B557E">
              <w:rPr>
                <w:rFonts w:cs="Arial"/>
                <w:color w:val="000000"/>
                <w:sz w:val="18"/>
                <w:szCs w:val="18"/>
              </w:rPr>
              <w:t>ubytovny a svobodárny</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31,0</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221,0</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68,6</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B557E">
            <w:pPr>
              <w:keepNext/>
              <w:keepLines/>
              <w:ind w:firstLineChars="200" w:firstLine="360"/>
              <w:rPr>
                <w:rFonts w:cs="Arial"/>
                <w:color w:val="000000"/>
                <w:sz w:val="18"/>
                <w:szCs w:val="18"/>
              </w:rPr>
            </w:pPr>
            <w:r w:rsidRPr="001B557E">
              <w:rPr>
                <w:rFonts w:cs="Arial"/>
                <w:color w:val="000000"/>
                <w:sz w:val="18"/>
                <w:szCs w:val="18"/>
              </w:rPr>
              <w:t>provozní budovy s byty</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130,4</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111,0</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144,8</w:t>
            </w:r>
          </w:p>
        </w:tc>
      </w:tr>
      <w:tr w:rsidR="00957985" w:rsidRPr="001B557E" w:rsidTr="001B557E">
        <w:trPr>
          <w:trHeight w:val="300"/>
          <w:jc w:val="center"/>
        </w:trPr>
        <w:tc>
          <w:tcPr>
            <w:tcW w:w="3391" w:type="dxa"/>
            <w:tcBorders>
              <w:top w:val="nil"/>
              <w:left w:val="single" w:sz="4" w:space="0" w:color="auto"/>
              <w:bottom w:val="nil"/>
              <w:right w:val="single" w:sz="4" w:space="0" w:color="auto"/>
            </w:tcBorders>
            <w:shd w:val="clear" w:color="auto" w:fill="auto"/>
            <w:noWrap/>
            <w:vAlign w:val="bottom"/>
            <w:hideMark/>
          </w:tcPr>
          <w:p w:rsidR="00957985" w:rsidRPr="001B557E" w:rsidRDefault="00957985" w:rsidP="001B557E">
            <w:pPr>
              <w:keepNext/>
              <w:keepLines/>
              <w:ind w:firstLineChars="200" w:firstLine="360"/>
              <w:rPr>
                <w:rFonts w:cs="Arial"/>
                <w:color w:val="000000"/>
                <w:sz w:val="18"/>
                <w:szCs w:val="18"/>
              </w:rPr>
            </w:pPr>
            <w:r w:rsidRPr="001B557E">
              <w:rPr>
                <w:rFonts w:cs="Arial"/>
                <w:color w:val="000000"/>
                <w:sz w:val="18"/>
                <w:szCs w:val="18"/>
              </w:rPr>
              <w:t xml:space="preserve">zařízení pro krátkodobé </w:t>
            </w:r>
            <w:r w:rsidR="001B557E" w:rsidRPr="001B557E">
              <w:rPr>
                <w:rFonts w:cs="Arial"/>
                <w:color w:val="000000"/>
                <w:sz w:val="18"/>
                <w:szCs w:val="18"/>
              </w:rPr>
              <w:t xml:space="preserve">  u</w:t>
            </w:r>
            <w:r w:rsidRPr="001B557E">
              <w:rPr>
                <w:rFonts w:cs="Arial"/>
                <w:color w:val="000000"/>
                <w:sz w:val="18"/>
                <w:szCs w:val="18"/>
              </w:rPr>
              <w:t>bytování</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118,7</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122,7</w:t>
            </w:r>
          </w:p>
        </w:tc>
        <w:tc>
          <w:tcPr>
            <w:tcW w:w="1134" w:type="dxa"/>
            <w:tcBorders>
              <w:top w:val="nil"/>
              <w:left w:val="nil"/>
              <w:bottom w:val="nil"/>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145,6</w:t>
            </w:r>
          </w:p>
        </w:tc>
      </w:tr>
      <w:tr w:rsidR="00957985" w:rsidRPr="001B557E" w:rsidTr="001B557E">
        <w:trPr>
          <w:trHeight w:val="300"/>
          <w:jc w:val="center"/>
        </w:trPr>
        <w:tc>
          <w:tcPr>
            <w:tcW w:w="3391" w:type="dxa"/>
            <w:tcBorders>
              <w:top w:val="nil"/>
              <w:left w:val="single" w:sz="4" w:space="0" w:color="auto"/>
              <w:bottom w:val="single" w:sz="4" w:space="0" w:color="auto"/>
              <w:right w:val="single" w:sz="4" w:space="0" w:color="auto"/>
            </w:tcBorders>
            <w:shd w:val="clear" w:color="auto" w:fill="auto"/>
            <w:noWrap/>
            <w:vAlign w:val="bottom"/>
            <w:hideMark/>
          </w:tcPr>
          <w:p w:rsidR="00957985" w:rsidRPr="001B557E" w:rsidRDefault="00957985" w:rsidP="001B557E">
            <w:pPr>
              <w:keepNext/>
              <w:keepLines/>
              <w:ind w:firstLineChars="200" w:firstLine="360"/>
              <w:rPr>
                <w:rFonts w:cs="Arial"/>
                <w:color w:val="000000"/>
                <w:sz w:val="18"/>
                <w:szCs w:val="18"/>
              </w:rPr>
            </w:pPr>
            <w:r w:rsidRPr="001B557E">
              <w:rPr>
                <w:rFonts w:cs="Arial"/>
                <w:color w:val="000000"/>
                <w:sz w:val="18"/>
                <w:szCs w:val="18"/>
              </w:rPr>
              <w:t>ostatní</w:t>
            </w:r>
          </w:p>
        </w:tc>
        <w:tc>
          <w:tcPr>
            <w:tcW w:w="1134" w:type="dxa"/>
            <w:tcBorders>
              <w:top w:val="nil"/>
              <w:left w:val="nil"/>
              <w:bottom w:val="single" w:sz="4" w:space="0" w:color="auto"/>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49,8</w:t>
            </w:r>
          </w:p>
        </w:tc>
        <w:tc>
          <w:tcPr>
            <w:tcW w:w="1134" w:type="dxa"/>
            <w:tcBorders>
              <w:top w:val="nil"/>
              <w:left w:val="nil"/>
              <w:bottom w:val="single" w:sz="4" w:space="0" w:color="auto"/>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80,5</w:t>
            </w:r>
          </w:p>
        </w:tc>
        <w:tc>
          <w:tcPr>
            <w:tcW w:w="1134" w:type="dxa"/>
            <w:tcBorders>
              <w:top w:val="nil"/>
              <w:left w:val="nil"/>
              <w:bottom w:val="single" w:sz="4" w:space="0" w:color="auto"/>
              <w:right w:val="single" w:sz="4" w:space="0" w:color="auto"/>
            </w:tcBorders>
            <w:shd w:val="clear" w:color="auto" w:fill="auto"/>
            <w:noWrap/>
            <w:vAlign w:val="bottom"/>
            <w:hideMark/>
          </w:tcPr>
          <w:p w:rsidR="00957985" w:rsidRPr="001B557E" w:rsidRDefault="00957985" w:rsidP="00171994">
            <w:pPr>
              <w:keepNext/>
              <w:keepLines/>
              <w:jc w:val="right"/>
              <w:rPr>
                <w:rFonts w:cs="Arial"/>
                <w:color w:val="000000"/>
                <w:sz w:val="18"/>
                <w:szCs w:val="18"/>
              </w:rPr>
            </w:pPr>
            <w:r w:rsidRPr="001B557E">
              <w:rPr>
                <w:rFonts w:cs="Arial"/>
                <w:color w:val="000000"/>
                <w:sz w:val="18"/>
                <w:szCs w:val="18"/>
              </w:rPr>
              <w:t>40,1</w:t>
            </w:r>
          </w:p>
        </w:tc>
      </w:tr>
    </w:tbl>
    <w:p w:rsidR="00957985" w:rsidRDefault="00957985" w:rsidP="0051354C">
      <w:pPr>
        <w:pStyle w:val="Normln-web"/>
        <w:rPr>
          <w:sz w:val="20"/>
          <w:szCs w:val="20"/>
        </w:rPr>
      </w:pPr>
    </w:p>
    <w:p w:rsidR="00AC2069" w:rsidRDefault="00171994" w:rsidP="00AC2069">
      <w:pPr>
        <w:pStyle w:val="Normln-web"/>
        <w:spacing w:before="0" w:line="276" w:lineRule="auto"/>
        <w:rPr>
          <w:sz w:val="20"/>
          <w:szCs w:val="20"/>
        </w:rPr>
      </w:pPr>
      <w:r>
        <w:rPr>
          <w:sz w:val="20"/>
          <w:szCs w:val="20"/>
        </w:rPr>
        <w:t>V rámci skupiny ostatních budov n</w:t>
      </w:r>
      <w:r w:rsidR="0051354C">
        <w:rPr>
          <w:sz w:val="20"/>
          <w:szCs w:val="20"/>
        </w:rPr>
        <w:t xml:space="preserve">ejdynamičtější vývoj zaznamenalo bydlení </w:t>
      </w:r>
      <w:r w:rsidR="00397E72">
        <w:rPr>
          <w:sz w:val="20"/>
          <w:szCs w:val="20"/>
        </w:rPr>
        <w:t xml:space="preserve">v zařízeních pro </w:t>
      </w:r>
      <w:r w:rsidR="0051354C">
        <w:rPr>
          <w:sz w:val="20"/>
          <w:szCs w:val="20"/>
        </w:rPr>
        <w:t xml:space="preserve">seniory; </w:t>
      </w:r>
      <w:r w:rsidR="00515740">
        <w:rPr>
          <w:sz w:val="20"/>
          <w:szCs w:val="20"/>
        </w:rPr>
        <w:t>počet osob v bytech v těchto budovách se za deset let od roku 2001 téměř zpětinásobil.</w:t>
      </w:r>
      <w:r w:rsidR="0051354C">
        <w:rPr>
          <w:sz w:val="20"/>
          <w:szCs w:val="20"/>
        </w:rPr>
        <w:t xml:space="preserve"> Počet domů s byty určených k bydlení seniorů (</w:t>
      </w:r>
      <w:r w:rsidR="002D2B6E">
        <w:rPr>
          <w:sz w:val="20"/>
          <w:szCs w:val="20"/>
        </w:rPr>
        <w:t>tzn.</w:t>
      </w:r>
      <w:r w:rsidR="0051354C">
        <w:rPr>
          <w:sz w:val="20"/>
          <w:szCs w:val="20"/>
        </w:rPr>
        <w:t xml:space="preserve"> s příslušnými službami) se od roku 1991 zvýšil ze 183 na 603, počet bytů v nich z 1 477 na 14 865 (z toho obydlených bytů z 1 143 na 10 333). Zvýšila se tak i váha bydlení pro seniory v počtu osob bydlících v</w:t>
      </w:r>
      <w:r w:rsidR="00813644">
        <w:rPr>
          <w:sz w:val="20"/>
          <w:szCs w:val="20"/>
        </w:rPr>
        <w:t xml:space="preserve"> bytech v </w:t>
      </w:r>
      <w:r w:rsidR="0051354C">
        <w:rPr>
          <w:sz w:val="20"/>
          <w:szCs w:val="20"/>
        </w:rPr>
        <w:t>tzv. ostatních budovách (tj. mimo rodinné a bytové domy)</w:t>
      </w:r>
      <w:r w:rsidR="00813644">
        <w:rPr>
          <w:sz w:val="20"/>
          <w:szCs w:val="20"/>
        </w:rPr>
        <w:t>, kdy se bydlení v bytech v objektech pro seniory stalo - na rozdíl od předchozích cenzů - druhým nejčastějším bydlením v této kategorii budov</w:t>
      </w:r>
      <w:r w:rsidR="0051354C">
        <w:rPr>
          <w:sz w:val="20"/>
          <w:szCs w:val="20"/>
        </w:rPr>
        <w:t>. Důvodem byl nejen zvyšující se počet osob v poproduktivním věku v populaci,</w:t>
      </w:r>
      <w:r w:rsidR="00813644">
        <w:rPr>
          <w:sz w:val="20"/>
          <w:szCs w:val="20"/>
        </w:rPr>
        <w:t xml:space="preserve"> </w:t>
      </w:r>
      <w:r w:rsidR="00D05629">
        <w:rPr>
          <w:sz w:val="20"/>
          <w:szCs w:val="20"/>
        </w:rPr>
        <w:t xml:space="preserve">poptávka po takovém způsobu bydlení a tedy </w:t>
      </w:r>
      <w:r w:rsidR="00813644">
        <w:rPr>
          <w:sz w:val="20"/>
          <w:szCs w:val="20"/>
        </w:rPr>
        <w:t>zvýšení počtu objektů pro bydlení seniorů,</w:t>
      </w:r>
      <w:r w:rsidR="0051354C">
        <w:rPr>
          <w:sz w:val="20"/>
          <w:szCs w:val="20"/>
        </w:rPr>
        <w:t xml:space="preserve"> ale</w:t>
      </w:r>
      <w:r w:rsidR="00515740">
        <w:rPr>
          <w:sz w:val="20"/>
          <w:szCs w:val="20"/>
        </w:rPr>
        <w:t xml:space="preserve"> částečně</w:t>
      </w:r>
      <w:r w:rsidR="0051354C">
        <w:rPr>
          <w:sz w:val="20"/>
          <w:szCs w:val="20"/>
        </w:rPr>
        <w:t xml:space="preserve"> i vliv metodické změny - </w:t>
      </w:r>
      <w:r w:rsidR="00515740">
        <w:rPr>
          <w:sz w:val="20"/>
          <w:szCs w:val="20"/>
        </w:rPr>
        <w:t xml:space="preserve">konceptu </w:t>
      </w:r>
      <w:r w:rsidR="0051354C">
        <w:rPr>
          <w:sz w:val="20"/>
          <w:szCs w:val="20"/>
        </w:rPr>
        <w:t>obvyklého pobytu</w:t>
      </w:r>
      <w:r w:rsidR="00813644">
        <w:rPr>
          <w:sz w:val="20"/>
          <w:szCs w:val="20"/>
        </w:rPr>
        <w:t xml:space="preserve">. V bytech v zařízeních pro seniory žilo v roce 2011 </w:t>
      </w:r>
      <w:r w:rsidR="00072F99">
        <w:rPr>
          <w:sz w:val="20"/>
          <w:szCs w:val="20"/>
        </w:rPr>
        <w:t xml:space="preserve">zhruba </w:t>
      </w:r>
      <w:r w:rsidR="00813644">
        <w:rPr>
          <w:sz w:val="20"/>
          <w:szCs w:val="20"/>
        </w:rPr>
        <w:t>90 % osob se shodnou adresou obvyklého a trvalého pobytu na adrese. Při zohlednění</w:t>
      </w:r>
      <w:r w:rsidR="00981981">
        <w:rPr>
          <w:sz w:val="20"/>
          <w:szCs w:val="20"/>
        </w:rPr>
        <w:t xml:space="preserve"> 1</w:t>
      </w:r>
      <w:r w:rsidR="00515740">
        <w:rPr>
          <w:sz w:val="20"/>
          <w:szCs w:val="20"/>
        </w:rPr>
        <w:t xml:space="preserve"> </w:t>
      </w:r>
      <w:r w:rsidR="00981981">
        <w:rPr>
          <w:sz w:val="20"/>
          <w:szCs w:val="20"/>
        </w:rPr>
        <w:t>365 osob v bytech v těchto objektech, které měly trvalé bydliště jinde, se tempa růstu i podíly mírně snížily</w:t>
      </w:r>
      <w:r w:rsidR="00072F99">
        <w:rPr>
          <w:sz w:val="20"/>
          <w:szCs w:val="20"/>
        </w:rPr>
        <w:t xml:space="preserve">. Přesto </w:t>
      </w:r>
      <w:r w:rsidR="00981981">
        <w:rPr>
          <w:sz w:val="20"/>
          <w:szCs w:val="20"/>
        </w:rPr>
        <w:t xml:space="preserve">základní trendy ani proporce to ale </w:t>
      </w:r>
      <w:r w:rsidR="00813644">
        <w:rPr>
          <w:sz w:val="20"/>
          <w:szCs w:val="20"/>
        </w:rPr>
        <w:t xml:space="preserve"> </w:t>
      </w:r>
      <w:r w:rsidR="00981981">
        <w:rPr>
          <w:sz w:val="20"/>
          <w:szCs w:val="20"/>
        </w:rPr>
        <w:t>zásadním způsobem nezměnilo.</w:t>
      </w:r>
    </w:p>
    <w:p w:rsidR="00E955B5" w:rsidRDefault="00E955B5" w:rsidP="00AC2069">
      <w:pPr>
        <w:pStyle w:val="Normln-web"/>
        <w:spacing w:before="0" w:line="276" w:lineRule="auto"/>
        <w:rPr>
          <w:sz w:val="20"/>
          <w:szCs w:val="20"/>
        </w:rPr>
      </w:pPr>
    </w:p>
    <w:p w:rsidR="0051354C" w:rsidRDefault="0051354C" w:rsidP="00AC2069">
      <w:pPr>
        <w:pStyle w:val="Normln-web"/>
        <w:spacing w:before="0" w:line="276" w:lineRule="auto"/>
        <w:rPr>
          <w:sz w:val="20"/>
          <w:szCs w:val="20"/>
        </w:rPr>
      </w:pPr>
      <w:r>
        <w:rPr>
          <w:sz w:val="20"/>
          <w:szCs w:val="20"/>
        </w:rPr>
        <w:t xml:space="preserve">V absolutním vyjádření mělo </w:t>
      </w:r>
      <w:r w:rsidR="001B557E">
        <w:rPr>
          <w:sz w:val="20"/>
          <w:szCs w:val="20"/>
        </w:rPr>
        <w:t>nejvýznamnější</w:t>
      </w:r>
      <w:r>
        <w:rPr>
          <w:sz w:val="20"/>
          <w:szCs w:val="20"/>
        </w:rPr>
        <w:t xml:space="preserve"> zastoupení v rámci ostatních budov</w:t>
      </w:r>
      <w:r w:rsidRPr="00B8534A">
        <w:rPr>
          <w:sz w:val="20"/>
          <w:szCs w:val="20"/>
        </w:rPr>
        <w:t xml:space="preserve"> </w:t>
      </w:r>
      <w:r>
        <w:rPr>
          <w:sz w:val="20"/>
          <w:szCs w:val="20"/>
        </w:rPr>
        <w:t>bydlení v provozních budovách s</w:t>
      </w:r>
      <w:r w:rsidR="00B078AE">
        <w:rPr>
          <w:sz w:val="20"/>
          <w:szCs w:val="20"/>
        </w:rPr>
        <w:t> </w:t>
      </w:r>
      <w:r>
        <w:rPr>
          <w:sz w:val="20"/>
          <w:szCs w:val="20"/>
        </w:rPr>
        <w:t>bytem</w:t>
      </w:r>
      <w:r w:rsidR="00B078AE">
        <w:rPr>
          <w:sz w:val="20"/>
          <w:szCs w:val="20"/>
        </w:rPr>
        <w:t>, což byly budovy na sčítacím formuláři popsané jako „administrativní budovy“, „provozovny“, „výrobny“, „závody“ apod</w:t>
      </w:r>
      <w:r>
        <w:rPr>
          <w:sz w:val="20"/>
          <w:szCs w:val="20"/>
        </w:rPr>
        <w:t xml:space="preserve">. Celkem šlo o 34,5 tis. objektů, které byly určeny k jiným účelům než k bydlení a kde byl přesto byt (většinou pouze jeden, protože průměrný počet bytů na jednu provozní budovu s bytem činil 1,2). Zhruba čtyři pětiny bytů v provozních budovách s bytem bylo obydleno. </w:t>
      </w:r>
      <w:r w:rsidR="00B078AE">
        <w:rPr>
          <w:sz w:val="20"/>
          <w:szCs w:val="20"/>
        </w:rPr>
        <w:t>Celkem žilo v bytech v těchto objektech téměř 82,5 tisíc osob, v průměru na 1 byt to znamenalo</w:t>
      </w:r>
      <w:r>
        <w:rPr>
          <w:sz w:val="20"/>
          <w:szCs w:val="20"/>
        </w:rPr>
        <w:t xml:space="preserve"> 2,3 osoby</w:t>
      </w:r>
      <w:r w:rsidR="00A84380">
        <w:rPr>
          <w:sz w:val="20"/>
          <w:szCs w:val="20"/>
        </w:rPr>
        <w:t>;</w:t>
      </w:r>
      <w:r>
        <w:rPr>
          <w:sz w:val="20"/>
          <w:szCs w:val="20"/>
        </w:rPr>
        <w:t xml:space="preserve"> </w:t>
      </w:r>
      <w:r w:rsidR="001B557E">
        <w:rPr>
          <w:sz w:val="20"/>
          <w:szCs w:val="20"/>
        </w:rPr>
        <w:t xml:space="preserve">(pro srovnání: v rodinných domech </w:t>
      </w:r>
      <w:r>
        <w:rPr>
          <w:sz w:val="20"/>
          <w:szCs w:val="20"/>
        </w:rPr>
        <w:t> </w:t>
      </w:r>
      <w:r w:rsidR="001B557E">
        <w:rPr>
          <w:sz w:val="20"/>
          <w:szCs w:val="20"/>
        </w:rPr>
        <w:t xml:space="preserve">to bylo </w:t>
      </w:r>
      <w:r>
        <w:rPr>
          <w:sz w:val="20"/>
          <w:szCs w:val="20"/>
        </w:rPr>
        <w:t xml:space="preserve">2,8 </w:t>
      </w:r>
      <w:r w:rsidR="001B557E">
        <w:rPr>
          <w:sz w:val="20"/>
          <w:szCs w:val="20"/>
        </w:rPr>
        <w:t xml:space="preserve">a v bytových domech </w:t>
      </w:r>
      <w:r>
        <w:rPr>
          <w:sz w:val="20"/>
          <w:szCs w:val="20"/>
        </w:rPr>
        <w:t>2,2</w:t>
      </w:r>
      <w:r w:rsidR="001B557E" w:rsidRPr="001B557E">
        <w:rPr>
          <w:sz w:val="20"/>
          <w:szCs w:val="20"/>
        </w:rPr>
        <w:t xml:space="preserve"> </w:t>
      </w:r>
      <w:r w:rsidR="001B557E">
        <w:rPr>
          <w:sz w:val="20"/>
          <w:szCs w:val="20"/>
        </w:rPr>
        <w:t>osoby na byt).</w:t>
      </w:r>
      <w:r w:rsidR="00B078AE">
        <w:rPr>
          <w:sz w:val="20"/>
          <w:szCs w:val="20"/>
        </w:rPr>
        <w:t xml:space="preserve"> Za celou republiku představovalo bydlení v bytech v provozních budovách jen 0,8 % z počtu osob bydlících v bytech. V jednotlivých krajích se tento podíl pohyboval v intervalu 0,61 % (Moravskoslezský kraj) - 1,13 % (Liberecký kraj). Absolutně připadlo nejvíce osob bydlících v bytech v provozních budovách na </w:t>
      </w:r>
      <w:r w:rsidR="00813743">
        <w:rPr>
          <w:sz w:val="20"/>
          <w:szCs w:val="20"/>
        </w:rPr>
        <w:t xml:space="preserve">nejlidnatější kraje </w:t>
      </w:r>
      <w:r w:rsidR="00B078AE">
        <w:rPr>
          <w:sz w:val="20"/>
          <w:szCs w:val="20"/>
        </w:rPr>
        <w:t>Středočeský kraj</w:t>
      </w:r>
      <w:r w:rsidR="00813743">
        <w:rPr>
          <w:sz w:val="20"/>
          <w:szCs w:val="20"/>
        </w:rPr>
        <w:t xml:space="preserve"> (10 832 osob) a hl.m. Prahu (8 370 osob).</w:t>
      </w:r>
    </w:p>
    <w:p w:rsidR="007D35A0" w:rsidRDefault="00A84380" w:rsidP="00AC2069">
      <w:pPr>
        <w:pStyle w:val="Normln-web"/>
        <w:spacing w:before="0" w:line="276" w:lineRule="auto"/>
        <w:rPr>
          <w:sz w:val="20"/>
          <w:szCs w:val="20"/>
        </w:rPr>
      </w:pPr>
      <w:r>
        <w:rPr>
          <w:sz w:val="20"/>
          <w:szCs w:val="20"/>
        </w:rPr>
        <w:lastRenderedPageBreak/>
        <w:t xml:space="preserve">Bydlení v bytech z pohledu charakteristik domů bylo závislé na vývoji domovního fondu. </w:t>
      </w:r>
      <w:r w:rsidR="00F85C69">
        <w:rPr>
          <w:sz w:val="20"/>
          <w:szCs w:val="20"/>
        </w:rPr>
        <w:t>Z hlediska technických parametrů a vybavenosti domu (plyn, kanalizace, ústřední topení) se kvalita bydlení trvale zvyšovala. K nejvýznamnějším změnám ale došlo ve struktuře podle vlastnictví domu</w:t>
      </w:r>
      <w:r w:rsidR="0091209F">
        <w:rPr>
          <w:sz w:val="20"/>
          <w:szCs w:val="20"/>
        </w:rPr>
        <w:t xml:space="preserve"> postupným posilováním</w:t>
      </w:r>
      <w:r w:rsidR="00C12AF8">
        <w:rPr>
          <w:sz w:val="20"/>
          <w:szCs w:val="20"/>
        </w:rPr>
        <w:t xml:space="preserve"> soukromého vlastnictví</w:t>
      </w:r>
      <w:r w:rsidR="00F85C69">
        <w:rPr>
          <w:sz w:val="20"/>
          <w:szCs w:val="20"/>
        </w:rPr>
        <w:t>. Tento vývoj</w:t>
      </w:r>
      <w:r w:rsidR="00C12AF8">
        <w:rPr>
          <w:sz w:val="20"/>
          <w:szCs w:val="20"/>
        </w:rPr>
        <w:t xml:space="preserve"> souvisel s průběhem privatizace a restituce domovního resp. bytového fondu po roce 1989. V bytech ve státních nebo obecních domech bydlelo v roce 1991 </w:t>
      </w:r>
      <w:r w:rsidR="00240500">
        <w:rPr>
          <w:sz w:val="20"/>
          <w:szCs w:val="20"/>
        </w:rPr>
        <w:t>téměř 3,8 mil. osob (36,8 %), v roce 2001 to bylo</w:t>
      </w:r>
      <w:r w:rsidR="00775164">
        <w:rPr>
          <w:sz w:val="20"/>
          <w:szCs w:val="20"/>
        </w:rPr>
        <w:t xml:space="preserve"> 1,7 mil. a v roce 2011 jen 823 tis. osob (8,1 %). Na druhé straně s</w:t>
      </w:r>
      <w:r w:rsidR="00240500">
        <w:rPr>
          <w:sz w:val="20"/>
          <w:szCs w:val="20"/>
        </w:rPr>
        <w:t xml:space="preserve">oukromý sektor coby vlastníka domu v roce 1991 </w:t>
      </w:r>
      <w:r w:rsidR="00240500" w:rsidRPr="00576717">
        <w:rPr>
          <w:sz w:val="20"/>
          <w:szCs w:val="20"/>
        </w:rPr>
        <w:t>uvedlo 4,3 mil. osob (42,4 %)</w:t>
      </w:r>
      <w:r w:rsidR="00775164" w:rsidRPr="00576717">
        <w:rPr>
          <w:sz w:val="20"/>
          <w:szCs w:val="20"/>
        </w:rPr>
        <w:t xml:space="preserve">, v roce 2001 </w:t>
      </w:r>
      <w:r w:rsidR="001867B3" w:rsidRPr="00576717">
        <w:rPr>
          <w:sz w:val="20"/>
          <w:szCs w:val="20"/>
        </w:rPr>
        <w:t xml:space="preserve">to bylo 4,9 mil. osob a dalších necelých </w:t>
      </w:r>
      <w:r w:rsidR="00C570F4" w:rsidRPr="00576717">
        <w:rPr>
          <w:sz w:val="20"/>
          <w:szCs w:val="20"/>
        </w:rPr>
        <w:t>400</w:t>
      </w:r>
      <w:r w:rsidR="001867B3" w:rsidRPr="00576717">
        <w:rPr>
          <w:sz w:val="20"/>
          <w:szCs w:val="20"/>
        </w:rPr>
        <w:t xml:space="preserve"> tisíc osob k soukromému vlastnictví domu směřovalo </w:t>
      </w:r>
      <w:r w:rsidR="00F85C69" w:rsidRPr="00576717">
        <w:rPr>
          <w:sz w:val="20"/>
          <w:szCs w:val="20"/>
        </w:rPr>
        <w:t xml:space="preserve">(k datu sčítání probíhal </w:t>
      </w:r>
      <w:r w:rsidR="001867B3" w:rsidRPr="00576717">
        <w:rPr>
          <w:sz w:val="20"/>
          <w:szCs w:val="20"/>
        </w:rPr>
        <w:t xml:space="preserve"> privatizační proces jejich domu a vlastníkem byla dočasně vytvořená </w:t>
      </w:r>
      <w:r w:rsidR="00F85C69" w:rsidRPr="00576717">
        <w:rPr>
          <w:sz w:val="20"/>
          <w:szCs w:val="20"/>
        </w:rPr>
        <w:t>„</w:t>
      </w:r>
      <w:r w:rsidR="001867B3" w:rsidRPr="00576717">
        <w:rPr>
          <w:sz w:val="20"/>
          <w:szCs w:val="20"/>
        </w:rPr>
        <w:t>právnická osoba</w:t>
      </w:r>
      <w:r w:rsidR="00F85C69">
        <w:rPr>
          <w:sz w:val="20"/>
          <w:szCs w:val="20"/>
        </w:rPr>
        <w:t xml:space="preserve"> za účelem privatizace domu“). V roce 2011 již více než polovina (51,3 %) všech osob v bytech bydlela v domě, jehož vlastníkem byla fyzická osoba</w:t>
      </w:r>
      <w:r w:rsidR="007D35A0">
        <w:rPr>
          <w:sz w:val="20"/>
          <w:szCs w:val="20"/>
        </w:rPr>
        <w:t xml:space="preserve"> a</w:t>
      </w:r>
      <w:r w:rsidR="00F85C69">
        <w:rPr>
          <w:sz w:val="20"/>
          <w:szCs w:val="20"/>
        </w:rPr>
        <w:t xml:space="preserve"> pětina v domech ve spoluvlastnictví vlastníků bytů</w:t>
      </w:r>
      <w:r w:rsidR="007D35A0">
        <w:rPr>
          <w:sz w:val="20"/>
          <w:szCs w:val="20"/>
        </w:rPr>
        <w:t>.</w:t>
      </w:r>
    </w:p>
    <w:p w:rsidR="00AC2069" w:rsidRDefault="00AC2069" w:rsidP="00AC2069">
      <w:pPr>
        <w:pStyle w:val="Normln-web"/>
        <w:spacing w:before="0" w:line="276" w:lineRule="auto"/>
        <w:rPr>
          <w:sz w:val="20"/>
          <w:szCs w:val="20"/>
        </w:rPr>
      </w:pPr>
    </w:p>
    <w:p w:rsidR="00BB125D" w:rsidRDefault="00C570F4" w:rsidP="00AC2069">
      <w:pPr>
        <w:pStyle w:val="Normln-web"/>
        <w:spacing w:before="0" w:line="276" w:lineRule="auto"/>
        <w:rPr>
          <w:sz w:val="20"/>
          <w:szCs w:val="20"/>
        </w:rPr>
      </w:pPr>
      <w:r>
        <w:rPr>
          <w:sz w:val="20"/>
          <w:szCs w:val="20"/>
        </w:rPr>
        <w:t>Zhruba desetina osob (absolutně v</w:t>
      </w:r>
      <w:r w:rsidR="00C431EE" w:rsidRPr="00C431EE">
        <w:rPr>
          <w:sz w:val="20"/>
          <w:szCs w:val="20"/>
        </w:rPr>
        <w:t>íce než milion</w:t>
      </w:r>
      <w:r>
        <w:rPr>
          <w:sz w:val="20"/>
          <w:szCs w:val="20"/>
        </w:rPr>
        <w:t>)</w:t>
      </w:r>
      <w:r w:rsidR="00EA38CF">
        <w:rPr>
          <w:sz w:val="20"/>
          <w:szCs w:val="20"/>
        </w:rPr>
        <w:t xml:space="preserve"> bydlel</w:t>
      </w:r>
      <w:r>
        <w:rPr>
          <w:sz w:val="20"/>
          <w:szCs w:val="20"/>
        </w:rPr>
        <w:t>a</w:t>
      </w:r>
      <w:r w:rsidR="00C431EE">
        <w:rPr>
          <w:sz w:val="20"/>
          <w:szCs w:val="20"/>
        </w:rPr>
        <w:t xml:space="preserve"> v roce 2011 v domech postavených</w:t>
      </w:r>
      <w:r>
        <w:rPr>
          <w:sz w:val="20"/>
          <w:szCs w:val="20"/>
        </w:rPr>
        <w:t xml:space="preserve"> nebo zrekonstruovaných po roce 2001.</w:t>
      </w:r>
      <w:r w:rsidR="00C431EE">
        <w:rPr>
          <w:sz w:val="20"/>
          <w:szCs w:val="20"/>
        </w:rPr>
        <w:t xml:space="preserve"> </w:t>
      </w:r>
      <w:r>
        <w:rPr>
          <w:sz w:val="20"/>
          <w:szCs w:val="20"/>
        </w:rPr>
        <w:t>P</w:t>
      </w:r>
      <w:r w:rsidR="00AE1338">
        <w:rPr>
          <w:sz w:val="20"/>
          <w:szCs w:val="20"/>
        </w:rPr>
        <w:t xml:space="preserve">řevážně </w:t>
      </w:r>
      <w:r>
        <w:rPr>
          <w:sz w:val="20"/>
          <w:szCs w:val="20"/>
        </w:rPr>
        <w:t xml:space="preserve">to bylo </w:t>
      </w:r>
      <w:r w:rsidR="00AE1338">
        <w:rPr>
          <w:sz w:val="20"/>
          <w:szCs w:val="20"/>
        </w:rPr>
        <w:t>v rodinných domech. Tento fakt souvisí s</w:t>
      </w:r>
      <w:r>
        <w:rPr>
          <w:sz w:val="20"/>
          <w:szCs w:val="20"/>
        </w:rPr>
        <w:t xml:space="preserve"> všeobecným </w:t>
      </w:r>
      <w:r w:rsidR="00AE1338">
        <w:rPr>
          <w:sz w:val="20"/>
          <w:szCs w:val="20"/>
        </w:rPr>
        <w:t xml:space="preserve">oživením výstavby resp. </w:t>
      </w:r>
      <w:r w:rsidR="00C444D7">
        <w:rPr>
          <w:sz w:val="20"/>
          <w:szCs w:val="20"/>
        </w:rPr>
        <w:t xml:space="preserve">s </w:t>
      </w:r>
      <w:r w:rsidR="00AE1338">
        <w:rPr>
          <w:sz w:val="20"/>
          <w:szCs w:val="20"/>
        </w:rPr>
        <w:t>rekonstrukcemi rodinných domů po roce 1989</w:t>
      </w:r>
      <w:r w:rsidR="00C444D7">
        <w:rPr>
          <w:sz w:val="20"/>
          <w:szCs w:val="20"/>
        </w:rPr>
        <w:t>, přičemž růst počtu bytů v rodinných domech</w:t>
      </w:r>
      <w:r>
        <w:rPr>
          <w:sz w:val="20"/>
          <w:szCs w:val="20"/>
        </w:rPr>
        <w:t xml:space="preserve"> právě</w:t>
      </w:r>
      <w:r w:rsidR="00C444D7">
        <w:rPr>
          <w:sz w:val="20"/>
          <w:szCs w:val="20"/>
        </w:rPr>
        <w:t xml:space="preserve"> mezi roky 2001 - 2011 byl rychlejší než v</w:t>
      </w:r>
      <w:r w:rsidR="00A07130">
        <w:rPr>
          <w:sz w:val="20"/>
          <w:szCs w:val="20"/>
        </w:rPr>
        <w:t> </w:t>
      </w:r>
      <w:r>
        <w:rPr>
          <w:sz w:val="20"/>
          <w:szCs w:val="20"/>
        </w:rPr>
        <w:t>desetiletí</w:t>
      </w:r>
      <w:r w:rsidR="00C444D7">
        <w:rPr>
          <w:sz w:val="20"/>
          <w:szCs w:val="20"/>
        </w:rPr>
        <w:t xml:space="preserve"> 1991 - 2001. </w:t>
      </w:r>
    </w:p>
    <w:p w:rsidR="00AC2069" w:rsidRPr="00C431EE" w:rsidRDefault="00AC2069" w:rsidP="00AC2069">
      <w:pPr>
        <w:pStyle w:val="Normln-web"/>
        <w:spacing w:before="0" w:line="276" w:lineRule="auto"/>
        <w:rPr>
          <w:sz w:val="20"/>
          <w:szCs w:val="20"/>
        </w:rPr>
      </w:pPr>
    </w:p>
    <w:p w:rsidR="00A84380" w:rsidRDefault="001133B5" w:rsidP="00AC2069">
      <w:pPr>
        <w:pStyle w:val="Normln-web"/>
        <w:spacing w:before="0" w:line="276" w:lineRule="auto"/>
        <w:rPr>
          <w:sz w:val="20"/>
          <w:szCs w:val="20"/>
        </w:rPr>
      </w:pPr>
      <w:r>
        <w:rPr>
          <w:sz w:val="20"/>
          <w:szCs w:val="20"/>
        </w:rPr>
        <w:t xml:space="preserve">V závislosti na </w:t>
      </w:r>
      <w:r w:rsidR="00BA0583">
        <w:rPr>
          <w:sz w:val="20"/>
          <w:szCs w:val="20"/>
        </w:rPr>
        <w:t>razantních</w:t>
      </w:r>
      <w:r>
        <w:rPr>
          <w:sz w:val="20"/>
          <w:szCs w:val="20"/>
        </w:rPr>
        <w:t xml:space="preserve"> změnách vlastnických vztahů domů i bytů se podstatnou měrou změnila i struktura bydlení v bytech podle jejich </w:t>
      </w:r>
      <w:r w:rsidRPr="00840075">
        <w:rPr>
          <w:b/>
          <w:sz w:val="20"/>
          <w:szCs w:val="20"/>
        </w:rPr>
        <w:t>právního</w:t>
      </w:r>
      <w:r w:rsidR="00A84380" w:rsidRPr="00840075">
        <w:rPr>
          <w:b/>
          <w:sz w:val="20"/>
          <w:szCs w:val="20"/>
        </w:rPr>
        <w:t xml:space="preserve"> důvod</w:t>
      </w:r>
      <w:r w:rsidR="00BA0583" w:rsidRPr="00840075">
        <w:rPr>
          <w:b/>
          <w:sz w:val="20"/>
          <w:szCs w:val="20"/>
        </w:rPr>
        <w:t>u</w:t>
      </w:r>
      <w:r w:rsidR="00A84380" w:rsidRPr="00840075">
        <w:rPr>
          <w:b/>
          <w:sz w:val="20"/>
          <w:szCs w:val="20"/>
        </w:rPr>
        <w:t xml:space="preserve"> užívání</w:t>
      </w:r>
      <w:r w:rsidR="00BA0583">
        <w:rPr>
          <w:sz w:val="20"/>
          <w:szCs w:val="20"/>
        </w:rPr>
        <w:t>.</w:t>
      </w:r>
      <w:r w:rsidR="00290472">
        <w:rPr>
          <w:sz w:val="20"/>
          <w:szCs w:val="20"/>
        </w:rPr>
        <w:t xml:space="preserve"> </w:t>
      </w:r>
    </w:p>
    <w:p w:rsidR="00AC2069" w:rsidRDefault="00AC2069" w:rsidP="006F3A7C">
      <w:pPr>
        <w:pStyle w:val="Normln-web"/>
        <w:spacing w:after="120"/>
        <w:ind w:firstLine="992"/>
        <w:rPr>
          <w:b/>
          <w:sz w:val="20"/>
          <w:szCs w:val="20"/>
        </w:rPr>
      </w:pPr>
    </w:p>
    <w:p w:rsidR="006F3A7C" w:rsidRDefault="006F3A7C" w:rsidP="006F3A7C">
      <w:pPr>
        <w:pStyle w:val="Normln-web"/>
        <w:spacing w:after="120"/>
        <w:ind w:firstLine="992"/>
        <w:rPr>
          <w:b/>
          <w:bCs/>
          <w:sz w:val="20"/>
          <w:szCs w:val="20"/>
        </w:rPr>
      </w:pPr>
      <w:r w:rsidRPr="006F3A7C">
        <w:rPr>
          <w:b/>
          <w:sz w:val="20"/>
          <w:szCs w:val="20"/>
        </w:rPr>
        <w:t xml:space="preserve">Graf č. 3 </w:t>
      </w:r>
      <w:r w:rsidRPr="006F3A7C">
        <w:rPr>
          <w:b/>
          <w:bCs/>
          <w:sz w:val="20"/>
          <w:szCs w:val="20"/>
        </w:rPr>
        <w:t>Osoby v</w:t>
      </w:r>
      <w:r>
        <w:rPr>
          <w:b/>
          <w:bCs/>
          <w:sz w:val="20"/>
          <w:szCs w:val="20"/>
        </w:rPr>
        <w:t> </w:t>
      </w:r>
      <w:r w:rsidRPr="006F3A7C">
        <w:rPr>
          <w:b/>
          <w:bCs/>
          <w:sz w:val="20"/>
          <w:szCs w:val="20"/>
        </w:rPr>
        <w:t>bytech</w:t>
      </w:r>
      <w:r>
        <w:rPr>
          <w:b/>
          <w:bCs/>
          <w:sz w:val="20"/>
          <w:szCs w:val="20"/>
        </w:rPr>
        <w:t xml:space="preserve"> </w:t>
      </w:r>
      <w:r w:rsidRPr="006F3A7C">
        <w:rPr>
          <w:b/>
          <w:bCs/>
          <w:sz w:val="20"/>
          <w:szCs w:val="20"/>
        </w:rPr>
        <w:t xml:space="preserve"> podle právního důvodu užívání v letech 1991 </w:t>
      </w:r>
      <w:r w:rsidR="00841A52">
        <w:rPr>
          <w:b/>
          <w:bCs/>
          <w:sz w:val="20"/>
          <w:szCs w:val="20"/>
        </w:rPr>
        <w:t>–</w:t>
      </w:r>
      <w:r>
        <w:rPr>
          <w:b/>
          <w:bCs/>
          <w:sz w:val="20"/>
          <w:szCs w:val="20"/>
        </w:rPr>
        <w:t xml:space="preserve"> </w:t>
      </w:r>
      <w:r w:rsidRPr="006F3A7C">
        <w:rPr>
          <w:b/>
          <w:bCs/>
          <w:sz w:val="20"/>
          <w:szCs w:val="20"/>
        </w:rPr>
        <w:t>2011</w:t>
      </w:r>
    </w:p>
    <w:p w:rsidR="00A30C16" w:rsidRDefault="00A30C16" w:rsidP="006F3A7C">
      <w:pPr>
        <w:pStyle w:val="Normln-web"/>
        <w:spacing w:after="120"/>
        <w:ind w:firstLine="992"/>
        <w:rPr>
          <w:b/>
          <w:bCs/>
          <w:sz w:val="20"/>
          <w:szCs w:val="20"/>
        </w:rPr>
      </w:pPr>
      <w:r w:rsidRPr="00A30C16">
        <w:rPr>
          <w:b/>
          <w:bCs/>
          <w:sz w:val="20"/>
          <w:szCs w:val="20"/>
        </w:rPr>
        <w:drawing>
          <wp:inline distT="0" distB="0" distL="0" distR="0">
            <wp:extent cx="4572000" cy="2743200"/>
            <wp:effectExtent l="19050" t="0" r="19050" b="0"/>
            <wp:docPr id="3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1A51" w:rsidRDefault="00D61A51" w:rsidP="00A84380">
      <w:pPr>
        <w:pStyle w:val="Normln-web"/>
        <w:rPr>
          <w:sz w:val="20"/>
          <w:szCs w:val="20"/>
        </w:rPr>
      </w:pPr>
    </w:p>
    <w:p w:rsidR="00AE1338" w:rsidRDefault="00FE1445" w:rsidP="00AC2069">
      <w:pPr>
        <w:pStyle w:val="Normln-web"/>
        <w:spacing w:before="0" w:line="276" w:lineRule="auto"/>
        <w:rPr>
          <w:sz w:val="20"/>
          <w:szCs w:val="20"/>
        </w:rPr>
      </w:pPr>
      <w:r>
        <w:rPr>
          <w:sz w:val="20"/>
          <w:szCs w:val="20"/>
        </w:rPr>
        <w:t>V bytě ve vlastním domě nebo v bytě v osobním vlastnictví bydlel</w:t>
      </w:r>
      <w:r w:rsidR="00C444D7">
        <w:rPr>
          <w:sz w:val="20"/>
          <w:szCs w:val="20"/>
        </w:rPr>
        <w:t>y</w:t>
      </w:r>
      <w:r>
        <w:rPr>
          <w:sz w:val="20"/>
          <w:szCs w:val="20"/>
        </w:rPr>
        <w:t xml:space="preserve"> v roce 1991 dvě pětiny všech osob bydlících v bytech; v roce 2011 to byly již tři pětiny osob. Současně se snižovalo zastoupení </w:t>
      </w:r>
      <w:r w:rsidR="00C444D7">
        <w:rPr>
          <w:sz w:val="20"/>
          <w:szCs w:val="20"/>
        </w:rPr>
        <w:t xml:space="preserve">bytů </w:t>
      </w:r>
      <w:r>
        <w:rPr>
          <w:sz w:val="20"/>
          <w:szCs w:val="20"/>
        </w:rPr>
        <w:t xml:space="preserve">nájemních (původně většinou ve vlastnictví státu a obcí) a </w:t>
      </w:r>
      <w:r w:rsidR="00C444D7">
        <w:rPr>
          <w:sz w:val="20"/>
          <w:szCs w:val="20"/>
        </w:rPr>
        <w:t>bytů</w:t>
      </w:r>
      <w:r>
        <w:rPr>
          <w:sz w:val="20"/>
          <w:szCs w:val="20"/>
        </w:rPr>
        <w:t xml:space="preserve"> družstevních, které byly v průběhu privatizace převáděny do vlastnictví nájemníků nebo byly prodávány. Nejdynamičtější vývoj zaznamenalo bydlení v bytech v osobním vlastnictví. Počet osob v těchto bytech se v období 1991 - 2011 více než zdvacetinásobil. </w:t>
      </w:r>
      <w:r w:rsidR="00AA40D3">
        <w:rPr>
          <w:sz w:val="20"/>
          <w:szCs w:val="20"/>
        </w:rPr>
        <w:t xml:space="preserve">Položka „jiný důvod vč. nezjištěno“ byla v roce 2011 z větší části tvořena právě </w:t>
      </w:r>
      <w:r w:rsidR="003F0458">
        <w:rPr>
          <w:sz w:val="20"/>
          <w:szCs w:val="20"/>
        </w:rPr>
        <w:t>nezjištěným právním důvodem užívání (6,6 % osob).</w:t>
      </w:r>
    </w:p>
    <w:p w:rsidR="00AC2069" w:rsidRDefault="00AC2069" w:rsidP="00AC2069">
      <w:pPr>
        <w:pStyle w:val="Normln-web"/>
        <w:spacing w:before="0" w:line="276" w:lineRule="auto"/>
        <w:rPr>
          <w:sz w:val="20"/>
          <w:szCs w:val="20"/>
        </w:rPr>
      </w:pPr>
    </w:p>
    <w:p w:rsidR="008220BB" w:rsidRDefault="003F0458" w:rsidP="00AC2069">
      <w:pPr>
        <w:pStyle w:val="Normln-web"/>
        <w:spacing w:before="0" w:line="276" w:lineRule="auto"/>
        <w:rPr>
          <w:sz w:val="20"/>
          <w:szCs w:val="20"/>
        </w:rPr>
      </w:pPr>
      <w:r>
        <w:rPr>
          <w:sz w:val="20"/>
          <w:szCs w:val="20"/>
        </w:rPr>
        <w:lastRenderedPageBreak/>
        <w:t>Právní důvod užívání bytu</w:t>
      </w:r>
      <w:r w:rsidR="00AA40D3">
        <w:rPr>
          <w:sz w:val="20"/>
          <w:szCs w:val="20"/>
        </w:rPr>
        <w:t xml:space="preserve"> byl</w:t>
      </w:r>
      <w:r>
        <w:rPr>
          <w:sz w:val="20"/>
          <w:szCs w:val="20"/>
        </w:rPr>
        <w:t xml:space="preserve"> kromě dramatických změn struktury</w:t>
      </w:r>
      <w:r w:rsidR="003F627B">
        <w:rPr>
          <w:sz w:val="20"/>
          <w:szCs w:val="20"/>
        </w:rPr>
        <w:t xml:space="preserve"> v časové řadě</w:t>
      </w:r>
      <w:r w:rsidR="008220BB">
        <w:rPr>
          <w:sz w:val="20"/>
          <w:szCs w:val="20"/>
        </w:rPr>
        <w:t xml:space="preserve"> </w:t>
      </w:r>
      <w:r>
        <w:rPr>
          <w:sz w:val="20"/>
          <w:szCs w:val="20"/>
        </w:rPr>
        <w:t xml:space="preserve">i </w:t>
      </w:r>
      <w:r w:rsidR="003F627B">
        <w:rPr>
          <w:sz w:val="20"/>
          <w:szCs w:val="20"/>
        </w:rPr>
        <w:t xml:space="preserve">jednou z </w:t>
      </w:r>
      <w:r>
        <w:rPr>
          <w:sz w:val="20"/>
          <w:szCs w:val="20"/>
        </w:rPr>
        <w:t>charakteristik bydlení v bytech, která byla výrazně diferencovaná územně.</w:t>
      </w:r>
      <w:r w:rsidR="008220BB">
        <w:rPr>
          <w:sz w:val="20"/>
          <w:szCs w:val="20"/>
        </w:rPr>
        <w:t xml:space="preserve"> </w:t>
      </w:r>
    </w:p>
    <w:p w:rsidR="003F627B" w:rsidRDefault="003F627B" w:rsidP="00994BF3">
      <w:pPr>
        <w:pStyle w:val="Normln-web"/>
        <w:spacing w:line="276" w:lineRule="auto"/>
        <w:rPr>
          <w:sz w:val="20"/>
          <w:szCs w:val="20"/>
        </w:rPr>
      </w:pPr>
      <w:r>
        <w:rPr>
          <w:sz w:val="20"/>
          <w:szCs w:val="20"/>
        </w:rPr>
        <w:t xml:space="preserve">Podíly osob bydlících v bytech ve vlastním domě, v bytech v osobním vlastnictví nebo v bytech nájemních se lišily mezi maximální a minimální hodnotou v krajích o 20 - 30 bodů (při vynechání extrémně nízké, ale logické hodnoty podílu osob v bytech ve vlastním domě v hl. městě Praze). Např. podíly osob bydlících v bytech v osobním vlastnictví byly v intervalu od 12,1 % v Moravskoslezském kraji až po 32,5 % v Karlovarském kraji. Podíly osob v nájemních bytech pak od 12,5 % ve Zlínském kraji po 32,6 % v Praze. V této souvislosti je třeba připomenout, že právní důvod užívání bytu byl zjišťován na úrovni bytu a je shodný pro všechny osoby v bytě obvykle bydlící. Bydlí-li </w:t>
      </w:r>
      <w:r w:rsidRPr="0048109A">
        <w:rPr>
          <w:sz w:val="20"/>
          <w:szCs w:val="20"/>
        </w:rPr>
        <w:t>1</w:t>
      </w:r>
      <w:r>
        <w:rPr>
          <w:sz w:val="20"/>
          <w:szCs w:val="20"/>
        </w:rPr>
        <w:t>,</w:t>
      </w:r>
      <w:r w:rsidRPr="0048109A">
        <w:rPr>
          <w:sz w:val="20"/>
          <w:szCs w:val="20"/>
        </w:rPr>
        <w:t>8</w:t>
      </w:r>
      <w:r w:rsidR="00FE2C46">
        <w:rPr>
          <w:sz w:val="20"/>
          <w:szCs w:val="20"/>
        </w:rPr>
        <w:t xml:space="preserve"> </w:t>
      </w:r>
      <w:r>
        <w:rPr>
          <w:sz w:val="20"/>
          <w:szCs w:val="20"/>
        </w:rPr>
        <w:t>mil. osob v bytech v osobním vlastnictví, neznamená to, že je stejný počet vlastníků těchto bytů.</w:t>
      </w:r>
    </w:p>
    <w:p w:rsidR="00841A52" w:rsidRDefault="00841A52" w:rsidP="0036434D">
      <w:pPr>
        <w:pStyle w:val="Normln-web"/>
        <w:spacing w:after="120"/>
        <w:ind w:firstLine="720"/>
        <w:rPr>
          <w:b/>
          <w:sz w:val="20"/>
          <w:szCs w:val="20"/>
        </w:rPr>
      </w:pPr>
    </w:p>
    <w:p w:rsidR="006F3A7C" w:rsidRDefault="006F3A7C" w:rsidP="0036434D">
      <w:pPr>
        <w:pStyle w:val="Normln-web"/>
        <w:spacing w:after="120"/>
        <w:ind w:firstLine="720"/>
        <w:rPr>
          <w:b/>
          <w:bCs/>
          <w:sz w:val="20"/>
          <w:szCs w:val="20"/>
        </w:rPr>
      </w:pPr>
      <w:r w:rsidRPr="006F3A7C">
        <w:rPr>
          <w:b/>
          <w:sz w:val="20"/>
          <w:szCs w:val="20"/>
        </w:rPr>
        <w:t>Graf č. 4</w:t>
      </w:r>
      <w:r>
        <w:rPr>
          <w:sz w:val="20"/>
          <w:szCs w:val="20"/>
        </w:rPr>
        <w:t xml:space="preserve"> </w:t>
      </w:r>
      <w:r w:rsidRPr="006F3A7C">
        <w:rPr>
          <w:b/>
          <w:bCs/>
          <w:sz w:val="20"/>
          <w:szCs w:val="20"/>
        </w:rPr>
        <w:t>Osoby v bytech podle právního důvodu užívání k 26.</w:t>
      </w:r>
      <w:r>
        <w:rPr>
          <w:b/>
          <w:bCs/>
          <w:sz w:val="20"/>
          <w:szCs w:val="20"/>
        </w:rPr>
        <w:t xml:space="preserve"> </w:t>
      </w:r>
      <w:r w:rsidRPr="006F3A7C">
        <w:rPr>
          <w:b/>
          <w:bCs/>
          <w:sz w:val="20"/>
          <w:szCs w:val="20"/>
        </w:rPr>
        <w:t>3.</w:t>
      </w:r>
      <w:r>
        <w:rPr>
          <w:b/>
          <w:bCs/>
          <w:sz w:val="20"/>
          <w:szCs w:val="20"/>
        </w:rPr>
        <w:t xml:space="preserve"> </w:t>
      </w:r>
      <w:r w:rsidRPr="006F3A7C">
        <w:rPr>
          <w:b/>
          <w:bCs/>
          <w:sz w:val="20"/>
          <w:szCs w:val="20"/>
        </w:rPr>
        <w:t>2011</w:t>
      </w:r>
    </w:p>
    <w:p w:rsidR="00A30C16" w:rsidRDefault="00A30C16" w:rsidP="0036434D">
      <w:pPr>
        <w:pStyle w:val="Normln-web"/>
        <w:spacing w:after="120"/>
        <w:ind w:firstLine="720"/>
        <w:rPr>
          <w:b/>
          <w:bCs/>
          <w:sz w:val="20"/>
          <w:szCs w:val="20"/>
        </w:rPr>
      </w:pPr>
      <w:r w:rsidRPr="00A30C16">
        <w:rPr>
          <w:b/>
          <w:bCs/>
          <w:sz w:val="20"/>
          <w:szCs w:val="20"/>
        </w:rPr>
        <w:drawing>
          <wp:inline distT="0" distB="0" distL="0" distR="0">
            <wp:extent cx="5238751" cy="3362324"/>
            <wp:effectExtent l="19050" t="0" r="19049" b="0"/>
            <wp:docPr id="1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30C16" w:rsidRDefault="00A30C16" w:rsidP="0036434D">
      <w:pPr>
        <w:pStyle w:val="Normln-web"/>
        <w:spacing w:after="120"/>
        <w:ind w:firstLine="720"/>
        <w:rPr>
          <w:b/>
          <w:bCs/>
          <w:sz w:val="20"/>
          <w:szCs w:val="20"/>
        </w:rPr>
      </w:pPr>
    </w:p>
    <w:p w:rsidR="00F03DB2" w:rsidRDefault="005B7456" w:rsidP="0036434D">
      <w:pPr>
        <w:pStyle w:val="Normln-web"/>
        <w:spacing w:before="0" w:line="276" w:lineRule="auto"/>
        <w:rPr>
          <w:sz w:val="20"/>
          <w:szCs w:val="20"/>
        </w:rPr>
      </w:pPr>
      <w:r>
        <w:rPr>
          <w:sz w:val="20"/>
          <w:szCs w:val="20"/>
        </w:rPr>
        <w:t xml:space="preserve">Struktura osob podle právního důvodu užívání bytu byla ovlivněna především strukturou domovního fondu v příslušném regionu. Oblasti s převahou rodinných domů měly významné zastoupení bydlení v bytech ve vlastním domě. </w:t>
      </w:r>
      <w:r w:rsidR="006E41A1">
        <w:rPr>
          <w:sz w:val="20"/>
          <w:szCs w:val="20"/>
        </w:rPr>
        <w:t>Z</w:t>
      </w:r>
      <w:r>
        <w:rPr>
          <w:sz w:val="20"/>
          <w:szCs w:val="20"/>
        </w:rPr>
        <w:t xml:space="preserve"> pohledu bytů v bytových domech, ve kterých žila téměř polovina obyvatel bydlících v bytech, byly územní diference ovlivněné </w:t>
      </w:r>
      <w:r w:rsidR="006E41A1">
        <w:rPr>
          <w:sz w:val="20"/>
          <w:szCs w:val="20"/>
        </w:rPr>
        <w:t xml:space="preserve">i </w:t>
      </w:r>
      <w:r>
        <w:rPr>
          <w:sz w:val="20"/>
          <w:szCs w:val="20"/>
        </w:rPr>
        <w:t>rozdíly v intenzitě privatizačních procesů</w:t>
      </w:r>
      <w:r w:rsidR="006E41A1">
        <w:rPr>
          <w:sz w:val="20"/>
          <w:szCs w:val="20"/>
        </w:rPr>
        <w:t>, které neprobíhaly ve všech regionech shodně.</w:t>
      </w:r>
      <w:r>
        <w:rPr>
          <w:sz w:val="20"/>
          <w:szCs w:val="20"/>
        </w:rPr>
        <w:t xml:space="preserve"> </w:t>
      </w:r>
    </w:p>
    <w:p w:rsidR="0036434D" w:rsidRDefault="0036434D" w:rsidP="0036434D">
      <w:pPr>
        <w:pStyle w:val="Normln-web"/>
        <w:spacing w:before="0" w:line="276" w:lineRule="auto"/>
        <w:rPr>
          <w:sz w:val="20"/>
          <w:szCs w:val="20"/>
        </w:rPr>
      </w:pPr>
    </w:p>
    <w:p w:rsidR="00D04D1D" w:rsidRDefault="00D04D1D" w:rsidP="0036434D">
      <w:pPr>
        <w:pStyle w:val="Normln-web"/>
        <w:spacing w:before="0" w:line="276" w:lineRule="auto"/>
        <w:rPr>
          <w:sz w:val="20"/>
          <w:szCs w:val="20"/>
        </w:rPr>
      </w:pPr>
      <w:r>
        <w:rPr>
          <w:sz w:val="20"/>
          <w:szCs w:val="20"/>
        </w:rPr>
        <w:t>Nejvyšší podíl osob bydlících v bytech v osobním vlastnictví byl v Karlovarském kraji (téměř třetina všech osob v bytech). Ve třech obcích Karlovarského kraje - Nová Role, Údolí a Ostrov - byl podíl osob v těchto bytech vyšší než 50 %, v</w:t>
      </w:r>
      <w:r w:rsidR="00664601">
        <w:rPr>
          <w:sz w:val="20"/>
          <w:szCs w:val="20"/>
        </w:rPr>
        <w:t xml:space="preserve"> Karlových Varech a v Mariánských Lázních dosahoval 48 resp. 47 % a v dalších </w:t>
      </w:r>
      <w:r>
        <w:rPr>
          <w:sz w:val="20"/>
          <w:szCs w:val="20"/>
        </w:rPr>
        <w:t xml:space="preserve"> </w:t>
      </w:r>
      <w:r w:rsidR="00664601">
        <w:rPr>
          <w:sz w:val="20"/>
          <w:szCs w:val="20"/>
        </w:rPr>
        <w:t xml:space="preserve">4 </w:t>
      </w:r>
      <w:r>
        <w:rPr>
          <w:sz w:val="20"/>
          <w:szCs w:val="20"/>
        </w:rPr>
        <w:t>obcích</w:t>
      </w:r>
      <w:r w:rsidR="00664601">
        <w:rPr>
          <w:sz w:val="20"/>
          <w:szCs w:val="20"/>
        </w:rPr>
        <w:t xml:space="preserve"> (všechny z okresu Sokolov)</w:t>
      </w:r>
      <w:r>
        <w:rPr>
          <w:sz w:val="20"/>
          <w:szCs w:val="20"/>
        </w:rPr>
        <w:t xml:space="preserve"> se podíl pohyboval mezi 41 a 4</w:t>
      </w:r>
      <w:r w:rsidR="00664601">
        <w:rPr>
          <w:sz w:val="20"/>
          <w:szCs w:val="20"/>
        </w:rPr>
        <w:t>4</w:t>
      </w:r>
      <w:r>
        <w:rPr>
          <w:sz w:val="20"/>
          <w:szCs w:val="20"/>
        </w:rPr>
        <w:t xml:space="preserve"> %.</w:t>
      </w:r>
      <w:r w:rsidR="00664601">
        <w:rPr>
          <w:sz w:val="20"/>
          <w:szCs w:val="20"/>
        </w:rPr>
        <w:t xml:space="preserve"> Uvedených 9 obcí, kde byly podíly osob bydlících v bytech v osobním vlastnictví nejvyšší, </w:t>
      </w:r>
      <w:r w:rsidR="003F627B">
        <w:rPr>
          <w:sz w:val="20"/>
          <w:szCs w:val="20"/>
        </w:rPr>
        <w:t>tvořilo z</w:t>
      </w:r>
      <w:r w:rsidR="00664601">
        <w:rPr>
          <w:sz w:val="20"/>
          <w:szCs w:val="20"/>
        </w:rPr>
        <w:t xml:space="preserve"> počtu obyvatel Karlovarského kraje 43 %, </w:t>
      </w:r>
      <w:r w:rsidR="003F627B">
        <w:rPr>
          <w:sz w:val="20"/>
          <w:szCs w:val="20"/>
        </w:rPr>
        <w:t>z</w:t>
      </w:r>
      <w:r w:rsidR="00664601">
        <w:rPr>
          <w:sz w:val="20"/>
          <w:szCs w:val="20"/>
        </w:rPr>
        <w:t xml:space="preserve"> počtu osob bydlících v bytech v osobním vlastnictví ale 62 %.</w:t>
      </w:r>
    </w:p>
    <w:p w:rsidR="006F3A7C" w:rsidRDefault="00C72651" w:rsidP="00AC2069">
      <w:pPr>
        <w:pStyle w:val="Normln-web"/>
        <w:keepNext/>
        <w:keepLines/>
        <w:spacing w:before="0"/>
        <w:rPr>
          <w:b/>
          <w:sz w:val="20"/>
          <w:szCs w:val="20"/>
        </w:rPr>
      </w:pPr>
      <w:r w:rsidRPr="00C72651">
        <w:rPr>
          <w:b/>
          <w:sz w:val="20"/>
          <w:szCs w:val="20"/>
        </w:rPr>
        <w:lastRenderedPageBreak/>
        <w:t xml:space="preserve">Graf </w:t>
      </w:r>
      <w:r w:rsidR="006F3A7C">
        <w:rPr>
          <w:b/>
          <w:sz w:val="20"/>
          <w:szCs w:val="20"/>
        </w:rPr>
        <w:t xml:space="preserve">č. 5 </w:t>
      </w:r>
      <w:r w:rsidRPr="00C72651">
        <w:rPr>
          <w:b/>
          <w:sz w:val="20"/>
          <w:szCs w:val="20"/>
        </w:rPr>
        <w:t xml:space="preserve"> </w:t>
      </w:r>
      <w:r w:rsidR="006F3A7C">
        <w:rPr>
          <w:b/>
          <w:sz w:val="20"/>
          <w:szCs w:val="20"/>
        </w:rPr>
        <w:t>O</w:t>
      </w:r>
      <w:r w:rsidRPr="00C72651">
        <w:rPr>
          <w:b/>
          <w:sz w:val="20"/>
          <w:szCs w:val="20"/>
        </w:rPr>
        <w:t>soby v bytech v osobním vlastnictví (podíl z počtu osob v bytech v SO ORP</w:t>
      </w:r>
      <w:r w:rsidR="006F3A7C">
        <w:rPr>
          <w:b/>
          <w:sz w:val="20"/>
          <w:szCs w:val="20"/>
        </w:rPr>
        <w:t xml:space="preserve"> v %</w:t>
      </w:r>
      <w:r w:rsidRPr="00C72651">
        <w:rPr>
          <w:b/>
          <w:sz w:val="20"/>
          <w:szCs w:val="20"/>
        </w:rPr>
        <w:t xml:space="preserve">) </w:t>
      </w:r>
    </w:p>
    <w:p w:rsidR="004F4C67" w:rsidRPr="00C72651" w:rsidRDefault="00C72651" w:rsidP="00AC2069">
      <w:pPr>
        <w:pStyle w:val="Normln-web"/>
        <w:keepNext/>
        <w:keepLines/>
        <w:spacing w:before="0"/>
        <w:rPr>
          <w:b/>
          <w:sz w:val="20"/>
          <w:szCs w:val="20"/>
        </w:rPr>
      </w:pPr>
      <w:r w:rsidRPr="00C72651">
        <w:rPr>
          <w:b/>
          <w:sz w:val="20"/>
          <w:szCs w:val="20"/>
        </w:rPr>
        <w:t>k 26.</w:t>
      </w:r>
      <w:r w:rsidR="006F3A7C">
        <w:rPr>
          <w:b/>
          <w:sz w:val="20"/>
          <w:szCs w:val="20"/>
        </w:rPr>
        <w:t xml:space="preserve"> </w:t>
      </w:r>
      <w:r w:rsidRPr="00C72651">
        <w:rPr>
          <w:b/>
          <w:sz w:val="20"/>
          <w:szCs w:val="20"/>
        </w:rPr>
        <w:t>3.</w:t>
      </w:r>
      <w:r w:rsidR="006F3A7C">
        <w:rPr>
          <w:b/>
          <w:sz w:val="20"/>
          <w:szCs w:val="20"/>
        </w:rPr>
        <w:t xml:space="preserve"> </w:t>
      </w:r>
      <w:r w:rsidRPr="00C72651">
        <w:rPr>
          <w:b/>
          <w:sz w:val="20"/>
          <w:szCs w:val="20"/>
        </w:rPr>
        <w:t xml:space="preserve">2011  </w:t>
      </w:r>
    </w:p>
    <w:p w:rsidR="00844633" w:rsidRPr="00C72651" w:rsidRDefault="00C90F6F" w:rsidP="00C72651">
      <w:pPr>
        <w:pStyle w:val="Normln-web"/>
        <w:keepNext/>
        <w:keepLines/>
        <w:spacing w:line="276" w:lineRule="auto"/>
        <w:jc w:val="center"/>
        <w:rPr>
          <w:b/>
          <w:sz w:val="20"/>
          <w:szCs w:val="20"/>
        </w:rPr>
      </w:pPr>
      <w:r w:rsidRPr="005E1E43">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214.5pt">
            <v:imagedata r:id="rId13" o:title="Osoby_v_byte_OV_stejneINTERV"/>
          </v:shape>
        </w:pict>
      </w:r>
    </w:p>
    <w:p w:rsidR="006E6AB4" w:rsidRDefault="007F7617" w:rsidP="00533EBF">
      <w:pPr>
        <w:pStyle w:val="Normln-web"/>
        <w:spacing w:line="276" w:lineRule="auto"/>
        <w:rPr>
          <w:sz w:val="20"/>
          <w:szCs w:val="20"/>
        </w:rPr>
      </w:pPr>
      <w:r>
        <w:rPr>
          <w:sz w:val="20"/>
          <w:szCs w:val="20"/>
        </w:rPr>
        <w:t>Byty v osobním vlastnictví byly téměř vždy v bytových domech. Pro územní rozmístění byla proto zásadní i struktura domovního fondu v jednotlivých regionech. Při omezení hodnocení podílů bytů v osobním vlastnictví  pouze na bytové domy se v oblastech s nízkým zastoupením bytových domů podíly</w:t>
      </w:r>
      <w:r w:rsidR="00306C5A">
        <w:rPr>
          <w:sz w:val="20"/>
          <w:szCs w:val="20"/>
        </w:rPr>
        <w:t xml:space="preserve"> bytů</w:t>
      </w:r>
      <w:r>
        <w:rPr>
          <w:sz w:val="20"/>
          <w:szCs w:val="20"/>
        </w:rPr>
        <w:t xml:space="preserve"> v osobním vlastnictví významně zvýšily, protože se podstatnou měrou zmenšil základ, ke kterému byl</w:t>
      </w:r>
      <w:r w:rsidR="006E6AB4">
        <w:rPr>
          <w:sz w:val="20"/>
          <w:szCs w:val="20"/>
        </w:rPr>
        <w:t>a</w:t>
      </w:r>
      <w:r>
        <w:rPr>
          <w:sz w:val="20"/>
          <w:szCs w:val="20"/>
        </w:rPr>
        <w:t xml:space="preserve"> </w:t>
      </w:r>
      <w:r w:rsidR="006E6AB4">
        <w:rPr>
          <w:sz w:val="20"/>
          <w:szCs w:val="20"/>
        </w:rPr>
        <w:t>struktura</w:t>
      </w:r>
      <w:r>
        <w:rPr>
          <w:sz w:val="20"/>
          <w:szCs w:val="20"/>
        </w:rPr>
        <w:t xml:space="preserve"> počítán</w:t>
      </w:r>
      <w:r w:rsidR="006E6AB4">
        <w:rPr>
          <w:sz w:val="20"/>
          <w:szCs w:val="20"/>
        </w:rPr>
        <w:t>a</w:t>
      </w:r>
      <w:r>
        <w:rPr>
          <w:sz w:val="20"/>
          <w:szCs w:val="20"/>
        </w:rPr>
        <w:t xml:space="preserve">. </w:t>
      </w:r>
      <w:r w:rsidR="00FB4116">
        <w:rPr>
          <w:sz w:val="20"/>
          <w:szCs w:val="20"/>
        </w:rPr>
        <w:t xml:space="preserve">V některých mikroregionech ale ke změně nedošlo nebo došlo jen k minimálnímu posunu ve struktuře – např. území kolem Ostravy, šluknovský výběžek nebo Praha. </w:t>
      </w:r>
      <w:r w:rsidR="006E6AB4">
        <w:rPr>
          <w:sz w:val="20"/>
          <w:szCs w:val="20"/>
        </w:rPr>
        <w:t>Omezení na bytové domy</w:t>
      </w:r>
      <w:r>
        <w:rPr>
          <w:sz w:val="20"/>
          <w:szCs w:val="20"/>
        </w:rPr>
        <w:t xml:space="preserve"> </w:t>
      </w:r>
      <w:r w:rsidR="006C4926">
        <w:rPr>
          <w:sz w:val="20"/>
          <w:szCs w:val="20"/>
        </w:rPr>
        <w:t>vypovíd</w:t>
      </w:r>
      <w:r w:rsidR="006E6AB4">
        <w:rPr>
          <w:sz w:val="20"/>
          <w:szCs w:val="20"/>
        </w:rPr>
        <w:t>á</w:t>
      </w:r>
      <w:r w:rsidR="006C4926">
        <w:rPr>
          <w:sz w:val="20"/>
          <w:szCs w:val="20"/>
        </w:rPr>
        <w:t xml:space="preserve"> věrohodněji o výsledku </w:t>
      </w:r>
      <w:r w:rsidR="006E6AB4">
        <w:rPr>
          <w:sz w:val="20"/>
          <w:szCs w:val="20"/>
        </w:rPr>
        <w:t>privatizace bytového fondu</w:t>
      </w:r>
      <w:r w:rsidR="006C4926">
        <w:rPr>
          <w:sz w:val="20"/>
          <w:szCs w:val="20"/>
        </w:rPr>
        <w:t xml:space="preserve"> po roce 1989, protože </w:t>
      </w:r>
      <w:r w:rsidR="006E6AB4">
        <w:rPr>
          <w:sz w:val="20"/>
          <w:szCs w:val="20"/>
        </w:rPr>
        <w:t xml:space="preserve">ta </w:t>
      </w:r>
      <w:r w:rsidR="006C4926">
        <w:rPr>
          <w:sz w:val="20"/>
          <w:szCs w:val="20"/>
        </w:rPr>
        <w:t>se týkal</w:t>
      </w:r>
      <w:r w:rsidR="006E6AB4">
        <w:rPr>
          <w:sz w:val="20"/>
          <w:szCs w:val="20"/>
        </w:rPr>
        <w:t>a</w:t>
      </w:r>
      <w:r w:rsidR="006C4926">
        <w:rPr>
          <w:sz w:val="20"/>
          <w:szCs w:val="20"/>
        </w:rPr>
        <w:t xml:space="preserve"> převážně</w:t>
      </w:r>
      <w:r w:rsidR="006E6AB4">
        <w:rPr>
          <w:sz w:val="20"/>
          <w:szCs w:val="20"/>
        </w:rPr>
        <w:t xml:space="preserve"> bytů právě v </w:t>
      </w:r>
      <w:r w:rsidR="006C4926">
        <w:rPr>
          <w:sz w:val="20"/>
          <w:szCs w:val="20"/>
        </w:rPr>
        <w:t xml:space="preserve">bytových </w:t>
      </w:r>
      <w:r w:rsidR="006E6AB4">
        <w:rPr>
          <w:sz w:val="20"/>
          <w:szCs w:val="20"/>
        </w:rPr>
        <w:t>domech.</w:t>
      </w:r>
    </w:p>
    <w:p w:rsidR="007B6288" w:rsidRDefault="007B6288" w:rsidP="00533EBF">
      <w:pPr>
        <w:pStyle w:val="Normln-web"/>
        <w:spacing w:line="276" w:lineRule="auto"/>
        <w:rPr>
          <w:sz w:val="20"/>
          <w:szCs w:val="20"/>
        </w:rPr>
      </w:pPr>
    </w:p>
    <w:p w:rsidR="006F3A7C" w:rsidRDefault="006F3A7C" w:rsidP="006F3A7C">
      <w:pPr>
        <w:pStyle w:val="Normln-web"/>
        <w:keepNext/>
        <w:keepLines/>
        <w:rPr>
          <w:sz w:val="20"/>
          <w:szCs w:val="20"/>
        </w:rPr>
      </w:pPr>
      <w:r w:rsidRPr="00C72651">
        <w:rPr>
          <w:b/>
          <w:sz w:val="20"/>
          <w:szCs w:val="20"/>
        </w:rPr>
        <w:t xml:space="preserve">Graf </w:t>
      </w:r>
      <w:r>
        <w:rPr>
          <w:b/>
          <w:sz w:val="20"/>
          <w:szCs w:val="20"/>
        </w:rPr>
        <w:t>č. 6</w:t>
      </w:r>
      <w:r w:rsidRPr="00C72651">
        <w:rPr>
          <w:b/>
          <w:sz w:val="20"/>
          <w:szCs w:val="20"/>
        </w:rPr>
        <w:t xml:space="preserve"> </w:t>
      </w:r>
      <w:r>
        <w:rPr>
          <w:b/>
          <w:sz w:val="20"/>
          <w:szCs w:val="20"/>
        </w:rPr>
        <w:t>O</w:t>
      </w:r>
      <w:r w:rsidRPr="00C72651">
        <w:rPr>
          <w:b/>
          <w:sz w:val="20"/>
          <w:szCs w:val="20"/>
        </w:rPr>
        <w:t>soby v bytech v osobním vlastnictví (podíl z počtu osob v</w:t>
      </w:r>
      <w:r>
        <w:rPr>
          <w:b/>
          <w:sz w:val="20"/>
          <w:szCs w:val="20"/>
        </w:rPr>
        <w:t> </w:t>
      </w:r>
      <w:r w:rsidRPr="00C72651">
        <w:rPr>
          <w:b/>
          <w:sz w:val="20"/>
          <w:szCs w:val="20"/>
        </w:rPr>
        <w:t>bytech</w:t>
      </w:r>
      <w:r>
        <w:rPr>
          <w:b/>
          <w:sz w:val="20"/>
          <w:szCs w:val="20"/>
        </w:rPr>
        <w:t xml:space="preserve"> v bytových domech</w:t>
      </w:r>
      <w:r w:rsidRPr="00C72651">
        <w:rPr>
          <w:b/>
          <w:sz w:val="20"/>
          <w:szCs w:val="20"/>
        </w:rPr>
        <w:t xml:space="preserve"> v SO ORP</w:t>
      </w:r>
      <w:r>
        <w:rPr>
          <w:b/>
          <w:sz w:val="20"/>
          <w:szCs w:val="20"/>
        </w:rPr>
        <w:t xml:space="preserve"> v %</w:t>
      </w:r>
      <w:r w:rsidRPr="00C72651">
        <w:rPr>
          <w:b/>
          <w:sz w:val="20"/>
          <w:szCs w:val="20"/>
        </w:rPr>
        <w:t>) k 26.</w:t>
      </w:r>
      <w:r>
        <w:rPr>
          <w:b/>
          <w:sz w:val="20"/>
          <w:szCs w:val="20"/>
        </w:rPr>
        <w:t xml:space="preserve"> </w:t>
      </w:r>
      <w:r w:rsidRPr="00C72651">
        <w:rPr>
          <w:b/>
          <w:sz w:val="20"/>
          <w:szCs w:val="20"/>
        </w:rPr>
        <w:t>3.</w:t>
      </w:r>
      <w:r>
        <w:rPr>
          <w:b/>
          <w:sz w:val="20"/>
          <w:szCs w:val="20"/>
        </w:rPr>
        <w:t xml:space="preserve"> </w:t>
      </w:r>
      <w:r w:rsidRPr="00C72651">
        <w:rPr>
          <w:b/>
          <w:sz w:val="20"/>
          <w:szCs w:val="20"/>
        </w:rPr>
        <w:t xml:space="preserve">2011  </w:t>
      </w:r>
    </w:p>
    <w:p w:rsidR="00844633" w:rsidRDefault="00C90F6F" w:rsidP="006E6AB4">
      <w:pPr>
        <w:pStyle w:val="Normln-web"/>
        <w:spacing w:line="276" w:lineRule="auto"/>
        <w:jc w:val="center"/>
        <w:rPr>
          <w:sz w:val="20"/>
          <w:szCs w:val="20"/>
        </w:rPr>
      </w:pPr>
      <w:r w:rsidRPr="005E1E43">
        <w:rPr>
          <w:sz w:val="20"/>
          <w:szCs w:val="20"/>
        </w:rPr>
        <w:pict>
          <v:shape id="_x0000_i1026" type="#_x0000_t75" style="width:316.5pt;height:224.25pt">
            <v:imagedata r:id="rId14" o:title="Osoby_v_byte_OV_BD_stejneINTER"/>
          </v:shape>
        </w:pict>
      </w:r>
    </w:p>
    <w:p w:rsidR="00FB4116" w:rsidRDefault="00FB4116" w:rsidP="00533EBF">
      <w:pPr>
        <w:pStyle w:val="Normln-web"/>
        <w:spacing w:line="276" w:lineRule="auto"/>
        <w:rPr>
          <w:sz w:val="20"/>
          <w:szCs w:val="20"/>
        </w:rPr>
      </w:pPr>
    </w:p>
    <w:p w:rsidR="00E77465" w:rsidRDefault="006E6AB4" w:rsidP="00533EBF">
      <w:pPr>
        <w:pStyle w:val="Normln-web"/>
        <w:spacing w:line="276" w:lineRule="auto"/>
        <w:rPr>
          <w:sz w:val="20"/>
          <w:szCs w:val="20"/>
        </w:rPr>
      </w:pPr>
      <w:r>
        <w:rPr>
          <w:sz w:val="20"/>
          <w:szCs w:val="20"/>
        </w:rPr>
        <w:t xml:space="preserve">Analogicky lze hodnotit rozmístění bytů nájemních, i když v jejich případě je </w:t>
      </w:r>
      <w:r w:rsidR="00E77465">
        <w:rPr>
          <w:sz w:val="20"/>
          <w:szCs w:val="20"/>
        </w:rPr>
        <w:t xml:space="preserve">vazba na </w:t>
      </w:r>
      <w:r>
        <w:rPr>
          <w:sz w:val="20"/>
          <w:szCs w:val="20"/>
        </w:rPr>
        <w:t>druh domu</w:t>
      </w:r>
      <w:r w:rsidR="00E77465">
        <w:rPr>
          <w:sz w:val="20"/>
          <w:szCs w:val="20"/>
        </w:rPr>
        <w:t xml:space="preserve"> volnější.</w:t>
      </w:r>
    </w:p>
    <w:p w:rsidR="007B6288" w:rsidRDefault="007B6288" w:rsidP="00533EBF">
      <w:pPr>
        <w:pStyle w:val="Normln-web"/>
        <w:spacing w:line="276" w:lineRule="auto"/>
        <w:rPr>
          <w:b/>
          <w:sz w:val="20"/>
          <w:szCs w:val="20"/>
        </w:rPr>
      </w:pPr>
    </w:p>
    <w:p w:rsidR="00FB4116" w:rsidRDefault="00FB4116" w:rsidP="00533EBF">
      <w:pPr>
        <w:pStyle w:val="Normln-web"/>
        <w:spacing w:line="276" w:lineRule="auto"/>
        <w:rPr>
          <w:sz w:val="20"/>
          <w:szCs w:val="20"/>
        </w:rPr>
      </w:pPr>
      <w:r w:rsidRPr="00C72651">
        <w:rPr>
          <w:b/>
          <w:sz w:val="20"/>
          <w:szCs w:val="20"/>
        </w:rPr>
        <w:t xml:space="preserve">Graf </w:t>
      </w:r>
      <w:r>
        <w:rPr>
          <w:b/>
          <w:sz w:val="20"/>
          <w:szCs w:val="20"/>
        </w:rPr>
        <w:t xml:space="preserve">č. 7 </w:t>
      </w:r>
      <w:r w:rsidRPr="00C72651">
        <w:rPr>
          <w:b/>
          <w:sz w:val="20"/>
          <w:szCs w:val="20"/>
        </w:rPr>
        <w:t xml:space="preserve"> </w:t>
      </w:r>
      <w:r>
        <w:rPr>
          <w:b/>
          <w:sz w:val="20"/>
          <w:szCs w:val="20"/>
        </w:rPr>
        <w:t>O</w:t>
      </w:r>
      <w:r w:rsidRPr="00C72651">
        <w:rPr>
          <w:b/>
          <w:sz w:val="20"/>
          <w:szCs w:val="20"/>
        </w:rPr>
        <w:t>soby v</w:t>
      </w:r>
      <w:r>
        <w:rPr>
          <w:b/>
          <w:sz w:val="20"/>
          <w:szCs w:val="20"/>
        </w:rPr>
        <w:t xml:space="preserve"> nájemních </w:t>
      </w:r>
      <w:r w:rsidRPr="00C72651">
        <w:rPr>
          <w:b/>
          <w:sz w:val="20"/>
          <w:szCs w:val="20"/>
        </w:rPr>
        <w:t xml:space="preserve">bytech (podíl z počtu osob </w:t>
      </w:r>
      <w:r w:rsidR="0036434D">
        <w:rPr>
          <w:b/>
          <w:sz w:val="20"/>
          <w:szCs w:val="20"/>
        </w:rPr>
        <w:t xml:space="preserve">v bytech </w:t>
      </w:r>
      <w:r w:rsidRPr="00C72651">
        <w:rPr>
          <w:b/>
          <w:sz w:val="20"/>
          <w:szCs w:val="20"/>
        </w:rPr>
        <w:t>v</w:t>
      </w:r>
      <w:r>
        <w:rPr>
          <w:b/>
          <w:sz w:val="20"/>
          <w:szCs w:val="20"/>
        </w:rPr>
        <w:t> </w:t>
      </w:r>
      <w:r w:rsidRPr="00C72651">
        <w:rPr>
          <w:b/>
          <w:sz w:val="20"/>
          <w:szCs w:val="20"/>
        </w:rPr>
        <w:t>SO ORP</w:t>
      </w:r>
      <w:r>
        <w:rPr>
          <w:b/>
          <w:sz w:val="20"/>
          <w:szCs w:val="20"/>
        </w:rPr>
        <w:t xml:space="preserve"> v %</w:t>
      </w:r>
      <w:r w:rsidRPr="00C72651">
        <w:rPr>
          <w:b/>
          <w:sz w:val="20"/>
          <w:szCs w:val="20"/>
        </w:rPr>
        <w:t>) k 26.</w:t>
      </w:r>
      <w:r>
        <w:rPr>
          <w:b/>
          <w:sz w:val="20"/>
          <w:szCs w:val="20"/>
        </w:rPr>
        <w:t xml:space="preserve"> </w:t>
      </w:r>
      <w:r w:rsidRPr="00C72651">
        <w:rPr>
          <w:b/>
          <w:sz w:val="20"/>
          <w:szCs w:val="20"/>
        </w:rPr>
        <w:t>3.</w:t>
      </w:r>
      <w:r>
        <w:rPr>
          <w:b/>
          <w:sz w:val="20"/>
          <w:szCs w:val="20"/>
        </w:rPr>
        <w:t xml:space="preserve"> </w:t>
      </w:r>
      <w:r w:rsidRPr="00C72651">
        <w:rPr>
          <w:b/>
          <w:sz w:val="20"/>
          <w:szCs w:val="20"/>
        </w:rPr>
        <w:t>2011</w:t>
      </w:r>
    </w:p>
    <w:p w:rsidR="00FB4116" w:rsidRDefault="00C90F6F" w:rsidP="00E77465">
      <w:pPr>
        <w:pStyle w:val="Normln-web"/>
        <w:spacing w:line="276" w:lineRule="auto"/>
        <w:jc w:val="center"/>
        <w:rPr>
          <w:sz w:val="20"/>
          <w:szCs w:val="20"/>
        </w:rPr>
      </w:pPr>
      <w:r w:rsidRPr="005E1E43">
        <w:rPr>
          <w:sz w:val="20"/>
          <w:szCs w:val="20"/>
        </w:rPr>
        <w:pict>
          <v:shape id="_x0000_i1027" type="#_x0000_t75" style="width:367.5pt;height:259.5pt">
            <v:imagedata r:id="rId15" o:title="Osoby_v_byte_najem_stejne_intervaly"/>
          </v:shape>
        </w:pict>
      </w:r>
    </w:p>
    <w:p w:rsidR="00E77465" w:rsidRDefault="00FB4116" w:rsidP="00DB2238">
      <w:pPr>
        <w:pStyle w:val="Normln-web"/>
        <w:spacing w:line="276" w:lineRule="auto"/>
        <w:jc w:val="left"/>
        <w:rPr>
          <w:sz w:val="20"/>
          <w:szCs w:val="20"/>
        </w:rPr>
      </w:pPr>
      <w:r w:rsidRPr="00C72651">
        <w:rPr>
          <w:b/>
          <w:sz w:val="20"/>
          <w:szCs w:val="20"/>
        </w:rPr>
        <w:t xml:space="preserve">Graf </w:t>
      </w:r>
      <w:r>
        <w:rPr>
          <w:b/>
          <w:sz w:val="20"/>
          <w:szCs w:val="20"/>
        </w:rPr>
        <w:t xml:space="preserve">č. 8 </w:t>
      </w:r>
      <w:r w:rsidRPr="00C72651">
        <w:rPr>
          <w:b/>
          <w:sz w:val="20"/>
          <w:szCs w:val="20"/>
        </w:rPr>
        <w:t xml:space="preserve"> </w:t>
      </w:r>
      <w:r>
        <w:rPr>
          <w:b/>
          <w:sz w:val="20"/>
          <w:szCs w:val="20"/>
        </w:rPr>
        <w:t>O</w:t>
      </w:r>
      <w:r w:rsidRPr="00C72651">
        <w:rPr>
          <w:b/>
          <w:sz w:val="20"/>
          <w:szCs w:val="20"/>
        </w:rPr>
        <w:t>soby v</w:t>
      </w:r>
      <w:r>
        <w:rPr>
          <w:b/>
          <w:sz w:val="20"/>
          <w:szCs w:val="20"/>
        </w:rPr>
        <w:t xml:space="preserve"> nájemních </w:t>
      </w:r>
      <w:r w:rsidRPr="00C72651">
        <w:rPr>
          <w:b/>
          <w:sz w:val="20"/>
          <w:szCs w:val="20"/>
        </w:rPr>
        <w:t>bytech (podíl z počtu osob v</w:t>
      </w:r>
      <w:r>
        <w:rPr>
          <w:b/>
          <w:sz w:val="20"/>
          <w:szCs w:val="20"/>
        </w:rPr>
        <w:t> </w:t>
      </w:r>
      <w:r w:rsidRPr="00C72651">
        <w:rPr>
          <w:b/>
          <w:sz w:val="20"/>
          <w:szCs w:val="20"/>
        </w:rPr>
        <w:t>bytech</w:t>
      </w:r>
      <w:r>
        <w:rPr>
          <w:b/>
          <w:sz w:val="20"/>
          <w:szCs w:val="20"/>
        </w:rPr>
        <w:t xml:space="preserve"> v bytových domech</w:t>
      </w:r>
      <w:r w:rsidRPr="00C72651">
        <w:rPr>
          <w:b/>
          <w:sz w:val="20"/>
          <w:szCs w:val="20"/>
        </w:rPr>
        <w:t xml:space="preserve"> v SO ORP</w:t>
      </w:r>
      <w:r>
        <w:rPr>
          <w:b/>
          <w:sz w:val="20"/>
          <w:szCs w:val="20"/>
        </w:rPr>
        <w:t xml:space="preserve"> v</w:t>
      </w:r>
      <w:r w:rsidR="00DB2238">
        <w:rPr>
          <w:b/>
          <w:sz w:val="20"/>
          <w:szCs w:val="20"/>
        </w:rPr>
        <w:t>  %</w:t>
      </w:r>
      <w:r w:rsidRPr="00C72651">
        <w:rPr>
          <w:b/>
          <w:sz w:val="20"/>
          <w:szCs w:val="20"/>
        </w:rPr>
        <w:t>) k 26.</w:t>
      </w:r>
      <w:r>
        <w:rPr>
          <w:b/>
          <w:sz w:val="20"/>
          <w:szCs w:val="20"/>
        </w:rPr>
        <w:t xml:space="preserve"> </w:t>
      </w:r>
      <w:r w:rsidRPr="00C72651">
        <w:rPr>
          <w:b/>
          <w:sz w:val="20"/>
          <w:szCs w:val="20"/>
        </w:rPr>
        <w:t>3.</w:t>
      </w:r>
      <w:r>
        <w:rPr>
          <w:b/>
          <w:sz w:val="20"/>
          <w:szCs w:val="20"/>
        </w:rPr>
        <w:t xml:space="preserve"> </w:t>
      </w:r>
      <w:r w:rsidRPr="00C72651">
        <w:rPr>
          <w:b/>
          <w:sz w:val="20"/>
          <w:szCs w:val="20"/>
        </w:rPr>
        <w:t>2011</w:t>
      </w:r>
    </w:p>
    <w:p w:rsidR="00E77465" w:rsidRDefault="00C90F6F" w:rsidP="00E77465">
      <w:pPr>
        <w:pStyle w:val="Normln-web"/>
        <w:spacing w:line="276" w:lineRule="auto"/>
        <w:jc w:val="center"/>
        <w:rPr>
          <w:sz w:val="20"/>
          <w:szCs w:val="20"/>
        </w:rPr>
      </w:pPr>
      <w:r w:rsidRPr="005E1E43">
        <w:rPr>
          <w:sz w:val="20"/>
          <w:szCs w:val="20"/>
        </w:rPr>
        <w:pict>
          <v:shape id="_x0000_i1028" type="#_x0000_t75" style="width:366.75pt;height:258.75pt">
            <v:imagedata r:id="rId16" o:title="Osoby_v_byte_najem_BD_stejneINTERVALY"/>
          </v:shape>
        </w:pict>
      </w:r>
    </w:p>
    <w:p w:rsidR="00E77465" w:rsidRDefault="00E77465" w:rsidP="00533EBF">
      <w:pPr>
        <w:pStyle w:val="Normln-web"/>
        <w:spacing w:line="276" w:lineRule="auto"/>
        <w:rPr>
          <w:sz w:val="20"/>
          <w:szCs w:val="20"/>
        </w:rPr>
      </w:pPr>
    </w:p>
    <w:p w:rsidR="0036434D" w:rsidRDefault="000A2D41" w:rsidP="0036434D">
      <w:pPr>
        <w:pStyle w:val="Normln-web"/>
        <w:spacing w:before="0" w:line="276" w:lineRule="auto"/>
        <w:rPr>
          <w:sz w:val="20"/>
          <w:szCs w:val="20"/>
        </w:rPr>
      </w:pPr>
      <w:r>
        <w:rPr>
          <w:sz w:val="20"/>
          <w:szCs w:val="20"/>
        </w:rPr>
        <w:t>Byty nájemní</w:t>
      </w:r>
      <w:r w:rsidR="00E77465">
        <w:rPr>
          <w:sz w:val="20"/>
          <w:szCs w:val="20"/>
        </w:rPr>
        <w:t xml:space="preserve"> </w:t>
      </w:r>
      <w:r>
        <w:rPr>
          <w:sz w:val="20"/>
          <w:szCs w:val="20"/>
        </w:rPr>
        <w:t>měly v počtu bydlících osob nejvyšší zastoupení v</w:t>
      </w:r>
      <w:r w:rsidR="004B12AB">
        <w:rPr>
          <w:sz w:val="20"/>
          <w:szCs w:val="20"/>
        </w:rPr>
        <w:t> </w:t>
      </w:r>
      <w:r>
        <w:rPr>
          <w:sz w:val="20"/>
          <w:szCs w:val="20"/>
        </w:rPr>
        <w:t>Praze</w:t>
      </w:r>
      <w:r w:rsidR="004B12AB">
        <w:rPr>
          <w:sz w:val="20"/>
          <w:szCs w:val="20"/>
        </w:rPr>
        <w:t xml:space="preserve"> (téměř třetina všech osob v bytech)</w:t>
      </w:r>
      <w:r>
        <w:rPr>
          <w:sz w:val="20"/>
          <w:szCs w:val="20"/>
        </w:rPr>
        <w:t>, a to</w:t>
      </w:r>
      <w:r w:rsidR="004B12AB">
        <w:rPr>
          <w:sz w:val="20"/>
          <w:szCs w:val="20"/>
        </w:rPr>
        <w:t xml:space="preserve"> zejména v Praze 2 (65,5 %), v Praze 1 a Praze 3 (po 53 %).</w:t>
      </w:r>
      <w:r w:rsidR="00746369">
        <w:rPr>
          <w:sz w:val="20"/>
          <w:szCs w:val="20"/>
        </w:rPr>
        <w:t xml:space="preserve"> Tyto tři správní obvody se podílejí na počtu obyvatel Prahy bydlících v bytech 11,5 %. Na počtu osob bydlících v bytech nájemních pak 20,2 %.</w:t>
      </w:r>
    </w:p>
    <w:p w:rsidR="00E77465" w:rsidRDefault="00746369" w:rsidP="0036434D">
      <w:pPr>
        <w:pStyle w:val="Normln-web"/>
        <w:spacing w:before="0" w:line="276" w:lineRule="auto"/>
        <w:rPr>
          <w:sz w:val="20"/>
          <w:szCs w:val="20"/>
        </w:rPr>
      </w:pPr>
      <w:r>
        <w:rPr>
          <w:sz w:val="20"/>
          <w:szCs w:val="20"/>
        </w:rPr>
        <w:t xml:space="preserve"> </w:t>
      </w:r>
    </w:p>
    <w:p w:rsidR="000A2D41" w:rsidRDefault="00EA0259" w:rsidP="0036434D">
      <w:pPr>
        <w:pStyle w:val="Normln-web"/>
        <w:spacing w:before="0" w:line="276" w:lineRule="auto"/>
        <w:rPr>
          <w:iCs/>
          <w:sz w:val="20"/>
          <w:szCs w:val="20"/>
        </w:rPr>
      </w:pPr>
      <w:r>
        <w:rPr>
          <w:iCs/>
          <w:sz w:val="20"/>
          <w:szCs w:val="20"/>
        </w:rPr>
        <w:t xml:space="preserve">Bydlení v bytech ve vlastním domě bylo </w:t>
      </w:r>
      <w:r w:rsidR="000D02C3">
        <w:rPr>
          <w:iCs/>
          <w:sz w:val="20"/>
          <w:szCs w:val="20"/>
        </w:rPr>
        <w:t>nejčastěji zastoupeno</w:t>
      </w:r>
      <w:r>
        <w:rPr>
          <w:iCs/>
          <w:sz w:val="20"/>
          <w:szCs w:val="20"/>
        </w:rPr>
        <w:t xml:space="preserve"> v oblastech s venkovskou zástavbou, tedy korespondovalo s vysokými podíly bytů v rodinných domech. Maximální zastoupení osob bydlících v bytech ve vlastním domě bylo v Kraji Vysočina (56,4 %). Nadpoloviční zastoupení</w:t>
      </w:r>
      <w:r w:rsidR="000D02C3">
        <w:rPr>
          <w:iCs/>
          <w:sz w:val="20"/>
          <w:szCs w:val="20"/>
        </w:rPr>
        <w:t xml:space="preserve"> z celkového počtu osob v bytech</w:t>
      </w:r>
      <w:r>
        <w:rPr>
          <w:iCs/>
          <w:sz w:val="20"/>
          <w:szCs w:val="20"/>
        </w:rPr>
        <w:t xml:space="preserve"> měly ještě kraje Zlínský, Středočeský, Pardubický a Jihomoravský.</w:t>
      </w:r>
    </w:p>
    <w:p w:rsidR="0036434D" w:rsidRDefault="0036434D" w:rsidP="0036434D">
      <w:pPr>
        <w:pStyle w:val="Normln-web"/>
        <w:spacing w:before="0" w:line="276" w:lineRule="auto"/>
        <w:rPr>
          <w:iCs/>
          <w:sz w:val="20"/>
          <w:szCs w:val="20"/>
        </w:rPr>
      </w:pPr>
    </w:p>
    <w:p w:rsidR="00333073" w:rsidRDefault="002D74C1" w:rsidP="0036434D">
      <w:pPr>
        <w:pStyle w:val="Normln-web"/>
        <w:spacing w:before="0" w:line="276" w:lineRule="auto"/>
        <w:rPr>
          <w:iCs/>
          <w:sz w:val="20"/>
          <w:szCs w:val="20"/>
        </w:rPr>
      </w:pPr>
      <w:r>
        <w:rPr>
          <w:iCs/>
          <w:sz w:val="20"/>
          <w:szCs w:val="20"/>
        </w:rPr>
        <w:t xml:space="preserve">Z údajů o </w:t>
      </w:r>
      <w:r w:rsidRPr="00533EBF">
        <w:rPr>
          <w:b/>
          <w:iCs/>
          <w:sz w:val="20"/>
          <w:szCs w:val="20"/>
        </w:rPr>
        <w:t>právním důvodu užívání v kombinaci s vlastníkem domu</w:t>
      </w:r>
      <w:r>
        <w:rPr>
          <w:iCs/>
          <w:sz w:val="20"/>
          <w:szCs w:val="20"/>
        </w:rPr>
        <w:t xml:space="preserve"> plyne, že dvě pětiny osob v bytech bydlí ve vlastním domě ve vlastnictví fyzické osoby, téměř 15 %</w:t>
      </w:r>
      <w:r w:rsidR="001A35EA">
        <w:rPr>
          <w:iCs/>
          <w:sz w:val="20"/>
          <w:szCs w:val="20"/>
        </w:rPr>
        <w:t xml:space="preserve"> </w:t>
      </w:r>
      <w:r>
        <w:rPr>
          <w:iCs/>
          <w:sz w:val="20"/>
          <w:szCs w:val="20"/>
        </w:rPr>
        <w:t xml:space="preserve">osob bydlí v bytech v osobním vlastnictví, kdy dům je ve spoluvlastnictví vlastníků bytů a </w:t>
      </w:r>
      <w:r w:rsidR="001A35EA">
        <w:rPr>
          <w:iCs/>
          <w:sz w:val="20"/>
          <w:szCs w:val="20"/>
        </w:rPr>
        <w:t>třetí nejvyšší zastoupení</w:t>
      </w:r>
      <w:r>
        <w:rPr>
          <w:iCs/>
          <w:sz w:val="20"/>
          <w:szCs w:val="20"/>
        </w:rPr>
        <w:t xml:space="preserve"> (cca 7 %) m</w:t>
      </w:r>
      <w:r w:rsidR="001A35EA">
        <w:rPr>
          <w:iCs/>
          <w:sz w:val="20"/>
          <w:szCs w:val="20"/>
        </w:rPr>
        <w:t xml:space="preserve">ají osoby bydlící v </w:t>
      </w:r>
      <w:r>
        <w:rPr>
          <w:iCs/>
          <w:sz w:val="20"/>
          <w:szCs w:val="20"/>
        </w:rPr>
        <w:t xml:space="preserve">nájemních bytech, kdy vlastníkem domu je obec a </w:t>
      </w:r>
      <w:r w:rsidR="001A35EA">
        <w:rPr>
          <w:iCs/>
          <w:sz w:val="20"/>
          <w:szCs w:val="20"/>
        </w:rPr>
        <w:t xml:space="preserve">zhruba stejně jsou zastoupeny osoby bydlící </w:t>
      </w:r>
      <w:r>
        <w:rPr>
          <w:iCs/>
          <w:sz w:val="20"/>
          <w:szCs w:val="20"/>
        </w:rPr>
        <w:t>v družstevních bytech, kdy vlastníkem domu je bytové družstvo.</w:t>
      </w:r>
    </w:p>
    <w:p w:rsidR="00333073" w:rsidRDefault="00333073" w:rsidP="00840075">
      <w:pPr>
        <w:pStyle w:val="Normln-web"/>
        <w:rPr>
          <w:iCs/>
          <w:sz w:val="20"/>
          <w:szCs w:val="20"/>
        </w:rPr>
      </w:pPr>
    </w:p>
    <w:tbl>
      <w:tblPr>
        <w:tblW w:w="9657" w:type="dxa"/>
        <w:jc w:val="center"/>
        <w:tblInd w:w="871" w:type="dxa"/>
        <w:tblCellMar>
          <w:left w:w="70" w:type="dxa"/>
          <w:right w:w="70" w:type="dxa"/>
        </w:tblCellMar>
        <w:tblLook w:val="04A0"/>
      </w:tblPr>
      <w:tblGrid>
        <w:gridCol w:w="2081"/>
        <w:gridCol w:w="1134"/>
        <w:gridCol w:w="992"/>
        <w:gridCol w:w="977"/>
        <w:gridCol w:w="921"/>
        <w:gridCol w:w="970"/>
        <w:gridCol w:w="881"/>
        <w:gridCol w:w="850"/>
        <w:gridCol w:w="851"/>
      </w:tblGrid>
      <w:tr w:rsidR="00333073" w:rsidRPr="00533EBF" w:rsidTr="00AF38BD">
        <w:trPr>
          <w:trHeight w:val="240"/>
          <w:jc w:val="center"/>
        </w:trPr>
        <w:tc>
          <w:tcPr>
            <w:tcW w:w="9657" w:type="dxa"/>
            <w:gridSpan w:val="9"/>
            <w:tcBorders>
              <w:top w:val="nil"/>
              <w:left w:val="nil"/>
              <w:bottom w:val="single" w:sz="4" w:space="0" w:color="auto"/>
              <w:right w:val="nil"/>
            </w:tcBorders>
            <w:shd w:val="clear" w:color="auto" w:fill="auto"/>
            <w:noWrap/>
            <w:vAlign w:val="bottom"/>
            <w:hideMark/>
          </w:tcPr>
          <w:p w:rsidR="00760C72" w:rsidRDefault="00760C72" w:rsidP="00333073">
            <w:pPr>
              <w:suppressAutoHyphens w:val="0"/>
              <w:rPr>
                <w:rFonts w:cs="Arial"/>
                <w:b/>
                <w:noProof w:val="0"/>
                <w:color w:val="000000"/>
                <w:sz w:val="20"/>
                <w:szCs w:val="20"/>
                <w:lang w:eastAsia="cs-CZ"/>
              </w:rPr>
            </w:pPr>
            <w:r>
              <w:rPr>
                <w:rFonts w:cs="Arial"/>
                <w:b/>
                <w:bCs/>
                <w:sz w:val="20"/>
                <w:szCs w:val="20"/>
              </w:rPr>
              <w:t xml:space="preserve">Tab. č. 7 </w:t>
            </w:r>
            <w:r w:rsidR="00333073" w:rsidRPr="006E41A1">
              <w:rPr>
                <w:rFonts w:cs="Arial"/>
                <w:b/>
                <w:noProof w:val="0"/>
                <w:color w:val="000000"/>
                <w:sz w:val="20"/>
                <w:szCs w:val="20"/>
                <w:lang w:eastAsia="cs-CZ"/>
              </w:rPr>
              <w:t>Osoby bydlící v bytech podle právního důvodu užívání bytu a vlastníka domu</w:t>
            </w:r>
            <w:r>
              <w:rPr>
                <w:rFonts w:cs="Arial"/>
                <w:b/>
                <w:noProof w:val="0"/>
                <w:color w:val="000000"/>
                <w:sz w:val="20"/>
                <w:szCs w:val="20"/>
                <w:lang w:eastAsia="cs-CZ"/>
              </w:rPr>
              <w:t xml:space="preserve"> </w:t>
            </w:r>
          </w:p>
          <w:p w:rsidR="00333073" w:rsidRPr="006E41A1" w:rsidRDefault="00760C72" w:rsidP="00333073">
            <w:pPr>
              <w:suppressAutoHyphens w:val="0"/>
              <w:rPr>
                <w:rFonts w:cs="Arial"/>
                <w:b/>
                <w:noProof w:val="0"/>
                <w:color w:val="000000"/>
                <w:sz w:val="20"/>
                <w:szCs w:val="20"/>
                <w:lang w:eastAsia="cs-CZ"/>
              </w:rPr>
            </w:pPr>
            <w:r>
              <w:rPr>
                <w:rFonts w:cs="Arial"/>
                <w:b/>
                <w:bCs/>
                <w:noProof w:val="0"/>
                <w:color w:val="000000"/>
                <w:sz w:val="20"/>
                <w:szCs w:val="20"/>
                <w:lang w:eastAsia="cs-CZ"/>
              </w:rPr>
              <w:t>k 26. 3. 2011</w:t>
            </w:r>
          </w:p>
        </w:tc>
      </w:tr>
      <w:tr w:rsidR="00333073" w:rsidRPr="00533EBF" w:rsidTr="00AF38BD">
        <w:trPr>
          <w:trHeight w:val="240"/>
          <w:jc w:val="center"/>
        </w:trPr>
        <w:tc>
          <w:tcPr>
            <w:tcW w:w="20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3073" w:rsidRPr="00AF38BD" w:rsidRDefault="00333073" w:rsidP="00100BE2">
            <w:pPr>
              <w:suppressAutoHyphens w:val="0"/>
              <w:rPr>
                <w:rFonts w:cs="Arial"/>
                <w:noProof w:val="0"/>
                <w:color w:val="000000"/>
                <w:sz w:val="18"/>
                <w:szCs w:val="18"/>
                <w:lang w:eastAsia="cs-CZ"/>
              </w:rPr>
            </w:pPr>
            <w:r w:rsidRPr="00AF38BD">
              <w:rPr>
                <w:rFonts w:cs="Arial"/>
                <w:noProof w:val="0"/>
                <w:color w:val="000000"/>
                <w:sz w:val="18"/>
                <w:szCs w:val="18"/>
                <w:lang w:eastAsia="cs-CZ"/>
              </w:rPr>
              <w:t>Vlastník domu</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33073" w:rsidRPr="00AF38BD" w:rsidRDefault="00333073" w:rsidP="00333073">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 xml:space="preserve">Osoby </w:t>
            </w:r>
            <w:r w:rsidRPr="00AF38BD">
              <w:rPr>
                <w:rFonts w:cs="Arial"/>
                <w:noProof w:val="0"/>
                <w:color w:val="000000"/>
                <w:sz w:val="18"/>
                <w:szCs w:val="18"/>
                <w:lang w:eastAsia="cs-CZ"/>
              </w:rPr>
              <w:br/>
              <w:t>v bytech celkem</w:t>
            </w:r>
          </w:p>
        </w:tc>
        <w:tc>
          <w:tcPr>
            <w:tcW w:w="6442" w:type="dxa"/>
            <w:gridSpan w:val="7"/>
            <w:tcBorders>
              <w:top w:val="single" w:sz="4" w:space="0" w:color="auto"/>
              <w:left w:val="nil"/>
              <w:bottom w:val="single" w:sz="4" w:space="0" w:color="auto"/>
              <w:right w:val="single" w:sz="4" w:space="0" w:color="auto"/>
            </w:tcBorders>
            <w:shd w:val="clear" w:color="auto" w:fill="auto"/>
            <w:noWrap/>
            <w:vAlign w:val="bottom"/>
            <w:hideMark/>
          </w:tcPr>
          <w:p w:rsidR="00333073" w:rsidRPr="00AF38BD" w:rsidRDefault="00333073" w:rsidP="00333073">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Právní důvod užívání bytu</w:t>
            </w:r>
          </w:p>
        </w:tc>
      </w:tr>
      <w:tr w:rsidR="00333073" w:rsidRPr="00533EBF" w:rsidTr="00AF38BD">
        <w:trPr>
          <w:trHeight w:val="720"/>
          <w:jc w:val="center"/>
        </w:trPr>
        <w:tc>
          <w:tcPr>
            <w:tcW w:w="2081" w:type="dxa"/>
            <w:vMerge/>
            <w:tcBorders>
              <w:top w:val="nil"/>
              <w:left w:val="single" w:sz="4" w:space="0" w:color="auto"/>
              <w:bottom w:val="single" w:sz="4" w:space="0" w:color="auto"/>
              <w:right w:val="single" w:sz="4" w:space="0" w:color="auto"/>
            </w:tcBorders>
            <w:vAlign w:val="center"/>
            <w:hideMark/>
          </w:tcPr>
          <w:p w:rsidR="00333073" w:rsidRPr="00AF38BD" w:rsidRDefault="00333073" w:rsidP="00333073">
            <w:pPr>
              <w:suppressAutoHyphens w:val="0"/>
              <w:rPr>
                <w:rFonts w:cs="Arial"/>
                <w:noProof w:val="0"/>
                <w:color w:val="000000"/>
                <w:sz w:val="18"/>
                <w:szCs w:val="18"/>
                <w:lang w:eastAsia="cs-CZ"/>
              </w:rPr>
            </w:pPr>
          </w:p>
        </w:tc>
        <w:tc>
          <w:tcPr>
            <w:tcW w:w="1134" w:type="dxa"/>
            <w:vMerge/>
            <w:tcBorders>
              <w:top w:val="nil"/>
              <w:left w:val="single" w:sz="4" w:space="0" w:color="auto"/>
              <w:bottom w:val="single" w:sz="4" w:space="0" w:color="auto"/>
              <w:right w:val="single" w:sz="4" w:space="0" w:color="auto"/>
            </w:tcBorders>
            <w:vAlign w:val="center"/>
            <w:hideMark/>
          </w:tcPr>
          <w:p w:rsidR="00333073" w:rsidRPr="00AF38BD" w:rsidRDefault="00333073" w:rsidP="00333073">
            <w:pPr>
              <w:suppressAutoHyphens w:val="0"/>
              <w:rPr>
                <w:rFonts w:cs="Arial"/>
                <w:noProof w:val="0"/>
                <w:color w:val="000000"/>
                <w:sz w:val="18"/>
                <w:szCs w:val="18"/>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333073" w:rsidRPr="00AF38BD" w:rsidRDefault="00333073" w:rsidP="00333073">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 xml:space="preserve">byt </w:t>
            </w:r>
            <w:r w:rsidRPr="00AF38BD">
              <w:rPr>
                <w:rFonts w:cs="Arial"/>
                <w:noProof w:val="0"/>
                <w:color w:val="000000"/>
                <w:sz w:val="18"/>
                <w:szCs w:val="18"/>
                <w:lang w:eastAsia="cs-CZ"/>
              </w:rPr>
              <w:br/>
              <w:t>ve vlastním domě</w:t>
            </w:r>
          </w:p>
        </w:tc>
        <w:tc>
          <w:tcPr>
            <w:tcW w:w="977" w:type="dxa"/>
            <w:tcBorders>
              <w:top w:val="nil"/>
              <w:left w:val="nil"/>
              <w:bottom w:val="single" w:sz="4" w:space="0" w:color="auto"/>
              <w:right w:val="single" w:sz="4" w:space="0" w:color="auto"/>
            </w:tcBorders>
            <w:shd w:val="clear" w:color="auto" w:fill="auto"/>
            <w:vAlign w:val="center"/>
            <w:hideMark/>
          </w:tcPr>
          <w:p w:rsidR="00333073" w:rsidRPr="00AF38BD" w:rsidRDefault="00333073" w:rsidP="00333073">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 xml:space="preserve">byt </w:t>
            </w:r>
            <w:r w:rsidRPr="00AF38BD">
              <w:rPr>
                <w:rFonts w:cs="Arial"/>
                <w:noProof w:val="0"/>
                <w:color w:val="000000"/>
                <w:sz w:val="18"/>
                <w:szCs w:val="18"/>
                <w:lang w:eastAsia="cs-CZ"/>
              </w:rPr>
              <w:br/>
              <w:t>v osobním vlastnictví</w:t>
            </w:r>
          </w:p>
        </w:tc>
        <w:tc>
          <w:tcPr>
            <w:tcW w:w="921" w:type="dxa"/>
            <w:tcBorders>
              <w:top w:val="nil"/>
              <w:left w:val="nil"/>
              <w:bottom w:val="single" w:sz="4" w:space="0" w:color="auto"/>
              <w:right w:val="single" w:sz="4" w:space="0" w:color="auto"/>
            </w:tcBorders>
            <w:shd w:val="clear" w:color="auto" w:fill="auto"/>
            <w:vAlign w:val="center"/>
            <w:hideMark/>
          </w:tcPr>
          <w:p w:rsidR="00333073" w:rsidRPr="00AF38BD" w:rsidRDefault="00333073" w:rsidP="00333073">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jiné bezplatné užívání</w:t>
            </w:r>
          </w:p>
        </w:tc>
        <w:tc>
          <w:tcPr>
            <w:tcW w:w="970" w:type="dxa"/>
            <w:tcBorders>
              <w:top w:val="nil"/>
              <w:left w:val="nil"/>
              <w:bottom w:val="single" w:sz="4" w:space="0" w:color="auto"/>
              <w:right w:val="single" w:sz="4" w:space="0" w:color="auto"/>
            </w:tcBorders>
            <w:shd w:val="clear" w:color="auto" w:fill="auto"/>
            <w:vAlign w:val="center"/>
            <w:hideMark/>
          </w:tcPr>
          <w:p w:rsidR="00333073" w:rsidRPr="00AF38BD" w:rsidRDefault="00333073" w:rsidP="00333073">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 xml:space="preserve">byt </w:t>
            </w:r>
            <w:r w:rsidRPr="00AF38BD">
              <w:rPr>
                <w:rFonts w:cs="Arial"/>
                <w:noProof w:val="0"/>
                <w:color w:val="000000"/>
                <w:sz w:val="18"/>
                <w:szCs w:val="18"/>
                <w:lang w:eastAsia="cs-CZ"/>
              </w:rPr>
              <w:br/>
              <w:t>nájemní</w:t>
            </w:r>
          </w:p>
        </w:tc>
        <w:tc>
          <w:tcPr>
            <w:tcW w:w="881" w:type="dxa"/>
            <w:tcBorders>
              <w:top w:val="nil"/>
              <w:left w:val="nil"/>
              <w:bottom w:val="single" w:sz="4" w:space="0" w:color="auto"/>
              <w:right w:val="single" w:sz="4" w:space="0" w:color="auto"/>
            </w:tcBorders>
            <w:shd w:val="clear" w:color="auto" w:fill="auto"/>
            <w:vAlign w:val="center"/>
            <w:hideMark/>
          </w:tcPr>
          <w:p w:rsidR="00333073" w:rsidRPr="00AF38BD" w:rsidRDefault="00333073" w:rsidP="002460A4">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byt družstev-ní</w:t>
            </w:r>
          </w:p>
        </w:tc>
        <w:tc>
          <w:tcPr>
            <w:tcW w:w="850" w:type="dxa"/>
            <w:tcBorders>
              <w:top w:val="nil"/>
              <w:left w:val="nil"/>
              <w:bottom w:val="single" w:sz="4" w:space="0" w:color="auto"/>
              <w:right w:val="single" w:sz="4" w:space="0" w:color="auto"/>
            </w:tcBorders>
            <w:shd w:val="clear" w:color="auto" w:fill="auto"/>
            <w:vAlign w:val="center"/>
            <w:hideMark/>
          </w:tcPr>
          <w:p w:rsidR="00333073" w:rsidRPr="00AF38BD" w:rsidRDefault="00333073" w:rsidP="00333073">
            <w:pPr>
              <w:suppressAutoHyphens w:val="0"/>
              <w:jc w:val="center"/>
              <w:rPr>
                <w:rFonts w:cs="Arial"/>
                <w:noProof w:val="0"/>
                <w:color w:val="000000"/>
                <w:sz w:val="18"/>
                <w:szCs w:val="18"/>
                <w:lang w:eastAsia="cs-CZ"/>
              </w:rPr>
            </w:pPr>
            <w:r w:rsidRPr="00AF38BD">
              <w:rPr>
                <w:rFonts w:cs="Arial"/>
                <w:noProof w:val="0"/>
                <w:color w:val="000000"/>
                <w:sz w:val="18"/>
                <w:szCs w:val="18"/>
                <w:lang w:eastAsia="cs-CZ"/>
              </w:rPr>
              <w:t>jiný důvod užívání</w:t>
            </w:r>
          </w:p>
        </w:tc>
        <w:tc>
          <w:tcPr>
            <w:tcW w:w="851" w:type="dxa"/>
            <w:tcBorders>
              <w:top w:val="nil"/>
              <w:left w:val="nil"/>
              <w:bottom w:val="single" w:sz="4" w:space="0" w:color="auto"/>
              <w:right w:val="single" w:sz="4" w:space="0" w:color="auto"/>
            </w:tcBorders>
            <w:shd w:val="clear" w:color="auto" w:fill="auto"/>
            <w:vAlign w:val="center"/>
            <w:hideMark/>
          </w:tcPr>
          <w:p w:rsidR="00333073" w:rsidRPr="00AF38BD" w:rsidRDefault="00333073" w:rsidP="005A2BAA">
            <w:pPr>
              <w:suppressAutoHyphens w:val="0"/>
              <w:jc w:val="center"/>
              <w:rPr>
                <w:rFonts w:cs="Arial"/>
                <w:noProof w:val="0"/>
                <w:color w:val="000000"/>
                <w:sz w:val="18"/>
                <w:szCs w:val="18"/>
                <w:lang w:eastAsia="cs-CZ"/>
              </w:rPr>
            </w:pPr>
            <w:proofErr w:type="spellStart"/>
            <w:r w:rsidRPr="00AF38BD">
              <w:rPr>
                <w:rFonts w:cs="Arial"/>
                <w:noProof w:val="0"/>
                <w:color w:val="000000"/>
                <w:sz w:val="18"/>
                <w:szCs w:val="18"/>
                <w:lang w:eastAsia="cs-CZ"/>
              </w:rPr>
              <w:t>nezjiště</w:t>
            </w:r>
            <w:proofErr w:type="spellEnd"/>
            <w:r w:rsidRPr="00AF38BD">
              <w:rPr>
                <w:rFonts w:cs="Arial"/>
                <w:noProof w:val="0"/>
                <w:color w:val="000000"/>
                <w:sz w:val="18"/>
                <w:szCs w:val="18"/>
                <w:lang w:eastAsia="cs-CZ"/>
              </w:rPr>
              <w:t>-no</w:t>
            </w:r>
          </w:p>
        </w:tc>
      </w:tr>
      <w:tr w:rsidR="00333073" w:rsidRPr="00533EBF" w:rsidTr="00AF38BD">
        <w:trPr>
          <w:trHeight w:val="24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333073" w:rsidP="00333073">
            <w:pPr>
              <w:suppressAutoHyphens w:val="0"/>
              <w:rPr>
                <w:rFonts w:cs="Arial"/>
                <w:noProof w:val="0"/>
                <w:color w:val="000000"/>
                <w:sz w:val="18"/>
                <w:szCs w:val="18"/>
                <w:lang w:eastAsia="cs-CZ"/>
              </w:rPr>
            </w:pPr>
            <w:r w:rsidRPr="00AF38BD">
              <w:rPr>
                <w:rFonts w:cs="Arial"/>
                <w:noProof w:val="0"/>
                <w:color w:val="000000"/>
                <w:sz w:val="18"/>
                <w:szCs w:val="18"/>
                <w:lang w:eastAsia="cs-CZ"/>
              </w:rPr>
              <w:t>Osoby v bytech celkem</w:t>
            </w:r>
          </w:p>
        </w:tc>
        <w:tc>
          <w:tcPr>
            <w:tcW w:w="1134"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10 144 961</w:t>
            </w:r>
          </w:p>
        </w:tc>
        <w:tc>
          <w:tcPr>
            <w:tcW w:w="992"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4 290 789</w:t>
            </w:r>
          </w:p>
        </w:tc>
        <w:tc>
          <w:tcPr>
            <w:tcW w:w="977"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1 835 602</w:t>
            </w:r>
          </w:p>
        </w:tc>
        <w:tc>
          <w:tcPr>
            <w:tcW w:w="92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289 801</w:t>
            </w:r>
          </w:p>
        </w:tc>
        <w:tc>
          <w:tcPr>
            <w:tcW w:w="97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2 071 519</w:t>
            </w:r>
          </w:p>
        </w:tc>
        <w:tc>
          <w:tcPr>
            <w:tcW w:w="88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893 811</w:t>
            </w:r>
          </w:p>
        </w:tc>
        <w:tc>
          <w:tcPr>
            <w:tcW w:w="85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96 461</w:t>
            </w:r>
          </w:p>
        </w:tc>
        <w:tc>
          <w:tcPr>
            <w:tcW w:w="85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666 978</w:t>
            </w:r>
          </w:p>
        </w:tc>
      </w:tr>
      <w:tr w:rsidR="00333073" w:rsidRPr="00533EBF" w:rsidTr="00AF38BD">
        <w:trPr>
          <w:trHeight w:val="24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333073" w:rsidP="002460A4">
            <w:pPr>
              <w:suppressAutoHyphens w:val="0"/>
              <w:ind w:firstLine="218"/>
              <w:rPr>
                <w:rFonts w:cs="Arial"/>
                <w:noProof w:val="0"/>
                <w:color w:val="000000"/>
                <w:sz w:val="18"/>
                <w:szCs w:val="18"/>
                <w:lang w:eastAsia="cs-CZ"/>
              </w:rPr>
            </w:pPr>
            <w:r w:rsidRPr="00AF38BD">
              <w:rPr>
                <w:rFonts w:cs="Arial"/>
                <w:noProof w:val="0"/>
                <w:color w:val="000000"/>
                <w:sz w:val="18"/>
                <w:szCs w:val="18"/>
                <w:lang w:eastAsia="cs-CZ"/>
              </w:rPr>
              <w:t>fyzická osoba</w:t>
            </w:r>
          </w:p>
        </w:tc>
        <w:tc>
          <w:tcPr>
            <w:tcW w:w="1134"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5 200 122</w:t>
            </w:r>
          </w:p>
        </w:tc>
        <w:tc>
          <w:tcPr>
            <w:tcW w:w="992"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4 100 290</w:t>
            </w:r>
          </w:p>
        </w:tc>
        <w:tc>
          <w:tcPr>
            <w:tcW w:w="977"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2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289 801</w:t>
            </w:r>
          </w:p>
        </w:tc>
        <w:tc>
          <w:tcPr>
            <w:tcW w:w="97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438 103</w:t>
            </w:r>
          </w:p>
        </w:tc>
        <w:tc>
          <w:tcPr>
            <w:tcW w:w="881" w:type="dxa"/>
            <w:tcBorders>
              <w:top w:val="nil"/>
              <w:left w:val="nil"/>
              <w:bottom w:val="nil"/>
              <w:right w:val="single" w:sz="4" w:space="0" w:color="auto"/>
            </w:tcBorders>
            <w:shd w:val="clear" w:color="auto" w:fill="auto"/>
            <w:noWrap/>
            <w:vAlign w:val="bottom"/>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 xml:space="preserve"> </w:t>
            </w:r>
            <w:r w:rsidR="002460A4" w:rsidRPr="00AF38BD">
              <w:rPr>
                <w:rFonts w:cs="Arial"/>
                <w:noProof w:val="0"/>
                <w:color w:val="000000"/>
                <w:sz w:val="18"/>
                <w:szCs w:val="18"/>
                <w:lang w:eastAsia="cs-CZ"/>
              </w:rPr>
              <w:t>x</w:t>
            </w:r>
          </w:p>
        </w:tc>
        <w:tc>
          <w:tcPr>
            <w:tcW w:w="85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54 860</w:t>
            </w:r>
          </w:p>
        </w:tc>
        <w:tc>
          <w:tcPr>
            <w:tcW w:w="85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317 068</w:t>
            </w:r>
          </w:p>
        </w:tc>
      </w:tr>
      <w:tr w:rsidR="00333073" w:rsidRPr="00533EBF" w:rsidTr="00AF38BD">
        <w:trPr>
          <w:trHeight w:val="48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2460A4" w:rsidP="002460A4">
            <w:pPr>
              <w:suppressAutoHyphens w:val="0"/>
              <w:ind w:left="218"/>
              <w:rPr>
                <w:rFonts w:cs="Arial"/>
                <w:noProof w:val="0"/>
                <w:color w:val="000000"/>
                <w:sz w:val="18"/>
                <w:szCs w:val="18"/>
                <w:lang w:eastAsia="cs-CZ"/>
              </w:rPr>
            </w:pPr>
            <w:r w:rsidRPr="00AF38BD">
              <w:rPr>
                <w:rFonts w:cs="Arial"/>
                <w:noProof w:val="0"/>
                <w:color w:val="000000"/>
                <w:sz w:val="18"/>
                <w:szCs w:val="18"/>
                <w:lang w:eastAsia="cs-CZ"/>
              </w:rPr>
              <w:t>spoluvlastnictví</w:t>
            </w:r>
            <w:r w:rsidR="00333073" w:rsidRPr="00AF38BD">
              <w:rPr>
                <w:rFonts w:cs="Arial"/>
                <w:noProof w:val="0"/>
                <w:color w:val="000000"/>
                <w:sz w:val="18"/>
                <w:szCs w:val="18"/>
                <w:lang w:eastAsia="cs-CZ"/>
              </w:rPr>
              <w:t xml:space="preserve"> vlastníků bytů</w:t>
            </w:r>
          </w:p>
        </w:tc>
        <w:tc>
          <w:tcPr>
            <w:tcW w:w="1134" w:type="dxa"/>
            <w:tcBorders>
              <w:top w:val="nil"/>
              <w:left w:val="nil"/>
              <w:bottom w:val="nil"/>
              <w:right w:val="single" w:sz="4" w:space="0" w:color="auto"/>
            </w:tcBorders>
            <w:shd w:val="clear" w:color="auto" w:fill="auto"/>
            <w:noWrap/>
            <w:vAlign w:val="center"/>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2 046 088</w:t>
            </w:r>
          </w:p>
        </w:tc>
        <w:tc>
          <w:tcPr>
            <w:tcW w:w="992" w:type="dxa"/>
            <w:tcBorders>
              <w:top w:val="nil"/>
              <w:left w:val="nil"/>
              <w:bottom w:val="nil"/>
              <w:right w:val="single" w:sz="4" w:space="0" w:color="auto"/>
            </w:tcBorders>
            <w:shd w:val="clear" w:color="auto" w:fill="auto"/>
            <w:noWrap/>
            <w:vAlign w:val="center"/>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187 519</w:t>
            </w:r>
          </w:p>
        </w:tc>
        <w:tc>
          <w:tcPr>
            <w:tcW w:w="977" w:type="dxa"/>
            <w:tcBorders>
              <w:top w:val="nil"/>
              <w:left w:val="nil"/>
              <w:bottom w:val="nil"/>
              <w:right w:val="single" w:sz="4" w:space="0" w:color="auto"/>
            </w:tcBorders>
            <w:shd w:val="clear" w:color="auto" w:fill="auto"/>
            <w:noWrap/>
            <w:vAlign w:val="center"/>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1 485 933</w:t>
            </w:r>
          </w:p>
        </w:tc>
        <w:tc>
          <w:tcPr>
            <w:tcW w:w="921" w:type="dxa"/>
            <w:tcBorders>
              <w:top w:val="nil"/>
              <w:left w:val="nil"/>
              <w:bottom w:val="nil"/>
              <w:right w:val="single" w:sz="4" w:space="0" w:color="auto"/>
            </w:tcBorders>
            <w:shd w:val="clear" w:color="auto" w:fill="auto"/>
            <w:noWrap/>
            <w:vAlign w:val="center"/>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0" w:type="dxa"/>
            <w:tcBorders>
              <w:top w:val="nil"/>
              <w:left w:val="nil"/>
              <w:bottom w:val="nil"/>
              <w:right w:val="single" w:sz="4" w:space="0" w:color="auto"/>
            </w:tcBorders>
            <w:shd w:val="clear" w:color="auto" w:fill="auto"/>
            <w:noWrap/>
            <w:vAlign w:val="center"/>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251 476</w:t>
            </w:r>
          </w:p>
        </w:tc>
        <w:tc>
          <w:tcPr>
            <w:tcW w:w="881" w:type="dxa"/>
            <w:tcBorders>
              <w:top w:val="nil"/>
              <w:left w:val="nil"/>
              <w:bottom w:val="nil"/>
              <w:right w:val="single" w:sz="4" w:space="0" w:color="auto"/>
            </w:tcBorders>
            <w:shd w:val="clear" w:color="auto" w:fill="auto"/>
            <w:noWrap/>
            <w:vAlign w:val="center"/>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850" w:type="dxa"/>
            <w:tcBorders>
              <w:top w:val="nil"/>
              <w:left w:val="nil"/>
              <w:bottom w:val="nil"/>
              <w:right w:val="single" w:sz="4" w:space="0" w:color="auto"/>
            </w:tcBorders>
            <w:shd w:val="clear" w:color="auto" w:fill="auto"/>
            <w:noWrap/>
            <w:vAlign w:val="center"/>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18 367</w:t>
            </w:r>
          </w:p>
        </w:tc>
        <w:tc>
          <w:tcPr>
            <w:tcW w:w="851" w:type="dxa"/>
            <w:tcBorders>
              <w:top w:val="nil"/>
              <w:left w:val="nil"/>
              <w:bottom w:val="nil"/>
              <w:right w:val="single" w:sz="4" w:space="0" w:color="auto"/>
            </w:tcBorders>
            <w:shd w:val="clear" w:color="auto" w:fill="auto"/>
            <w:noWrap/>
            <w:vAlign w:val="center"/>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102 793</w:t>
            </w:r>
          </w:p>
        </w:tc>
      </w:tr>
      <w:tr w:rsidR="00333073" w:rsidRPr="00533EBF" w:rsidTr="00AF38BD">
        <w:trPr>
          <w:trHeight w:val="24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333073" w:rsidP="002460A4">
            <w:pPr>
              <w:suppressAutoHyphens w:val="0"/>
              <w:ind w:firstLine="218"/>
              <w:rPr>
                <w:rFonts w:cs="Arial"/>
                <w:noProof w:val="0"/>
                <w:color w:val="000000"/>
                <w:sz w:val="18"/>
                <w:szCs w:val="18"/>
                <w:lang w:eastAsia="cs-CZ"/>
              </w:rPr>
            </w:pPr>
            <w:r w:rsidRPr="00AF38BD">
              <w:rPr>
                <w:rFonts w:cs="Arial"/>
                <w:noProof w:val="0"/>
                <w:color w:val="000000"/>
                <w:sz w:val="18"/>
                <w:szCs w:val="18"/>
                <w:lang w:eastAsia="cs-CZ"/>
              </w:rPr>
              <w:t>obec</w:t>
            </w:r>
          </w:p>
        </w:tc>
        <w:tc>
          <w:tcPr>
            <w:tcW w:w="1134"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800 798</w:t>
            </w:r>
          </w:p>
        </w:tc>
        <w:tc>
          <w:tcPr>
            <w:tcW w:w="992"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7" w:type="dxa"/>
            <w:tcBorders>
              <w:top w:val="nil"/>
              <w:left w:val="nil"/>
              <w:bottom w:val="nil"/>
              <w:right w:val="single" w:sz="4" w:space="0" w:color="auto"/>
            </w:tcBorders>
            <w:shd w:val="clear" w:color="auto" w:fill="auto"/>
            <w:noWrap/>
            <w:vAlign w:val="bottom"/>
            <w:hideMark/>
          </w:tcPr>
          <w:p w:rsidR="00333073" w:rsidRPr="00AF38BD" w:rsidRDefault="007A44C6"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2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743 331</w:t>
            </w:r>
          </w:p>
        </w:tc>
        <w:tc>
          <w:tcPr>
            <w:tcW w:w="88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850" w:type="dxa"/>
            <w:tcBorders>
              <w:top w:val="nil"/>
              <w:left w:val="nil"/>
              <w:bottom w:val="nil"/>
              <w:right w:val="single" w:sz="4" w:space="0" w:color="auto"/>
            </w:tcBorders>
            <w:shd w:val="clear" w:color="auto" w:fill="auto"/>
            <w:noWrap/>
            <w:vAlign w:val="bottom"/>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 xml:space="preserve"> -</w:t>
            </w:r>
          </w:p>
        </w:tc>
        <w:tc>
          <w:tcPr>
            <w:tcW w:w="85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57 467</w:t>
            </w:r>
          </w:p>
        </w:tc>
      </w:tr>
      <w:tr w:rsidR="00333073" w:rsidRPr="00533EBF" w:rsidTr="00AF38BD">
        <w:trPr>
          <w:trHeight w:val="24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333073" w:rsidP="002460A4">
            <w:pPr>
              <w:suppressAutoHyphens w:val="0"/>
              <w:ind w:firstLine="218"/>
              <w:rPr>
                <w:rFonts w:cs="Arial"/>
                <w:noProof w:val="0"/>
                <w:color w:val="000000"/>
                <w:sz w:val="18"/>
                <w:szCs w:val="18"/>
                <w:lang w:eastAsia="cs-CZ"/>
              </w:rPr>
            </w:pPr>
            <w:r w:rsidRPr="00AF38BD">
              <w:rPr>
                <w:rFonts w:cs="Arial"/>
                <w:noProof w:val="0"/>
                <w:color w:val="000000"/>
                <w:sz w:val="18"/>
                <w:szCs w:val="18"/>
                <w:lang w:eastAsia="cs-CZ"/>
              </w:rPr>
              <w:t>stát</w:t>
            </w:r>
          </w:p>
        </w:tc>
        <w:tc>
          <w:tcPr>
            <w:tcW w:w="1134"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22 284</w:t>
            </w:r>
          </w:p>
        </w:tc>
        <w:tc>
          <w:tcPr>
            <w:tcW w:w="992"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7" w:type="dxa"/>
            <w:tcBorders>
              <w:top w:val="nil"/>
              <w:left w:val="nil"/>
              <w:bottom w:val="nil"/>
              <w:right w:val="single" w:sz="4" w:space="0" w:color="auto"/>
            </w:tcBorders>
            <w:shd w:val="clear" w:color="auto" w:fill="auto"/>
            <w:noWrap/>
            <w:vAlign w:val="bottom"/>
            <w:hideMark/>
          </w:tcPr>
          <w:p w:rsidR="00333073" w:rsidRPr="00AF38BD" w:rsidRDefault="007A44C6"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2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20 194</w:t>
            </w:r>
          </w:p>
        </w:tc>
        <w:tc>
          <w:tcPr>
            <w:tcW w:w="88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850" w:type="dxa"/>
            <w:tcBorders>
              <w:top w:val="nil"/>
              <w:left w:val="nil"/>
              <w:bottom w:val="nil"/>
              <w:right w:val="single" w:sz="4" w:space="0" w:color="auto"/>
            </w:tcBorders>
            <w:shd w:val="clear" w:color="auto" w:fill="auto"/>
            <w:noWrap/>
            <w:vAlign w:val="bottom"/>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 xml:space="preserve"> -</w:t>
            </w:r>
          </w:p>
        </w:tc>
        <w:tc>
          <w:tcPr>
            <w:tcW w:w="85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2 090</w:t>
            </w:r>
          </w:p>
        </w:tc>
      </w:tr>
      <w:tr w:rsidR="00333073" w:rsidRPr="00533EBF" w:rsidTr="00AF38BD">
        <w:trPr>
          <w:trHeight w:val="24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333073" w:rsidP="002460A4">
            <w:pPr>
              <w:suppressAutoHyphens w:val="0"/>
              <w:ind w:firstLine="218"/>
              <w:rPr>
                <w:rFonts w:cs="Arial"/>
                <w:noProof w:val="0"/>
                <w:color w:val="000000"/>
                <w:sz w:val="18"/>
                <w:szCs w:val="18"/>
                <w:lang w:eastAsia="cs-CZ"/>
              </w:rPr>
            </w:pPr>
            <w:r w:rsidRPr="00AF38BD">
              <w:rPr>
                <w:rFonts w:cs="Arial"/>
                <w:noProof w:val="0"/>
                <w:color w:val="000000"/>
                <w:sz w:val="18"/>
                <w:szCs w:val="18"/>
                <w:lang w:eastAsia="cs-CZ"/>
              </w:rPr>
              <w:t>bytové družstvo</w:t>
            </w:r>
          </w:p>
        </w:tc>
        <w:tc>
          <w:tcPr>
            <w:tcW w:w="1134"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1 022 264</w:t>
            </w:r>
          </w:p>
        </w:tc>
        <w:tc>
          <w:tcPr>
            <w:tcW w:w="992"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7" w:type="dxa"/>
            <w:tcBorders>
              <w:top w:val="nil"/>
              <w:left w:val="nil"/>
              <w:bottom w:val="nil"/>
              <w:right w:val="single" w:sz="4" w:space="0" w:color="auto"/>
            </w:tcBorders>
            <w:shd w:val="clear" w:color="auto" w:fill="auto"/>
            <w:noWrap/>
            <w:vAlign w:val="bottom"/>
            <w:hideMark/>
          </w:tcPr>
          <w:p w:rsidR="00333073" w:rsidRPr="00AF38BD" w:rsidRDefault="007A44C6"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2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260 724</w:t>
            </w:r>
          </w:p>
        </w:tc>
        <w:tc>
          <w:tcPr>
            <w:tcW w:w="88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706 140</w:t>
            </w:r>
          </w:p>
        </w:tc>
        <w:tc>
          <w:tcPr>
            <w:tcW w:w="85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6 296</w:t>
            </w:r>
          </w:p>
        </w:tc>
        <w:tc>
          <w:tcPr>
            <w:tcW w:w="85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49 104</w:t>
            </w:r>
          </w:p>
        </w:tc>
      </w:tr>
      <w:tr w:rsidR="00333073" w:rsidRPr="00533EBF" w:rsidTr="00AF38BD">
        <w:trPr>
          <w:trHeight w:val="24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333073" w:rsidP="002460A4">
            <w:pPr>
              <w:suppressAutoHyphens w:val="0"/>
              <w:ind w:firstLine="218"/>
              <w:rPr>
                <w:rFonts w:cs="Arial"/>
                <w:noProof w:val="0"/>
                <w:color w:val="000000"/>
                <w:sz w:val="18"/>
                <w:szCs w:val="18"/>
                <w:lang w:eastAsia="cs-CZ"/>
              </w:rPr>
            </w:pPr>
            <w:r w:rsidRPr="00AF38BD">
              <w:rPr>
                <w:rFonts w:cs="Arial"/>
                <w:noProof w:val="0"/>
                <w:color w:val="000000"/>
                <w:sz w:val="18"/>
                <w:szCs w:val="18"/>
                <w:lang w:eastAsia="cs-CZ"/>
              </w:rPr>
              <w:t>jiná právnická osoba</w:t>
            </w:r>
          </w:p>
        </w:tc>
        <w:tc>
          <w:tcPr>
            <w:tcW w:w="1134"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243 702</w:t>
            </w:r>
          </w:p>
        </w:tc>
        <w:tc>
          <w:tcPr>
            <w:tcW w:w="992"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7" w:type="dxa"/>
            <w:tcBorders>
              <w:top w:val="nil"/>
              <w:left w:val="nil"/>
              <w:bottom w:val="nil"/>
              <w:right w:val="single" w:sz="4" w:space="0" w:color="auto"/>
            </w:tcBorders>
            <w:shd w:val="clear" w:color="auto" w:fill="auto"/>
            <w:noWrap/>
            <w:vAlign w:val="bottom"/>
            <w:hideMark/>
          </w:tcPr>
          <w:p w:rsidR="00333073" w:rsidRPr="00AF38BD" w:rsidRDefault="007A44C6"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2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207 312</w:t>
            </w:r>
          </w:p>
        </w:tc>
        <w:tc>
          <w:tcPr>
            <w:tcW w:w="88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85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7 396</w:t>
            </w:r>
          </w:p>
        </w:tc>
        <w:tc>
          <w:tcPr>
            <w:tcW w:w="85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28 994</w:t>
            </w:r>
          </w:p>
        </w:tc>
      </w:tr>
      <w:tr w:rsidR="00333073" w:rsidRPr="00533EBF" w:rsidTr="00AF38BD">
        <w:trPr>
          <w:trHeight w:val="240"/>
          <w:jc w:val="center"/>
        </w:trPr>
        <w:tc>
          <w:tcPr>
            <w:tcW w:w="2081" w:type="dxa"/>
            <w:tcBorders>
              <w:top w:val="nil"/>
              <w:left w:val="single" w:sz="4" w:space="0" w:color="auto"/>
              <w:bottom w:val="nil"/>
              <w:right w:val="single" w:sz="4" w:space="0" w:color="auto"/>
            </w:tcBorders>
            <w:shd w:val="clear" w:color="auto" w:fill="auto"/>
            <w:vAlign w:val="bottom"/>
            <w:hideMark/>
          </w:tcPr>
          <w:p w:rsidR="00333073" w:rsidRPr="00AF38BD" w:rsidRDefault="00333073" w:rsidP="002460A4">
            <w:pPr>
              <w:suppressAutoHyphens w:val="0"/>
              <w:ind w:firstLine="218"/>
              <w:rPr>
                <w:rFonts w:cs="Arial"/>
                <w:noProof w:val="0"/>
                <w:color w:val="000000"/>
                <w:sz w:val="18"/>
                <w:szCs w:val="18"/>
                <w:lang w:eastAsia="cs-CZ"/>
              </w:rPr>
            </w:pPr>
            <w:r w:rsidRPr="00AF38BD">
              <w:rPr>
                <w:rFonts w:cs="Arial"/>
                <w:noProof w:val="0"/>
                <w:color w:val="000000"/>
                <w:sz w:val="18"/>
                <w:szCs w:val="18"/>
                <w:lang w:eastAsia="cs-CZ"/>
              </w:rPr>
              <w:t>kombinace vlastníků</w:t>
            </w:r>
          </w:p>
        </w:tc>
        <w:tc>
          <w:tcPr>
            <w:tcW w:w="1134"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577 912</w:t>
            </w:r>
          </w:p>
        </w:tc>
        <w:tc>
          <w:tcPr>
            <w:tcW w:w="992" w:type="dxa"/>
            <w:tcBorders>
              <w:top w:val="nil"/>
              <w:left w:val="nil"/>
              <w:bottom w:val="nil"/>
              <w:right w:val="single" w:sz="4" w:space="0" w:color="auto"/>
            </w:tcBorders>
            <w:shd w:val="clear" w:color="auto" w:fill="auto"/>
            <w:noWrap/>
            <w:vAlign w:val="bottom"/>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2 734</w:t>
            </w:r>
          </w:p>
        </w:tc>
        <w:tc>
          <w:tcPr>
            <w:tcW w:w="977" w:type="dxa"/>
            <w:tcBorders>
              <w:top w:val="nil"/>
              <w:left w:val="nil"/>
              <w:bottom w:val="nil"/>
              <w:right w:val="single" w:sz="4" w:space="0" w:color="auto"/>
            </w:tcBorders>
            <w:shd w:val="clear" w:color="auto" w:fill="auto"/>
            <w:noWrap/>
            <w:vAlign w:val="bottom"/>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275 550</w:t>
            </w:r>
          </w:p>
        </w:tc>
        <w:tc>
          <w:tcPr>
            <w:tcW w:w="921" w:type="dxa"/>
            <w:tcBorders>
              <w:top w:val="nil"/>
              <w:left w:val="nil"/>
              <w:bottom w:val="nil"/>
              <w:right w:val="single" w:sz="4" w:space="0" w:color="auto"/>
            </w:tcBorders>
            <w:shd w:val="clear" w:color="auto" w:fill="auto"/>
            <w:noWrap/>
            <w:vAlign w:val="bottom"/>
            <w:hideMark/>
          </w:tcPr>
          <w:p w:rsidR="00333073" w:rsidRPr="00AF38BD" w:rsidRDefault="002460A4"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x</w:t>
            </w:r>
          </w:p>
        </w:tc>
        <w:tc>
          <w:tcPr>
            <w:tcW w:w="97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73 746</w:t>
            </w:r>
          </w:p>
        </w:tc>
        <w:tc>
          <w:tcPr>
            <w:tcW w:w="88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187 669</w:t>
            </w:r>
          </w:p>
        </w:tc>
        <w:tc>
          <w:tcPr>
            <w:tcW w:w="850"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5 848</w:t>
            </w:r>
          </w:p>
        </w:tc>
        <w:tc>
          <w:tcPr>
            <w:tcW w:w="851" w:type="dxa"/>
            <w:tcBorders>
              <w:top w:val="nil"/>
              <w:left w:val="nil"/>
              <w:bottom w:val="nil"/>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32 365</w:t>
            </w:r>
          </w:p>
        </w:tc>
      </w:tr>
      <w:tr w:rsidR="00333073" w:rsidRPr="00533EBF" w:rsidTr="00AF38BD">
        <w:trPr>
          <w:trHeight w:val="240"/>
          <w:jc w:val="center"/>
        </w:trPr>
        <w:tc>
          <w:tcPr>
            <w:tcW w:w="2081" w:type="dxa"/>
            <w:tcBorders>
              <w:top w:val="nil"/>
              <w:left w:val="single" w:sz="4" w:space="0" w:color="auto"/>
              <w:bottom w:val="single" w:sz="4" w:space="0" w:color="auto"/>
              <w:right w:val="single" w:sz="4" w:space="0" w:color="auto"/>
            </w:tcBorders>
            <w:shd w:val="clear" w:color="auto" w:fill="auto"/>
            <w:vAlign w:val="bottom"/>
            <w:hideMark/>
          </w:tcPr>
          <w:p w:rsidR="00333073" w:rsidRPr="00AF38BD" w:rsidRDefault="00333073" w:rsidP="002460A4">
            <w:pPr>
              <w:suppressAutoHyphens w:val="0"/>
              <w:ind w:firstLine="218"/>
              <w:rPr>
                <w:rFonts w:cs="Arial"/>
                <w:noProof w:val="0"/>
                <w:color w:val="000000"/>
                <w:sz w:val="18"/>
                <w:szCs w:val="18"/>
                <w:lang w:eastAsia="cs-CZ"/>
              </w:rPr>
            </w:pPr>
            <w:r w:rsidRPr="00AF38BD">
              <w:rPr>
                <w:rFonts w:cs="Arial"/>
                <w:noProof w:val="0"/>
                <w:color w:val="000000"/>
                <w:sz w:val="18"/>
                <w:szCs w:val="18"/>
                <w:lang w:eastAsia="cs-CZ"/>
              </w:rPr>
              <w:t>nezjištěno</w:t>
            </w:r>
          </w:p>
        </w:tc>
        <w:tc>
          <w:tcPr>
            <w:tcW w:w="1134" w:type="dxa"/>
            <w:tcBorders>
              <w:top w:val="nil"/>
              <w:left w:val="nil"/>
              <w:bottom w:val="single" w:sz="4" w:space="0" w:color="auto"/>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231 791</w:t>
            </w:r>
          </w:p>
        </w:tc>
        <w:tc>
          <w:tcPr>
            <w:tcW w:w="992" w:type="dxa"/>
            <w:tcBorders>
              <w:top w:val="nil"/>
              <w:left w:val="nil"/>
              <w:bottom w:val="single" w:sz="4" w:space="0" w:color="auto"/>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246</w:t>
            </w:r>
          </w:p>
        </w:tc>
        <w:tc>
          <w:tcPr>
            <w:tcW w:w="977" w:type="dxa"/>
            <w:tcBorders>
              <w:top w:val="nil"/>
              <w:left w:val="nil"/>
              <w:bottom w:val="single" w:sz="4" w:space="0" w:color="auto"/>
              <w:right w:val="single" w:sz="4" w:space="0" w:color="auto"/>
            </w:tcBorders>
            <w:shd w:val="clear" w:color="auto" w:fill="auto"/>
            <w:noWrap/>
            <w:vAlign w:val="bottom"/>
            <w:hideMark/>
          </w:tcPr>
          <w:p w:rsidR="00333073" w:rsidRPr="00AF38BD" w:rsidRDefault="00333073" w:rsidP="00AF38BD">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74 119</w:t>
            </w:r>
          </w:p>
        </w:tc>
        <w:tc>
          <w:tcPr>
            <w:tcW w:w="921" w:type="dxa"/>
            <w:tcBorders>
              <w:top w:val="nil"/>
              <w:left w:val="nil"/>
              <w:bottom w:val="single" w:sz="4" w:space="0" w:color="auto"/>
              <w:right w:val="single" w:sz="4" w:space="0" w:color="auto"/>
            </w:tcBorders>
            <w:shd w:val="clear" w:color="auto" w:fill="auto"/>
            <w:noWrap/>
            <w:vAlign w:val="bottom"/>
            <w:hideMark/>
          </w:tcPr>
          <w:p w:rsidR="00333073" w:rsidRPr="00AF38BD" w:rsidRDefault="00AF38BD" w:rsidP="00AF38BD">
            <w:pPr>
              <w:suppressAutoHyphens w:val="0"/>
              <w:jc w:val="right"/>
              <w:rPr>
                <w:rFonts w:cs="Arial"/>
                <w:noProof w:val="0"/>
                <w:color w:val="000000"/>
                <w:sz w:val="18"/>
                <w:szCs w:val="18"/>
                <w:lang w:eastAsia="cs-CZ"/>
              </w:rPr>
            </w:pPr>
            <w:r>
              <w:rPr>
                <w:rFonts w:cs="Arial"/>
                <w:noProof w:val="0"/>
                <w:color w:val="000000"/>
                <w:sz w:val="18"/>
                <w:szCs w:val="18"/>
                <w:lang w:eastAsia="cs-CZ"/>
              </w:rPr>
              <w:t>-</w:t>
            </w:r>
          </w:p>
        </w:tc>
        <w:tc>
          <w:tcPr>
            <w:tcW w:w="970" w:type="dxa"/>
            <w:tcBorders>
              <w:top w:val="nil"/>
              <w:left w:val="nil"/>
              <w:bottom w:val="single" w:sz="4" w:space="0" w:color="auto"/>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76 633</w:t>
            </w:r>
          </w:p>
        </w:tc>
        <w:tc>
          <w:tcPr>
            <w:tcW w:w="881" w:type="dxa"/>
            <w:tcBorders>
              <w:top w:val="nil"/>
              <w:left w:val="nil"/>
              <w:bottom w:val="single" w:sz="4" w:space="0" w:color="auto"/>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2</w:t>
            </w:r>
          </w:p>
        </w:tc>
        <w:tc>
          <w:tcPr>
            <w:tcW w:w="850" w:type="dxa"/>
            <w:tcBorders>
              <w:top w:val="nil"/>
              <w:left w:val="nil"/>
              <w:bottom w:val="single" w:sz="4" w:space="0" w:color="auto"/>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3 694</w:t>
            </w:r>
          </w:p>
        </w:tc>
        <w:tc>
          <w:tcPr>
            <w:tcW w:w="851" w:type="dxa"/>
            <w:tcBorders>
              <w:top w:val="nil"/>
              <w:left w:val="nil"/>
              <w:bottom w:val="single" w:sz="4" w:space="0" w:color="auto"/>
              <w:right w:val="single" w:sz="4" w:space="0" w:color="auto"/>
            </w:tcBorders>
            <w:shd w:val="clear" w:color="auto" w:fill="auto"/>
            <w:noWrap/>
            <w:vAlign w:val="bottom"/>
            <w:hideMark/>
          </w:tcPr>
          <w:p w:rsidR="00333073" w:rsidRPr="00AF38BD" w:rsidRDefault="00333073" w:rsidP="00333073">
            <w:pPr>
              <w:suppressAutoHyphens w:val="0"/>
              <w:jc w:val="right"/>
              <w:rPr>
                <w:rFonts w:cs="Arial"/>
                <w:noProof w:val="0"/>
                <w:color w:val="000000"/>
                <w:sz w:val="18"/>
                <w:szCs w:val="18"/>
                <w:lang w:eastAsia="cs-CZ"/>
              </w:rPr>
            </w:pPr>
            <w:r w:rsidRPr="00AF38BD">
              <w:rPr>
                <w:rFonts w:cs="Arial"/>
                <w:noProof w:val="0"/>
                <w:color w:val="000000"/>
                <w:sz w:val="18"/>
                <w:szCs w:val="18"/>
                <w:lang w:eastAsia="cs-CZ"/>
              </w:rPr>
              <w:t>77 097</w:t>
            </w:r>
          </w:p>
        </w:tc>
      </w:tr>
    </w:tbl>
    <w:p w:rsidR="00333073" w:rsidRDefault="00333073" w:rsidP="00840075">
      <w:pPr>
        <w:pStyle w:val="Normln-web"/>
        <w:rPr>
          <w:iCs/>
          <w:sz w:val="20"/>
          <w:szCs w:val="20"/>
        </w:rPr>
      </w:pPr>
    </w:p>
    <w:p w:rsidR="0036434D" w:rsidRDefault="002D74C1" w:rsidP="0036434D">
      <w:pPr>
        <w:pStyle w:val="Normln-web"/>
        <w:spacing w:before="0" w:line="276" w:lineRule="auto"/>
        <w:rPr>
          <w:iCs/>
          <w:sz w:val="20"/>
          <w:szCs w:val="20"/>
        </w:rPr>
      </w:pPr>
      <w:r>
        <w:rPr>
          <w:iCs/>
          <w:sz w:val="20"/>
          <w:szCs w:val="20"/>
        </w:rPr>
        <w:t xml:space="preserve">Nejpestřejší škála bydlení </w:t>
      </w:r>
      <w:r w:rsidR="001A35EA">
        <w:rPr>
          <w:iCs/>
          <w:sz w:val="20"/>
          <w:szCs w:val="20"/>
        </w:rPr>
        <w:t>byla</w:t>
      </w:r>
      <w:r>
        <w:rPr>
          <w:iCs/>
          <w:sz w:val="20"/>
          <w:szCs w:val="20"/>
        </w:rPr>
        <w:t xml:space="preserve"> u nájemních bytů</w:t>
      </w:r>
      <w:r w:rsidR="001A35EA">
        <w:rPr>
          <w:iCs/>
          <w:sz w:val="20"/>
          <w:szCs w:val="20"/>
        </w:rPr>
        <w:t>, zejména proto, že p</w:t>
      </w:r>
      <w:r>
        <w:rPr>
          <w:iCs/>
          <w:sz w:val="20"/>
          <w:szCs w:val="20"/>
        </w:rPr>
        <w:t xml:space="preserve">rávní důvod užívání bytu se zjišťoval z pohledu uživatele bytu bez ohledu na vlastníka bytu či vlastníka domu. Proto se bydlení v nájemních bytech objevuje ve všech vlastnických formách domů i ve všech druzích domu. Z celkového počtu osob bydlících v nájemních domech byly nejčastěji zastoupeny </w:t>
      </w:r>
      <w:r w:rsidR="001A35EA">
        <w:rPr>
          <w:iCs/>
          <w:sz w:val="20"/>
          <w:szCs w:val="20"/>
        </w:rPr>
        <w:t>osoby v nájemních bytech</w:t>
      </w:r>
      <w:r w:rsidR="005A15AE">
        <w:rPr>
          <w:iCs/>
          <w:sz w:val="20"/>
          <w:szCs w:val="20"/>
        </w:rPr>
        <w:t xml:space="preserve"> v domech ve vlastnictví</w:t>
      </w:r>
      <w:r w:rsidR="001A35EA">
        <w:rPr>
          <w:iCs/>
          <w:sz w:val="20"/>
          <w:szCs w:val="20"/>
        </w:rPr>
        <w:t xml:space="preserve"> obce (36 % osob bydlících v nájemních bytech) a v nájemních bytech v domech ve vlastnictví fyzické osoby (21,1 %).</w:t>
      </w:r>
      <w:r w:rsidR="005A15AE">
        <w:rPr>
          <w:iCs/>
          <w:sz w:val="20"/>
          <w:szCs w:val="20"/>
        </w:rPr>
        <w:t xml:space="preserve"> </w:t>
      </w:r>
      <w:r w:rsidR="001A35EA">
        <w:rPr>
          <w:iCs/>
          <w:sz w:val="20"/>
          <w:szCs w:val="20"/>
        </w:rPr>
        <w:t>Téměř stejné podíly (12 %) připadly na nájemní byty v domech družstevních nebo ve spoluvlastnictví vlastníků bytů - jde tedy o případy, kdy vlastníci bytů nebo členové družstva své byty sami neužívají, ale pronajímají je jiným osobám.</w:t>
      </w:r>
    </w:p>
    <w:p w:rsidR="00333073" w:rsidRDefault="001A35EA" w:rsidP="0036434D">
      <w:pPr>
        <w:pStyle w:val="Normln-web"/>
        <w:spacing w:before="0" w:line="276" w:lineRule="auto"/>
        <w:rPr>
          <w:iCs/>
          <w:sz w:val="20"/>
          <w:szCs w:val="20"/>
        </w:rPr>
      </w:pPr>
      <w:r>
        <w:rPr>
          <w:iCs/>
          <w:sz w:val="20"/>
          <w:szCs w:val="20"/>
        </w:rPr>
        <w:t xml:space="preserve"> </w:t>
      </w:r>
    </w:p>
    <w:p w:rsidR="00A84380" w:rsidRDefault="00A84380" w:rsidP="00C117FF">
      <w:pPr>
        <w:pStyle w:val="Normln-web"/>
        <w:spacing w:after="120" w:line="276" w:lineRule="auto"/>
        <w:rPr>
          <w:sz w:val="20"/>
          <w:szCs w:val="20"/>
        </w:rPr>
      </w:pPr>
      <w:r>
        <w:rPr>
          <w:sz w:val="20"/>
          <w:szCs w:val="20"/>
        </w:rPr>
        <w:t xml:space="preserve">Pro </w:t>
      </w:r>
      <w:r w:rsidRPr="00840075">
        <w:rPr>
          <w:b/>
          <w:sz w:val="20"/>
          <w:szCs w:val="20"/>
        </w:rPr>
        <w:t xml:space="preserve">kvalitativní </w:t>
      </w:r>
      <w:r w:rsidRPr="00533EBF">
        <w:rPr>
          <w:b/>
          <w:sz w:val="20"/>
          <w:szCs w:val="20"/>
        </w:rPr>
        <w:t>parametry bydlení v bytech</w:t>
      </w:r>
      <w:r>
        <w:rPr>
          <w:sz w:val="20"/>
          <w:szCs w:val="20"/>
        </w:rPr>
        <w:t xml:space="preserve"> platilo, že se ve srovnání s rokem 2001 došlo k výraznému skokovému zlepšení hodnot; důvodem byla ale </w:t>
      </w:r>
      <w:r w:rsidR="00840075">
        <w:rPr>
          <w:sz w:val="20"/>
          <w:szCs w:val="20"/>
        </w:rPr>
        <w:t xml:space="preserve">především </w:t>
      </w:r>
      <w:r>
        <w:rPr>
          <w:sz w:val="20"/>
          <w:szCs w:val="20"/>
        </w:rPr>
        <w:t>metodická změna definice obytné místnosti.</w:t>
      </w:r>
      <w:r w:rsidR="009022A0">
        <w:rPr>
          <w:sz w:val="20"/>
          <w:szCs w:val="20"/>
        </w:rPr>
        <w:t xml:space="preserve"> Při sčítání 2011 byla podle mezinárodní metodiky za obytnou místnost považována i kuchyň, pokud splnila parametry velikosti (8 m</w:t>
      </w:r>
      <w:r w:rsidR="009022A0" w:rsidRPr="009022A0">
        <w:rPr>
          <w:sz w:val="20"/>
          <w:szCs w:val="20"/>
          <w:vertAlign w:val="superscript"/>
        </w:rPr>
        <w:t>2</w:t>
      </w:r>
      <w:r w:rsidR="009022A0">
        <w:rPr>
          <w:sz w:val="20"/>
          <w:szCs w:val="20"/>
        </w:rPr>
        <w:t xml:space="preserve"> a více). V předchozích sčítáních se kuchyň považovala za obytnou místnost pouze v případech, kdy byla jedinou místností bytu (tzv. obytná kuchyň). Jiná koncepce obytné místnosti znamenala i změnu výpočtu obytné plochy bytu, která je součtem </w:t>
      </w:r>
      <w:r w:rsidR="00B00744">
        <w:rPr>
          <w:sz w:val="20"/>
          <w:szCs w:val="20"/>
        </w:rPr>
        <w:t xml:space="preserve">ploch </w:t>
      </w:r>
      <w:r w:rsidR="009022A0">
        <w:rPr>
          <w:sz w:val="20"/>
          <w:szCs w:val="20"/>
        </w:rPr>
        <w:t xml:space="preserve">obytných místností (v roce 2011 </w:t>
      </w:r>
      <w:r w:rsidR="009022A0">
        <w:rPr>
          <w:sz w:val="20"/>
          <w:szCs w:val="20"/>
        </w:rPr>
        <w:lastRenderedPageBreak/>
        <w:t>tedy vč. plochy kuchyně, pokud byla o velikosti 8 a více m</w:t>
      </w:r>
      <w:r w:rsidR="009022A0" w:rsidRPr="009022A0">
        <w:rPr>
          <w:sz w:val="20"/>
          <w:szCs w:val="20"/>
          <w:vertAlign w:val="superscript"/>
        </w:rPr>
        <w:t>2</w:t>
      </w:r>
      <w:r w:rsidR="009022A0">
        <w:rPr>
          <w:sz w:val="20"/>
          <w:szCs w:val="20"/>
        </w:rPr>
        <w:t>). V předchozích cenzech se do obytné plochy započítávala z kuchyně pouze plocha přesahující 12 m</w:t>
      </w:r>
      <w:r w:rsidR="009022A0" w:rsidRPr="009022A0">
        <w:rPr>
          <w:sz w:val="20"/>
          <w:szCs w:val="20"/>
          <w:vertAlign w:val="superscript"/>
        </w:rPr>
        <w:t>2</w:t>
      </w:r>
      <w:r w:rsidR="009022A0">
        <w:rPr>
          <w:sz w:val="20"/>
          <w:szCs w:val="20"/>
        </w:rPr>
        <w:t xml:space="preserve">. Tyto metodické změny znamenaly </w:t>
      </w:r>
      <w:r w:rsidR="00762FD9">
        <w:rPr>
          <w:sz w:val="20"/>
          <w:szCs w:val="20"/>
        </w:rPr>
        <w:t xml:space="preserve">nárazové </w:t>
      </w:r>
      <w:r w:rsidR="009022A0">
        <w:rPr>
          <w:sz w:val="20"/>
          <w:szCs w:val="20"/>
        </w:rPr>
        <w:t>zvýšení průměrných hodnot pokud jde o obytnou plochu a počet obytných místností</w:t>
      </w:r>
      <w:r w:rsidR="006E41A1">
        <w:rPr>
          <w:sz w:val="20"/>
          <w:szCs w:val="20"/>
        </w:rPr>
        <w:t xml:space="preserve"> bytu</w:t>
      </w:r>
      <w:r w:rsidR="009022A0">
        <w:rPr>
          <w:sz w:val="20"/>
          <w:szCs w:val="20"/>
        </w:rPr>
        <w:t xml:space="preserve">, přestože se současně zvýšil podíl nezjištěných údajů v těchto otázkách. Při aplikaci stejné metodiky jako v roce 2001 nebyl růst hodnot natolik výrazný, přesto ale ke kvalitativním posunům došlo. </w:t>
      </w:r>
      <w:r w:rsidR="003C2331">
        <w:rPr>
          <w:sz w:val="20"/>
          <w:szCs w:val="20"/>
        </w:rPr>
        <w:t xml:space="preserve">Např. v případě počtu obytných místností zůstal zachován trend snížení podílů bytů s 1, 2 a 3 místnostmi a </w:t>
      </w:r>
      <w:r w:rsidR="00EB7E47">
        <w:rPr>
          <w:sz w:val="20"/>
          <w:szCs w:val="20"/>
        </w:rPr>
        <w:t xml:space="preserve">naopak </w:t>
      </w:r>
      <w:r w:rsidR="003C2331">
        <w:rPr>
          <w:sz w:val="20"/>
          <w:szCs w:val="20"/>
        </w:rPr>
        <w:t>růst podílů bytů se 4 a více místnostmi, jen rozdíl v procentních bodech mezi sčítáními 2001</w:t>
      </w:r>
      <w:r w:rsidR="00EB7E47">
        <w:rPr>
          <w:sz w:val="20"/>
          <w:szCs w:val="20"/>
        </w:rPr>
        <w:t xml:space="preserve"> a 2011 byl </w:t>
      </w:r>
      <w:r w:rsidR="00593406">
        <w:rPr>
          <w:sz w:val="20"/>
          <w:szCs w:val="20"/>
        </w:rPr>
        <w:t xml:space="preserve">při srovnatelné metodice výpočtu </w:t>
      </w:r>
      <w:r w:rsidR="00EB7E47">
        <w:rPr>
          <w:sz w:val="20"/>
          <w:szCs w:val="20"/>
        </w:rPr>
        <w:t>několikanásobně menší.</w:t>
      </w:r>
      <w:r w:rsidR="003C2331">
        <w:rPr>
          <w:sz w:val="20"/>
          <w:szCs w:val="20"/>
        </w:rPr>
        <w:t xml:space="preserve"> </w:t>
      </w:r>
      <w:r w:rsidR="009022A0">
        <w:rPr>
          <w:sz w:val="20"/>
          <w:szCs w:val="20"/>
        </w:rPr>
        <w:t>Vliv nové výstavby a rekonstrukce domů a bytů</w:t>
      </w:r>
      <w:r w:rsidR="00300C83">
        <w:rPr>
          <w:sz w:val="20"/>
          <w:szCs w:val="20"/>
        </w:rPr>
        <w:t>, který se</w:t>
      </w:r>
      <w:r w:rsidR="009022A0">
        <w:rPr>
          <w:sz w:val="20"/>
          <w:szCs w:val="20"/>
        </w:rPr>
        <w:t xml:space="preserve"> průběžně promítá do zvyšování kvality bydlení</w:t>
      </w:r>
      <w:r w:rsidR="00300C83">
        <w:rPr>
          <w:sz w:val="20"/>
          <w:szCs w:val="20"/>
        </w:rPr>
        <w:t>, je nezpochybnitelný</w:t>
      </w:r>
      <w:r w:rsidR="009022A0">
        <w:rPr>
          <w:sz w:val="20"/>
          <w:szCs w:val="20"/>
        </w:rPr>
        <w:t xml:space="preserve">. </w:t>
      </w:r>
    </w:p>
    <w:tbl>
      <w:tblPr>
        <w:tblW w:w="8560" w:type="dxa"/>
        <w:jc w:val="center"/>
        <w:tblInd w:w="70" w:type="dxa"/>
        <w:tblCellMar>
          <w:left w:w="70" w:type="dxa"/>
          <w:right w:w="70" w:type="dxa"/>
        </w:tblCellMar>
        <w:tblLook w:val="04A0"/>
      </w:tblPr>
      <w:tblGrid>
        <w:gridCol w:w="2528"/>
        <w:gridCol w:w="1054"/>
        <w:gridCol w:w="1054"/>
        <w:gridCol w:w="1176"/>
        <w:gridCol w:w="956"/>
        <w:gridCol w:w="896"/>
        <w:gridCol w:w="896"/>
      </w:tblGrid>
      <w:tr w:rsidR="00F91AFA" w:rsidRPr="003C2331" w:rsidTr="00F91AFA">
        <w:trPr>
          <w:trHeight w:val="240"/>
          <w:jc w:val="center"/>
        </w:trPr>
        <w:tc>
          <w:tcPr>
            <w:tcW w:w="8560" w:type="dxa"/>
            <w:gridSpan w:val="7"/>
            <w:tcBorders>
              <w:top w:val="nil"/>
              <w:left w:val="nil"/>
              <w:bottom w:val="nil"/>
              <w:right w:val="nil"/>
            </w:tcBorders>
            <w:shd w:val="clear" w:color="auto" w:fill="auto"/>
            <w:noWrap/>
            <w:vAlign w:val="bottom"/>
            <w:hideMark/>
          </w:tcPr>
          <w:p w:rsidR="00F91AFA" w:rsidRPr="003C2331" w:rsidRDefault="00760C72" w:rsidP="00B00744">
            <w:pPr>
              <w:suppressAutoHyphens w:val="0"/>
              <w:rPr>
                <w:rFonts w:cs="Arial"/>
                <w:noProof w:val="0"/>
                <w:color w:val="000000"/>
                <w:sz w:val="18"/>
                <w:szCs w:val="18"/>
                <w:lang w:eastAsia="cs-CZ"/>
              </w:rPr>
            </w:pPr>
            <w:r>
              <w:rPr>
                <w:rFonts w:cs="Arial"/>
                <w:b/>
                <w:bCs/>
                <w:sz w:val="20"/>
                <w:szCs w:val="20"/>
              </w:rPr>
              <w:t xml:space="preserve">Tab. č. 8 </w:t>
            </w:r>
            <w:r w:rsidR="00F91AFA" w:rsidRPr="00F91AFA">
              <w:rPr>
                <w:rFonts w:cs="Arial"/>
                <w:b/>
                <w:noProof w:val="0"/>
                <w:color w:val="000000"/>
                <w:sz w:val="20"/>
                <w:szCs w:val="20"/>
                <w:lang w:eastAsia="cs-CZ"/>
              </w:rPr>
              <w:t>Osoby v bytech podle počtu obytných místností</w:t>
            </w:r>
            <w:r w:rsidR="00904EA7">
              <w:rPr>
                <w:rFonts w:cs="Arial"/>
                <w:b/>
                <w:noProof w:val="0"/>
                <w:color w:val="000000"/>
                <w:sz w:val="20"/>
                <w:szCs w:val="20"/>
                <w:lang w:eastAsia="cs-CZ"/>
              </w:rPr>
              <w:t xml:space="preserve"> v letech 2001 a 2011</w:t>
            </w:r>
          </w:p>
        </w:tc>
      </w:tr>
      <w:tr w:rsidR="003C2331" w:rsidRPr="003C2331" w:rsidTr="006E6AB4">
        <w:trPr>
          <w:trHeight w:val="915"/>
          <w:jc w:val="center"/>
        </w:trPr>
        <w:tc>
          <w:tcPr>
            <w:tcW w:w="252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center"/>
              <w:rPr>
                <w:rFonts w:cs="Arial"/>
                <w:noProof w:val="0"/>
                <w:color w:val="000000"/>
                <w:sz w:val="18"/>
                <w:szCs w:val="18"/>
                <w:lang w:eastAsia="cs-CZ"/>
              </w:rPr>
            </w:pPr>
            <w:r w:rsidRPr="003C2331">
              <w:rPr>
                <w:rFonts w:cs="Arial"/>
                <w:noProof w:val="0"/>
                <w:color w:val="000000"/>
                <w:sz w:val="18"/>
                <w:szCs w:val="18"/>
                <w:lang w:eastAsia="cs-CZ"/>
              </w:rPr>
              <w:t> </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3C2331" w:rsidRPr="003C2331" w:rsidRDefault="003C2331" w:rsidP="003C2331">
            <w:pPr>
              <w:suppressAutoHyphens w:val="0"/>
              <w:jc w:val="center"/>
              <w:rPr>
                <w:rFonts w:cs="Arial"/>
                <w:noProof w:val="0"/>
                <w:color w:val="000000"/>
                <w:sz w:val="18"/>
                <w:szCs w:val="18"/>
                <w:lang w:eastAsia="cs-CZ"/>
              </w:rPr>
            </w:pPr>
            <w:r w:rsidRPr="003C2331">
              <w:rPr>
                <w:rFonts w:cs="Arial"/>
                <w:noProof w:val="0"/>
                <w:color w:val="000000"/>
                <w:sz w:val="18"/>
                <w:szCs w:val="18"/>
                <w:lang w:eastAsia="cs-CZ"/>
              </w:rPr>
              <w:t>2001</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3C2331" w:rsidRPr="003C2331" w:rsidRDefault="003C2331" w:rsidP="003C2331">
            <w:pPr>
              <w:suppressAutoHyphens w:val="0"/>
              <w:jc w:val="center"/>
              <w:rPr>
                <w:rFonts w:cs="Arial"/>
                <w:noProof w:val="0"/>
                <w:color w:val="000000"/>
                <w:sz w:val="18"/>
                <w:szCs w:val="18"/>
                <w:lang w:eastAsia="cs-CZ"/>
              </w:rPr>
            </w:pPr>
            <w:r w:rsidRPr="003C2331">
              <w:rPr>
                <w:rFonts w:cs="Arial"/>
                <w:noProof w:val="0"/>
                <w:color w:val="000000"/>
                <w:sz w:val="18"/>
                <w:szCs w:val="18"/>
                <w:lang w:eastAsia="cs-CZ"/>
              </w:rPr>
              <w:t>2011</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94D30" w:rsidRDefault="003C2331" w:rsidP="003C2331">
            <w:pPr>
              <w:suppressAutoHyphens w:val="0"/>
              <w:jc w:val="center"/>
              <w:rPr>
                <w:rFonts w:cs="Arial"/>
                <w:i/>
                <w:iCs/>
                <w:noProof w:val="0"/>
                <w:color w:val="000000"/>
                <w:sz w:val="16"/>
                <w:szCs w:val="16"/>
                <w:lang w:eastAsia="cs-CZ"/>
              </w:rPr>
            </w:pPr>
            <w:r w:rsidRPr="003C2331">
              <w:rPr>
                <w:rFonts w:cs="Arial"/>
                <w:i/>
                <w:iCs/>
                <w:noProof w:val="0"/>
                <w:color w:val="000000"/>
                <w:sz w:val="18"/>
                <w:szCs w:val="18"/>
                <w:lang w:eastAsia="cs-CZ"/>
              </w:rPr>
              <w:t>2011</w:t>
            </w:r>
            <w:r w:rsidRPr="003C2331">
              <w:rPr>
                <w:rFonts w:cs="Arial"/>
                <w:i/>
                <w:iCs/>
                <w:noProof w:val="0"/>
                <w:color w:val="000000"/>
                <w:sz w:val="18"/>
                <w:szCs w:val="18"/>
                <w:lang w:eastAsia="cs-CZ"/>
              </w:rPr>
              <w:br/>
            </w:r>
            <w:proofErr w:type="gramStart"/>
            <w:r w:rsidRPr="003C2331">
              <w:rPr>
                <w:rFonts w:cs="Arial"/>
                <w:i/>
                <w:iCs/>
                <w:noProof w:val="0"/>
                <w:color w:val="000000"/>
                <w:sz w:val="16"/>
                <w:szCs w:val="16"/>
                <w:lang w:eastAsia="cs-CZ"/>
              </w:rPr>
              <w:t>dle</w:t>
            </w:r>
            <w:proofErr w:type="gramEnd"/>
            <w:r w:rsidRPr="003C2331">
              <w:rPr>
                <w:rFonts w:cs="Arial"/>
                <w:i/>
                <w:iCs/>
                <w:noProof w:val="0"/>
                <w:color w:val="000000"/>
                <w:sz w:val="16"/>
                <w:szCs w:val="16"/>
                <w:lang w:eastAsia="cs-CZ"/>
              </w:rPr>
              <w:t xml:space="preserve"> </w:t>
            </w:r>
          </w:p>
          <w:p w:rsidR="003C2331" w:rsidRPr="003C2331" w:rsidRDefault="003C2331" w:rsidP="003C2331">
            <w:pPr>
              <w:suppressAutoHyphens w:val="0"/>
              <w:jc w:val="center"/>
              <w:rPr>
                <w:rFonts w:cs="Arial"/>
                <w:i/>
                <w:iCs/>
                <w:noProof w:val="0"/>
                <w:color w:val="000000"/>
                <w:sz w:val="18"/>
                <w:szCs w:val="18"/>
                <w:lang w:eastAsia="cs-CZ"/>
              </w:rPr>
            </w:pPr>
            <w:r w:rsidRPr="003C2331">
              <w:rPr>
                <w:rFonts w:cs="Arial"/>
                <w:i/>
                <w:iCs/>
                <w:noProof w:val="0"/>
                <w:color w:val="000000"/>
                <w:sz w:val="16"/>
                <w:szCs w:val="16"/>
                <w:lang w:eastAsia="cs-CZ"/>
              </w:rPr>
              <w:t>metodiky 2001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3C2331" w:rsidRPr="003C2331" w:rsidRDefault="003C2331" w:rsidP="003C2331">
            <w:pPr>
              <w:suppressAutoHyphens w:val="0"/>
              <w:jc w:val="center"/>
              <w:rPr>
                <w:rFonts w:cs="Arial"/>
                <w:noProof w:val="0"/>
                <w:color w:val="000000"/>
                <w:sz w:val="18"/>
                <w:szCs w:val="18"/>
                <w:lang w:eastAsia="cs-CZ"/>
              </w:rPr>
            </w:pPr>
            <w:r w:rsidRPr="003C2331">
              <w:rPr>
                <w:rFonts w:cs="Arial"/>
                <w:noProof w:val="0"/>
                <w:color w:val="000000"/>
                <w:sz w:val="18"/>
                <w:szCs w:val="18"/>
                <w:lang w:eastAsia="cs-CZ"/>
              </w:rPr>
              <w:t>2001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3C2331" w:rsidRPr="003C2331" w:rsidRDefault="003C2331" w:rsidP="003C2331">
            <w:pPr>
              <w:suppressAutoHyphens w:val="0"/>
              <w:jc w:val="center"/>
              <w:rPr>
                <w:rFonts w:cs="Arial"/>
                <w:noProof w:val="0"/>
                <w:color w:val="000000"/>
                <w:sz w:val="18"/>
                <w:szCs w:val="18"/>
                <w:lang w:eastAsia="cs-CZ"/>
              </w:rPr>
            </w:pPr>
            <w:r w:rsidRPr="003C2331">
              <w:rPr>
                <w:rFonts w:cs="Arial"/>
                <w:noProof w:val="0"/>
                <w:color w:val="000000"/>
                <w:sz w:val="18"/>
                <w:szCs w:val="18"/>
                <w:lang w:eastAsia="cs-CZ"/>
              </w:rPr>
              <w:t>2011</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3C2331" w:rsidRPr="003C2331" w:rsidRDefault="003C2331" w:rsidP="003C2331">
            <w:pPr>
              <w:suppressAutoHyphens w:val="0"/>
              <w:jc w:val="center"/>
              <w:rPr>
                <w:rFonts w:cs="Arial"/>
                <w:i/>
                <w:iCs/>
                <w:noProof w:val="0"/>
                <w:color w:val="000000"/>
                <w:sz w:val="18"/>
                <w:szCs w:val="18"/>
                <w:lang w:eastAsia="cs-CZ"/>
              </w:rPr>
            </w:pPr>
            <w:r w:rsidRPr="003C2331">
              <w:rPr>
                <w:rFonts w:cs="Arial"/>
                <w:i/>
                <w:iCs/>
                <w:noProof w:val="0"/>
                <w:color w:val="000000"/>
                <w:sz w:val="18"/>
                <w:szCs w:val="18"/>
                <w:lang w:eastAsia="cs-CZ"/>
              </w:rPr>
              <w:t>2011</w:t>
            </w:r>
            <w:r w:rsidRPr="003C2331">
              <w:rPr>
                <w:rFonts w:cs="Arial"/>
                <w:i/>
                <w:iCs/>
                <w:noProof w:val="0"/>
                <w:color w:val="000000"/>
                <w:sz w:val="18"/>
                <w:szCs w:val="18"/>
                <w:lang w:eastAsia="cs-CZ"/>
              </w:rPr>
              <w:br/>
            </w:r>
            <w:r w:rsidRPr="003C2331">
              <w:rPr>
                <w:rFonts w:cs="Arial"/>
                <w:i/>
                <w:iCs/>
                <w:noProof w:val="0"/>
                <w:color w:val="000000"/>
                <w:sz w:val="16"/>
                <w:szCs w:val="16"/>
                <w:lang w:eastAsia="cs-CZ"/>
              </w:rPr>
              <w:t>dle metodiky 2001</w:t>
            </w:r>
          </w:p>
        </w:tc>
      </w:tr>
      <w:tr w:rsidR="003C2331" w:rsidRPr="003C2331" w:rsidTr="006E6AB4">
        <w:trPr>
          <w:trHeight w:val="420"/>
          <w:jc w:val="center"/>
        </w:trPr>
        <w:tc>
          <w:tcPr>
            <w:tcW w:w="2528" w:type="dxa"/>
            <w:vMerge/>
            <w:tcBorders>
              <w:top w:val="single" w:sz="4" w:space="0" w:color="auto"/>
              <w:left w:val="single" w:sz="4" w:space="0" w:color="auto"/>
              <w:bottom w:val="single" w:sz="4" w:space="0" w:color="auto"/>
              <w:right w:val="single" w:sz="4" w:space="0" w:color="auto"/>
            </w:tcBorders>
            <w:vAlign w:val="center"/>
            <w:hideMark/>
          </w:tcPr>
          <w:p w:rsidR="003C2331" w:rsidRPr="003C2331" w:rsidRDefault="003C2331" w:rsidP="003C2331">
            <w:pPr>
              <w:suppressAutoHyphens w:val="0"/>
              <w:rPr>
                <w:rFonts w:cs="Arial"/>
                <w:noProof w:val="0"/>
                <w:color w:val="000000"/>
                <w:sz w:val="18"/>
                <w:szCs w:val="18"/>
                <w:lang w:eastAsia="cs-CZ"/>
              </w:rPr>
            </w:pPr>
          </w:p>
        </w:tc>
        <w:tc>
          <w:tcPr>
            <w:tcW w:w="3284" w:type="dxa"/>
            <w:gridSpan w:val="3"/>
            <w:tcBorders>
              <w:top w:val="single" w:sz="4" w:space="0" w:color="auto"/>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center"/>
              <w:rPr>
                <w:rFonts w:cs="Arial"/>
                <w:noProof w:val="0"/>
                <w:color w:val="000000"/>
                <w:sz w:val="18"/>
                <w:szCs w:val="18"/>
                <w:lang w:eastAsia="cs-CZ"/>
              </w:rPr>
            </w:pPr>
            <w:r w:rsidRPr="003C2331">
              <w:rPr>
                <w:rFonts w:cs="Arial"/>
                <w:noProof w:val="0"/>
                <w:color w:val="000000"/>
                <w:sz w:val="18"/>
                <w:szCs w:val="18"/>
                <w:lang w:eastAsia="cs-CZ"/>
              </w:rPr>
              <w:t>abs.</w:t>
            </w:r>
          </w:p>
        </w:tc>
        <w:tc>
          <w:tcPr>
            <w:tcW w:w="2748" w:type="dxa"/>
            <w:gridSpan w:val="3"/>
            <w:tcBorders>
              <w:top w:val="single" w:sz="4" w:space="0" w:color="auto"/>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center"/>
              <w:rPr>
                <w:rFonts w:cs="Arial"/>
                <w:noProof w:val="0"/>
                <w:color w:val="000000"/>
                <w:sz w:val="18"/>
                <w:szCs w:val="18"/>
                <w:lang w:eastAsia="cs-CZ"/>
              </w:rPr>
            </w:pPr>
            <w:r w:rsidRPr="003C2331">
              <w:rPr>
                <w:rFonts w:cs="Arial"/>
                <w:noProof w:val="0"/>
                <w:color w:val="000000"/>
                <w:sz w:val="18"/>
                <w:szCs w:val="18"/>
                <w:lang w:eastAsia="cs-CZ"/>
              </w:rPr>
              <w:t>%</w:t>
            </w:r>
          </w:p>
        </w:tc>
      </w:tr>
      <w:tr w:rsidR="003C2331" w:rsidRPr="003C2331" w:rsidTr="006E6AB4">
        <w:trPr>
          <w:trHeight w:val="420"/>
          <w:jc w:val="center"/>
        </w:trPr>
        <w:tc>
          <w:tcPr>
            <w:tcW w:w="2528" w:type="dxa"/>
            <w:tcBorders>
              <w:top w:val="nil"/>
              <w:left w:val="single" w:sz="4" w:space="0" w:color="auto"/>
              <w:bottom w:val="nil"/>
              <w:right w:val="single" w:sz="4" w:space="0" w:color="auto"/>
            </w:tcBorders>
            <w:shd w:val="clear" w:color="auto" w:fill="auto"/>
            <w:noWrap/>
            <w:vAlign w:val="bottom"/>
            <w:hideMark/>
          </w:tcPr>
          <w:p w:rsidR="003C2331" w:rsidRPr="003C2331" w:rsidRDefault="003C2331" w:rsidP="003C2331">
            <w:pPr>
              <w:suppressAutoHyphens w:val="0"/>
              <w:rPr>
                <w:rFonts w:cs="Arial"/>
                <w:noProof w:val="0"/>
                <w:color w:val="000000"/>
                <w:sz w:val="18"/>
                <w:szCs w:val="18"/>
                <w:lang w:eastAsia="cs-CZ"/>
              </w:rPr>
            </w:pPr>
            <w:r w:rsidRPr="003C2331">
              <w:rPr>
                <w:rFonts w:cs="Arial"/>
                <w:noProof w:val="0"/>
                <w:color w:val="000000"/>
                <w:sz w:val="18"/>
                <w:szCs w:val="18"/>
                <w:lang w:eastAsia="cs-CZ"/>
              </w:rPr>
              <w:t>Osoby v bytech celkem</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10 101 302</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10 144 961</w:t>
            </w:r>
          </w:p>
        </w:tc>
        <w:tc>
          <w:tcPr>
            <w:tcW w:w="117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10 144 961</w:t>
            </w:r>
          </w:p>
        </w:tc>
        <w:tc>
          <w:tcPr>
            <w:tcW w:w="95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100,0</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100,0</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100,0</w:t>
            </w:r>
          </w:p>
        </w:tc>
      </w:tr>
      <w:tr w:rsidR="003C2331" w:rsidRPr="003C2331" w:rsidTr="006E6AB4">
        <w:trPr>
          <w:trHeight w:val="480"/>
          <w:jc w:val="center"/>
        </w:trPr>
        <w:tc>
          <w:tcPr>
            <w:tcW w:w="2528" w:type="dxa"/>
            <w:tcBorders>
              <w:top w:val="nil"/>
              <w:left w:val="single" w:sz="4" w:space="0" w:color="auto"/>
              <w:bottom w:val="nil"/>
              <w:right w:val="single" w:sz="4" w:space="0" w:color="auto"/>
            </w:tcBorders>
            <w:shd w:val="clear" w:color="auto" w:fill="auto"/>
            <w:vAlign w:val="bottom"/>
            <w:hideMark/>
          </w:tcPr>
          <w:p w:rsidR="003C2331" w:rsidRPr="003C2331" w:rsidRDefault="00593406" w:rsidP="003C2331">
            <w:pPr>
              <w:suppressAutoHyphens w:val="0"/>
              <w:rPr>
                <w:rFonts w:cs="Arial"/>
                <w:noProof w:val="0"/>
                <w:color w:val="000000"/>
                <w:sz w:val="18"/>
                <w:szCs w:val="18"/>
                <w:lang w:eastAsia="cs-CZ"/>
              </w:rPr>
            </w:pPr>
            <w:r>
              <w:rPr>
                <w:rFonts w:cs="Arial"/>
                <w:noProof w:val="0"/>
                <w:color w:val="000000"/>
                <w:sz w:val="18"/>
                <w:szCs w:val="18"/>
                <w:lang w:eastAsia="cs-CZ"/>
              </w:rPr>
              <w:t>v tom v bytech s počt</w:t>
            </w:r>
            <w:r w:rsidR="003C2331" w:rsidRPr="003C2331">
              <w:rPr>
                <w:rFonts w:cs="Arial"/>
                <w:noProof w:val="0"/>
                <w:color w:val="000000"/>
                <w:sz w:val="18"/>
                <w:szCs w:val="18"/>
                <w:lang w:eastAsia="cs-CZ"/>
              </w:rPr>
              <w:t>em obytných místností</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rPr>
                <w:rFonts w:cs="Arial"/>
                <w:noProof w:val="0"/>
                <w:color w:val="000000"/>
                <w:sz w:val="18"/>
                <w:szCs w:val="18"/>
                <w:lang w:eastAsia="cs-CZ"/>
              </w:rPr>
            </w:pPr>
            <w:r w:rsidRPr="003C2331">
              <w:rPr>
                <w:rFonts w:cs="Arial"/>
                <w:noProof w:val="0"/>
                <w:color w:val="000000"/>
                <w:sz w:val="18"/>
                <w:szCs w:val="18"/>
                <w:lang w:eastAsia="cs-CZ"/>
              </w:rPr>
              <w:t> </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rPr>
                <w:rFonts w:cs="Arial"/>
                <w:noProof w:val="0"/>
                <w:color w:val="000000"/>
                <w:sz w:val="18"/>
                <w:szCs w:val="18"/>
                <w:lang w:eastAsia="cs-CZ"/>
              </w:rPr>
            </w:pPr>
            <w:r w:rsidRPr="003C2331">
              <w:rPr>
                <w:rFonts w:cs="Arial"/>
                <w:noProof w:val="0"/>
                <w:color w:val="000000"/>
                <w:sz w:val="18"/>
                <w:szCs w:val="18"/>
                <w:lang w:eastAsia="cs-CZ"/>
              </w:rPr>
              <w:t> </w:t>
            </w:r>
          </w:p>
        </w:tc>
        <w:tc>
          <w:tcPr>
            <w:tcW w:w="117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rPr>
                <w:rFonts w:cs="Arial"/>
                <w:i/>
                <w:iCs/>
                <w:noProof w:val="0"/>
                <w:color w:val="000000"/>
                <w:sz w:val="18"/>
                <w:szCs w:val="18"/>
                <w:lang w:eastAsia="cs-CZ"/>
              </w:rPr>
            </w:pPr>
            <w:r w:rsidRPr="003C2331">
              <w:rPr>
                <w:rFonts w:cs="Arial"/>
                <w:i/>
                <w:iCs/>
                <w:noProof w:val="0"/>
                <w:color w:val="000000"/>
                <w:sz w:val="18"/>
                <w:szCs w:val="18"/>
                <w:lang w:eastAsia="cs-CZ"/>
              </w:rPr>
              <w:t> </w:t>
            </w:r>
          </w:p>
        </w:tc>
        <w:tc>
          <w:tcPr>
            <w:tcW w:w="95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rPr>
                <w:rFonts w:cs="Arial"/>
                <w:noProof w:val="0"/>
                <w:color w:val="000000"/>
                <w:sz w:val="18"/>
                <w:szCs w:val="18"/>
                <w:lang w:eastAsia="cs-CZ"/>
              </w:rPr>
            </w:pPr>
            <w:r w:rsidRPr="003C2331">
              <w:rPr>
                <w:rFonts w:cs="Arial"/>
                <w:noProof w:val="0"/>
                <w:color w:val="000000"/>
                <w:sz w:val="18"/>
                <w:szCs w:val="18"/>
                <w:lang w:eastAsia="cs-CZ"/>
              </w:rPr>
              <w:t> </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rPr>
                <w:rFonts w:cs="Arial"/>
                <w:noProof w:val="0"/>
                <w:color w:val="000000"/>
                <w:sz w:val="18"/>
                <w:szCs w:val="18"/>
                <w:lang w:eastAsia="cs-CZ"/>
              </w:rPr>
            </w:pPr>
            <w:r w:rsidRPr="003C2331">
              <w:rPr>
                <w:rFonts w:cs="Arial"/>
                <w:noProof w:val="0"/>
                <w:color w:val="000000"/>
                <w:sz w:val="18"/>
                <w:szCs w:val="18"/>
                <w:lang w:eastAsia="cs-CZ"/>
              </w:rPr>
              <w:t> </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rPr>
                <w:rFonts w:cs="Arial"/>
                <w:i/>
                <w:iCs/>
                <w:noProof w:val="0"/>
                <w:color w:val="000000"/>
                <w:sz w:val="18"/>
                <w:szCs w:val="18"/>
                <w:lang w:eastAsia="cs-CZ"/>
              </w:rPr>
            </w:pPr>
            <w:r w:rsidRPr="003C2331">
              <w:rPr>
                <w:rFonts w:cs="Arial"/>
                <w:i/>
                <w:iCs/>
                <w:noProof w:val="0"/>
                <w:color w:val="000000"/>
                <w:sz w:val="18"/>
                <w:szCs w:val="18"/>
                <w:lang w:eastAsia="cs-CZ"/>
              </w:rPr>
              <w:t> </w:t>
            </w:r>
          </w:p>
        </w:tc>
      </w:tr>
      <w:tr w:rsidR="003C2331" w:rsidRPr="003C2331" w:rsidTr="006E6AB4">
        <w:trPr>
          <w:trHeight w:val="240"/>
          <w:jc w:val="center"/>
        </w:trPr>
        <w:tc>
          <w:tcPr>
            <w:tcW w:w="2528" w:type="dxa"/>
            <w:tcBorders>
              <w:top w:val="nil"/>
              <w:left w:val="single" w:sz="4" w:space="0" w:color="auto"/>
              <w:bottom w:val="nil"/>
              <w:right w:val="single" w:sz="4" w:space="0" w:color="auto"/>
            </w:tcBorders>
            <w:shd w:val="clear" w:color="auto" w:fill="auto"/>
            <w:noWrap/>
            <w:vAlign w:val="bottom"/>
            <w:hideMark/>
          </w:tcPr>
          <w:p w:rsidR="003C2331" w:rsidRPr="003C2331" w:rsidRDefault="003C2331" w:rsidP="003C2331">
            <w:pPr>
              <w:suppressAutoHyphens w:val="0"/>
              <w:ind w:firstLineChars="200" w:firstLine="360"/>
              <w:rPr>
                <w:rFonts w:cs="Arial"/>
                <w:noProof w:val="0"/>
                <w:color w:val="000000"/>
                <w:sz w:val="18"/>
                <w:szCs w:val="18"/>
                <w:lang w:eastAsia="cs-CZ"/>
              </w:rPr>
            </w:pPr>
            <w:r w:rsidRPr="003C2331">
              <w:rPr>
                <w:rFonts w:cs="Arial"/>
                <w:noProof w:val="0"/>
                <w:color w:val="000000"/>
                <w:sz w:val="18"/>
                <w:szCs w:val="18"/>
                <w:lang w:eastAsia="cs-CZ"/>
              </w:rPr>
              <w:t>1</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862 660</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338 873</w:t>
            </w:r>
          </w:p>
        </w:tc>
        <w:tc>
          <w:tcPr>
            <w:tcW w:w="117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739 735</w:t>
            </w:r>
          </w:p>
        </w:tc>
        <w:tc>
          <w:tcPr>
            <w:tcW w:w="95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8,5</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3,3</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7,3</w:t>
            </w:r>
          </w:p>
        </w:tc>
      </w:tr>
      <w:tr w:rsidR="003C2331" w:rsidRPr="003C2331" w:rsidTr="006E6AB4">
        <w:trPr>
          <w:trHeight w:val="240"/>
          <w:jc w:val="center"/>
        </w:trPr>
        <w:tc>
          <w:tcPr>
            <w:tcW w:w="2528" w:type="dxa"/>
            <w:tcBorders>
              <w:top w:val="nil"/>
              <w:left w:val="single" w:sz="4" w:space="0" w:color="auto"/>
              <w:bottom w:val="nil"/>
              <w:right w:val="single" w:sz="4" w:space="0" w:color="auto"/>
            </w:tcBorders>
            <w:shd w:val="clear" w:color="auto" w:fill="auto"/>
            <w:noWrap/>
            <w:vAlign w:val="bottom"/>
            <w:hideMark/>
          </w:tcPr>
          <w:p w:rsidR="003C2331" w:rsidRPr="003C2331" w:rsidRDefault="003C2331" w:rsidP="003C2331">
            <w:pPr>
              <w:suppressAutoHyphens w:val="0"/>
              <w:ind w:firstLineChars="200" w:firstLine="360"/>
              <w:rPr>
                <w:rFonts w:cs="Arial"/>
                <w:noProof w:val="0"/>
                <w:color w:val="000000"/>
                <w:sz w:val="18"/>
                <w:szCs w:val="18"/>
                <w:lang w:eastAsia="cs-CZ"/>
              </w:rPr>
            </w:pPr>
            <w:r w:rsidRPr="003C2331">
              <w:rPr>
                <w:rFonts w:cs="Arial"/>
                <w:noProof w:val="0"/>
                <w:color w:val="000000"/>
                <w:sz w:val="18"/>
                <w:szCs w:val="18"/>
                <w:lang w:eastAsia="cs-CZ"/>
              </w:rPr>
              <w:t>2</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2 669 730</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980 233</w:t>
            </w:r>
          </w:p>
        </w:tc>
        <w:tc>
          <w:tcPr>
            <w:tcW w:w="117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2 173 425</w:t>
            </w:r>
          </w:p>
        </w:tc>
        <w:tc>
          <w:tcPr>
            <w:tcW w:w="95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26,4</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9,7</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21,4</w:t>
            </w:r>
          </w:p>
        </w:tc>
      </w:tr>
      <w:tr w:rsidR="003C2331" w:rsidRPr="003C2331" w:rsidTr="006E6AB4">
        <w:trPr>
          <w:trHeight w:val="240"/>
          <w:jc w:val="center"/>
        </w:trPr>
        <w:tc>
          <w:tcPr>
            <w:tcW w:w="2528" w:type="dxa"/>
            <w:tcBorders>
              <w:top w:val="nil"/>
              <w:left w:val="single" w:sz="4" w:space="0" w:color="auto"/>
              <w:bottom w:val="nil"/>
              <w:right w:val="single" w:sz="4" w:space="0" w:color="auto"/>
            </w:tcBorders>
            <w:shd w:val="clear" w:color="auto" w:fill="auto"/>
            <w:noWrap/>
            <w:vAlign w:val="bottom"/>
            <w:hideMark/>
          </w:tcPr>
          <w:p w:rsidR="003C2331" w:rsidRPr="003C2331" w:rsidRDefault="003C2331" w:rsidP="003C2331">
            <w:pPr>
              <w:suppressAutoHyphens w:val="0"/>
              <w:ind w:firstLineChars="200" w:firstLine="360"/>
              <w:rPr>
                <w:rFonts w:cs="Arial"/>
                <w:noProof w:val="0"/>
                <w:color w:val="000000"/>
                <w:sz w:val="18"/>
                <w:szCs w:val="18"/>
                <w:lang w:eastAsia="cs-CZ"/>
              </w:rPr>
            </w:pPr>
            <w:r w:rsidRPr="003C2331">
              <w:rPr>
                <w:rFonts w:cs="Arial"/>
                <w:noProof w:val="0"/>
                <w:color w:val="000000"/>
                <w:sz w:val="18"/>
                <w:szCs w:val="18"/>
                <w:lang w:eastAsia="cs-CZ"/>
              </w:rPr>
              <w:t>3</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3 940 356</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2 279 902</w:t>
            </w:r>
          </w:p>
        </w:tc>
        <w:tc>
          <w:tcPr>
            <w:tcW w:w="117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3 387 638</w:t>
            </w:r>
          </w:p>
        </w:tc>
        <w:tc>
          <w:tcPr>
            <w:tcW w:w="95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39,0</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22,5</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33,4</w:t>
            </w:r>
          </w:p>
        </w:tc>
      </w:tr>
      <w:tr w:rsidR="003C2331" w:rsidRPr="003C2331" w:rsidTr="006E6AB4">
        <w:trPr>
          <w:trHeight w:val="240"/>
          <w:jc w:val="center"/>
        </w:trPr>
        <w:tc>
          <w:tcPr>
            <w:tcW w:w="2528" w:type="dxa"/>
            <w:tcBorders>
              <w:top w:val="nil"/>
              <w:left w:val="single" w:sz="4" w:space="0" w:color="auto"/>
              <w:bottom w:val="nil"/>
              <w:right w:val="single" w:sz="4" w:space="0" w:color="auto"/>
            </w:tcBorders>
            <w:shd w:val="clear" w:color="auto" w:fill="auto"/>
            <w:noWrap/>
            <w:vAlign w:val="bottom"/>
            <w:hideMark/>
          </w:tcPr>
          <w:p w:rsidR="003C2331" w:rsidRPr="003C2331" w:rsidRDefault="003C2331" w:rsidP="003C2331">
            <w:pPr>
              <w:suppressAutoHyphens w:val="0"/>
              <w:ind w:firstLineChars="200" w:firstLine="360"/>
              <w:rPr>
                <w:rFonts w:cs="Arial"/>
                <w:noProof w:val="0"/>
                <w:color w:val="000000"/>
                <w:sz w:val="18"/>
                <w:szCs w:val="18"/>
                <w:lang w:eastAsia="cs-CZ"/>
              </w:rPr>
            </w:pPr>
            <w:r w:rsidRPr="003C2331">
              <w:rPr>
                <w:rFonts w:cs="Arial"/>
                <w:noProof w:val="0"/>
                <w:color w:val="000000"/>
                <w:sz w:val="18"/>
                <w:szCs w:val="18"/>
                <w:lang w:eastAsia="cs-CZ"/>
              </w:rPr>
              <w:t>4</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1 500 375</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2 982 796</w:t>
            </w:r>
          </w:p>
        </w:tc>
        <w:tc>
          <w:tcPr>
            <w:tcW w:w="117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1 680 570</w:t>
            </w:r>
          </w:p>
        </w:tc>
        <w:tc>
          <w:tcPr>
            <w:tcW w:w="95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14,9</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29,4</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16,6</w:t>
            </w:r>
          </w:p>
        </w:tc>
      </w:tr>
      <w:tr w:rsidR="003C2331" w:rsidRPr="003C2331" w:rsidTr="006E6AB4">
        <w:trPr>
          <w:trHeight w:val="240"/>
          <w:jc w:val="center"/>
        </w:trPr>
        <w:tc>
          <w:tcPr>
            <w:tcW w:w="2528" w:type="dxa"/>
            <w:tcBorders>
              <w:top w:val="nil"/>
              <w:left w:val="single" w:sz="4" w:space="0" w:color="auto"/>
              <w:bottom w:val="nil"/>
              <w:right w:val="single" w:sz="4" w:space="0" w:color="auto"/>
            </w:tcBorders>
            <w:shd w:val="clear" w:color="auto" w:fill="auto"/>
            <w:noWrap/>
            <w:vAlign w:val="bottom"/>
            <w:hideMark/>
          </w:tcPr>
          <w:p w:rsidR="003C2331" w:rsidRPr="003C2331" w:rsidRDefault="003C2331" w:rsidP="003C2331">
            <w:pPr>
              <w:suppressAutoHyphens w:val="0"/>
              <w:ind w:firstLineChars="200" w:firstLine="360"/>
              <w:rPr>
                <w:rFonts w:cs="Arial"/>
                <w:noProof w:val="0"/>
                <w:color w:val="000000"/>
                <w:sz w:val="18"/>
                <w:szCs w:val="18"/>
                <w:lang w:eastAsia="cs-CZ"/>
              </w:rPr>
            </w:pPr>
            <w:r w:rsidRPr="003C2331">
              <w:rPr>
                <w:rFonts w:cs="Arial"/>
                <w:noProof w:val="0"/>
                <w:color w:val="000000"/>
                <w:sz w:val="18"/>
                <w:szCs w:val="18"/>
                <w:lang w:eastAsia="cs-CZ"/>
              </w:rPr>
              <w:t>5+</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1 062 656</w:t>
            </w:r>
          </w:p>
        </w:tc>
        <w:tc>
          <w:tcPr>
            <w:tcW w:w="1054"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2 810 737</w:t>
            </w:r>
          </w:p>
        </w:tc>
        <w:tc>
          <w:tcPr>
            <w:tcW w:w="117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1 411 173</w:t>
            </w:r>
          </w:p>
        </w:tc>
        <w:tc>
          <w:tcPr>
            <w:tcW w:w="95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10,5</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27,7</w:t>
            </w:r>
          </w:p>
        </w:tc>
        <w:tc>
          <w:tcPr>
            <w:tcW w:w="896" w:type="dxa"/>
            <w:tcBorders>
              <w:top w:val="nil"/>
              <w:left w:val="nil"/>
              <w:bottom w:val="nil"/>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13,9</w:t>
            </w:r>
          </w:p>
        </w:tc>
      </w:tr>
      <w:tr w:rsidR="003C2331" w:rsidRPr="003C2331" w:rsidTr="006E6AB4">
        <w:trPr>
          <w:trHeight w:val="240"/>
          <w:jc w:val="center"/>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3C2331" w:rsidRPr="003C2331" w:rsidRDefault="005A2BAA" w:rsidP="005A2BAA">
            <w:pPr>
              <w:suppressAutoHyphens w:val="0"/>
              <w:ind w:firstLineChars="200" w:firstLine="360"/>
              <w:rPr>
                <w:rFonts w:cs="Arial"/>
                <w:noProof w:val="0"/>
                <w:color w:val="000000"/>
                <w:sz w:val="18"/>
                <w:szCs w:val="18"/>
                <w:lang w:eastAsia="cs-CZ"/>
              </w:rPr>
            </w:pPr>
            <w:r>
              <w:rPr>
                <w:rFonts w:cs="Arial"/>
                <w:noProof w:val="0"/>
                <w:color w:val="000000"/>
                <w:sz w:val="18"/>
                <w:szCs w:val="18"/>
                <w:lang w:eastAsia="cs-CZ"/>
              </w:rPr>
              <w:t>n</w:t>
            </w:r>
            <w:r w:rsidR="003C2331" w:rsidRPr="003C2331">
              <w:rPr>
                <w:rFonts w:cs="Arial"/>
                <w:noProof w:val="0"/>
                <w:color w:val="000000"/>
                <w:sz w:val="18"/>
                <w:szCs w:val="18"/>
                <w:lang w:eastAsia="cs-CZ"/>
              </w:rPr>
              <w:t>ezj</w:t>
            </w:r>
            <w:r>
              <w:rPr>
                <w:rFonts w:cs="Arial"/>
                <w:noProof w:val="0"/>
                <w:color w:val="000000"/>
                <w:sz w:val="18"/>
                <w:szCs w:val="18"/>
                <w:lang w:eastAsia="cs-CZ"/>
              </w:rPr>
              <w:t>ištěno</w:t>
            </w:r>
          </w:p>
        </w:tc>
        <w:tc>
          <w:tcPr>
            <w:tcW w:w="1054" w:type="dxa"/>
            <w:tcBorders>
              <w:top w:val="nil"/>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65 525</w:t>
            </w:r>
          </w:p>
        </w:tc>
        <w:tc>
          <w:tcPr>
            <w:tcW w:w="1054" w:type="dxa"/>
            <w:tcBorders>
              <w:top w:val="nil"/>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752 420</w:t>
            </w:r>
          </w:p>
        </w:tc>
        <w:tc>
          <w:tcPr>
            <w:tcW w:w="1176" w:type="dxa"/>
            <w:tcBorders>
              <w:top w:val="nil"/>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752 420</w:t>
            </w:r>
          </w:p>
        </w:tc>
        <w:tc>
          <w:tcPr>
            <w:tcW w:w="956" w:type="dxa"/>
            <w:tcBorders>
              <w:top w:val="nil"/>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0,6</w:t>
            </w:r>
          </w:p>
        </w:tc>
        <w:tc>
          <w:tcPr>
            <w:tcW w:w="896" w:type="dxa"/>
            <w:tcBorders>
              <w:top w:val="nil"/>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right"/>
              <w:rPr>
                <w:rFonts w:cs="Arial"/>
                <w:noProof w:val="0"/>
                <w:color w:val="000000"/>
                <w:sz w:val="18"/>
                <w:szCs w:val="18"/>
                <w:lang w:eastAsia="cs-CZ"/>
              </w:rPr>
            </w:pPr>
            <w:r w:rsidRPr="003C2331">
              <w:rPr>
                <w:rFonts w:cs="Arial"/>
                <w:noProof w:val="0"/>
                <w:color w:val="000000"/>
                <w:sz w:val="18"/>
                <w:szCs w:val="18"/>
                <w:lang w:eastAsia="cs-CZ"/>
              </w:rPr>
              <w:t>7,4</w:t>
            </w:r>
          </w:p>
        </w:tc>
        <w:tc>
          <w:tcPr>
            <w:tcW w:w="896" w:type="dxa"/>
            <w:tcBorders>
              <w:top w:val="nil"/>
              <w:left w:val="nil"/>
              <w:bottom w:val="single" w:sz="4" w:space="0" w:color="auto"/>
              <w:right w:val="single" w:sz="4" w:space="0" w:color="auto"/>
            </w:tcBorders>
            <w:shd w:val="clear" w:color="auto" w:fill="auto"/>
            <w:noWrap/>
            <w:vAlign w:val="bottom"/>
            <w:hideMark/>
          </w:tcPr>
          <w:p w:rsidR="003C2331" w:rsidRPr="003C2331" w:rsidRDefault="003C2331" w:rsidP="003C2331">
            <w:pPr>
              <w:suppressAutoHyphens w:val="0"/>
              <w:jc w:val="right"/>
              <w:rPr>
                <w:rFonts w:cs="Arial"/>
                <w:i/>
                <w:iCs/>
                <w:noProof w:val="0"/>
                <w:color w:val="000000"/>
                <w:sz w:val="18"/>
                <w:szCs w:val="18"/>
                <w:lang w:eastAsia="cs-CZ"/>
              </w:rPr>
            </w:pPr>
            <w:r w:rsidRPr="003C2331">
              <w:rPr>
                <w:rFonts w:cs="Arial"/>
                <w:i/>
                <w:iCs/>
                <w:noProof w:val="0"/>
                <w:color w:val="000000"/>
                <w:sz w:val="18"/>
                <w:szCs w:val="18"/>
                <w:lang w:eastAsia="cs-CZ"/>
              </w:rPr>
              <w:t>7,4</w:t>
            </w:r>
          </w:p>
        </w:tc>
      </w:tr>
    </w:tbl>
    <w:p w:rsidR="00D72689" w:rsidRDefault="00FF5DA2" w:rsidP="00E77465">
      <w:pPr>
        <w:pStyle w:val="Nadpis1a"/>
        <w:tabs>
          <w:tab w:val="left" w:pos="3119"/>
        </w:tabs>
        <w:spacing w:line="276" w:lineRule="auto"/>
        <w:rPr>
          <w:b w:val="0"/>
          <w:i w:val="0"/>
          <w:noProof/>
          <w:sz w:val="20"/>
          <w:szCs w:val="20"/>
        </w:rPr>
      </w:pPr>
      <w:r>
        <w:rPr>
          <w:b w:val="0"/>
          <w:i w:val="0"/>
          <w:noProof/>
          <w:sz w:val="20"/>
          <w:szCs w:val="20"/>
        </w:rPr>
        <w:t>Terminologická změna  a částečně i omezená detailní srovnatelnost dat byla v </w:t>
      </w:r>
      <w:r w:rsidRPr="00112B68">
        <w:rPr>
          <w:i w:val="0"/>
          <w:noProof/>
          <w:sz w:val="20"/>
          <w:szCs w:val="20"/>
        </w:rPr>
        <w:t>typologii bytů</w:t>
      </w:r>
      <w:r>
        <w:rPr>
          <w:b w:val="0"/>
          <w:i w:val="0"/>
          <w:noProof/>
          <w:sz w:val="20"/>
          <w:szCs w:val="20"/>
        </w:rPr>
        <w:t>. Do sčítání 20</w:t>
      </w:r>
      <w:r w:rsidR="007C6E1A">
        <w:rPr>
          <w:b w:val="0"/>
          <w:i w:val="0"/>
          <w:noProof/>
          <w:sz w:val="20"/>
          <w:szCs w:val="20"/>
        </w:rPr>
        <w:t>0</w:t>
      </w:r>
      <w:r>
        <w:rPr>
          <w:b w:val="0"/>
          <w:i w:val="0"/>
          <w:noProof/>
          <w:sz w:val="20"/>
          <w:szCs w:val="20"/>
        </w:rPr>
        <w:t>1 včetně se na základě vyhodnocení vybavení bytů příslušným vytápěním a příslušenstvím odvozovaly čtyři kategorie bytu (I. - IV.) S ohledem na právní normy platné při provádění cenzu 2011 a v souladu s požadavky uživatelů dat státní správy byly v rámci výsledků sčítání 2011 zpracovány nikoliv kategorie bytu, ale základní typy bytu - byty standardní a byty se sníženou kvalitou.</w:t>
      </w:r>
    </w:p>
    <w:p w:rsidR="00B93AE1" w:rsidRPr="00B93AE1" w:rsidRDefault="00B93AE1" w:rsidP="00B93AE1">
      <w:pPr>
        <w:pStyle w:val="Normln-web"/>
      </w:pPr>
    </w:p>
    <w:tbl>
      <w:tblPr>
        <w:tblW w:w="908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2F2F2" w:themeFill="background1" w:themeFillShade="F2"/>
        <w:tblCellMar>
          <w:left w:w="70" w:type="dxa"/>
          <w:right w:w="70" w:type="dxa"/>
        </w:tblCellMar>
        <w:tblLook w:val="06A0"/>
      </w:tblPr>
      <w:tblGrid>
        <w:gridCol w:w="1908"/>
        <w:gridCol w:w="965"/>
        <w:gridCol w:w="988"/>
        <w:gridCol w:w="965"/>
        <w:gridCol w:w="989"/>
        <w:gridCol w:w="1163"/>
        <w:gridCol w:w="2107"/>
      </w:tblGrid>
      <w:tr w:rsidR="00F723B5" w:rsidRPr="003031C0" w:rsidTr="00C117FF">
        <w:trPr>
          <w:trHeight w:val="240"/>
          <w:tblCellSpacing w:w="20" w:type="dxa"/>
          <w:jc w:val="center"/>
        </w:trPr>
        <w:tc>
          <w:tcPr>
            <w:tcW w:w="9005" w:type="dxa"/>
            <w:gridSpan w:val="7"/>
            <w:shd w:val="clear" w:color="auto" w:fill="F2F2F2" w:themeFill="background1" w:themeFillShade="F2"/>
            <w:vAlign w:val="bottom"/>
            <w:hideMark/>
          </w:tcPr>
          <w:p w:rsidR="00F723B5" w:rsidRPr="003031C0" w:rsidRDefault="00263C0C" w:rsidP="00263C0C">
            <w:pPr>
              <w:suppressAutoHyphens w:val="0"/>
              <w:rPr>
                <w:rFonts w:cs="Arial"/>
                <w:bCs/>
                <w:i/>
                <w:noProof w:val="0"/>
                <w:sz w:val="18"/>
                <w:szCs w:val="18"/>
                <w:lang w:eastAsia="cs-CZ"/>
              </w:rPr>
            </w:pPr>
            <w:r w:rsidRPr="003031C0">
              <w:rPr>
                <w:rFonts w:cs="Arial"/>
                <w:bCs/>
                <w:i/>
                <w:noProof w:val="0"/>
                <w:sz w:val="18"/>
                <w:szCs w:val="18"/>
                <w:lang w:eastAsia="cs-CZ"/>
              </w:rPr>
              <w:t>Metodika porovnání kategorií a typu bytu ve s</w:t>
            </w:r>
            <w:r w:rsidR="00306C5A" w:rsidRPr="003031C0">
              <w:rPr>
                <w:rFonts w:cs="Arial"/>
                <w:bCs/>
                <w:i/>
                <w:noProof w:val="0"/>
                <w:sz w:val="18"/>
                <w:szCs w:val="18"/>
                <w:lang w:eastAsia="cs-CZ"/>
              </w:rPr>
              <w:t>čítání</w:t>
            </w:r>
            <w:r w:rsidR="00F723B5" w:rsidRPr="003031C0">
              <w:rPr>
                <w:rFonts w:cs="Arial"/>
                <w:bCs/>
                <w:i/>
                <w:noProof w:val="0"/>
                <w:sz w:val="18"/>
                <w:szCs w:val="18"/>
                <w:lang w:eastAsia="cs-CZ"/>
              </w:rPr>
              <w:t xml:space="preserve"> 2001 a 2011 </w:t>
            </w:r>
            <w:r w:rsidR="00306C5A" w:rsidRPr="003031C0">
              <w:rPr>
                <w:rFonts w:cs="Arial"/>
                <w:bCs/>
                <w:i/>
                <w:noProof w:val="0"/>
                <w:sz w:val="18"/>
                <w:szCs w:val="18"/>
                <w:lang w:eastAsia="cs-CZ"/>
              </w:rPr>
              <w:t xml:space="preserve"> </w:t>
            </w:r>
          </w:p>
        </w:tc>
      </w:tr>
      <w:tr w:rsidR="00F723B5" w:rsidRPr="003031C0" w:rsidTr="00C117FF">
        <w:trPr>
          <w:trHeight w:hRule="exact" w:val="397"/>
          <w:tblCellSpacing w:w="20" w:type="dxa"/>
          <w:jc w:val="center"/>
        </w:trPr>
        <w:tc>
          <w:tcPr>
            <w:tcW w:w="1848" w:type="dxa"/>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vytápění</w:t>
            </w:r>
          </w:p>
        </w:tc>
        <w:tc>
          <w:tcPr>
            <w:tcW w:w="1913" w:type="dxa"/>
            <w:gridSpan w:val="2"/>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splachovací záchod</w:t>
            </w:r>
          </w:p>
        </w:tc>
        <w:tc>
          <w:tcPr>
            <w:tcW w:w="1914" w:type="dxa"/>
            <w:gridSpan w:val="2"/>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koupelna, sprchový kout</w:t>
            </w:r>
          </w:p>
        </w:tc>
        <w:tc>
          <w:tcPr>
            <w:tcW w:w="1123" w:type="dxa"/>
            <w:vMerge w:val="restart"/>
            <w:shd w:val="clear" w:color="auto" w:fill="F2F2F2" w:themeFill="background1" w:themeFillShade="F2"/>
            <w:vAlign w:val="center"/>
            <w:hideMark/>
          </w:tcPr>
          <w:p w:rsidR="009306A0"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2001</w:t>
            </w:r>
            <w:r w:rsidRPr="003031C0">
              <w:rPr>
                <w:rFonts w:cs="Arial"/>
                <w:bCs/>
                <w:i/>
                <w:noProof w:val="0"/>
                <w:sz w:val="16"/>
                <w:szCs w:val="16"/>
                <w:lang w:eastAsia="cs-CZ"/>
              </w:rPr>
              <w:br/>
            </w:r>
          </w:p>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kategorie</w:t>
            </w:r>
            <w:r w:rsidRPr="003031C0">
              <w:rPr>
                <w:rFonts w:cs="Arial"/>
                <w:bCs/>
                <w:i/>
                <w:noProof w:val="0"/>
                <w:sz w:val="16"/>
                <w:szCs w:val="16"/>
                <w:lang w:eastAsia="cs-CZ"/>
              </w:rPr>
              <w:br/>
              <w:t>bytu</w:t>
            </w:r>
          </w:p>
        </w:tc>
        <w:tc>
          <w:tcPr>
            <w:tcW w:w="2047" w:type="dxa"/>
            <w:vMerge w:val="restart"/>
            <w:shd w:val="clear" w:color="auto" w:fill="F2F2F2" w:themeFill="background1" w:themeFillShade="F2"/>
            <w:vAlign w:val="center"/>
            <w:hideMark/>
          </w:tcPr>
          <w:p w:rsidR="009306A0"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2011</w:t>
            </w:r>
            <w:r w:rsidRPr="003031C0">
              <w:rPr>
                <w:rFonts w:cs="Arial"/>
                <w:bCs/>
                <w:i/>
                <w:noProof w:val="0"/>
                <w:sz w:val="16"/>
                <w:szCs w:val="16"/>
                <w:lang w:eastAsia="cs-CZ"/>
              </w:rPr>
              <w:br/>
            </w:r>
          </w:p>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typ bytu</w:t>
            </w:r>
            <w:r w:rsidRPr="003031C0">
              <w:rPr>
                <w:rFonts w:cs="Arial"/>
                <w:bCs/>
                <w:i/>
                <w:noProof w:val="0"/>
                <w:sz w:val="16"/>
                <w:szCs w:val="16"/>
                <w:lang w:eastAsia="cs-CZ"/>
              </w:rPr>
              <w:br/>
              <w:t xml:space="preserve"> </w:t>
            </w:r>
          </w:p>
        </w:tc>
      </w:tr>
      <w:tr w:rsidR="00F723B5" w:rsidRPr="003031C0" w:rsidTr="00C117FF">
        <w:trPr>
          <w:trHeight w:hRule="exact" w:val="680"/>
          <w:tblCellSpacing w:w="20" w:type="dxa"/>
          <w:jc w:val="center"/>
        </w:trPr>
        <w:tc>
          <w:tcPr>
            <w:tcW w:w="1848" w:type="dxa"/>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ústřední nebo elektrické, plynové etážové vč. kamen</w:t>
            </w:r>
          </w:p>
        </w:tc>
        <w:tc>
          <w:tcPr>
            <w:tcW w:w="925" w:type="dxa"/>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vlastní</w:t>
            </w:r>
          </w:p>
        </w:tc>
        <w:tc>
          <w:tcPr>
            <w:tcW w:w="948" w:type="dxa"/>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společný/</w:t>
            </w:r>
            <w:r w:rsidRPr="003031C0">
              <w:rPr>
                <w:rFonts w:cs="Arial"/>
                <w:i/>
                <w:noProof w:val="0"/>
                <w:sz w:val="16"/>
                <w:szCs w:val="16"/>
                <w:lang w:eastAsia="cs-CZ"/>
              </w:rPr>
              <w:br/>
              <w:t>žádný</w:t>
            </w:r>
          </w:p>
        </w:tc>
        <w:tc>
          <w:tcPr>
            <w:tcW w:w="925" w:type="dxa"/>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vlastní</w:t>
            </w:r>
          </w:p>
        </w:tc>
        <w:tc>
          <w:tcPr>
            <w:tcW w:w="949" w:type="dxa"/>
            <w:shd w:val="clear" w:color="auto" w:fill="F2F2F2" w:themeFill="background1" w:themeFillShade="F2"/>
            <w:vAlign w:val="center"/>
            <w:hideMark/>
          </w:tcPr>
          <w:p w:rsidR="00F723B5" w:rsidRPr="003031C0" w:rsidRDefault="00F723B5" w:rsidP="00E80801">
            <w:pPr>
              <w:suppressAutoHyphens w:val="0"/>
              <w:jc w:val="center"/>
              <w:rPr>
                <w:rFonts w:cs="Arial"/>
                <w:i/>
                <w:noProof w:val="0"/>
                <w:sz w:val="16"/>
                <w:szCs w:val="16"/>
                <w:lang w:eastAsia="cs-CZ"/>
              </w:rPr>
            </w:pPr>
            <w:r w:rsidRPr="003031C0">
              <w:rPr>
                <w:rFonts w:cs="Arial"/>
                <w:i/>
                <w:noProof w:val="0"/>
                <w:sz w:val="16"/>
                <w:szCs w:val="16"/>
                <w:lang w:eastAsia="cs-CZ"/>
              </w:rPr>
              <w:t>společná/</w:t>
            </w:r>
            <w:r w:rsidRPr="003031C0">
              <w:rPr>
                <w:rFonts w:cs="Arial"/>
                <w:i/>
                <w:noProof w:val="0"/>
                <w:sz w:val="16"/>
                <w:szCs w:val="16"/>
                <w:lang w:eastAsia="cs-CZ"/>
              </w:rPr>
              <w:br/>
              <w:t>žádná</w:t>
            </w:r>
          </w:p>
        </w:tc>
        <w:tc>
          <w:tcPr>
            <w:tcW w:w="1123" w:type="dxa"/>
            <w:vMerge/>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p>
        </w:tc>
        <w:tc>
          <w:tcPr>
            <w:tcW w:w="2047" w:type="dxa"/>
            <w:vMerge/>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p>
        </w:tc>
      </w:tr>
      <w:tr w:rsidR="00F723B5" w:rsidRPr="003031C0" w:rsidTr="00C117FF">
        <w:trPr>
          <w:trHeight w:hRule="exact" w:val="255"/>
          <w:tblCellSpacing w:w="20" w:type="dxa"/>
          <w:jc w:val="center"/>
        </w:trPr>
        <w:tc>
          <w:tcPr>
            <w:tcW w:w="18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9"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w:t>
            </w:r>
          </w:p>
        </w:tc>
        <w:tc>
          <w:tcPr>
            <w:tcW w:w="2047" w:type="dxa"/>
            <w:vMerge w:val="restart"/>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r w:rsidRPr="003031C0">
              <w:rPr>
                <w:rFonts w:cs="Arial"/>
                <w:bCs/>
                <w:i/>
                <w:noProof w:val="0"/>
                <w:sz w:val="16"/>
                <w:szCs w:val="16"/>
                <w:lang w:eastAsia="cs-CZ"/>
              </w:rPr>
              <w:t>standardní byt</w:t>
            </w:r>
          </w:p>
        </w:tc>
      </w:tr>
      <w:tr w:rsidR="00F723B5" w:rsidRPr="003031C0" w:rsidTr="00C117FF">
        <w:trPr>
          <w:trHeight w:hRule="exact" w:val="255"/>
          <w:tblCellSpacing w:w="20" w:type="dxa"/>
          <w:jc w:val="center"/>
        </w:trPr>
        <w:tc>
          <w:tcPr>
            <w:tcW w:w="18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9"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II.</w:t>
            </w:r>
          </w:p>
        </w:tc>
        <w:tc>
          <w:tcPr>
            <w:tcW w:w="2047" w:type="dxa"/>
            <w:vMerge/>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p>
        </w:tc>
      </w:tr>
      <w:tr w:rsidR="00F723B5" w:rsidRPr="003031C0" w:rsidTr="00C117FF">
        <w:trPr>
          <w:trHeight w:hRule="exact" w:val="255"/>
          <w:tblCellSpacing w:w="20" w:type="dxa"/>
          <w:jc w:val="center"/>
        </w:trPr>
        <w:tc>
          <w:tcPr>
            <w:tcW w:w="18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9"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II.</w:t>
            </w:r>
          </w:p>
        </w:tc>
        <w:tc>
          <w:tcPr>
            <w:tcW w:w="2047" w:type="dxa"/>
            <w:vMerge/>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p>
        </w:tc>
      </w:tr>
      <w:tr w:rsidR="00F723B5" w:rsidRPr="003031C0" w:rsidTr="00C117FF">
        <w:trPr>
          <w:trHeight w:hRule="exact" w:val="255"/>
          <w:tblCellSpacing w:w="20" w:type="dxa"/>
          <w:jc w:val="center"/>
        </w:trPr>
        <w:tc>
          <w:tcPr>
            <w:tcW w:w="1848" w:type="dxa"/>
            <w:shd w:val="clear" w:color="auto" w:fill="F2F2F2" w:themeFill="background1" w:themeFillShade="F2"/>
            <w:vAlign w:val="center"/>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center"/>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8" w:type="dxa"/>
            <w:shd w:val="clear" w:color="auto" w:fill="F2F2F2" w:themeFill="background1" w:themeFillShade="F2"/>
            <w:vAlign w:val="center"/>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center"/>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9" w:type="dxa"/>
            <w:shd w:val="clear" w:color="auto" w:fill="F2F2F2" w:themeFill="background1" w:themeFillShade="F2"/>
            <w:vAlign w:val="center"/>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III.</w:t>
            </w:r>
          </w:p>
        </w:tc>
        <w:tc>
          <w:tcPr>
            <w:tcW w:w="2047" w:type="dxa"/>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r w:rsidRPr="003031C0">
              <w:rPr>
                <w:rFonts w:cs="Arial"/>
                <w:bCs/>
                <w:i/>
                <w:noProof w:val="0"/>
                <w:sz w:val="16"/>
                <w:szCs w:val="16"/>
                <w:lang w:eastAsia="cs-CZ"/>
              </w:rPr>
              <w:t>byt se sníženou kvalitou</w:t>
            </w:r>
          </w:p>
        </w:tc>
      </w:tr>
      <w:tr w:rsidR="00F723B5" w:rsidRPr="003031C0" w:rsidTr="00C117FF">
        <w:trPr>
          <w:trHeight w:hRule="exact" w:val="255"/>
          <w:tblCellSpacing w:w="20" w:type="dxa"/>
          <w:jc w:val="center"/>
        </w:trPr>
        <w:tc>
          <w:tcPr>
            <w:tcW w:w="18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9"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II.</w:t>
            </w:r>
          </w:p>
        </w:tc>
        <w:tc>
          <w:tcPr>
            <w:tcW w:w="2047" w:type="dxa"/>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r w:rsidRPr="003031C0">
              <w:rPr>
                <w:rFonts w:cs="Arial"/>
                <w:bCs/>
                <w:i/>
                <w:noProof w:val="0"/>
                <w:sz w:val="16"/>
                <w:szCs w:val="16"/>
                <w:lang w:eastAsia="cs-CZ"/>
              </w:rPr>
              <w:t>standardní byt</w:t>
            </w:r>
          </w:p>
        </w:tc>
      </w:tr>
      <w:tr w:rsidR="00F723B5" w:rsidRPr="003031C0" w:rsidTr="00C117FF">
        <w:trPr>
          <w:trHeight w:hRule="exact" w:val="255"/>
          <w:tblCellSpacing w:w="20" w:type="dxa"/>
          <w:jc w:val="center"/>
        </w:trPr>
        <w:tc>
          <w:tcPr>
            <w:tcW w:w="18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9"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III.</w:t>
            </w:r>
          </w:p>
        </w:tc>
        <w:tc>
          <w:tcPr>
            <w:tcW w:w="2047" w:type="dxa"/>
            <w:vMerge w:val="restart"/>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r w:rsidRPr="003031C0">
              <w:rPr>
                <w:rFonts w:cs="Arial"/>
                <w:bCs/>
                <w:i/>
                <w:noProof w:val="0"/>
                <w:sz w:val="16"/>
                <w:szCs w:val="16"/>
                <w:lang w:eastAsia="cs-CZ"/>
              </w:rPr>
              <w:t>byt se sníženou kvalitou</w:t>
            </w:r>
          </w:p>
        </w:tc>
      </w:tr>
      <w:tr w:rsidR="00F723B5" w:rsidRPr="003031C0" w:rsidTr="00C117FF">
        <w:trPr>
          <w:trHeight w:hRule="exact" w:val="255"/>
          <w:tblCellSpacing w:w="20" w:type="dxa"/>
          <w:jc w:val="center"/>
        </w:trPr>
        <w:tc>
          <w:tcPr>
            <w:tcW w:w="18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49"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III.</w:t>
            </w:r>
          </w:p>
        </w:tc>
        <w:tc>
          <w:tcPr>
            <w:tcW w:w="2047" w:type="dxa"/>
            <w:vMerge/>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p>
        </w:tc>
      </w:tr>
      <w:tr w:rsidR="00F723B5" w:rsidRPr="003031C0" w:rsidTr="00C117FF">
        <w:trPr>
          <w:trHeight w:hRule="exact" w:val="255"/>
          <w:tblCellSpacing w:w="20" w:type="dxa"/>
          <w:jc w:val="center"/>
        </w:trPr>
        <w:tc>
          <w:tcPr>
            <w:tcW w:w="18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8"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925"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 xml:space="preserve"> -</w:t>
            </w:r>
          </w:p>
        </w:tc>
        <w:tc>
          <w:tcPr>
            <w:tcW w:w="949" w:type="dxa"/>
            <w:shd w:val="clear" w:color="auto" w:fill="F2F2F2" w:themeFill="background1" w:themeFillShade="F2"/>
            <w:vAlign w:val="bottom"/>
            <w:hideMark/>
          </w:tcPr>
          <w:p w:rsidR="00F723B5" w:rsidRPr="003031C0" w:rsidRDefault="00F723B5" w:rsidP="00F723B5">
            <w:pPr>
              <w:suppressAutoHyphens w:val="0"/>
              <w:jc w:val="center"/>
              <w:rPr>
                <w:rFonts w:cs="Arial"/>
                <w:i/>
                <w:noProof w:val="0"/>
                <w:sz w:val="16"/>
                <w:szCs w:val="16"/>
                <w:lang w:eastAsia="cs-CZ"/>
              </w:rPr>
            </w:pPr>
            <w:r w:rsidRPr="003031C0">
              <w:rPr>
                <w:rFonts w:cs="Arial"/>
                <w:i/>
                <w:noProof w:val="0"/>
                <w:sz w:val="16"/>
                <w:szCs w:val="16"/>
                <w:lang w:eastAsia="cs-CZ"/>
              </w:rPr>
              <w:t>ano</w:t>
            </w:r>
          </w:p>
        </w:tc>
        <w:tc>
          <w:tcPr>
            <w:tcW w:w="1123" w:type="dxa"/>
            <w:shd w:val="clear" w:color="auto" w:fill="F2F2F2" w:themeFill="background1" w:themeFillShade="F2"/>
            <w:vAlign w:val="center"/>
            <w:hideMark/>
          </w:tcPr>
          <w:p w:rsidR="00F723B5" w:rsidRPr="003031C0" w:rsidRDefault="00F723B5" w:rsidP="00F723B5">
            <w:pPr>
              <w:suppressAutoHyphens w:val="0"/>
              <w:jc w:val="center"/>
              <w:rPr>
                <w:rFonts w:cs="Arial"/>
                <w:bCs/>
                <w:i/>
                <w:noProof w:val="0"/>
                <w:sz w:val="16"/>
                <w:szCs w:val="16"/>
                <w:lang w:eastAsia="cs-CZ"/>
              </w:rPr>
            </w:pPr>
            <w:r w:rsidRPr="003031C0">
              <w:rPr>
                <w:rFonts w:cs="Arial"/>
                <w:bCs/>
                <w:i/>
                <w:noProof w:val="0"/>
                <w:sz w:val="16"/>
                <w:szCs w:val="16"/>
                <w:lang w:eastAsia="cs-CZ"/>
              </w:rPr>
              <w:t>IV.</w:t>
            </w:r>
          </w:p>
        </w:tc>
        <w:tc>
          <w:tcPr>
            <w:tcW w:w="2047" w:type="dxa"/>
            <w:vMerge/>
            <w:shd w:val="clear" w:color="auto" w:fill="F2F2F2" w:themeFill="background1" w:themeFillShade="F2"/>
            <w:vAlign w:val="center"/>
            <w:hideMark/>
          </w:tcPr>
          <w:p w:rsidR="00F723B5" w:rsidRPr="003031C0" w:rsidRDefault="00F723B5" w:rsidP="00F723B5">
            <w:pPr>
              <w:suppressAutoHyphens w:val="0"/>
              <w:rPr>
                <w:rFonts w:cs="Arial"/>
                <w:bCs/>
                <w:i/>
                <w:noProof w:val="0"/>
                <w:sz w:val="16"/>
                <w:szCs w:val="16"/>
                <w:lang w:eastAsia="cs-CZ"/>
              </w:rPr>
            </w:pPr>
          </w:p>
        </w:tc>
      </w:tr>
    </w:tbl>
    <w:p w:rsidR="00E74EC8" w:rsidRDefault="00E74EC8" w:rsidP="0087228E">
      <w:pPr>
        <w:pStyle w:val="Normln-web"/>
        <w:rPr>
          <w:sz w:val="20"/>
          <w:szCs w:val="20"/>
        </w:rPr>
      </w:pPr>
    </w:p>
    <w:p w:rsidR="00B93AE1" w:rsidRDefault="00E77465" w:rsidP="00B93AE1">
      <w:pPr>
        <w:pStyle w:val="Nadpis1a"/>
        <w:tabs>
          <w:tab w:val="left" w:pos="3119"/>
        </w:tabs>
        <w:spacing w:before="0" w:after="0" w:line="276" w:lineRule="auto"/>
        <w:rPr>
          <w:b w:val="0"/>
          <w:i w:val="0"/>
          <w:noProof/>
          <w:sz w:val="20"/>
          <w:szCs w:val="20"/>
        </w:rPr>
      </w:pPr>
      <w:r>
        <w:rPr>
          <w:b w:val="0"/>
          <w:i w:val="0"/>
          <w:noProof/>
          <w:sz w:val="20"/>
          <w:szCs w:val="20"/>
        </w:rPr>
        <w:lastRenderedPageBreak/>
        <w:t>Pro umožnění srovnatelnosti s předchozími sčítáními byly byty standardní zpracovány a publikovány ještě v detailnějším členění podle vytápění a příslušenství, což umožňuje srovnatelnost bývalých I. a II. kategorie bytu. Byty se sníženou kvalitou jsou srovnatelné s agregací bývalých kategorií III. a IV. Vzhledem k malé váze těchto nejméně kvalitních bytů ale menší detail výstupů neznamená významnou ztrátu informací.</w:t>
      </w:r>
    </w:p>
    <w:p w:rsidR="00C117FF" w:rsidRDefault="00C117FF" w:rsidP="00B93AE1">
      <w:pPr>
        <w:pStyle w:val="Normln-web"/>
        <w:spacing w:before="0" w:line="276" w:lineRule="auto"/>
        <w:rPr>
          <w:sz w:val="20"/>
          <w:szCs w:val="20"/>
        </w:rPr>
      </w:pPr>
    </w:p>
    <w:p w:rsidR="00DF5A71" w:rsidRDefault="00E74EC8" w:rsidP="00B93AE1">
      <w:pPr>
        <w:pStyle w:val="Normln-web"/>
        <w:spacing w:before="0" w:line="276" w:lineRule="auto"/>
        <w:rPr>
          <w:sz w:val="20"/>
          <w:szCs w:val="20"/>
        </w:rPr>
      </w:pPr>
      <w:r w:rsidRPr="00E74EC8">
        <w:rPr>
          <w:sz w:val="20"/>
          <w:szCs w:val="20"/>
        </w:rPr>
        <w:t>Počet obyvatel bydlících  ve standardních bytech</w:t>
      </w:r>
      <w:r w:rsidR="00E17DA6">
        <w:rPr>
          <w:sz w:val="20"/>
          <w:szCs w:val="20"/>
        </w:rPr>
        <w:t xml:space="preserve"> v roce 2011 činil 9,1 mil. osob, což představovalo 90 % osob bydlících v bytech. V porovnání s výsledky sčítání 2001 příp. 1991 jsou hodnoty nižší. Neznamená to ale, že by se reálně kvalita bydlení v bytech snížila. Ukazatel typu bytu byl totiž v rámci zpracování významně ovlivněn nezjištěnými hodnotami u příslušenství bytu. </w:t>
      </w:r>
      <w:r w:rsidR="00336D49">
        <w:rPr>
          <w:sz w:val="20"/>
          <w:szCs w:val="20"/>
        </w:rPr>
        <w:t>Nezjištěnou koupelnu mělo 598 tisíc osob bydlících v bytech, nezjištěný záchod 591 tisíc</w:t>
      </w:r>
      <w:r w:rsidR="00563BB4">
        <w:rPr>
          <w:sz w:val="20"/>
          <w:szCs w:val="20"/>
        </w:rPr>
        <w:t>;</w:t>
      </w:r>
      <w:r w:rsidR="00336D49">
        <w:rPr>
          <w:sz w:val="20"/>
          <w:szCs w:val="20"/>
        </w:rPr>
        <w:t xml:space="preserve"> nezjištěné příslušenství celkem (obě položky současně) </w:t>
      </w:r>
      <w:r w:rsidR="009306A0">
        <w:rPr>
          <w:sz w:val="20"/>
          <w:szCs w:val="20"/>
        </w:rPr>
        <w:t xml:space="preserve">bylo u </w:t>
      </w:r>
      <w:r w:rsidR="00336D49">
        <w:rPr>
          <w:sz w:val="20"/>
          <w:szCs w:val="20"/>
        </w:rPr>
        <w:t xml:space="preserve">více než 579 tisíc osob. </w:t>
      </w:r>
      <w:r w:rsidR="00F5229C">
        <w:rPr>
          <w:sz w:val="20"/>
          <w:szCs w:val="20"/>
        </w:rPr>
        <w:t>Téměř 225 tisíc osob bydlelo v bytech, kde nebyl zjištěn způsob vytápění a typ bytu zůstal proto nezjištěný.</w:t>
      </w:r>
      <w:r w:rsidR="00754193">
        <w:rPr>
          <w:sz w:val="20"/>
          <w:szCs w:val="20"/>
        </w:rPr>
        <w:t xml:space="preserve"> Proces</w:t>
      </w:r>
      <w:r w:rsidR="00336D49">
        <w:rPr>
          <w:sz w:val="20"/>
          <w:szCs w:val="20"/>
        </w:rPr>
        <w:t xml:space="preserve"> zpracování s maximální mírou automatických procesů umožňoval korekci chybějících údajů </w:t>
      </w:r>
      <w:r w:rsidR="00754193">
        <w:rPr>
          <w:sz w:val="20"/>
          <w:szCs w:val="20"/>
        </w:rPr>
        <w:t xml:space="preserve">pouze </w:t>
      </w:r>
      <w:r w:rsidR="00336D49">
        <w:rPr>
          <w:sz w:val="20"/>
          <w:szCs w:val="20"/>
        </w:rPr>
        <w:t xml:space="preserve">v případě doplnění údajů z domu na byt, což byl např. případ ústředního topení s kotelnou v domě nebo s kotelnou mimo dům. </w:t>
      </w:r>
      <w:r w:rsidR="00563BB4">
        <w:rPr>
          <w:sz w:val="20"/>
          <w:szCs w:val="20"/>
        </w:rPr>
        <w:t xml:space="preserve">Chybějící </w:t>
      </w:r>
      <w:r w:rsidR="00336D49">
        <w:rPr>
          <w:sz w:val="20"/>
          <w:szCs w:val="20"/>
        </w:rPr>
        <w:t xml:space="preserve">informace o příslušenství bytu spolu s informací o ústředním topení potom byly </w:t>
      </w:r>
      <w:r w:rsidR="009306A0">
        <w:rPr>
          <w:sz w:val="20"/>
          <w:szCs w:val="20"/>
        </w:rPr>
        <w:t>vyhodnoceny</w:t>
      </w:r>
      <w:r w:rsidR="00336D49">
        <w:rPr>
          <w:sz w:val="20"/>
          <w:szCs w:val="20"/>
        </w:rPr>
        <w:t xml:space="preserve"> jako </w:t>
      </w:r>
      <w:r w:rsidR="009E029E">
        <w:rPr>
          <w:sz w:val="20"/>
          <w:szCs w:val="20"/>
        </w:rPr>
        <w:t xml:space="preserve">nedostatečné vybavení bytu </w:t>
      </w:r>
      <w:r w:rsidR="00754193">
        <w:rPr>
          <w:sz w:val="20"/>
          <w:szCs w:val="20"/>
        </w:rPr>
        <w:t xml:space="preserve">(protože způsob vytápění byl pro určení typu bytu zásadní) </w:t>
      </w:r>
      <w:r w:rsidR="009E029E">
        <w:rPr>
          <w:sz w:val="20"/>
          <w:szCs w:val="20"/>
        </w:rPr>
        <w:t xml:space="preserve">a vyústily do </w:t>
      </w:r>
      <w:r w:rsidR="00754193">
        <w:rPr>
          <w:sz w:val="20"/>
          <w:szCs w:val="20"/>
        </w:rPr>
        <w:t xml:space="preserve">stanovení </w:t>
      </w:r>
      <w:r w:rsidR="000C6FA3">
        <w:rPr>
          <w:sz w:val="20"/>
          <w:szCs w:val="20"/>
        </w:rPr>
        <w:t>bytu se sníženou kvalitou</w:t>
      </w:r>
      <w:r w:rsidR="00280C69">
        <w:rPr>
          <w:sz w:val="20"/>
          <w:szCs w:val="20"/>
        </w:rPr>
        <w:t>. P</w:t>
      </w:r>
      <w:r w:rsidR="00355BF6">
        <w:rPr>
          <w:sz w:val="20"/>
          <w:szCs w:val="20"/>
        </w:rPr>
        <w:t xml:space="preserve">odle </w:t>
      </w:r>
      <w:r w:rsidR="00280C69">
        <w:rPr>
          <w:sz w:val="20"/>
          <w:szCs w:val="20"/>
        </w:rPr>
        <w:t xml:space="preserve">informace o existenci </w:t>
      </w:r>
      <w:r w:rsidR="00355BF6">
        <w:rPr>
          <w:sz w:val="20"/>
          <w:szCs w:val="20"/>
        </w:rPr>
        <w:t xml:space="preserve">ústředního topení </w:t>
      </w:r>
      <w:r w:rsidR="0039015A">
        <w:rPr>
          <w:sz w:val="20"/>
          <w:szCs w:val="20"/>
        </w:rPr>
        <w:t xml:space="preserve">byly ale </w:t>
      </w:r>
      <w:r w:rsidR="00355BF6">
        <w:rPr>
          <w:sz w:val="20"/>
          <w:szCs w:val="20"/>
        </w:rPr>
        <w:t xml:space="preserve">pravděpodobně </w:t>
      </w:r>
      <w:r w:rsidR="0039015A">
        <w:rPr>
          <w:sz w:val="20"/>
          <w:szCs w:val="20"/>
        </w:rPr>
        <w:t xml:space="preserve">i tyto byty </w:t>
      </w:r>
      <w:r w:rsidR="00355BF6">
        <w:rPr>
          <w:sz w:val="20"/>
          <w:szCs w:val="20"/>
        </w:rPr>
        <w:t>standardně vybavené</w:t>
      </w:r>
      <w:r w:rsidR="00280C69">
        <w:rPr>
          <w:sz w:val="20"/>
          <w:szCs w:val="20"/>
        </w:rPr>
        <w:t xml:space="preserve">, protože kombinace ústředního topení a </w:t>
      </w:r>
      <w:r w:rsidR="0039015A">
        <w:rPr>
          <w:sz w:val="20"/>
          <w:szCs w:val="20"/>
        </w:rPr>
        <w:t>úplného příslušenství</w:t>
      </w:r>
      <w:r w:rsidR="00280C69">
        <w:rPr>
          <w:sz w:val="20"/>
          <w:szCs w:val="20"/>
        </w:rPr>
        <w:t xml:space="preserve"> bytů je nejčastější</w:t>
      </w:r>
      <w:r w:rsidR="00355BF6">
        <w:rPr>
          <w:sz w:val="20"/>
          <w:szCs w:val="20"/>
        </w:rPr>
        <w:t>.</w:t>
      </w:r>
      <w:r w:rsidR="00280C69">
        <w:rPr>
          <w:sz w:val="20"/>
          <w:szCs w:val="20"/>
        </w:rPr>
        <w:t xml:space="preserve"> </w:t>
      </w:r>
      <w:r w:rsidR="000C6FA3">
        <w:rPr>
          <w:sz w:val="20"/>
          <w:szCs w:val="20"/>
        </w:rPr>
        <w:t xml:space="preserve"> </w:t>
      </w:r>
      <w:r w:rsidR="00355BF6">
        <w:rPr>
          <w:sz w:val="20"/>
          <w:szCs w:val="20"/>
        </w:rPr>
        <w:t>Ani v</w:t>
      </w:r>
      <w:r w:rsidR="00563BB4">
        <w:rPr>
          <w:sz w:val="20"/>
          <w:szCs w:val="20"/>
        </w:rPr>
        <w:t xml:space="preserve">zhledem k absolutním hodnotám z roku 2001 a rozsahu nové výstavby resp. rekonstrukcí domů a tedy i bytů, nelze předpokládat, že by se počet bytů s neúplným nebo chybějícícm příslušenstvím zvyšoval. </w:t>
      </w:r>
      <w:r w:rsidR="000C6FA3">
        <w:rPr>
          <w:sz w:val="20"/>
          <w:szCs w:val="20"/>
        </w:rPr>
        <w:t>Z těchto důvodů lze odhadnout, že počty standardních bytů jsou podhodnoceny a počty bytů se sníženou kvalitou nadhodnoceny</w:t>
      </w:r>
      <w:r w:rsidR="0060050E">
        <w:rPr>
          <w:sz w:val="20"/>
          <w:szCs w:val="20"/>
        </w:rPr>
        <w:t xml:space="preserve">. </w:t>
      </w:r>
      <w:r w:rsidR="00355BF6">
        <w:rPr>
          <w:sz w:val="20"/>
          <w:szCs w:val="20"/>
        </w:rPr>
        <w:t>Z výpočtu tohoto nad(pod)hodnocení vyplývá, že</w:t>
      </w:r>
      <w:r w:rsidR="00566545">
        <w:rPr>
          <w:sz w:val="20"/>
          <w:szCs w:val="20"/>
        </w:rPr>
        <w:t xml:space="preserve"> cca</w:t>
      </w:r>
      <w:r w:rsidR="00355BF6">
        <w:rPr>
          <w:sz w:val="20"/>
          <w:szCs w:val="20"/>
        </w:rPr>
        <w:t xml:space="preserve"> 3,</w:t>
      </w:r>
      <w:r w:rsidR="00566545">
        <w:rPr>
          <w:sz w:val="20"/>
          <w:szCs w:val="20"/>
        </w:rPr>
        <w:t>7</w:t>
      </w:r>
      <w:r w:rsidR="00355BF6">
        <w:rPr>
          <w:sz w:val="20"/>
          <w:szCs w:val="20"/>
        </w:rPr>
        <w:t xml:space="preserve"> procentního bodu by </w:t>
      </w:r>
      <w:r w:rsidR="009306A0">
        <w:rPr>
          <w:sz w:val="20"/>
          <w:szCs w:val="20"/>
        </w:rPr>
        <w:t>se mohlo přesunout mezi byty standardními a byty se sníženou kvalitou</w:t>
      </w:r>
      <w:r w:rsidR="0039015A">
        <w:rPr>
          <w:sz w:val="20"/>
          <w:szCs w:val="20"/>
        </w:rPr>
        <w:t>.</w:t>
      </w:r>
      <w:r w:rsidR="00355BF6">
        <w:rPr>
          <w:sz w:val="20"/>
          <w:szCs w:val="20"/>
        </w:rPr>
        <w:t xml:space="preserve"> </w:t>
      </w:r>
      <w:r w:rsidR="003B29E3">
        <w:rPr>
          <w:sz w:val="20"/>
          <w:szCs w:val="20"/>
        </w:rPr>
        <w:t>V</w:t>
      </w:r>
      <w:r w:rsidR="00355BF6">
        <w:rPr>
          <w:sz w:val="20"/>
          <w:szCs w:val="20"/>
        </w:rPr>
        <w:t xml:space="preserve">ývoj počtu osob v bytech podle jejich typu (kategorie) </w:t>
      </w:r>
      <w:r w:rsidR="003B29E3">
        <w:rPr>
          <w:sz w:val="20"/>
          <w:szCs w:val="20"/>
        </w:rPr>
        <w:t>je možné</w:t>
      </w:r>
      <w:r w:rsidR="00355BF6">
        <w:rPr>
          <w:sz w:val="20"/>
          <w:szCs w:val="20"/>
        </w:rPr>
        <w:t xml:space="preserve"> i v období 2001 - 2011 hodnotit jako pozi</w:t>
      </w:r>
      <w:r w:rsidR="009306A0">
        <w:rPr>
          <w:sz w:val="20"/>
          <w:szCs w:val="20"/>
        </w:rPr>
        <w:t>ti</w:t>
      </w:r>
      <w:r w:rsidR="00355BF6">
        <w:rPr>
          <w:sz w:val="20"/>
          <w:szCs w:val="20"/>
        </w:rPr>
        <w:t>vní trend zlepšení kvality bydlení.</w:t>
      </w:r>
    </w:p>
    <w:p w:rsidR="00B93AE1" w:rsidRDefault="00B93AE1" w:rsidP="00B93AE1">
      <w:pPr>
        <w:pStyle w:val="Normln-web"/>
        <w:spacing w:before="0" w:line="276" w:lineRule="auto"/>
        <w:rPr>
          <w:sz w:val="20"/>
          <w:szCs w:val="20"/>
        </w:rPr>
      </w:pPr>
    </w:p>
    <w:tbl>
      <w:tblPr>
        <w:tblW w:w="9325" w:type="dxa"/>
        <w:tblInd w:w="55" w:type="dxa"/>
        <w:tblCellMar>
          <w:left w:w="70" w:type="dxa"/>
          <w:right w:w="70" w:type="dxa"/>
        </w:tblCellMar>
        <w:tblLook w:val="04A0"/>
      </w:tblPr>
      <w:tblGrid>
        <w:gridCol w:w="4126"/>
        <w:gridCol w:w="750"/>
        <w:gridCol w:w="384"/>
        <w:gridCol w:w="591"/>
        <w:gridCol w:w="864"/>
        <w:gridCol w:w="270"/>
        <w:gridCol w:w="591"/>
        <w:gridCol w:w="1027"/>
        <w:gridCol w:w="107"/>
        <w:gridCol w:w="615"/>
      </w:tblGrid>
      <w:tr w:rsidR="00593406" w:rsidRPr="00DF5A71" w:rsidTr="00930C18">
        <w:trPr>
          <w:trHeight w:val="360"/>
        </w:trPr>
        <w:tc>
          <w:tcPr>
            <w:tcW w:w="9325" w:type="dxa"/>
            <w:gridSpan w:val="10"/>
            <w:tcBorders>
              <w:top w:val="nil"/>
              <w:left w:val="nil"/>
              <w:bottom w:val="nil"/>
              <w:right w:val="nil"/>
            </w:tcBorders>
            <w:shd w:val="clear" w:color="auto" w:fill="auto"/>
            <w:noWrap/>
            <w:vAlign w:val="bottom"/>
            <w:hideMark/>
          </w:tcPr>
          <w:p w:rsidR="00593406" w:rsidRPr="00E06791" w:rsidRDefault="00760C72" w:rsidP="00B93AE1">
            <w:pPr>
              <w:keepNext/>
              <w:keepLines/>
              <w:suppressAutoHyphens w:val="0"/>
              <w:rPr>
                <w:rFonts w:cs="Arial"/>
                <w:b/>
                <w:noProof w:val="0"/>
                <w:color w:val="000000"/>
                <w:sz w:val="20"/>
                <w:szCs w:val="20"/>
                <w:lang w:eastAsia="cs-CZ"/>
              </w:rPr>
            </w:pPr>
            <w:r>
              <w:rPr>
                <w:rFonts w:cs="Arial"/>
                <w:b/>
                <w:bCs/>
                <w:sz w:val="20"/>
                <w:szCs w:val="20"/>
              </w:rPr>
              <w:t xml:space="preserve">Tab. č. 9 </w:t>
            </w:r>
            <w:r w:rsidR="00593406" w:rsidRPr="00E06791">
              <w:rPr>
                <w:rFonts w:cs="Arial"/>
                <w:b/>
                <w:noProof w:val="0"/>
                <w:color w:val="000000"/>
                <w:sz w:val="20"/>
                <w:szCs w:val="20"/>
                <w:lang w:eastAsia="cs-CZ"/>
              </w:rPr>
              <w:t>Osoby v bytech podle druhu domu a typu bytu v letech 1991 - 2011</w:t>
            </w:r>
          </w:p>
        </w:tc>
      </w:tr>
      <w:tr w:rsidR="00DF5A71" w:rsidRPr="00DF5A71" w:rsidTr="00AB094A">
        <w:trPr>
          <w:trHeight w:val="105"/>
        </w:trPr>
        <w:tc>
          <w:tcPr>
            <w:tcW w:w="4126" w:type="dxa"/>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750" w:type="dxa"/>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975" w:type="dxa"/>
            <w:gridSpan w:val="2"/>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864" w:type="dxa"/>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861" w:type="dxa"/>
            <w:gridSpan w:val="2"/>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1027" w:type="dxa"/>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722" w:type="dxa"/>
            <w:gridSpan w:val="2"/>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r>
      <w:tr w:rsidR="00DF5A71" w:rsidRPr="00DF5A71" w:rsidTr="00AB094A">
        <w:trPr>
          <w:trHeight w:val="255"/>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 </w:t>
            </w:r>
          </w:p>
        </w:tc>
        <w:tc>
          <w:tcPr>
            <w:tcW w:w="1725" w:type="dxa"/>
            <w:gridSpan w:val="3"/>
            <w:tcBorders>
              <w:top w:val="single" w:sz="4" w:space="0" w:color="auto"/>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1991</w:t>
            </w:r>
          </w:p>
        </w:tc>
        <w:tc>
          <w:tcPr>
            <w:tcW w:w="1725" w:type="dxa"/>
            <w:gridSpan w:val="3"/>
            <w:tcBorders>
              <w:top w:val="single" w:sz="4" w:space="0" w:color="auto"/>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2001</w:t>
            </w:r>
          </w:p>
        </w:tc>
        <w:tc>
          <w:tcPr>
            <w:tcW w:w="1749" w:type="dxa"/>
            <w:gridSpan w:val="3"/>
            <w:tcBorders>
              <w:top w:val="single" w:sz="4" w:space="0" w:color="auto"/>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2011</w:t>
            </w:r>
          </w:p>
        </w:tc>
      </w:tr>
      <w:tr w:rsidR="00DF5A71" w:rsidRPr="00DF5A71" w:rsidTr="00AB094A">
        <w:trPr>
          <w:trHeight w:val="255"/>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DF5A71" w:rsidRPr="00DF5A71" w:rsidRDefault="00DF5A71" w:rsidP="00760C72">
            <w:pPr>
              <w:keepNext/>
              <w:keepLines/>
              <w:suppressAutoHyphens w:val="0"/>
              <w:rPr>
                <w:rFonts w:cs="Arial"/>
                <w:noProof w:val="0"/>
                <w:color w:val="000000"/>
                <w:sz w:val="18"/>
                <w:szCs w:val="18"/>
                <w:lang w:eastAsia="cs-CZ"/>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abs.</w:t>
            </w:r>
          </w:p>
        </w:tc>
        <w:tc>
          <w:tcPr>
            <w:tcW w:w="591" w:type="dxa"/>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abs.</w:t>
            </w:r>
          </w:p>
        </w:tc>
        <w:tc>
          <w:tcPr>
            <w:tcW w:w="591" w:type="dxa"/>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abs.</w:t>
            </w:r>
          </w:p>
        </w:tc>
        <w:tc>
          <w:tcPr>
            <w:tcW w:w="615" w:type="dxa"/>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w:t>
            </w:r>
          </w:p>
        </w:tc>
      </w:tr>
      <w:tr w:rsidR="00DF5A71" w:rsidRPr="00DF5A71" w:rsidTr="00AB094A">
        <w:trPr>
          <w:trHeight w:hRule="exact" w:val="284"/>
        </w:trPr>
        <w:tc>
          <w:tcPr>
            <w:tcW w:w="4126" w:type="dxa"/>
            <w:tcBorders>
              <w:top w:val="nil"/>
              <w:left w:val="single" w:sz="4" w:space="0" w:color="auto"/>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Byty celkem</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10 238 057</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100,0</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10 101 302</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100,0</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10 144 961</w:t>
            </w:r>
          </w:p>
        </w:tc>
        <w:tc>
          <w:tcPr>
            <w:tcW w:w="615"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100,0</w:t>
            </w:r>
          </w:p>
        </w:tc>
      </w:tr>
      <w:tr w:rsidR="00DF5A71" w:rsidRPr="00DF5A71" w:rsidTr="00AB094A">
        <w:trPr>
          <w:trHeight w:hRule="exact" w:val="284"/>
        </w:trPr>
        <w:tc>
          <w:tcPr>
            <w:tcW w:w="4126" w:type="dxa"/>
            <w:tcBorders>
              <w:top w:val="nil"/>
              <w:left w:val="single" w:sz="4" w:space="0" w:color="auto"/>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z toho typ bytu:</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 </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 </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 </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 </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 </w:t>
            </w:r>
          </w:p>
        </w:tc>
        <w:tc>
          <w:tcPr>
            <w:tcW w:w="615"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 </w:t>
            </w:r>
          </w:p>
        </w:tc>
      </w:tr>
      <w:tr w:rsidR="00DF5A71" w:rsidRPr="00DF5A71" w:rsidTr="00AB094A">
        <w:trPr>
          <w:trHeight w:hRule="exact" w:val="284"/>
        </w:trPr>
        <w:tc>
          <w:tcPr>
            <w:tcW w:w="4126" w:type="dxa"/>
            <w:tcBorders>
              <w:top w:val="nil"/>
              <w:left w:val="single" w:sz="4" w:space="0" w:color="auto"/>
              <w:bottom w:val="nil"/>
              <w:right w:val="single" w:sz="4" w:space="0" w:color="auto"/>
            </w:tcBorders>
            <w:shd w:val="clear" w:color="auto" w:fill="auto"/>
            <w:noWrap/>
            <w:vAlign w:val="bottom"/>
            <w:hideMark/>
          </w:tcPr>
          <w:p w:rsidR="00DF5A71" w:rsidRPr="00DF5A71" w:rsidRDefault="00DF5A71" w:rsidP="00760C72">
            <w:pPr>
              <w:keepNext/>
              <w:keepLines/>
              <w:suppressAutoHyphens w:val="0"/>
              <w:ind w:firstLineChars="100" w:firstLine="180"/>
              <w:rPr>
                <w:rFonts w:cs="Arial"/>
                <w:noProof w:val="0"/>
                <w:color w:val="000000"/>
                <w:sz w:val="18"/>
                <w:szCs w:val="18"/>
                <w:lang w:eastAsia="cs-CZ"/>
              </w:rPr>
            </w:pPr>
            <w:proofErr w:type="gramStart"/>
            <w:r w:rsidRPr="00DF5A71">
              <w:rPr>
                <w:rFonts w:cs="Arial"/>
                <w:noProof w:val="0"/>
                <w:color w:val="000000"/>
                <w:sz w:val="18"/>
                <w:szCs w:val="18"/>
                <w:lang w:eastAsia="cs-CZ"/>
              </w:rPr>
              <w:t xml:space="preserve">standardní - s </w:t>
            </w:r>
            <w:proofErr w:type="spellStart"/>
            <w:r w:rsidRPr="00DF5A71">
              <w:rPr>
                <w:rFonts w:cs="Arial"/>
                <w:noProof w:val="0"/>
                <w:color w:val="000000"/>
                <w:sz w:val="18"/>
                <w:szCs w:val="18"/>
                <w:lang w:eastAsia="cs-CZ"/>
              </w:rPr>
              <w:t>ú.t</w:t>
            </w:r>
            <w:proofErr w:type="spellEnd"/>
            <w:r w:rsidRPr="00DF5A71">
              <w:rPr>
                <w:rFonts w:cs="Arial"/>
                <w:noProof w:val="0"/>
                <w:color w:val="000000"/>
                <w:sz w:val="18"/>
                <w:szCs w:val="18"/>
                <w:lang w:eastAsia="cs-CZ"/>
              </w:rPr>
              <w:t>.</w:t>
            </w:r>
            <w:proofErr w:type="gramEnd"/>
            <w:r w:rsidRPr="00DF5A71">
              <w:rPr>
                <w:rFonts w:cs="Arial"/>
                <w:noProof w:val="0"/>
                <w:color w:val="000000"/>
                <w:sz w:val="18"/>
                <w:szCs w:val="18"/>
                <w:lang w:eastAsia="cs-CZ"/>
              </w:rPr>
              <w:t xml:space="preserve"> a úplným přísl.</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7 573 555</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74,0</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9 094 991</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90,0</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9 021 808</w:t>
            </w:r>
          </w:p>
        </w:tc>
        <w:tc>
          <w:tcPr>
            <w:tcW w:w="615"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88,9</w:t>
            </w:r>
          </w:p>
        </w:tc>
      </w:tr>
      <w:tr w:rsidR="00DF5A71" w:rsidRPr="00DF5A71" w:rsidTr="00AB094A">
        <w:trPr>
          <w:trHeight w:hRule="exact" w:val="284"/>
        </w:trPr>
        <w:tc>
          <w:tcPr>
            <w:tcW w:w="4126" w:type="dxa"/>
            <w:tcBorders>
              <w:top w:val="nil"/>
              <w:left w:val="single" w:sz="4" w:space="0" w:color="auto"/>
              <w:bottom w:val="nil"/>
              <w:right w:val="single" w:sz="4" w:space="0" w:color="auto"/>
            </w:tcBorders>
            <w:shd w:val="clear" w:color="auto" w:fill="auto"/>
            <w:noWrap/>
            <w:vAlign w:val="bottom"/>
            <w:hideMark/>
          </w:tcPr>
          <w:p w:rsidR="00DF5A71" w:rsidRPr="00DF5A71" w:rsidRDefault="00DF5A71" w:rsidP="00760C72">
            <w:pPr>
              <w:keepNext/>
              <w:keepLines/>
              <w:suppressAutoHyphens w:val="0"/>
              <w:ind w:firstLineChars="100" w:firstLine="180"/>
              <w:rPr>
                <w:rFonts w:cs="Arial"/>
                <w:noProof w:val="0"/>
                <w:color w:val="000000"/>
                <w:sz w:val="18"/>
                <w:szCs w:val="18"/>
                <w:lang w:eastAsia="cs-CZ"/>
              </w:rPr>
            </w:pPr>
            <w:proofErr w:type="gramStart"/>
            <w:r w:rsidRPr="00DF5A71">
              <w:rPr>
                <w:rFonts w:cs="Arial"/>
                <w:noProof w:val="0"/>
                <w:color w:val="000000"/>
                <w:sz w:val="18"/>
                <w:szCs w:val="18"/>
                <w:lang w:eastAsia="cs-CZ"/>
              </w:rPr>
              <w:t xml:space="preserve">standardní - s </w:t>
            </w:r>
            <w:proofErr w:type="spellStart"/>
            <w:r w:rsidRPr="00DF5A71">
              <w:rPr>
                <w:rFonts w:cs="Arial"/>
                <w:noProof w:val="0"/>
                <w:color w:val="000000"/>
                <w:sz w:val="18"/>
                <w:szCs w:val="18"/>
                <w:lang w:eastAsia="cs-CZ"/>
              </w:rPr>
              <w:t>ú.t</w:t>
            </w:r>
            <w:proofErr w:type="spellEnd"/>
            <w:r w:rsidRPr="00DF5A71">
              <w:rPr>
                <w:rFonts w:cs="Arial"/>
                <w:noProof w:val="0"/>
                <w:color w:val="000000"/>
                <w:sz w:val="18"/>
                <w:szCs w:val="18"/>
                <w:lang w:eastAsia="cs-CZ"/>
              </w:rPr>
              <w:t>.</w:t>
            </w:r>
            <w:proofErr w:type="gramEnd"/>
            <w:r w:rsidRPr="00DF5A71">
              <w:rPr>
                <w:rFonts w:cs="Arial"/>
                <w:noProof w:val="0"/>
                <w:color w:val="000000"/>
                <w:sz w:val="18"/>
                <w:szCs w:val="18"/>
                <w:lang w:eastAsia="cs-CZ"/>
              </w:rPr>
              <w:t xml:space="preserve"> a částečným </w:t>
            </w:r>
            <w:r w:rsidR="005A2BAA" w:rsidRPr="00DF5A71">
              <w:rPr>
                <w:rFonts w:cs="Arial"/>
                <w:noProof w:val="0"/>
                <w:color w:val="000000"/>
                <w:sz w:val="18"/>
                <w:szCs w:val="18"/>
                <w:lang w:eastAsia="cs-CZ"/>
              </w:rPr>
              <w:t>přísl.</w:t>
            </w:r>
            <w:r w:rsidR="005A2BAA" w:rsidRPr="00DF5A71">
              <w:rPr>
                <w:rFonts w:cs="Arial"/>
                <w:noProof w:val="0"/>
                <w:color w:val="000000"/>
                <w:sz w:val="18"/>
                <w:szCs w:val="18"/>
                <w:vertAlign w:val="superscript"/>
                <w:lang w:eastAsia="cs-CZ"/>
              </w:rPr>
              <w:t xml:space="preserve"> 1)</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2 067 708</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20,2</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701 767</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6,9</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421 928</w:t>
            </w:r>
          </w:p>
        </w:tc>
        <w:tc>
          <w:tcPr>
            <w:tcW w:w="615"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4,2</w:t>
            </w:r>
          </w:p>
        </w:tc>
      </w:tr>
      <w:tr w:rsidR="00DF5A71" w:rsidRPr="00DF5A71" w:rsidTr="00AB094A">
        <w:trPr>
          <w:trHeight w:hRule="exact" w:val="284"/>
        </w:trPr>
        <w:tc>
          <w:tcPr>
            <w:tcW w:w="4126" w:type="dxa"/>
            <w:tcBorders>
              <w:top w:val="nil"/>
              <w:left w:val="single" w:sz="4" w:space="0" w:color="auto"/>
              <w:bottom w:val="nil"/>
              <w:right w:val="single" w:sz="4" w:space="0" w:color="auto"/>
            </w:tcBorders>
            <w:shd w:val="clear" w:color="auto" w:fill="auto"/>
            <w:noWrap/>
            <w:vAlign w:val="bottom"/>
            <w:hideMark/>
          </w:tcPr>
          <w:p w:rsidR="00DF5A71" w:rsidRPr="00DF5A71" w:rsidRDefault="00DF5A71" w:rsidP="00760C72">
            <w:pPr>
              <w:keepNext/>
              <w:keepLines/>
              <w:suppressAutoHyphens w:val="0"/>
              <w:ind w:firstLineChars="100" w:firstLine="180"/>
              <w:rPr>
                <w:rFonts w:cs="Arial"/>
                <w:noProof w:val="0"/>
                <w:color w:val="000000"/>
                <w:sz w:val="18"/>
                <w:szCs w:val="18"/>
                <w:lang w:eastAsia="cs-CZ"/>
              </w:rPr>
            </w:pPr>
            <w:r w:rsidRPr="00DF5A71">
              <w:rPr>
                <w:rFonts w:cs="Arial"/>
                <w:noProof w:val="0"/>
                <w:color w:val="000000"/>
                <w:sz w:val="18"/>
                <w:szCs w:val="18"/>
                <w:lang w:eastAsia="cs-CZ"/>
              </w:rPr>
              <w:t>se sníženou kvalitou</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596 794</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5,8</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250 683</w:t>
            </w:r>
          </w:p>
        </w:tc>
        <w:tc>
          <w:tcPr>
            <w:tcW w:w="591"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2,5</w:t>
            </w:r>
          </w:p>
        </w:tc>
        <w:tc>
          <w:tcPr>
            <w:tcW w:w="1134" w:type="dxa"/>
            <w:gridSpan w:val="2"/>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476 292</w:t>
            </w:r>
          </w:p>
        </w:tc>
        <w:tc>
          <w:tcPr>
            <w:tcW w:w="615" w:type="dxa"/>
            <w:tcBorders>
              <w:top w:val="nil"/>
              <w:left w:val="nil"/>
              <w:bottom w:val="nil"/>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4,7</w:t>
            </w:r>
          </w:p>
        </w:tc>
      </w:tr>
      <w:tr w:rsidR="00DF5A71" w:rsidRPr="00DF5A71" w:rsidTr="00AB094A">
        <w:trPr>
          <w:trHeight w:hRule="exact" w:val="284"/>
        </w:trPr>
        <w:tc>
          <w:tcPr>
            <w:tcW w:w="4126" w:type="dxa"/>
            <w:tcBorders>
              <w:top w:val="nil"/>
              <w:left w:val="single" w:sz="4" w:space="0" w:color="auto"/>
              <w:bottom w:val="nil"/>
              <w:right w:val="single" w:sz="4" w:space="0" w:color="auto"/>
            </w:tcBorders>
            <w:shd w:val="clear" w:color="F2F2F2" w:fill="F2F2F2"/>
            <w:vAlign w:val="bottom"/>
            <w:hideMark/>
          </w:tcPr>
          <w:p w:rsidR="00DF5A71" w:rsidRPr="00DF5A71" w:rsidRDefault="00DF5A71" w:rsidP="00760C72">
            <w:pPr>
              <w:keepNext/>
              <w:keepLines/>
              <w:suppressAutoHyphens w:val="0"/>
              <w:ind w:left="229"/>
              <w:rPr>
                <w:rFonts w:cs="Arial"/>
                <w:i/>
                <w:iCs/>
                <w:noProof w:val="0"/>
                <w:color w:val="000000"/>
                <w:sz w:val="18"/>
                <w:szCs w:val="18"/>
                <w:lang w:eastAsia="cs-CZ"/>
              </w:rPr>
            </w:pPr>
            <w:r w:rsidRPr="00DF5A71">
              <w:rPr>
                <w:rFonts w:cs="Arial"/>
                <w:i/>
                <w:iCs/>
                <w:noProof w:val="0"/>
                <w:color w:val="000000"/>
                <w:sz w:val="18"/>
                <w:szCs w:val="18"/>
                <w:lang w:eastAsia="cs-CZ"/>
              </w:rPr>
              <w:t xml:space="preserve">se sníženou kvalitou s eliminací </w:t>
            </w:r>
            <w:proofErr w:type="spellStart"/>
            <w:r w:rsidRPr="00DF5A71">
              <w:rPr>
                <w:rFonts w:cs="Arial"/>
                <w:i/>
                <w:iCs/>
                <w:noProof w:val="0"/>
                <w:color w:val="000000"/>
                <w:sz w:val="18"/>
                <w:szCs w:val="18"/>
                <w:lang w:eastAsia="cs-CZ"/>
              </w:rPr>
              <w:t>nezj</w:t>
            </w:r>
            <w:proofErr w:type="spellEnd"/>
            <w:r w:rsidRPr="00DF5A71">
              <w:rPr>
                <w:rFonts w:cs="Arial"/>
                <w:i/>
                <w:iCs/>
                <w:noProof w:val="0"/>
                <w:color w:val="000000"/>
                <w:sz w:val="18"/>
                <w:szCs w:val="18"/>
                <w:lang w:eastAsia="cs-CZ"/>
              </w:rPr>
              <w:t xml:space="preserve">. </w:t>
            </w:r>
            <w:proofErr w:type="spellStart"/>
            <w:r w:rsidRPr="00DF5A71">
              <w:rPr>
                <w:rFonts w:cs="Arial"/>
                <w:i/>
                <w:iCs/>
                <w:noProof w:val="0"/>
                <w:color w:val="000000"/>
                <w:sz w:val="18"/>
                <w:szCs w:val="18"/>
                <w:lang w:eastAsia="cs-CZ"/>
              </w:rPr>
              <w:t>přísl</w:t>
            </w:r>
            <w:r w:rsidR="00AB094A">
              <w:rPr>
                <w:rFonts w:cs="Arial"/>
                <w:i/>
                <w:iCs/>
                <w:noProof w:val="0"/>
                <w:color w:val="000000"/>
                <w:sz w:val="18"/>
                <w:szCs w:val="18"/>
                <w:lang w:eastAsia="cs-CZ"/>
              </w:rPr>
              <w:t>uš</w:t>
            </w:r>
            <w:proofErr w:type="spellEnd"/>
            <w:r>
              <w:rPr>
                <w:rFonts w:cs="Arial"/>
                <w:i/>
                <w:iCs/>
                <w:noProof w:val="0"/>
                <w:color w:val="000000"/>
                <w:sz w:val="18"/>
                <w:szCs w:val="18"/>
                <w:lang w:eastAsia="cs-CZ"/>
              </w:rPr>
              <w:t>.</w:t>
            </w:r>
          </w:p>
        </w:tc>
        <w:tc>
          <w:tcPr>
            <w:tcW w:w="1134" w:type="dxa"/>
            <w:gridSpan w:val="2"/>
            <w:tcBorders>
              <w:top w:val="nil"/>
              <w:left w:val="nil"/>
              <w:bottom w:val="nil"/>
              <w:right w:val="single" w:sz="4" w:space="0" w:color="auto"/>
            </w:tcBorders>
            <w:shd w:val="clear" w:color="F2F2F2" w:fill="F2F2F2"/>
            <w:noWrap/>
            <w:vAlign w:val="bottom"/>
            <w:hideMark/>
          </w:tcPr>
          <w:p w:rsidR="00DF5A71" w:rsidRPr="00DF5A71" w:rsidRDefault="00DF5A71" w:rsidP="00760C72">
            <w:pPr>
              <w:keepNext/>
              <w:keepLines/>
              <w:suppressAutoHyphens w:val="0"/>
              <w:jc w:val="center"/>
              <w:rPr>
                <w:rFonts w:cs="Arial"/>
                <w:i/>
                <w:iCs/>
                <w:noProof w:val="0"/>
                <w:color w:val="000000"/>
                <w:sz w:val="18"/>
                <w:szCs w:val="18"/>
                <w:lang w:eastAsia="cs-CZ"/>
              </w:rPr>
            </w:pPr>
            <w:r w:rsidRPr="00DF5A71">
              <w:rPr>
                <w:rFonts w:cs="Arial"/>
                <w:i/>
                <w:iCs/>
                <w:noProof w:val="0"/>
                <w:color w:val="000000"/>
                <w:sz w:val="18"/>
                <w:szCs w:val="18"/>
                <w:lang w:eastAsia="cs-CZ"/>
              </w:rPr>
              <w:t>x</w:t>
            </w:r>
          </w:p>
        </w:tc>
        <w:tc>
          <w:tcPr>
            <w:tcW w:w="591" w:type="dxa"/>
            <w:tcBorders>
              <w:top w:val="nil"/>
              <w:left w:val="nil"/>
              <w:bottom w:val="nil"/>
              <w:right w:val="single" w:sz="4" w:space="0" w:color="auto"/>
            </w:tcBorders>
            <w:shd w:val="clear" w:color="F2F2F2" w:fill="F2F2F2"/>
            <w:noWrap/>
            <w:vAlign w:val="bottom"/>
            <w:hideMark/>
          </w:tcPr>
          <w:p w:rsidR="00DF5A71" w:rsidRPr="00DF5A71" w:rsidRDefault="00DF5A71" w:rsidP="00760C72">
            <w:pPr>
              <w:keepNext/>
              <w:keepLines/>
              <w:suppressAutoHyphens w:val="0"/>
              <w:jc w:val="center"/>
              <w:rPr>
                <w:rFonts w:cs="Arial"/>
                <w:i/>
                <w:iCs/>
                <w:noProof w:val="0"/>
                <w:color w:val="000000"/>
                <w:sz w:val="18"/>
                <w:szCs w:val="18"/>
                <w:lang w:eastAsia="cs-CZ"/>
              </w:rPr>
            </w:pPr>
            <w:r w:rsidRPr="00DF5A71">
              <w:rPr>
                <w:rFonts w:cs="Arial"/>
                <w:i/>
                <w:iCs/>
                <w:noProof w:val="0"/>
                <w:color w:val="000000"/>
                <w:sz w:val="18"/>
                <w:szCs w:val="18"/>
                <w:lang w:eastAsia="cs-CZ"/>
              </w:rPr>
              <w:t>x</w:t>
            </w:r>
          </w:p>
        </w:tc>
        <w:tc>
          <w:tcPr>
            <w:tcW w:w="1134" w:type="dxa"/>
            <w:gridSpan w:val="2"/>
            <w:tcBorders>
              <w:top w:val="nil"/>
              <w:left w:val="nil"/>
              <w:bottom w:val="nil"/>
              <w:right w:val="single" w:sz="4" w:space="0" w:color="auto"/>
            </w:tcBorders>
            <w:shd w:val="clear" w:color="F2F2F2" w:fill="F2F2F2"/>
            <w:noWrap/>
            <w:vAlign w:val="bottom"/>
            <w:hideMark/>
          </w:tcPr>
          <w:p w:rsidR="00DF5A71" w:rsidRPr="00DF5A71" w:rsidRDefault="00DF5A71" w:rsidP="00760C72">
            <w:pPr>
              <w:keepNext/>
              <w:keepLines/>
              <w:suppressAutoHyphens w:val="0"/>
              <w:jc w:val="center"/>
              <w:rPr>
                <w:rFonts w:cs="Arial"/>
                <w:i/>
                <w:iCs/>
                <w:noProof w:val="0"/>
                <w:color w:val="000000"/>
                <w:sz w:val="18"/>
                <w:szCs w:val="18"/>
                <w:lang w:eastAsia="cs-CZ"/>
              </w:rPr>
            </w:pPr>
            <w:r w:rsidRPr="00DF5A71">
              <w:rPr>
                <w:rFonts w:cs="Arial"/>
                <w:i/>
                <w:iCs/>
                <w:noProof w:val="0"/>
                <w:color w:val="000000"/>
                <w:sz w:val="18"/>
                <w:szCs w:val="18"/>
                <w:lang w:eastAsia="cs-CZ"/>
              </w:rPr>
              <w:t>x</w:t>
            </w:r>
          </w:p>
        </w:tc>
        <w:tc>
          <w:tcPr>
            <w:tcW w:w="591" w:type="dxa"/>
            <w:tcBorders>
              <w:top w:val="nil"/>
              <w:left w:val="nil"/>
              <w:bottom w:val="nil"/>
              <w:right w:val="single" w:sz="4" w:space="0" w:color="auto"/>
            </w:tcBorders>
            <w:shd w:val="clear" w:color="F2F2F2" w:fill="F2F2F2"/>
            <w:noWrap/>
            <w:vAlign w:val="bottom"/>
            <w:hideMark/>
          </w:tcPr>
          <w:p w:rsidR="00DF5A71" w:rsidRPr="00DF5A71" w:rsidRDefault="00DF5A71" w:rsidP="00760C72">
            <w:pPr>
              <w:keepNext/>
              <w:keepLines/>
              <w:suppressAutoHyphens w:val="0"/>
              <w:jc w:val="center"/>
              <w:rPr>
                <w:rFonts w:cs="Arial"/>
                <w:i/>
                <w:iCs/>
                <w:noProof w:val="0"/>
                <w:color w:val="000000"/>
                <w:sz w:val="18"/>
                <w:szCs w:val="18"/>
                <w:lang w:eastAsia="cs-CZ"/>
              </w:rPr>
            </w:pPr>
            <w:r w:rsidRPr="00DF5A71">
              <w:rPr>
                <w:rFonts w:cs="Arial"/>
                <w:i/>
                <w:iCs/>
                <w:noProof w:val="0"/>
                <w:color w:val="000000"/>
                <w:sz w:val="18"/>
                <w:szCs w:val="18"/>
                <w:lang w:eastAsia="cs-CZ"/>
              </w:rPr>
              <w:t>x</w:t>
            </w:r>
          </w:p>
        </w:tc>
        <w:tc>
          <w:tcPr>
            <w:tcW w:w="1134" w:type="dxa"/>
            <w:gridSpan w:val="2"/>
            <w:tcBorders>
              <w:top w:val="nil"/>
              <w:left w:val="nil"/>
              <w:bottom w:val="nil"/>
              <w:right w:val="single" w:sz="4" w:space="0" w:color="auto"/>
            </w:tcBorders>
            <w:shd w:val="clear" w:color="F2F2F2" w:fill="F2F2F2"/>
            <w:noWrap/>
            <w:vAlign w:val="bottom"/>
            <w:hideMark/>
          </w:tcPr>
          <w:p w:rsidR="00DF5A71" w:rsidRPr="00DF5A71" w:rsidRDefault="00DF5A71" w:rsidP="00760C72">
            <w:pPr>
              <w:keepNext/>
              <w:keepLines/>
              <w:suppressAutoHyphens w:val="0"/>
              <w:jc w:val="right"/>
              <w:rPr>
                <w:rFonts w:cs="Arial"/>
                <w:i/>
                <w:iCs/>
                <w:noProof w:val="0"/>
                <w:color w:val="000000"/>
                <w:sz w:val="18"/>
                <w:szCs w:val="18"/>
                <w:lang w:eastAsia="cs-CZ"/>
              </w:rPr>
            </w:pPr>
            <w:r w:rsidRPr="00DF5A71">
              <w:rPr>
                <w:rFonts w:cs="Arial"/>
                <w:i/>
                <w:iCs/>
                <w:noProof w:val="0"/>
                <w:color w:val="000000"/>
                <w:sz w:val="18"/>
                <w:szCs w:val="18"/>
                <w:lang w:eastAsia="cs-CZ"/>
              </w:rPr>
              <w:t>101 245</w:t>
            </w:r>
          </w:p>
        </w:tc>
        <w:tc>
          <w:tcPr>
            <w:tcW w:w="615" w:type="dxa"/>
            <w:tcBorders>
              <w:top w:val="nil"/>
              <w:left w:val="nil"/>
              <w:bottom w:val="nil"/>
              <w:right w:val="single" w:sz="4" w:space="0" w:color="auto"/>
            </w:tcBorders>
            <w:shd w:val="clear" w:color="F2F2F2" w:fill="F2F2F2"/>
            <w:noWrap/>
            <w:vAlign w:val="bottom"/>
            <w:hideMark/>
          </w:tcPr>
          <w:p w:rsidR="00DF5A71" w:rsidRPr="00DF5A71" w:rsidRDefault="00DF5A71" w:rsidP="00760C72">
            <w:pPr>
              <w:keepNext/>
              <w:keepLines/>
              <w:suppressAutoHyphens w:val="0"/>
              <w:jc w:val="right"/>
              <w:rPr>
                <w:rFonts w:cs="Arial"/>
                <w:i/>
                <w:iCs/>
                <w:noProof w:val="0"/>
                <w:color w:val="000000"/>
                <w:sz w:val="18"/>
                <w:szCs w:val="18"/>
                <w:lang w:eastAsia="cs-CZ"/>
              </w:rPr>
            </w:pPr>
            <w:r w:rsidRPr="00DF5A71">
              <w:rPr>
                <w:rFonts w:cs="Arial"/>
                <w:i/>
                <w:iCs/>
                <w:noProof w:val="0"/>
                <w:color w:val="000000"/>
                <w:sz w:val="18"/>
                <w:szCs w:val="18"/>
                <w:lang w:eastAsia="cs-CZ"/>
              </w:rPr>
              <w:t>1,0</w:t>
            </w:r>
          </w:p>
        </w:tc>
      </w:tr>
      <w:tr w:rsidR="00DF5A71" w:rsidRPr="00DF5A71" w:rsidTr="00AB094A">
        <w:trPr>
          <w:trHeight w:hRule="exact" w:val="284"/>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r w:rsidRPr="00DF5A71">
              <w:rPr>
                <w:rFonts w:cs="Arial"/>
                <w:noProof w:val="0"/>
                <w:color w:val="000000"/>
                <w:sz w:val="18"/>
                <w:szCs w:val="18"/>
                <w:lang w:eastAsia="cs-CZ"/>
              </w:rPr>
              <w:t>nezjištěná kategorie/typ bytu</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 xml:space="preserve"> -</w:t>
            </w:r>
          </w:p>
        </w:tc>
        <w:tc>
          <w:tcPr>
            <w:tcW w:w="591" w:type="dxa"/>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center"/>
              <w:rPr>
                <w:rFonts w:cs="Arial"/>
                <w:noProof w:val="0"/>
                <w:color w:val="000000"/>
                <w:sz w:val="18"/>
                <w:szCs w:val="18"/>
                <w:lang w:eastAsia="cs-CZ"/>
              </w:rPr>
            </w:pPr>
            <w:r w:rsidRPr="00DF5A71">
              <w:rPr>
                <w:rFonts w:cs="Arial"/>
                <w:noProof w:val="0"/>
                <w:color w:val="000000"/>
                <w:sz w:val="18"/>
                <w:szCs w:val="18"/>
                <w:lang w:eastAsia="cs-CZ"/>
              </w:rPr>
              <w:t xml:space="preserve">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53 861</w:t>
            </w:r>
          </w:p>
        </w:tc>
        <w:tc>
          <w:tcPr>
            <w:tcW w:w="591" w:type="dxa"/>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0,5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224 933</w:t>
            </w:r>
          </w:p>
        </w:tc>
        <w:tc>
          <w:tcPr>
            <w:tcW w:w="615" w:type="dxa"/>
            <w:tcBorders>
              <w:top w:val="nil"/>
              <w:left w:val="nil"/>
              <w:bottom w:val="single" w:sz="4" w:space="0" w:color="auto"/>
              <w:right w:val="single" w:sz="4" w:space="0" w:color="auto"/>
            </w:tcBorders>
            <w:shd w:val="clear" w:color="auto" w:fill="auto"/>
            <w:noWrap/>
            <w:vAlign w:val="bottom"/>
            <w:hideMark/>
          </w:tcPr>
          <w:p w:rsidR="00DF5A71" w:rsidRPr="00DF5A71" w:rsidRDefault="00DF5A71" w:rsidP="00760C72">
            <w:pPr>
              <w:keepNext/>
              <w:keepLines/>
              <w:suppressAutoHyphens w:val="0"/>
              <w:jc w:val="right"/>
              <w:rPr>
                <w:rFonts w:cs="Arial"/>
                <w:noProof w:val="0"/>
                <w:color w:val="000000"/>
                <w:sz w:val="18"/>
                <w:szCs w:val="18"/>
                <w:lang w:eastAsia="cs-CZ"/>
              </w:rPr>
            </w:pPr>
            <w:r w:rsidRPr="00DF5A71">
              <w:rPr>
                <w:rFonts w:cs="Arial"/>
                <w:noProof w:val="0"/>
                <w:color w:val="000000"/>
                <w:sz w:val="18"/>
                <w:szCs w:val="18"/>
                <w:lang w:eastAsia="cs-CZ"/>
              </w:rPr>
              <w:t>2,2</w:t>
            </w:r>
          </w:p>
        </w:tc>
      </w:tr>
      <w:tr w:rsidR="00DF5A71" w:rsidRPr="00DF5A71" w:rsidTr="00AB094A">
        <w:trPr>
          <w:trHeight w:val="255"/>
        </w:trPr>
        <w:tc>
          <w:tcPr>
            <w:tcW w:w="5851" w:type="dxa"/>
            <w:gridSpan w:val="4"/>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6"/>
                <w:szCs w:val="16"/>
                <w:lang w:eastAsia="cs-CZ"/>
              </w:rPr>
            </w:pPr>
            <w:r w:rsidRPr="00DF5A71">
              <w:rPr>
                <w:rFonts w:cs="Arial"/>
                <w:noProof w:val="0"/>
                <w:color w:val="000000"/>
                <w:sz w:val="16"/>
                <w:szCs w:val="16"/>
                <w:lang w:eastAsia="cs-CZ"/>
              </w:rPr>
              <w:t>1) nebo bez ústředního topení a s úplným příslušenstvím</w:t>
            </w:r>
          </w:p>
        </w:tc>
        <w:tc>
          <w:tcPr>
            <w:tcW w:w="1134" w:type="dxa"/>
            <w:gridSpan w:val="2"/>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591" w:type="dxa"/>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1134" w:type="dxa"/>
            <w:gridSpan w:val="2"/>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c>
          <w:tcPr>
            <w:tcW w:w="615" w:type="dxa"/>
            <w:tcBorders>
              <w:top w:val="nil"/>
              <w:left w:val="nil"/>
              <w:bottom w:val="nil"/>
              <w:right w:val="nil"/>
            </w:tcBorders>
            <w:shd w:val="clear" w:color="auto" w:fill="auto"/>
            <w:noWrap/>
            <w:vAlign w:val="bottom"/>
            <w:hideMark/>
          </w:tcPr>
          <w:p w:rsidR="00DF5A71" w:rsidRPr="00DF5A71" w:rsidRDefault="00DF5A71" w:rsidP="00760C72">
            <w:pPr>
              <w:keepNext/>
              <w:keepLines/>
              <w:suppressAutoHyphens w:val="0"/>
              <w:rPr>
                <w:rFonts w:cs="Arial"/>
                <w:noProof w:val="0"/>
                <w:color w:val="000000"/>
                <w:sz w:val="18"/>
                <w:szCs w:val="18"/>
                <w:lang w:eastAsia="cs-CZ"/>
              </w:rPr>
            </w:pPr>
          </w:p>
        </w:tc>
      </w:tr>
    </w:tbl>
    <w:p w:rsidR="00306C5A" w:rsidRDefault="00306C5A" w:rsidP="00306C5A">
      <w:pPr>
        <w:pStyle w:val="Normln-web"/>
        <w:spacing w:line="276" w:lineRule="auto"/>
        <w:rPr>
          <w:sz w:val="20"/>
          <w:szCs w:val="20"/>
        </w:rPr>
      </w:pPr>
    </w:p>
    <w:p w:rsidR="00B93AE1" w:rsidRDefault="007B34CD" w:rsidP="00B93AE1">
      <w:pPr>
        <w:pStyle w:val="Normln-web"/>
        <w:spacing w:before="0" w:line="276" w:lineRule="auto"/>
        <w:rPr>
          <w:sz w:val="20"/>
          <w:szCs w:val="20"/>
        </w:rPr>
      </w:pPr>
      <w:r>
        <w:rPr>
          <w:sz w:val="20"/>
          <w:szCs w:val="20"/>
        </w:rPr>
        <w:t>Rozdíly v krajích v zastoupení osob bydlících ve standardních bytech na počtu osob v bytech celkem se pohybovaly v intervalu od 89,5 % (</w:t>
      </w:r>
      <w:r w:rsidR="004C5116">
        <w:rPr>
          <w:sz w:val="20"/>
          <w:szCs w:val="20"/>
        </w:rPr>
        <w:t xml:space="preserve">Hl. m. </w:t>
      </w:r>
      <w:r>
        <w:rPr>
          <w:sz w:val="20"/>
          <w:szCs w:val="20"/>
        </w:rPr>
        <w:t>Praha) do 95,4 % (</w:t>
      </w:r>
      <w:r w:rsidR="004C5116">
        <w:rPr>
          <w:sz w:val="20"/>
          <w:szCs w:val="20"/>
        </w:rPr>
        <w:t xml:space="preserve">Kraj </w:t>
      </w:r>
      <w:r>
        <w:rPr>
          <w:sz w:val="20"/>
          <w:szCs w:val="20"/>
        </w:rPr>
        <w:t>Vysočina). Současně ale byly i rozdíly u nezjištěného typu bytu (v intervalu 4,6 % - 1,0 %). Právě v Praze, kde bylo zastoupení standardních bytů nejnižší</w:t>
      </w:r>
      <w:r w:rsidR="00AB094A">
        <w:rPr>
          <w:sz w:val="20"/>
          <w:szCs w:val="20"/>
        </w:rPr>
        <w:t>,</w:t>
      </w:r>
      <w:r>
        <w:rPr>
          <w:sz w:val="20"/>
          <w:szCs w:val="20"/>
        </w:rPr>
        <w:t xml:space="preserve"> byl současně nejvyšší podíl osob bydlících v bytech s nezjištěným typem. Protože nezjištěné hodnoty mohou ovlivnit </w:t>
      </w:r>
      <w:r w:rsidR="00AB094A">
        <w:rPr>
          <w:sz w:val="20"/>
          <w:szCs w:val="20"/>
        </w:rPr>
        <w:t xml:space="preserve">ostatní </w:t>
      </w:r>
      <w:r>
        <w:rPr>
          <w:sz w:val="20"/>
          <w:szCs w:val="20"/>
        </w:rPr>
        <w:t>podíly jak směrem nahoru, tak směrem dolů, může být rozptyl podílu standardních bytů i nižší než byl zjištěn.</w:t>
      </w:r>
    </w:p>
    <w:p w:rsidR="00B93AE1" w:rsidRDefault="00B93AE1" w:rsidP="00B93AE1">
      <w:pPr>
        <w:pStyle w:val="Normln-web"/>
        <w:spacing w:before="0" w:line="276" w:lineRule="auto"/>
        <w:rPr>
          <w:sz w:val="20"/>
          <w:szCs w:val="20"/>
        </w:rPr>
      </w:pPr>
    </w:p>
    <w:p w:rsidR="002503A3" w:rsidRDefault="000A7854" w:rsidP="00B93AE1">
      <w:pPr>
        <w:pStyle w:val="Normln-web"/>
        <w:spacing w:before="0" w:line="276" w:lineRule="auto"/>
        <w:rPr>
          <w:sz w:val="20"/>
          <w:szCs w:val="20"/>
        </w:rPr>
      </w:pPr>
      <w:r>
        <w:rPr>
          <w:sz w:val="20"/>
          <w:szCs w:val="20"/>
        </w:rPr>
        <w:lastRenderedPageBreak/>
        <w:t xml:space="preserve">Způsob vytápění bytů kombinoval informace o způsobu vytápění a o existenci či neexistenci ústředního topení v domě, příp. o umístění kotelny. Z celkového počtu osob bydlících v bytech </w:t>
      </w:r>
      <w:r w:rsidR="00434CB4">
        <w:rPr>
          <w:sz w:val="20"/>
          <w:szCs w:val="20"/>
        </w:rPr>
        <w:t>více než čtyři pětiny žily v domech s ústředním topením. Nejčastěji to byly domy s kotelnou v domě (více než polovina všech osob v bytech), 30 % osob připadlo na domy  s</w:t>
      </w:r>
      <w:r w:rsidR="00394D79">
        <w:rPr>
          <w:sz w:val="20"/>
          <w:szCs w:val="20"/>
        </w:rPr>
        <w:t xml:space="preserve"> </w:t>
      </w:r>
      <w:r w:rsidR="00434CB4">
        <w:rPr>
          <w:sz w:val="20"/>
          <w:szCs w:val="20"/>
        </w:rPr>
        <w:t xml:space="preserve">ústředním topením s kotelnou mimo dům. V bytech s lokálním topením bydlelo v roce 2011 necelých 15 % osob bydlících v bytech, přitom rozložení na byty </w:t>
      </w:r>
      <w:r w:rsidR="00434CB4" w:rsidRPr="002503A3">
        <w:rPr>
          <w:sz w:val="20"/>
          <w:szCs w:val="20"/>
        </w:rPr>
        <w:t>s etážovým topením a s kamny bylo téměř rovnoměrné.</w:t>
      </w:r>
    </w:p>
    <w:p w:rsidR="00B93AE1" w:rsidRPr="002503A3" w:rsidRDefault="00B93AE1" w:rsidP="00B93AE1">
      <w:pPr>
        <w:pStyle w:val="Normln-web"/>
        <w:spacing w:before="0" w:line="276" w:lineRule="auto"/>
        <w:rPr>
          <w:sz w:val="20"/>
          <w:szCs w:val="20"/>
        </w:rPr>
      </w:pPr>
    </w:p>
    <w:p w:rsidR="00112B68" w:rsidRDefault="00566545" w:rsidP="00B93AE1">
      <w:pPr>
        <w:pStyle w:val="Normln-web"/>
        <w:spacing w:before="0" w:line="276" w:lineRule="auto"/>
        <w:rPr>
          <w:sz w:val="20"/>
          <w:szCs w:val="20"/>
        </w:rPr>
      </w:pPr>
      <w:r w:rsidRPr="002503A3">
        <w:rPr>
          <w:sz w:val="20"/>
          <w:szCs w:val="20"/>
        </w:rPr>
        <w:t>Technická vybavenost bytů příp. domů se vyvíjela dlouhodobě příznivě. Územní rozdíly přetrvávaly v plynofikaci či v míře připojení na kanalizační síť</w:t>
      </w:r>
      <w:r w:rsidR="00AE45C3" w:rsidRPr="002503A3">
        <w:rPr>
          <w:sz w:val="20"/>
          <w:szCs w:val="20"/>
        </w:rPr>
        <w:t xml:space="preserve">, přestože i v těchto charakteristikách se postupně </w:t>
      </w:r>
      <w:r w:rsidR="000A7854" w:rsidRPr="002503A3">
        <w:rPr>
          <w:sz w:val="20"/>
          <w:szCs w:val="20"/>
        </w:rPr>
        <w:t xml:space="preserve">v regionálním měřítku </w:t>
      </w:r>
      <w:r w:rsidR="00AE45C3" w:rsidRPr="002503A3">
        <w:rPr>
          <w:sz w:val="20"/>
          <w:szCs w:val="20"/>
        </w:rPr>
        <w:t>hodnoty sbližovaly</w:t>
      </w:r>
      <w:r w:rsidRPr="002503A3">
        <w:rPr>
          <w:sz w:val="20"/>
          <w:szCs w:val="20"/>
        </w:rPr>
        <w:t>.</w:t>
      </w:r>
      <w:r w:rsidR="00AB094A" w:rsidRPr="002503A3">
        <w:rPr>
          <w:sz w:val="20"/>
          <w:szCs w:val="20"/>
        </w:rPr>
        <w:t xml:space="preserve"> </w:t>
      </w:r>
    </w:p>
    <w:p w:rsidR="00D85825" w:rsidRDefault="00D85825" w:rsidP="00B93AE1">
      <w:pPr>
        <w:pStyle w:val="Normln-web"/>
        <w:spacing w:before="0" w:line="276" w:lineRule="auto"/>
        <w:rPr>
          <w:sz w:val="20"/>
          <w:szCs w:val="20"/>
        </w:rPr>
      </w:pPr>
    </w:p>
    <w:tbl>
      <w:tblPr>
        <w:tblW w:w="8573" w:type="dxa"/>
        <w:jc w:val="center"/>
        <w:tblInd w:w="55" w:type="dxa"/>
        <w:tblLayout w:type="fixed"/>
        <w:tblCellMar>
          <w:left w:w="70" w:type="dxa"/>
          <w:right w:w="70" w:type="dxa"/>
        </w:tblCellMar>
        <w:tblLook w:val="04A0"/>
      </w:tblPr>
      <w:tblGrid>
        <w:gridCol w:w="2228"/>
        <w:gridCol w:w="992"/>
        <w:gridCol w:w="993"/>
        <w:gridCol w:w="1047"/>
        <w:gridCol w:w="1079"/>
        <w:gridCol w:w="1134"/>
        <w:gridCol w:w="1100"/>
      </w:tblGrid>
      <w:tr w:rsidR="00D85825" w:rsidRPr="00D85825" w:rsidTr="00D85825">
        <w:trPr>
          <w:trHeight w:val="480"/>
          <w:jc w:val="center"/>
        </w:trPr>
        <w:tc>
          <w:tcPr>
            <w:tcW w:w="8573" w:type="dxa"/>
            <w:gridSpan w:val="7"/>
            <w:tcBorders>
              <w:top w:val="nil"/>
              <w:left w:val="nil"/>
              <w:bottom w:val="single" w:sz="4" w:space="0" w:color="auto"/>
              <w:right w:val="nil"/>
            </w:tcBorders>
            <w:shd w:val="clear" w:color="auto" w:fill="auto"/>
            <w:vAlign w:val="bottom"/>
            <w:hideMark/>
          </w:tcPr>
          <w:p w:rsidR="00D85825" w:rsidRDefault="00D85825" w:rsidP="00D85825">
            <w:pPr>
              <w:suppressAutoHyphens w:val="0"/>
              <w:rPr>
                <w:rFonts w:cs="Arial"/>
                <w:b/>
                <w:bCs/>
                <w:noProof w:val="0"/>
                <w:color w:val="000000"/>
                <w:sz w:val="18"/>
                <w:szCs w:val="18"/>
                <w:lang w:eastAsia="cs-CZ"/>
              </w:rPr>
            </w:pPr>
            <w:r>
              <w:rPr>
                <w:rFonts w:cs="Arial"/>
                <w:b/>
                <w:bCs/>
                <w:noProof w:val="0"/>
                <w:color w:val="000000"/>
                <w:sz w:val="18"/>
                <w:szCs w:val="18"/>
                <w:lang w:eastAsia="cs-CZ"/>
              </w:rPr>
              <w:t xml:space="preserve">Tab. </w:t>
            </w:r>
            <w:proofErr w:type="gramStart"/>
            <w:r>
              <w:rPr>
                <w:rFonts w:cs="Arial"/>
                <w:b/>
                <w:bCs/>
                <w:noProof w:val="0"/>
                <w:color w:val="000000"/>
                <w:sz w:val="18"/>
                <w:szCs w:val="18"/>
                <w:lang w:eastAsia="cs-CZ"/>
              </w:rPr>
              <w:t>č.</w:t>
            </w:r>
            <w:proofErr w:type="gramEnd"/>
            <w:r>
              <w:rPr>
                <w:rFonts w:cs="Arial"/>
                <w:b/>
                <w:bCs/>
                <w:noProof w:val="0"/>
                <w:color w:val="000000"/>
                <w:sz w:val="18"/>
                <w:szCs w:val="18"/>
                <w:lang w:eastAsia="cs-CZ"/>
              </w:rPr>
              <w:t xml:space="preserve"> </w:t>
            </w:r>
            <w:r w:rsidRPr="00D85825">
              <w:rPr>
                <w:rFonts w:cs="Arial"/>
                <w:b/>
                <w:bCs/>
                <w:noProof w:val="0"/>
                <w:color w:val="000000"/>
                <w:sz w:val="18"/>
                <w:szCs w:val="18"/>
                <w:lang w:eastAsia="cs-CZ"/>
              </w:rPr>
              <w:t>10 Podíly osob bydlících v bytech podle technické vybavenosti bytu a domu k 26. 3. 2011</w:t>
            </w:r>
          </w:p>
          <w:p w:rsidR="00D85825" w:rsidRPr="00D85825" w:rsidRDefault="00D85825" w:rsidP="00D85825">
            <w:pPr>
              <w:suppressAutoHyphens w:val="0"/>
              <w:rPr>
                <w:rFonts w:cs="Arial"/>
                <w:b/>
                <w:bCs/>
                <w:noProof w:val="0"/>
                <w:color w:val="000000"/>
                <w:sz w:val="18"/>
                <w:szCs w:val="18"/>
                <w:lang w:eastAsia="cs-CZ"/>
              </w:rPr>
            </w:pPr>
            <w:r w:rsidRPr="00D85825">
              <w:rPr>
                <w:rFonts w:cs="Arial"/>
                <w:b/>
                <w:bCs/>
                <w:noProof w:val="0"/>
                <w:color w:val="000000"/>
                <w:sz w:val="18"/>
                <w:szCs w:val="18"/>
                <w:lang w:eastAsia="cs-CZ"/>
              </w:rPr>
              <w:t xml:space="preserve"> </w:t>
            </w:r>
            <w:r>
              <w:rPr>
                <w:rFonts w:cs="Arial"/>
                <w:b/>
                <w:bCs/>
                <w:noProof w:val="0"/>
                <w:color w:val="000000"/>
                <w:sz w:val="18"/>
                <w:szCs w:val="18"/>
                <w:lang w:eastAsia="cs-CZ"/>
              </w:rPr>
              <w:t>(</w:t>
            </w:r>
            <w:r w:rsidRPr="00D85825">
              <w:rPr>
                <w:rFonts w:cs="Arial"/>
                <w:b/>
                <w:bCs/>
                <w:noProof w:val="0"/>
                <w:color w:val="000000"/>
                <w:sz w:val="18"/>
                <w:szCs w:val="18"/>
                <w:lang w:eastAsia="cs-CZ"/>
              </w:rPr>
              <w:t>v %</w:t>
            </w:r>
            <w:r>
              <w:rPr>
                <w:rFonts w:cs="Arial"/>
                <w:b/>
                <w:bCs/>
                <w:noProof w:val="0"/>
                <w:color w:val="000000"/>
                <w:sz w:val="18"/>
                <w:szCs w:val="18"/>
                <w:lang w:eastAsia="cs-CZ"/>
              </w:rPr>
              <w:t>)</w:t>
            </w:r>
          </w:p>
        </w:tc>
      </w:tr>
      <w:tr w:rsidR="00D85825" w:rsidRPr="00D85825" w:rsidTr="00D85825">
        <w:trPr>
          <w:trHeight w:val="240"/>
          <w:jc w:val="center"/>
        </w:trPr>
        <w:tc>
          <w:tcPr>
            <w:tcW w:w="22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85825" w:rsidRPr="00D85825" w:rsidRDefault="00D85825" w:rsidP="00D85825">
            <w:pPr>
              <w:suppressAutoHyphens w:val="0"/>
              <w:rPr>
                <w:rFonts w:cs="Arial"/>
                <w:noProof w:val="0"/>
                <w:color w:val="000000"/>
                <w:sz w:val="18"/>
                <w:szCs w:val="18"/>
                <w:lang w:eastAsia="cs-CZ"/>
              </w:rPr>
            </w:pPr>
            <w:r w:rsidRPr="00D85825">
              <w:rPr>
                <w:rFonts w:cs="Arial"/>
                <w:noProof w:val="0"/>
                <w:color w:val="000000"/>
                <w:sz w:val="18"/>
                <w:szCs w:val="18"/>
                <w:lang w:eastAsia="cs-CZ"/>
              </w:rPr>
              <w:t>Kraje</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D85825" w:rsidRP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vodovod v bytě</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rsidR="00D85825" w:rsidRP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plyn z veřejné sítě</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D85825" w:rsidRP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bez plynu</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85825" w:rsidRP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přípoj na kanalizační síť</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žumpa,</w:t>
            </w:r>
          </w:p>
          <w:p w:rsidR="00D85825" w:rsidRP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 xml:space="preserve"> jímka</w:t>
            </w:r>
          </w:p>
        </w:tc>
      </w:tr>
      <w:tr w:rsidR="00D85825" w:rsidRPr="00D85825" w:rsidTr="00D85825">
        <w:trPr>
          <w:trHeight w:val="720"/>
          <w:jc w:val="center"/>
        </w:trPr>
        <w:tc>
          <w:tcPr>
            <w:tcW w:w="2228" w:type="dxa"/>
            <w:vMerge/>
            <w:tcBorders>
              <w:top w:val="nil"/>
              <w:left w:val="single" w:sz="4" w:space="0" w:color="auto"/>
              <w:bottom w:val="single" w:sz="4" w:space="0" w:color="000000"/>
              <w:right w:val="single" w:sz="4" w:space="0" w:color="auto"/>
            </w:tcBorders>
            <w:vAlign w:val="center"/>
            <w:hideMark/>
          </w:tcPr>
          <w:p w:rsidR="00D85825" w:rsidRPr="00D85825" w:rsidRDefault="00D85825" w:rsidP="00D85825">
            <w:pPr>
              <w:suppressAutoHyphens w:val="0"/>
              <w:rPr>
                <w:rFonts w:cs="Arial"/>
                <w:noProof w:val="0"/>
                <w:color w:val="000000"/>
                <w:sz w:val="18"/>
                <w:szCs w:val="18"/>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D85825" w:rsidRP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z veřejné sítě</w:t>
            </w:r>
          </w:p>
        </w:tc>
        <w:tc>
          <w:tcPr>
            <w:tcW w:w="993" w:type="dxa"/>
            <w:tcBorders>
              <w:top w:val="nil"/>
              <w:left w:val="nil"/>
              <w:bottom w:val="single" w:sz="4" w:space="0" w:color="auto"/>
              <w:right w:val="single" w:sz="4" w:space="0" w:color="auto"/>
            </w:tcBorders>
            <w:shd w:val="clear" w:color="auto" w:fill="auto"/>
            <w:vAlign w:val="center"/>
            <w:hideMark/>
          </w:tcPr>
          <w:p w:rsid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 xml:space="preserve"> domácí</w:t>
            </w:r>
          </w:p>
          <w:p w:rsidR="00D85825" w:rsidRPr="00D85825" w:rsidRDefault="00D85825" w:rsidP="00D85825">
            <w:pPr>
              <w:suppressAutoHyphens w:val="0"/>
              <w:jc w:val="center"/>
              <w:rPr>
                <w:rFonts w:cs="Arial"/>
                <w:noProof w:val="0"/>
                <w:color w:val="000000"/>
                <w:sz w:val="18"/>
                <w:szCs w:val="18"/>
                <w:lang w:eastAsia="cs-CZ"/>
              </w:rPr>
            </w:pPr>
            <w:r w:rsidRPr="00D85825">
              <w:rPr>
                <w:rFonts w:cs="Arial"/>
                <w:noProof w:val="0"/>
                <w:color w:val="000000"/>
                <w:sz w:val="18"/>
                <w:szCs w:val="18"/>
                <w:lang w:eastAsia="cs-CZ"/>
              </w:rPr>
              <w:t>soukromý</w:t>
            </w:r>
          </w:p>
        </w:tc>
        <w:tc>
          <w:tcPr>
            <w:tcW w:w="1047" w:type="dxa"/>
            <w:vMerge/>
            <w:tcBorders>
              <w:top w:val="nil"/>
              <w:left w:val="single" w:sz="4" w:space="0" w:color="auto"/>
              <w:bottom w:val="single" w:sz="4" w:space="0" w:color="auto"/>
              <w:right w:val="single" w:sz="4" w:space="0" w:color="auto"/>
            </w:tcBorders>
            <w:vAlign w:val="center"/>
            <w:hideMark/>
          </w:tcPr>
          <w:p w:rsidR="00D85825" w:rsidRPr="00D85825" w:rsidRDefault="00D85825" w:rsidP="00D85825">
            <w:pPr>
              <w:suppressAutoHyphens w:val="0"/>
              <w:rPr>
                <w:rFonts w:cs="Arial"/>
                <w:noProof w:val="0"/>
                <w:color w:val="000000"/>
                <w:sz w:val="18"/>
                <w:szCs w:val="18"/>
                <w:lang w:eastAsia="cs-CZ"/>
              </w:rPr>
            </w:pPr>
          </w:p>
        </w:tc>
        <w:tc>
          <w:tcPr>
            <w:tcW w:w="1079" w:type="dxa"/>
            <w:vMerge/>
            <w:tcBorders>
              <w:top w:val="nil"/>
              <w:left w:val="single" w:sz="4" w:space="0" w:color="auto"/>
              <w:bottom w:val="single" w:sz="4" w:space="0" w:color="auto"/>
              <w:right w:val="single" w:sz="4" w:space="0" w:color="auto"/>
            </w:tcBorders>
            <w:vAlign w:val="center"/>
            <w:hideMark/>
          </w:tcPr>
          <w:p w:rsidR="00D85825" w:rsidRPr="00D85825" w:rsidRDefault="00D85825" w:rsidP="00D85825">
            <w:pPr>
              <w:suppressAutoHyphens w:val="0"/>
              <w:rPr>
                <w:rFonts w:cs="Arial"/>
                <w:noProof w:val="0"/>
                <w:color w:val="000000"/>
                <w:sz w:val="18"/>
                <w:szCs w:val="18"/>
                <w:lang w:eastAsia="cs-CZ"/>
              </w:rPr>
            </w:pPr>
          </w:p>
        </w:tc>
        <w:tc>
          <w:tcPr>
            <w:tcW w:w="1134" w:type="dxa"/>
            <w:vMerge/>
            <w:tcBorders>
              <w:top w:val="nil"/>
              <w:left w:val="single" w:sz="4" w:space="0" w:color="auto"/>
              <w:bottom w:val="single" w:sz="4" w:space="0" w:color="auto"/>
              <w:right w:val="single" w:sz="4" w:space="0" w:color="auto"/>
            </w:tcBorders>
            <w:vAlign w:val="center"/>
            <w:hideMark/>
          </w:tcPr>
          <w:p w:rsidR="00D85825" w:rsidRPr="00D85825" w:rsidRDefault="00D85825" w:rsidP="00D85825">
            <w:pPr>
              <w:suppressAutoHyphens w:val="0"/>
              <w:rPr>
                <w:rFonts w:cs="Arial"/>
                <w:noProof w:val="0"/>
                <w:color w:val="000000"/>
                <w:sz w:val="18"/>
                <w:szCs w:val="18"/>
                <w:lang w:eastAsia="cs-CZ"/>
              </w:rPr>
            </w:pPr>
          </w:p>
        </w:tc>
        <w:tc>
          <w:tcPr>
            <w:tcW w:w="1100" w:type="dxa"/>
            <w:vMerge/>
            <w:tcBorders>
              <w:top w:val="nil"/>
              <w:left w:val="single" w:sz="4" w:space="0" w:color="auto"/>
              <w:bottom w:val="single" w:sz="4" w:space="0" w:color="auto"/>
              <w:right w:val="single" w:sz="4" w:space="0" w:color="auto"/>
            </w:tcBorders>
            <w:vAlign w:val="center"/>
            <w:hideMark/>
          </w:tcPr>
          <w:p w:rsidR="00D85825" w:rsidRPr="00D85825" w:rsidRDefault="00D85825" w:rsidP="00D85825">
            <w:pPr>
              <w:suppressAutoHyphens w:val="0"/>
              <w:rPr>
                <w:rFonts w:cs="Arial"/>
                <w:noProof w:val="0"/>
                <w:color w:val="000000"/>
                <w:sz w:val="18"/>
                <w:szCs w:val="18"/>
                <w:lang w:eastAsia="cs-CZ"/>
              </w:rPr>
            </w:pP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rPr>
                <w:rFonts w:cs="Arial"/>
                <w:bCs/>
                <w:noProof w:val="0"/>
                <w:color w:val="000000"/>
                <w:sz w:val="18"/>
                <w:szCs w:val="18"/>
                <w:lang w:eastAsia="cs-CZ"/>
              </w:rPr>
            </w:pPr>
            <w:r w:rsidRPr="00D85825">
              <w:rPr>
                <w:rFonts w:cs="Arial"/>
                <w:bCs/>
                <w:noProof w:val="0"/>
                <w:color w:val="000000"/>
                <w:sz w:val="18"/>
                <w:szCs w:val="18"/>
                <w:lang w:eastAsia="cs-CZ"/>
              </w:rPr>
              <w:t>Česká republika</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84,2</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8,6</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61,7</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29,2</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76,0</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20,3</w:t>
            </w:r>
          </w:p>
        </w:tc>
      </w:tr>
      <w:tr w:rsidR="00D85825" w:rsidRPr="00D85825" w:rsidTr="00D85825">
        <w:trPr>
          <w:trHeight w:val="255"/>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Hlavní město Praha</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89,1</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0,6</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62,9</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24,6</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92,7</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4,5</w:t>
            </w:r>
          </w:p>
        </w:tc>
      </w:tr>
      <w:tr w:rsidR="00D85825" w:rsidRPr="00D85825" w:rsidTr="00D85825">
        <w:trPr>
          <w:trHeight w:val="255"/>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Středočeský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73,3</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18,1</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48,4</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41,4</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68,7</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26,7</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Jihočeský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83,4</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10,4</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38,7</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51,3</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78,6</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18,4</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Plzeňský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77,7</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15,2</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60,6</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30,2</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74,2</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21,1</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Karlovarský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86,1</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4,3</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62,3</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24,6</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85,6</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11,2</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Ústecký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88,6</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2,8</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61,8</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26,8</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81,2</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15,0</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Liberecký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84,3</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7,9</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47,1</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41,8</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66,4</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27,0</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Královéhradecký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82,6</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10,9</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50,2</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40,8</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68,4</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25,3</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Pardubický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87,6</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6,7</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62,1</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30,9</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66,6</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28,7</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Kraj Vysočina</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83,8</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11,1</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56,7</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36,8</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70,8</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25,7</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Jihomoravský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86,8</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6,5</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77,4</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15,5</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81,3</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16,4</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Olomoucký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81,7</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12,3</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69,8</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23,3</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74,8</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22,2</w:t>
            </w:r>
          </w:p>
        </w:tc>
      </w:tr>
      <w:tr w:rsidR="00D85825" w:rsidRPr="00D85825" w:rsidTr="00D85825">
        <w:trPr>
          <w:trHeight w:val="240"/>
          <w:jc w:val="center"/>
        </w:trPr>
        <w:tc>
          <w:tcPr>
            <w:tcW w:w="2228" w:type="dxa"/>
            <w:tcBorders>
              <w:top w:val="nil"/>
              <w:left w:val="single" w:sz="4" w:space="0" w:color="auto"/>
              <w:bottom w:val="nil"/>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Zlínský kraj</w:t>
            </w:r>
          </w:p>
        </w:tc>
        <w:tc>
          <w:tcPr>
            <w:tcW w:w="992"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81,6</w:t>
            </w:r>
          </w:p>
        </w:tc>
        <w:tc>
          <w:tcPr>
            <w:tcW w:w="993"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12,4</w:t>
            </w:r>
          </w:p>
        </w:tc>
        <w:tc>
          <w:tcPr>
            <w:tcW w:w="1047"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68,5</w:t>
            </w:r>
          </w:p>
        </w:tc>
        <w:tc>
          <w:tcPr>
            <w:tcW w:w="1079"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25,1</w:t>
            </w:r>
          </w:p>
        </w:tc>
        <w:tc>
          <w:tcPr>
            <w:tcW w:w="1134"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74,9</w:t>
            </w:r>
          </w:p>
        </w:tc>
        <w:tc>
          <w:tcPr>
            <w:tcW w:w="1100" w:type="dxa"/>
            <w:tcBorders>
              <w:top w:val="nil"/>
              <w:left w:val="nil"/>
              <w:bottom w:val="nil"/>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21,9</w:t>
            </w:r>
          </w:p>
        </w:tc>
      </w:tr>
      <w:tr w:rsidR="00D85825" w:rsidRPr="00D85825" w:rsidTr="008103D6">
        <w:trPr>
          <w:trHeight w:val="111"/>
          <w:jc w:val="center"/>
        </w:trPr>
        <w:tc>
          <w:tcPr>
            <w:tcW w:w="2228" w:type="dxa"/>
            <w:tcBorders>
              <w:top w:val="nil"/>
              <w:left w:val="single" w:sz="4" w:space="0" w:color="auto"/>
              <w:bottom w:val="single" w:sz="4" w:space="0" w:color="auto"/>
              <w:right w:val="single" w:sz="4" w:space="0" w:color="auto"/>
            </w:tcBorders>
            <w:shd w:val="clear" w:color="auto" w:fill="auto"/>
            <w:noWrap/>
            <w:vAlign w:val="bottom"/>
            <w:hideMark/>
          </w:tcPr>
          <w:p w:rsidR="00D85825" w:rsidRPr="00D85825" w:rsidRDefault="00D85825" w:rsidP="00D85825">
            <w:pPr>
              <w:suppressAutoHyphens w:val="0"/>
              <w:ind w:firstLineChars="100" w:firstLine="180"/>
              <w:rPr>
                <w:rFonts w:cs="Arial"/>
                <w:noProof w:val="0"/>
                <w:color w:val="000000"/>
                <w:sz w:val="18"/>
                <w:szCs w:val="18"/>
                <w:lang w:eastAsia="cs-CZ"/>
              </w:rPr>
            </w:pPr>
            <w:r w:rsidRPr="00D85825">
              <w:rPr>
                <w:rFonts w:cs="Arial"/>
                <w:noProof w:val="0"/>
                <w:color w:val="000000"/>
                <w:sz w:val="18"/>
                <w:szCs w:val="18"/>
                <w:lang w:eastAsia="cs-CZ"/>
              </w:rPr>
              <w:t>Moravskoslezský kraj</w:t>
            </w:r>
          </w:p>
        </w:tc>
        <w:tc>
          <w:tcPr>
            <w:tcW w:w="992" w:type="dxa"/>
            <w:tcBorders>
              <w:top w:val="nil"/>
              <w:left w:val="nil"/>
              <w:bottom w:val="single" w:sz="4" w:space="0" w:color="auto"/>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89,8</w:t>
            </w:r>
          </w:p>
        </w:tc>
        <w:tc>
          <w:tcPr>
            <w:tcW w:w="993" w:type="dxa"/>
            <w:tcBorders>
              <w:top w:val="nil"/>
              <w:left w:val="nil"/>
              <w:bottom w:val="single" w:sz="4" w:space="0" w:color="auto"/>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4,6</w:t>
            </w:r>
          </w:p>
        </w:tc>
        <w:tc>
          <w:tcPr>
            <w:tcW w:w="1047" w:type="dxa"/>
            <w:tcBorders>
              <w:top w:val="nil"/>
              <w:left w:val="nil"/>
              <w:bottom w:val="single" w:sz="4" w:space="0" w:color="auto"/>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76,5</w:t>
            </w:r>
          </w:p>
        </w:tc>
        <w:tc>
          <w:tcPr>
            <w:tcW w:w="1079" w:type="dxa"/>
            <w:tcBorders>
              <w:top w:val="nil"/>
              <w:left w:val="nil"/>
              <w:bottom w:val="single" w:sz="4" w:space="0" w:color="auto"/>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16,4</w:t>
            </w:r>
          </w:p>
        </w:tc>
        <w:tc>
          <w:tcPr>
            <w:tcW w:w="1134" w:type="dxa"/>
            <w:tcBorders>
              <w:top w:val="nil"/>
              <w:left w:val="nil"/>
              <w:bottom w:val="single" w:sz="4" w:space="0" w:color="auto"/>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69,4</w:t>
            </w:r>
          </w:p>
        </w:tc>
        <w:tc>
          <w:tcPr>
            <w:tcW w:w="1100" w:type="dxa"/>
            <w:tcBorders>
              <w:top w:val="nil"/>
              <w:left w:val="nil"/>
              <w:bottom w:val="single" w:sz="4" w:space="0" w:color="auto"/>
              <w:right w:val="single" w:sz="4" w:space="0" w:color="auto"/>
            </w:tcBorders>
            <w:shd w:val="clear" w:color="auto" w:fill="auto"/>
            <w:noWrap/>
            <w:vAlign w:val="bottom"/>
            <w:hideMark/>
          </w:tcPr>
          <w:p w:rsidR="00D85825" w:rsidRPr="00D85825" w:rsidRDefault="00D85825" w:rsidP="00D85825">
            <w:pPr>
              <w:suppressAutoHyphens w:val="0"/>
              <w:jc w:val="right"/>
              <w:rPr>
                <w:rFonts w:cs="Arial"/>
                <w:noProof w:val="0"/>
                <w:color w:val="000000"/>
                <w:sz w:val="18"/>
                <w:szCs w:val="18"/>
                <w:lang w:eastAsia="cs-CZ"/>
              </w:rPr>
            </w:pPr>
            <w:r w:rsidRPr="00D85825">
              <w:rPr>
                <w:rFonts w:cs="Arial"/>
                <w:noProof w:val="0"/>
                <w:color w:val="000000"/>
                <w:sz w:val="18"/>
                <w:szCs w:val="18"/>
                <w:lang w:eastAsia="cs-CZ"/>
              </w:rPr>
              <w:t>27,5</w:t>
            </w:r>
          </w:p>
        </w:tc>
      </w:tr>
    </w:tbl>
    <w:p w:rsidR="00D85825" w:rsidRDefault="00D85825" w:rsidP="00B93AE1">
      <w:pPr>
        <w:pStyle w:val="Normln-web"/>
        <w:spacing w:before="0" w:line="276" w:lineRule="auto"/>
        <w:rPr>
          <w:sz w:val="20"/>
          <w:szCs w:val="20"/>
        </w:rPr>
      </w:pPr>
    </w:p>
    <w:p w:rsidR="00D85825" w:rsidRDefault="00D85825" w:rsidP="00B93AE1">
      <w:pPr>
        <w:pStyle w:val="Normln-web"/>
        <w:spacing w:before="0" w:line="276" w:lineRule="auto"/>
        <w:rPr>
          <w:sz w:val="20"/>
          <w:szCs w:val="20"/>
        </w:rPr>
      </w:pPr>
    </w:p>
    <w:bookmarkEnd w:id="0"/>
    <w:p w:rsidR="00E80801" w:rsidRDefault="00DB1E5E" w:rsidP="008103D6">
      <w:pPr>
        <w:pStyle w:val="Nadpis1a"/>
        <w:spacing w:before="0" w:after="0" w:line="276" w:lineRule="auto"/>
        <w:rPr>
          <w:b w:val="0"/>
          <w:i w:val="0"/>
          <w:sz w:val="20"/>
          <w:szCs w:val="20"/>
        </w:rPr>
      </w:pPr>
      <w:r>
        <w:rPr>
          <w:b w:val="0"/>
          <w:i w:val="0"/>
          <w:sz w:val="20"/>
          <w:szCs w:val="20"/>
        </w:rPr>
        <w:t xml:space="preserve">Pro většinu osob bydlících v bytě platilo, že </w:t>
      </w:r>
      <w:r w:rsidR="00E06791">
        <w:rPr>
          <w:b w:val="0"/>
          <w:i w:val="0"/>
          <w:sz w:val="20"/>
          <w:szCs w:val="20"/>
        </w:rPr>
        <w:t xml:space="preserve">žily </w:t>
      </w:r>
      <w:r>
        <w:rPr>
          <w:b w:val="0"/>
          <w:i w:val="0"/>
          <w:sz w:val="20"/>
          <w:szCs w:val="20"/>
        </w:rPr>
        <w:t xml:space="preserve">v bytě </w:t>
      </w:r>
      <w:r w:rsidR="00E06791">
        <w:rPr>
          <w:b w:val="0"/>
          <w:i w:val="0"/>
          <w:sz w:val="20"/>
          <w:szCs w:val="20"/>
        </w:rPr>
        <w:t>v rámci</w:t>
      </w:r>
      <w:r>
        <w:rPr>
          <w:b w:val="0"/>
          <w:i w:val="0"/>
          <w:sz w:val="20"/>
          <w:szCs w:val="20"/>
        </w:rPr>
        <w:t xml:space="preserve"> pouze jedin</w:t>
      </w:r>
      <w:r w:rsidR="00E06791">
        <w:rPr>
          <w:b w:val="0"/>
          <w:i w:val="0"/>
          <w:sz w:val="20"/>
          <w:szCs w:val="20"/>
        </w:rPr>
        <w:t>é</w:t>
      </w:r>
      <w:r>
        <w:rPr>
          <w:b w:val="0"/>
          <w:i w:val="0"/>
          <w:sz w:val="20"/>
          <w:szCs w:val="20"/>
        </w:rPr>
        <w:t xml:space="preserve"> hospodařící domácnost</w:t>
      </w:r>
      <w:r w:rsidR="00E06791">
        <w:rPr>
          <w:b w:val="0"/>
          <w:i w:val="0"/>
          <w:sz w:val="20"/>
          <w:szCs w:val="20"/>
        </w:rPr>
        <w:t>i</w:t>
      </w:r>
      <w:r>
        <w:rPr>
          <w:b w:val="0"/>
          <w:i w:val="0"/>
          <w:sz w:val="20"/>
          <w:szCs w:val="20"/>
        </w:rPr>
        <w:t xml:space="preserve">. </w:t>
      </w:r>
      <w:r w:rsidR="008A0C74">
        <w:rPr>
          <w:b w:val="0"/>
          <w:i w:val="0"/>
          <w:sz w:val="20"/>
          <w:szCs w:val="20"/>
        </w:rPr>
        <w:t>Jen</w:t>
      </w:r>
      <w:r>
        <w:rPr>
          <w:b w:val="0"/>
          <w:i w:val="0"/>
          <w:sz w:val="20"/>
          <w:szCs w:val="20"/>
        </w:rPr>
        <w:t xml:space="preserve"> 8,4 % (absolutně 857 tisíc osob) žilo v bytech obydlených dvěma nebo více domácnost</w:t>
      </w:r>
      <w:r w:rsidR="00100BE2">
        <w:rPr>
          <w:b w:val="0"/>
          <w:i w:val="0"/>
          <w:sz w:val="20"/>
          <w:szCs w:val="20"/>
        </w:rPr>
        <w:t>m</w:t>
      </w:r>
      <w:r>
        <w:rPr>
          <w:b w:val="0"/>
          <w:i w:val="0"/>
          <w:sz w:val="20"/>
          <w:szCs w:val="20"/>
        </w:rPr>
        <w:t>i. Nejčastěji bylo zastoupeno spolubydlení jednotlivce a jedné rodiny a spolubydlení dvou úplných rodin. Pouhých 1,2 % osob (124 tis. osob) bydlelo</w:t>
      </w:r>
      <w:r w:rsidRPr="00DB1E5E">
        <w:rPr>
          <w:b w:val="0"/>
          <w:i w:val="0"/>
          <w:sz w:val="20"/>
          <w:szCs w:val="20"/>
        </w:rPr>
        <w:t xml:space="preserve"> </w:t>
      </w:r>
      <w:r>
        <w:rPr>
          <w:b w:val="0"/>
          <w:i w:val="0"/>
          <w:sz w:val="20"/>
          <w:szCs w:val="20"/>
        </w:rPr>
        <w:t>v bytech, ve kterých žily společně 3 a více hospodařících domácností.</w:t>
      </w:r>
    </w:p>
    <w:p w:rsidR="008103D6" w:rsidRPr="008103D6" w:rsidRDefault="008103D6" w:rsidP="008103D6">
      <w:pPr>
        <w:pStyle w:val="Normln-web"/>
      </w:pPr>
    </w:p>
    <w:p w:rsidR="00830A13" w:rsidRDefault="00830A13" w:rsidP="008103D6">
      <w:pPr>
        <w:pStyle w:val="Nadpis1a"/>
        <w:spacing w:before="0" w:after="0" w:line="276" w:lineRule="auto"/>
        <w:rPr>
          <w:b w:val="0"/>
          <w:i w:val="0"/>
          <w:sz w:val="20"/>
          <w:szCs w:val="20"/>
        </w:rPr>
      </w:pPr>
      <w:r>
        <w:rPr>
          <w:b w:val="0"/>
          <w:i w:val="0"/>
          <w:sz w:val="20"/>
          <w:szCs w:val="20"/>
        </w:rPr>
        <w:t xml:space="preserve">Z hlediska zalidněnosti bytu nejvyšší podíly bydlících osob připadly na byty se 2, 3 nebo 4 osobami. Zastoupení bylo velmi vyrovnané mezi 22 a 25 %. </w:t>
      </w:r>
      <w:r w:rsidR="00100BE2">
        <w:rPr>
          <w:b w:val="0"/>
          <w:i w:val="0"/>
          <w:sz w:val="20"/>
          <w:szCs w:val="20"/>
        </w:rPr>
        <w:t>Jako j</w:t>
      </w:r>
      <w:r>
        <w:rPr>
          <w:b w:val="0"/>
          <w:i w:val="0"/>
          <w:sz w:val="20"/>
          <w:szCs w:val="20"/>
        </w:rPr>
        <w:t xml:space="preserve">ediná osoba v bytě </w:t>
      </w:r>
      <w:r w:rsidR="00100BE2">
        <w:rPr>
          <w:b w:val="0"/>
          <w:i w:val="0"/>
          <w:sz w:val="20"/>
          <w:szCs w:val="20"/>
        </w:rPr>
        <w:t>žilo</w:t>
      </w:r>
      <w:r>
        <w:rPr>
          <w:b w:val="0"/>
          <w:i w:val="0"/>
          <w:sz w:val="20"/>
          <w:szCs w:val="20"/>
        </w:rPr>
        <w:t xml:space="preserve"> 12 % </w:t>
      </w:r>
      <w:r w:rsidR="00100BE2">
        <w:rPr>
          <w:b w:val="0"/>
          <w:i w:val="0"/>
          <w:sz w:val="20"/>
          <w:szCs w:val="20"/>
        </w:rPr>
        <w:t>osob</w:t>
      </w:r>
      <w:r>
        <w:rPr>
          <w:b w:val="0"/>
          <w:i w:val="0"/>
          <w:sz w:val="20"/>
          <w:szCs w:val="20"/>
        </w:rPr>
        <w:t xml:space="preserve">, většinou </w:t>
      </w:r>
      <w:r w:rsidR="00100BE2">
        <w:rPr>
          <w:b w:val="0"/>
          <w:i w:val="0"/>
          <w:sz w:val="20"/>
          <w:szCs w:val="20"/>
        </w:rPr>
        <w:t>to byli</w:t>
      </w:r>
      <w:r>
        <w:rPr>
          <w:b w:val="0"/>
          <w:i w:val="0"/>
          <w:sz w:val="20"/>
          <w:szCs w:val="20"/>
        </w:rPr>
        <w:t xml:space="preserve"> </w:t>
      </w:r>
      <w:r w:rsidR="00100BE2">
        <w:rPr>
          <w:b w:val="0"/>
          <w:i w:val="0"/>
          <w:sz w:val="20"/>
          <w:szCs w:val="20"/>
        </w:rPr>
        <w:t>senioři</w:t>
      </w:r>
      <w:r>
        <w:rPr>
          <w:b w:val="0"/>
          <w:i w:val="0"/>
          <w:sz w:val="20"/>
          <w:szCs w:val="20"/>
        </w:rPr>
        <w:t>.</w:t>
      </w:r>
    </w:p>
    <w:p w:rsidR="00830A13" w:rsidRDefault="00830A13">
      <w:pPr>
        <w:suppressAutoHyphens w:val="0"/>
        <w:rPr>
          <w:rFonts w:cs="Arial"/>
          <w:b/>
          <w:bCs/>
          <w:noProof w:val="0"/>
          <w:kern w:val="32"/>
          <w:sz w:val="24"/>
          <w:lang w:eastAsia="cs-CZ"/>
        </w:rPr>
      </w:pPr>
      <w:r>
        <w:rPr>
          <w:i/>
          <w:sz w:val="24"/>
        </w:rPr>
        <w:br w:type="page"/>
      </w:r>
    </w:p>
    <w:p w:rsidR="0051354C" w:rsidRPr="0000699C" w:rsidRDefault="00341839" w:rsidP="00433AF9">
      <w:pPr>
        <w:pStyle w:val="Nadpis1a"/>
        <w:spacing w:line="276" w:lineRule="auto"/>
        <w:ind w:left="851" w:hanging="851"/>
        <w:rPr>
          <w:i w:val="0"/>
          <w:sz w:val="24"/>
          <w:szCs w:val="24"/>
        </w:rPr>
      </w:pPr>
      <w:r w:rsidRPr="009966B7">
        <w:rPr>
          <w:i w:val="0"/>
          <w:sz w:val="24"/>
          <w:szCs w:val="24"/>
        </w:rPr>
        <w:lastRenderedPageBreak/>
        <w:t>4.</w:t>
      </w:r>
      <w:r w:rsidRPr="009966B7">
        <w:rPr>
          <w:i w:val="0"/>
          <w:sz w:val="24"/>
          <w:szCs w:val="24"/>
        </w:rPr>
        <w:tab/>
      </w:r>
      <w:r w:rsidR="0051354C" w:rsidRPr="00797BC3">
        <w:rPr>
          <w:i w:val="0"/>
          <w:sz w:val="24"/>
          <w:szCs w:val="24"/>
        </w:rPr>
        <w:t>Osoby</w:t>
      </w:r>
      <w:r w:rsidR="0051354C" w:rsidRPr="0000699C">
        <w:rPr>
          <w:i w:val="0"/>
          <w:sz w:val="24"/>
          <w:szCs w:val="24"/>
        </w:rPr>
        <w:t xml:space="preserve"> </w:t>
      </w:r>
      <w:r w:rsidR="004F4C67">
        <w:rPr>
          <w:i w:val="0"/>
          <w:sz w:val="24"/>
          <w:szCs w:val="24"/>
        </w:rPr>
        <w:t xml:space="preserve">bydlící </w:t>
      </w:r>
      <w:r w:rsidR="0051354C" w:rsidRPr="0000699C">
        <w:rPr>
          <w:i w:val="0"/>
          <w:sz w:val="24"/>
          <w:szCs w:val="24"/>
        </w:rPr>
        <w:t>v zařízeních</w:t>
      </w:r>
    </w:p>
    <w:p w:rsidR="0051354C" w:rsidRDefault="0051354C" w:rsidP="0051354C">
      <w:pPr>
        <w:rPr>
          <w:szCs w:val="20"/>
        </w:rPr>
      </w:pPr>
    </w:p>
    <w:p w:rsidR="0051354C" w:rsidRPr="00217930" w:rsidRDefault="0060534A" w:rsidP="0000699C">
      <w:pPr>
        <w:autoSpaceDE w:val="0"/>
        <w:autoSpaceDN w:val="0"/>
        <w:adjustRightInd w:val="0"/>
        <w:spacing w:line="276" w:lineRule="auto"/>
        <w:jc w:val="both"/>
        <w:rPr>
          <w:sz w:val="20"/>
          <w:szCs w:val="20"/>
        </w:rPr>
      </w:pPr>
      <w:r w:rsidRPr="00217930">
        <w:rPr>
          <w:rFonts w:cs="Arial"/>
          <w:sz w:val="20"/>
          <w:szCs w:val="20"/>
        </w:rPr>
        <w:t>Ubytování v zařízení nesplňuje parametry bydlení v</w:t>
      </w:r>
      <w:r w:rsidR="00100B0F" w:rsidRPr="00217930">
        <w:rPr>
          <w:rFonts w:cs="Arial"/>
          <w:sz w:val="20"/>
          <w:szCs w:val="20"/>
        </w:rPr>
        <w:t> </w:t>
      </w:r>
      <w:r w:rsidRPr="00217930">
        <w:rPr>
          <w:rFonts w:cs="Arial"/>
          <w:sz w:val="20"/>
          <w:szCs w:val="20"/>
        </w:rPr>
        <w:t>bytech</w:t>
      </w:r>
      <w:r w:rsidR="00100B0F" w:rsidRPr="00217930">
        <w:rPr>
          <w:rFonts w:cs="Arial"/>
          <w:sz w:val="20"/>
          <w:szCs w:val="20"/>
        </w:rPr>
        <w:t>, naopak poskytuje bydlícím osobám některé služby</w:t>
      </w:r>
      <w:r w:rsidRPr="00217930">
        <w:rPr>
          <w:rFonts w:cs="Arial"/>
          <w:sz w:val="20"/>
          <w:szCs w:val="20"/>
        </w:rPr>
        <w:t xml:space="preserve">. </w:t>
      </w:r>
      <w:r w:rsidR="00774640" w:rsidRPr="00217930">
        <w:rPr>
          <w:rFonts w:cs="Arial"/>
          <w:sz w:val="20"/>
          <w:szCs w:val="20"/>
        </w:rPr>
        <w:t>Celkem bylo k 26.</w:t>
      </w:r>
      <w:r w:rsidR="00E06791">
        <w:rPr>
          <w:rFonts w:cs="Arial"/>
          <w:sz w:val="20"/>
          <w:szCs w:val="20"/>
        </w:rPr>
        <w:t xml:space="preserve"> </w:t>
      </w:r>
      <w:r w:rsidR="00774640" w:rsidRPr="00217930">
        <w:rPr>
          <w:rFonts w:cs="Arial"/>
          <w:sz w:val="20"/>
          <w:szCs w:val="20"/>
        </w:rPr>
        <w:t>3.</w:t>
      </w:r>
      <w:r w:rsidR="00E06791">
        <w:rPr>
          <w:rFonts w:cs="Arial"/>
          <w:sz w:val="20"/>
          <w:szCs w:val="20"/>
        </w:rPr>
        <w:t xml:space="preserve"> </w:t>
      </w:r>
      <w:r w:rsidR="00774640" w:rsidRPr="00217930">
        <w:rPr>
          <w:rFonts w:cs="Arial"/>
          <w:sz w:val="20"/>
          <w:szCs w:val="20"/>
        </w:rPr>
        <w:t xml:space="preserve">2011 ve všech typech zařízení sečteno </w:t>
      </w:r>
      <w:r w:rsidR="00774640" w:rsidRPr="00217930">
        <w:rPr>
          <w:sz w:val="20"/>
          <w:szCs w:val="20"/>
        </w:rPr>
        <w:t>194 456 osob.</w:t>
      </w:r>
    </w:p>
    <w:p w:rsidR="00774640" w:rsidRPr="00217930" w:rsidRDefault="00774640" w:rsidP="0000699C">
      <w:pPr>
        <w:jc w:val="both"/>
        <w:rPr>
          <w:sz w:val="20"/>
          <w:szCs w:val="20"/>
        </w:rPr>
      </w:pPr>
    </w:p>
    <w:p w:rsidR="007E70B2" w:rsidRPr="00217930" w:rsidRDefault="0051354C" w:rsidP="0000699C">
      <w:pPr>
        <w:autoSpaceDE w:val="0"/>
        <w:autoSpaceDN w:val="0"/>
        <w:adjustRightInd w:val="0"/>
        <w:spacing w:line="276" w:lineRule="auto"/>
        <w:jc w:val="both"/>
        <w:rPr>
          <w:rFonts w:cs="Arial"/>
          <w:sz w:val="20"/>
          <w:szCs w:val="20"/>
        </w:rPr>
      </w:pPr>
      <w:r w:rsidRPr="00217930">
        <w:rPr>
          <w:sz w:val="20"/>
          <w:szCs w:val="20"/>
        </w:rPr>
        <w:t>Osoby v zařízeních netvoř</w:t>
      </w:r>
      <w:r w:rsidR="006A31EB" w:rsidRPr="00217930">
        <w:rPr>
          <w:sz w:val="20"/>
          <w:szCs w:val="20"/>
        </w:rPr>
        <w:t>ily</w:t>
      </w:r>
      <w:r w:rsidRPr="00217930">
        <w:rPr>
          <w:sz w:val="20"/>
          <w:szCs w:val="20"/>
        </w:rPr>
        <w:t xml:space="preserve"> homogenní skupinu, kterou by bylo možné popsat společnými charakteristikami. Základní třídění osob v zařízení </w:t>
      </w:r>
      <w:r w:rsidR="00D7658E" w:rsidRPr="00217930">
        <w:rPr>
          <w:sz w:val="20"/>
          <w:szCs w:val="20"/>
        </w:rPr>
        <w:t>se odvíjí od</w:t>
      </w:r>
      <w:r w:rsidRPr="00217930">
        <w:rPr>
          <w:sz w:val="20"/>
          <w:szCs w:val="20"/>
        </w:rPr>
        <w:t xml:space="preserve"> druhu zařízení</w:t>
      </w:r>
      <w:r w:rsidR="00D7658E" w:rsidRPr="00217930">
        <w:rPr>
          <w:sz w:val="20"/>
          <w:szCs w:val="20"/>
        </w:rPr>
        <w:t xml:space="preserve">, </w:t>
      </w:r>
      <w:r w:rsidRPr="00217930">
        <w:rPr>
          <w:sz w:val="20"/>
          <w:szCs w:val="20"/>
        </w:rPr>
        <w:t xml:space="preserve">ne ve všech případech </w:t>
      </w:r>
      <w:r w:rsidR="0047261A" w:rsidRPr="00217930">
        <w:rPr>
          <w:sz w:val="20"/>
          <w:szCs w:val="20"/>
        </w:rPr>
        <w:t>byl</w:t>
      </w:r>
      <w:r w:rsidRPr="00217930">
        <w:rPr>
          <w:sz w:val="20"/>
          <w:szCs w:val="20"/>
        </w:rPr>
        <w:t xml:space="preserve"> ale druh zařízení zjištěn. </w:t>
      </w:r>
      <w:r w:rsidR="008C4593" w:rsidRPr="00217930">
        <w:rPr>
          <w:sz w:val="20"/>
          <w:szCs w:val="20"/>
        </w:rPr>
        <w:t>Z</w:t>
      </w:r>
      <w:r w:rsidR="008C4593" w:rsidRPr="00217930">
        <w:rPr>
          <w:rFonts w:cs="Arial"/>
          <w:sz w:val="20"/>
          <w:szCs w:val="20"/>
        </w:rPr>
        <w:t xml:space="preserve">působ provedení cenzu </w:t>
      </w:r>
      <w:r w:rsidR="0047261A" w:rsidRPr="00217930">
        <w:rPr>
          <w:rFonts w:cs="Arial"/>
          <w:sz w:val="20"/>
          <w:szCs w:val="20"/>
        </w:rPr>
        <w:t xml:space="preserve">ho </w:t>
      </w:r>
      <w:r w:rsidR="008C4593" w:rsidRPr="00217930">
        <w:rPr>
          <w:rFonts w:cs="Arial"/>
          <w:sz w:val="20"/>
          <w:szCs w:val="20"/>
        </w:rPr>
        <w:t xml:space="preserve">umožnil určit pouze v případě, kdy bylo </w:t>
      </w:r>
      <w:r w:rsidR="0047261A" w:rsidRPr="00217930">
        <w:rPr>
          <w:rFonts w:cs="Arial"/>
          <w:sz w:val="20"/>
          <w:szCs w:val="20"/>
        </w:rPr>
        <w:t xml:space="preserve">zařízení </w:t>
      </w:r>
      <w:r w:rsidR="008C4593" w:rsidRPr="00217930">
        <w:rPr>
          <w:rFonts w:cs="Arial"/>
          <w:sz w:val="20"/>
          <w:szCs w:val="20"/>
        </w:rPr>
        <w:t>současně druhem domu</w:t>
      </w:r>
      <w:r w:rsidR="00F709AC" w:rsidRPr="00217930">
        <w:rPr>
          <w:rFonts w:cs="Arial"/>
          <w:sz w:val="20"/>
          <w:szCs w:val="20"/>
        </w:rPr>
        <w:t>.</w:t>
      </w:r>
      <w:r w:rsidR="007E70B2" w:rsidRPr="00217930">
        <w:rPr>
          <w:rFonts w:cs="Arial"/>
          <w:sz w:val="20"/>
          <w:szCs w:val="20"/>
        </w:rPr>
        <w:t xml:space="preserve"> Kromě </w:t>
      </w:r>
      <w:r w:rsidR="0047261A" w:rsidRPr="00217930">
        <w:rPr>
          <w:rFonts w:cs="Arial"/>
          <w:sz w:val="20"/>
          <w:szCs w:val="20"/>
        </w:rPr>
        <w:t>druhu domu typu</w:t>
      </w:r>
      <w:r w:rsidR="007E70B2" w:rsidRPr="00217930">
        <w:rPr>
          <w:rFonts w:cs="Arial"/>
          <w:sz w:val="20"/>
          <w:szCs w:val="20"/>
        </w:rPr>
        <w:t xml:space="preserve"> domovů pro seniory, ubytoven, domovů mládeže, klášterů a konventů nebo </w:t>
      </w:r>
      <w:r w:rsidR="00E06791">
        <w:rPr>
          <w:rFonts w:cs="Arial"/>
          <w:sz w:val="20"/>
          <w:szCs w:val="20"/>
        </w:rPr>
        <w:t>zařízení so</w:t>
      </w:r>
      <w:r w:rsidR="0060534A" w:rsidRPr="00217930">
        <w:rPr>
          <w:rFonts w:cs="Arial"/>
          <w:sz w:val="20"/>
          <w:szCs w:val="20"/>
        </w:rPr>
        <w:t xml:space="preserve">ciálních služeb, </w:t>
      </w:r>
      <w:r w:rsidR="007E70B2" w:rsidRPr="00217930">
        <w:rPr>
          <w:rFonts w:cs="Arial"/>
          <w:sz w:val="20"/>
          <w:szCs w:val="20"/>
        </w:rPr>
        <w:t xml:space="preserve">byly </w:t>
      </w:r>
      <w:r w:rsidR="0060534A" w:rsidRPr="00217930">
        <w:rPr>
          <w:rFonts w:cs="Arial"/>
          <w:sz w:val="20"/>
          <w:szCs w:val="20"/>
        </w:rPr>
        <w:t>sečteny</w:t>
      </w:r>
      <w:r w:rsidR="007E70B2" w:rsidRPr="00217930">
        <w:rPr>
          <w:rFonts w:cs="Arial"/>
          <w:sz w:val="20"/>
          <w:szCs w:val="20"/>
        </w:rPr>
        <w:t xml:space="preserve"> i osoby v zařízeních, která byla součástí jiných druhů domu. Např. tak </w:t>
      </w:r>
      <w:r w:rsidR="0060534A" w:rsidRPr="00217930">
        <w:rPr>
          <w:rFonts w:cs="Arial"/>
          <w:sz w:val="20"/>
          <w:szCs w:val="20"/>
        </w:rPr>
        <w:t>téměř pětina všech osob v zařízení (37,6</w:t>
      </w:r>
      <w:r w:rsidR="007E70B2" w:rsidRPr="00217930">
        <w:rPr>
          <w:rFonts w:cs="Arial"/>
          <w:sz w:val="20"/>
          <w:szCs w:val="20"/>
        </w:rPr>
        <w:t xml:space="preserve"> tis. osob</w:t>
      </w:r>
      <w:r w:rsidR="0060534A" w:rsidRPr="00217930">
        <w:rPr>
          <w:rFonts w:cs="Arial"/>
          <w:sz w:val="20"/>
          <w:szCs w:val="20"/>
        </w:rPr>
        <w:t>)</w:t>
      </w:r>
      <w:r w:rsidR="007E70B2" w:rsidRPr="00217930">
        <w:rPr>
          <w:rFonts w:cs="Arial"/>
          <w:sz w:val="20"/>
          <w:szCs w:val="20"/>
        </w:rPr>
        <w:t xml:space="preserve"> </w:t>
      </w:r>
      <w:r w:rsidR="0060534A" w:rsidRPr="00217930">
        <w:rPr>
          <w:rFonts w:cs="Arial"/>
          <w:sz w:val="20"/>
          <w:szCs w:val="20"/>
        </w:rPr>
        <w:t>připadla na obytné domy (zařízení bylo</w:t>
      </w:r>
      <w:r w:rsidR="007E70B2" w:rsidRPr="00217930">
        <w:rPr>
          <w:rFonts w:cs="Arial"/>
          <w:sz w:val="20"/>
          <w:szCs w:val="20"/>
        </w:rPr>
        <w:t xml:space="preserve"> </w:t>
      </w:r>
      <w:r w:rsidR="0060534A" w:rsidRPr="00217930">
        <w:rPr>
          <w:rFonts w:cs="Arial"/>
          <w:sz w:val="20"/>
          <w:szCs w:val="20"/>
        </w:rPr>
        <w:t xml:space="preserve">většinou </w:t>
      </w:r>
      <w:r w:rsidR="007E70B2" w:rsidRPr="00217930">
        <w:rPr>
          <w:rFonts w:cs="Arial"/>
          <w:sz w:val="20"/>
          <w:szCs w:val="20"/>
        </w:rPr>
        <w:t>součástí bytových domů</w:t>
      </w:r>
      <w:r w:rsidR="0047261A" w:rsidRPr="00217930">
        <w:rPr>
          <w:rFonts w:cs="Arial"/>
          <w:sz w:val="20"/>
          <w:szCs w:val="20"/>
        </w:rPr>
        <w:t>)</w:t>
      </w:r>
      <w:r w:rsidR="0060534A" w:rsidRPr="00217930">
        <w:rPr>
          <w:rFonts w:cs="Arial"/>
          <w:sz w:val="20"/>
          <w:szCs w:val="20"/>
        </w:rPr>
        <w:t>.</w:t>
      </w:r>
      <w:r w:rsidR="007E70B2" w:rsidRPr="00217930">
        <w:rPr>
          <w:rFonts w:cs="Arial"/>
          <w:b/>
          <w:bCs/>
          <w:sz w:val="20"/>
          <w:szCs w:val="20"/>
        </w:rPr>
        <w:t xml:space="preserve"> „Zařízením“ při sčítání se totiž rozuměl především způsob bydlení osob - </w:t>
      </w:r>
      <w:r w:rsidR="007E70B2" w:rsidRPr="00217930">
        <w:rPr>
          <w:rFonts w:cs="Arial"/>
          <w:sz w:val="20"/>
          <w:szCs w:val="20"/>
        </w:rPr>
        <w:t>odlišný od bydlení v bytech a mimo byty. Charakteristickým</w:t>
      </w:r>
      <w:r w:rsidR="00CE1BB5">
        <w:rPr>
          <w:rFonts w:cs="Arial"/>
          <w:sz w:val="20"/>
          <w:szCs w:val="20"/>
        </w:rPr>
        <w:t>i</w:t>
      </w:r>
      <w:r w:rsidR="007E70B2" w:rsidRPr="00217930">
        <w:rPr>
          <w:rFonts w:cs="Arial"/>
          <w:sz w:val="20"/>
          <w:szCs w:val="20"/>
        </w:rPr>
        <w:t xml:space="preserve"> rys</w:t>
      </w:r>
      <w:r w:rsidR="00CE1BB5">
        <w:rPr>
          <w:rFonts w:cs="Arial"/>
          <w:sz w:val="20"/>
          <w:szCs w:val="20"/>
        </w:rPr>
        <w:t>y</w:t>
      </w:r>
      <w:r w:rsidR="007E70B2" w:rsidRPr="00217930">
        <w:rPr>
          <w:rFonts w:cs="Arial"/>
          <w:sz w:val="20"/>
          <w:szCs w:val="20"/>
        </w:rPr>
        <w:t xml:space="preserve"> kromě společného bydlení (1, 2 nebo více osob bydlí např. společně v pokoji)</w:t>
      </w:r>
      <w:r w:rsidR="0060534A" w:rsidRPr="00217930">
        <w:rPr>
          <w:rFonts w:cs="Arial"/>
          <w:sz w:val="20"/>
          <w:szCs w:val="20"/>
        </w:rPr>
        <w:t xml:space="preserve"> </w:t>
      </w:r>
      <w:r w:rsidR="00CE1BB5">
        <w:rPr>
          <w:rFonts w:cs="Arial"/>
          <w:sz w:val="20"/>
          <w:szCs w:val="20"/>
        </w:rPr>
        <w:t>m</w:t>
      </w:r>
      <w:r w:rsidR="00407ED2">
        <w:rPr>
          <w:rFonts w:cs="Arial"/>
          <w:sz w:val="20"/>
          <w:szCs w:val="20"/>
        </w:rPr>
        <w:t>ůže</w:t>
      </w:r>
      <w:r w:rsidR="00CE1BB5">
        <w:rPr>
          <w:rFonts w:cs="Arial"/>
          <w:sz w:val="20"/>
          <w:szCs w:val="20"/>
        </w:rPr>
        <w:t xml:space="preserve"> být i </w:t>
      </w:r>
      <w:r w:rsidR="00CE1BB5" w:rsidRPr="00217930">
        <w:rPr>
          <w:rFonts w:cs="Arial"/>
          <w:sz w:val="20"/>
          <w:szCs w:val="20"/>
        </w:rPr>
        <w:t xml:space="preserve">společné vybavení </w:t>
      </w:r>
      <w:r w:rsidR="00CE1BB5">
        <w:rPr>
          <w:rFonts w:cs="Arial"/>
          <w:sz w:val="20"/>
          <w:szCs w:val="20"/>
        </w:rPr>
        <w:t>(např.</w:t>
      </w:r>
      <w:r w:rsidR="00CE1BB5" w:rsidRPr="00217930">
        <w:rPr>
          <w:rFonts w:cs="Arial"/>
          <w:sz w:val="20"/>
          <w:szCs w:val="20"/>
        </w:rPr>
        <w:t xml:space="preserve"> kuchyň, sociální zařízení, koupelny, haly</w:t>
      </w:r>
      <w:r w:rsidR="00CE1BB5">
        <w:rPr>
          <w:rFonts w:cs="Arial"/>
          <w:sz w:val="20"/>
          <w:szCs w:val="20"/>
        </w:rPr>
        <w:t xml:space="preserve">) </w:t>
      </w:r>
      <w:r w:rsidR="00CE1BB5" w:rsidRPr="00217930">
        <w:rPr>
          <w:rFonts w:cs="Arial"/>
          <w:sz w:val="20"/>
          <w:szCs w:val="20"/>
        </w:rPr>
        <w:t xml:space="preserve">a </w:t>
      </w:r>
      <w:r w:rsidR="00407ED2">
        <w:rPr>
          <w:rFonts w:cs="Arial"/>
          <w:sz w:val="20"/>
          <w:szCs w:val="20"/>
        </w:rPr>
        <w:t xml:space="preserve">zajištění </w:t>
      </w:r>
      <w:r w:rsidR="00CE1BB5" w:rsidRPr="00217930">
        <w:rPr>
          <w:rFonts w:cs="Arial"/>
          <w:sz w:val="20"/>
          <w:szCs w:val="20"/>
        </w:rPr>
        <w:t>někter</w:t>
      </w:r>
      <w:r w:rsidR="00407ED2">
        <w:rPr>
          <w:rFonts w:cs="Arial"/>
          <w:sz w:val="20"/>
          <w:szCs w:val="20"/>
        </w:rPr>
        <w:t>ých</w:t>
      </w:r>
      <w:r w:rsidR="00CE1BB5" w:rsidRPr="00217930">
        <w:rPr>
          <w:rFonts w:cs="Arial"/>
          <w:sz w:val="20"/>
          <w:szCs w:val="20"/>
        </w:rPr>
        <w:t xml:space="preserve"> služ</w:t>
      </w:r>
      <w:r w:rsidR="00407ED2">
        <w:rPr>
          <w:rFonts w:cs="Arial"/>
          <w:sz w:val="20"/>
          <w:szCs w:val="20"/>
        </w:rPr>
        <w:t>eb</w:t>
      </w:r>
      <w:r w:rsidR="00CE1BB5" w:rsidRPr="00217930">
        <w:rPr>
          <w:rFonts w:cs="Arial"/>
          <w:sz w:val="20"/>
          <w:szCs w:val="20"/>
        </w:rPr>
        <w:t xml:space="preserve"> </w:t>
      </w:r>
      <w:r w:rsidR="00407ED2">
        <w:rPr>
          <w:rFonts w:cs="Arial"/>
          <w:sz w:val="20"/>
          <w:szCs w:val="20"/>
        </w:rPr>
        <w:t>(</w:t>
      </w:r>
      <w:r w:rsidR="00CE1BB5" w:rsidRPr="00217930">
        <w:rPr>
          <w:rFonts w:cs="Arial"/>
          <w:sz w:val="20"/>
          <w:szCs w:val="20"/>
        </w:rPr>
        <w:t>např. stravování, praní prádla, úklid apod.</w:t>
      </w:r>
      <w:r w:rsidR="00407ED2">
        <w:rPr>
          <w:rFonts w:cs="Arial"/>
          <w:sz w:val="20"/>
          <w:szCs w:val="20"/>
        </w:rPr>
        <w:t>)</w:t>
      </w:r>
    </w:p>
    <w:p w:rsidR="00F709AC" w:rsidRPr="00217930" w:rsidRDefault="00F709AC" w:rsidP="0000699C">
      <w:pPr>
        <w:autoSpaceDE w:val="0"/>
        <w:autoSpaceDN w:val="0"/>
        <w:adjustRightInd w:val="0"/>
        <w:spacing w:line="276" w:lineRule="auto"/>
        <w:jc w:val="both"/>
        <w:rPr>
          <w:rFonts w:cs="Arial"/>
          <w:sz w:val="20"/>
          <w:szCs w:val="20"/>
        </w:rPr>
      </w:pPr>
    </w:p>
    <w:p w:rsidR="00E96922" w:rsidRPr="00217930" w:rsidRDefault="0047261A" w:rsidP="0000699C">
      <w:pPr>
        <w:autoSpaceDE w:val="0"/>
        <w:autoSpaceDN w:val="0"/>
        <w:adjustRightInd w:val="0"/>
        <w:spacing w:line="276" w:lineRule="auto"/>
        <w:jc w:val="both"/>
        <w:rPr>
          <w:rFonts w:cs="Arial"/>
          <w:sz w:val="20"/>
          <w:szCs w:val="20"/>
        </w:rPr>
      </w:pPr>
      <w:r w:rsidRPr="00217930">
        <w:rPr>
          <w:rFonts w:cs="Arial"/>
          <w:sz w:val="20"/>
          <w:szCs w:val="20"/>
        </w:rPr>
        <w:t>Údaje o o</w:t>
      </w:r>
      <w:r w:rsidR="00F709AC" w:rsidRPr="00217930">
        <w:rPr>
          <w:rFonts w:cs="Arial"/>
          <w:sz w:val="20"/>
          <w:szCs w:val="20"/>
        </w:rPr>
        <w:t>sob</w:t>
      </w:r>
      <w:r w:rsidRPr="00217930">
        <w:rPr>
          <w:rFonts w:cs="Arial"/>
          <w:sz w:val="20"/>
          <w:szCs w:val="20"/>
        </w:rPr>
        <w:t>ách</w:t>
      </w:r>
      <w:r w:rsidR="00F709AC" w:rsidRPr="00217930">
        <w:rPr>
          <w:rFonts w:cs="Arial"/>
          <w:sz w:val="20"/>
          <w:szCs w:val="20"/>
        </w:rPr>
        <w:t xml:space="preserve"> bydlící</w:t>
      </w:r>
      <w:r w:rsidRPr="00217930">
        <w:rPr>
          <w:rFonts w:cs="Arial"/>
          <w:sz w:val="20"/>
          <w:szCs w:val="20"/>
        </w:rPr>
        <w:t>ch</w:t>
      </w:r>
      <w:r w:rsidR="00F709AC" w:rsidRPr="00217930">
        <w:rPr>
          <w:rFonts w:cs="Arial"/>
          <w:sz w:val="20"/>
          <w:szCs w:val="20"/>
        </w:rPr>
        <w:t xml:space="preserve"> v zařízení </w:t>
      </w:r>
      <w:r w:rsidRPr="00217930">
        <w:rPr>
          <w:rFonts w:cs="Arial"/>
          <w:sz w:val="20"/>
          <w:szCs w:val="20"/>
        </w:rPr>
        <w:t xml:space="preserve">v roce 2011 </w:t>
      </w:r>
      <w:r w:rsidR="00F709AC" w:rsidRPr="00217930">
        <w:rPr>
          <w:rFonts w:cs="Arial"/>
          <w:sz w:val="20"/>
          <w:szCs w:val="20"/>
        </w:rPr>
        <w:t>byly významnou měrou ovlivněny změnou metodiky konceptu bydlícího obyvatelstva. Na rozdíl od předchozích sčítání byl</w:t>
      </w:r>
      <w:r w:rsidRPr="00217930">
        <w:rPr>
          <w:rFonts w:cs="Arial"/>
          <w:sz w:val="20"/>
          <w:szCs w:val="20"/>
        </w:rPr>
        <w:t>a</w:t>
      </w:r>
      <w:r w:rsidR="00F709AC" w:rsidRPr="00217930">
        <w:rPr>
          <w:rFonts w:cs="Arial"/>
          <w:sz w:val="20"/>
          <w:szCs w:val="20"/>
        </w:rPr>
        <w:t xml:space="preserve"> tak v souladu s mezinárodní metodikou </w:t>
      </w:r>
      <w:r w:rsidRPr="00217930">
        <w:rPr>
          <w:rFonts w:cs="Arial"/>
          <w:sz w:val="20"/>
          <w:szCs w:val="20"/>
        </w:rPr>
        <w:t>odvozena adresa obvyklého pobytu</w:t>
      </w:r>
      <w:r w:rsidR="00F709AC" w:rsidRPr="00217930">
        <w:rPr>
          <w:rFonts w:cs="Arial"/>
          <w:sz w:val="20"/>
          <w:szCs w:val="20"/>
        </w:rPr>
        <w:t xml:space="preserve"> </w:t>
      </w:r>
      <w:r w:rsidRPr="00217930">
        <w:rPr>
          <w:rFonts w:cs="Arial"/>
          <w:sz w:val="20"/>
          <w:szCs w:val="20"/>
        </w:rPr>
        <w:t>pro</w:t>
      </w:r>
      <w:r w:rsidR="00F709AC" w:rsidRPr="00217930">
        <w:rPr>
          <w:rFonts w:cs="Arial"/>
          <w:sz w:val="20"/>
          <w:szCs w:val="20"/>
        </w:rPr>
        <w:t xml:space="preserve"> osoby </w:t>
      </w:r>
      <w:r w:rsidRPr="00217930">
        <w:rPr>
          <w:rFonts w:cs="Arial"/>
          <w:sz w:val="20"/>
          <w:szCs w:val="20"/>
        </w:rPr>
        <w:t xml:space="preserve">např. </w:t>
      </w:r>
      <w:r w:rsidR="00F709AC" w:rsidRPr="00217930">
        <w:rPr>
          <w:rFonts w:cs="Arial"/>
          <w:sz w:val="20"/>
          <w:szCs w:val="20"/>
        </w:rPr>
        <w:t>ve věznicích (necelých 14,5 tis. osob)</w:t>
      </w:r>
      <w:r w:rsidRPr="00217930">
        <w:rPr>
          <w:rFonts w:cs="Arial"/>
          <w:sz w:val="20"/>
          <w:szCs w:val="20"/>
        </w:rPr>
        <w:t xml:space="preserve">, </w:t>
      </w:r>
      <w:r w:rsidR="00F709AC" w:rsidRPr="00217930">
        <w:rPr>
          <w:rFonts w:cs="Arial"/>
          <w:sz w:val="20"/>
          <w:szCs w:val="20"/>
        </w:rPr>
        <w:t xml:space="preserve"> studentských kolejí</w:t>
      </w:r>
      <w:r w:rsidRPr="00217930">
        <w:rPr>
          <w:rFonts w:cs="Arial"/>
          <w:sz w:val="20"/>
          <w:szCs w:val="20"/>
        </w:rPr>
        <w:t>ch</w:t>
      </w:r>
      <w:r w:rsidR="00F709AC" w:rsidRPr="00217930">
        <w:rPr>
          <w:rFonts w:cs="Arial"/>
          <w:sz w:val="20"/>
          <w:szCs w:val="20"/>
        </w:rPr>
        <w:t xml:space="preserve"> (téměř 11,5 tis. osob), </w:t>
      </w:r>
      <w:r w:rsidRPr="00217930">
        <w:rPr>
          <w:rFonts w:cs="Arial"/>
          <w:sz w:val="20"/>
          <w:szCs w:val="20"/>
        </w:rPr>
        <w:t>zařízeních sociálních služeb (15 tis. osob)</w:t>
      </w:r>
      <w:r w:rsidR="003620C3" w:rsidRPr="00217930">
        <w:rPr>
          <w:rFonts w:cs="Arial"/>
          <w:sz w:val="20"/>
          <w:szCs w:val="20"/>
        </w:rPr>
        <w:t>, v zařízeních pro krátkodobé ubytování (10,8 tis.)</w:t>
      </w:r>
      <w:r w:rsidRPr="00217930">
        <w:rPr>
          <w:rFonts w:cs="Arial"/>
          <w:sz w:val="20"/>
          <w:szCs w:val="20"/>
        </w:rPr>
        <w:t xml:space="preserve"> apod., tedy </w:t>
      </w:r>
      <w:r w:rsidR="00E96922" w:rsidRPr="00217930">
        <w:rPr>
          <w:rFonts w:cs="Arial"/>
          <w:sz w:val="20"/>
          <w:szCs w:val="20"/>
        </w:rPr>
        <w:t xml:space="preserve">i pro osoby, </w:t>
      </w:r>
      <w:r w:rsidR="00F709AC" w:rsidRPr="00217930">
        <w:rPr>
          <w:rFonts w:cs="Arial"/>
          <w:sz w:val="20"/>
          <w:szCs w:val="20"/>
        </w:rPr>
        <w:t xml:space="preserve">které podle konceptu trvalého bydliště byly při sčítání 2001 </w:t>
      </w:r>
      <w:r w:rsidR="00E96922" w:rsidRPr="00217930">
        <w:rPr>
          <w:rFonts w:cs="Arial"/>
          <w:sz w:val="20"/>
          <w:szCs w:val="20"/>
        </w:rPr>
        <w:t xml:space="preserve">i </w:t>
      </w:r>
      <w:r w:rsidR="00980DFB" w:rsidRPr="00217930">
        <w:rPr>
          <w:rFonts w:cs="Arial"/>
          <w:sz w:val="20"/>
          <w:szCs w:val="20"/>
        </w:rPr>
        <w:t xml:space="preserve">v </w:t>
      </w:r>
      <w:r w:rsidR="00E96922" w:rsidRPr="00217930">
        <w:rPr>
          <w:rFonts w:cs="Arial"/>
          <w:sz w:val="20"/>
          <w:szCs w:val="20"/>
        </w:rPr>
        <w:t>dřívějších cenzech</w:t>
      </w:r>
      <w:r w:rsidR="00F709AC" w:rsidRPr="00217930">
        <w:rPr>
          <w:rFonts w:cs="Arial"/>
          <w:sz w:val="20"/>
          <w:szCs w:val="20"/>
        </w:rPr>
        <w:t xml:space="preserve"> vždy zařazeny na svou evidenční adresu.</w:t>
      </w:r>
      <w:r w:rsidR="00E96922" w:rsidRPr="00217930">
        <w:rPr>
          <w:rFonts w:cs="Arial"/>
          <w:sz w:val="20"/>
          <w:szCs w:val="20"/>
        </w:rPr>
        <w:t xml:space="preserve"> </w:t>
      </w:r>
    </w:p>
    <w:p w:rsidR="00F31F91" w:rsidRDefault="00F31F91" w:rsidP="00885A87">
      <w:pPr>
        <w:autoSpaceDE w:val="0"/>
        <w:autoSpaceDN w:val="0"/>
        <w:adjustRightInd w:val="0"/>
        <w:spacing w:line="276" w:lineRule="auto"/>
        <w:rPr>
          <w:rFonts w:cs="Arial"/>
          <w:sz w:val="20"/>
          <w:szCs w:val="20"/>
        </w:rPr>
      </w:pPr>
    </w:p>
    <w:tbl>
      <w:tblPr>
        <w:tblW w:w="9378" w:type="dxa"/>
        <w:jc w:val="center"/>
        <w:tblInd w:w="-88" w:type="dxa"/>
        <w:tblCellMar>
          <w:top w:w="28" w:type="dxa"/>
          <w:left w:w="70" w:type="dxa"/>
          <w:bottom w:w="28" w:type="dxa"/>
          <w:right w:w="70" w:type="dxa"/>
        </w:tblCellMar>
        <w:tblLook w:val="04A0"/>
      </w:tblPr>
      <w:tblGrid>
        <w:gridCol w:w="2496"/>
        <w:gridCol w:w="809"/>
        <w:gridCol w:w="851"/>
        <w:gridCol w:w="872"/>
        <w:gridCol w:w="785"/>
        <w:gridCol w:w="752"/>
        <w:gridCol w:w="687"/>
        <w:gridCol w:w="752"/>
        <w:gridCol w:w="687"/>
        <w:gridCol w:w="382"/>
        <w:gridCol w:w="305"/>
      </w:tblGrid>
      <w:tr w:rsidR="006D33FE" w:rsidRPr="006D33FE" w:rsidTr="00264BF8">
        <w:trPr>
          <w:trHeight w:val="255"/>
          <w:jc w:val="center"/>
        </w:trPr>
        <w:tc>
          <w:tcPr>
            <w:tcW w:w="9073" w:type="dxa"/>
            <w:gridSpan w:val="10"/>
            <w:tcBorders>
              <w:top w:val="nil"/>
              <w:left w:val="nil"/>
              <w:bottom w:val="nil"/>
              <w:right w:val="nil"/>
            </w:tcBorders>
            <w:shd w:val="clear" w:color="auto" w:fill="auto"/>
            <w:noWrap/>
            <w:vAlign w:val="bottom"/>
            <w:hideMark/>
          </w:tcPr>
          <w:p w:rsidR="006D33FE" w:rsidRPr="00E06791" w:rsidRDefault="00760C72" w:rsidP="00407ED2">
            <w:pPr>
              <w:suppressAutoHyphens w:val="0"/>
              <w:rPr>
                <w:rFonts w:cs="Arial"/>
                <w:b/>
                <w:bCs/>
                <w:noProof w:val="0"/>
                <w:color w:val="000000"/>
                <w:sz w:val="20"/>
                <w:szCs w:val="20"/>
                <w:lang w:eastAsia="cs-CZ"/>
              </w:rPr>
            </w:pPr>
            <w:r>
              <w:rPr>
                <w:rFonts w:cs="Arial"/>
                <w:b/>
                <w:bCs/>
                <w:sz w:val="20"/>
                <w:szCs w:val="20"/>
              </w:rPr>
              <w:t xml:space="preserve">Tab. č. 11 </w:t>
            </w:r>
            <w:r w:rsidR="006D33FE" w:rsidRPr="00E06791">
              <w:rPr>
                <w:rFonts w:cs="Arial"/>
                <w:b/>
                <w:bCs/>
                <w:noProof w:val="0"/>
                <w:color w:val="000000"/>
                <w:sz w:val="20"/>
                <w:szCs w:val="20"/>
                <w:lang w:eastAsia="cs-CZ"/>
              </w:rPr>
              <w:t xml:space="preserve">Osoby v zařízeních podle pohlaví a podle druhu domu k </w:t>
            </w:r>
            <w:r w:rsidR="00A33915" w:rsidRPr="00E06791">
              <w:rPr>
                <w:rFonts w:cs="Arial"/>
                <w:b/>
                <w:bCs/>
                <w:noProof w:val="0"/>
                <w:color w:val="000000"/>
                <w:sz w:val="20"/>
                <w:szCs w:val="20"/>
                <w:lang w:eastAsia="cs-CZ"/>
              </w:rPr>
              <w:t xml:space="preserve">26. 3. </w:t>
            </w:r>
            <w:r w:rsidR="00264BF8" w:rsidRPr="00E06791">
              <w:rPr>
                <w:rFonts w:cs="Arial"/>
                <w:b/>
                <w:bCs/>
                <w:noProof w:val="0"/>
                <w:color w:val="000000"/>
                <w:sz w:val="20"/>
                <w:szCs w:val="20"/>
                <w:lang w:eastAsia="cs-CZ"/>
              </w:rPr>
              <w:t>2</w:t>
            </w:r>
            <w:r w:rsidR="00A33915" w:rsidRPr="00E06791">
              <w:rPr>
                <w:rFonts w:cs="Arial"/>
                <w:b/>
                <w:bCs/>
                <w:noProof w:val="0"/>
                <w:color w:val="000000"/>
                <w:sz w:val="20"/>
                <w:szCs w:val="20"/>
                <w:lang w:eastAsia="cs-CZ"/>
              </w:rPr>
              <w:t>011</w:t>
            </w:r>
          </w:p>
        </w:tc>
        <w:tc>
          <w:tcPr>
            <w:tcW w:w="305" w:type="dxa"/>
            <w:tcBorders>
              <w:top w:val="nil"/>
              <w:left w:val="nil"/>
              <w:bottom w:val="nil"/>
              <w:right w:val="nil"/>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p>
        </w:tc>
      </w:tr>
      <w:tr w:rsidR="006D33FE" w:rsidRPr="006D33FE" w:rsidTr="00264BF8">
        <w:trPr>
          <w:trHeight w:val="255"/>
          <w:jc w:val="center"/>
        </w:trPr>
        <w:tc>
          <w:tcPr>
            <w:tcW w:w="24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 </w:t>
            </w:r>
          </w:p>
        </w:tc>
        <w:tc>
          <w:tcPr>
            <w:tcW w:w="2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Osoby v zařízeních</w:t>
            </w:r>
          </w:p>
        </w:tc>
        <w:tc>
          <w:tcPr>
            <w:tcW w:w="2224" w:type="dxa"/>
            <w:gridSpan w:val="3"/>
            <w:tcBorders>
              <w:top w:val="single" w:sz="4" w:space="0" w:color="auto"/>
              <w:left w:val="nil"/>
              <w:bottom w:val="single" w:sz="4" w:space="0" w:color="auto"/>
              <w:right w:val="single" w:sz="4" w:space="0" w:color="auto"/>
            </w:tcBorders>
            <w:shd w:val="clear" w:color="auto" w:fill="auto"/>
            <w:noWrap/>
            <w:vAlign w:val="center"/>
            <w:hideMark/>
          </w:tcPr>
          <w:p w:rsidR="00F31F91"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 xml:space="preserve">Struktura dle druhu domu </w:t>
            </w:r>
          </w:p>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v %</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rsidR="00F31F91"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 xml:space="preserve">Struktura dle pohlaví </w:t>
            </w:r>
          </w:p>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v %</w:t>
            </w:r>
          </w:p>
        </w:tc>
      </w:tr>
      <w:tr w:rsidR="006D33FE" w:rsidRPr="006D33FE" w:rsidTr="00264BF8">
        <w:trPr>
          <w:trHeight w:val="510"/>
          <w:jc w:val="center"/>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6D33FE" w:rsidRPr="006D33FE" w:rsidRDefault="006D33FE" w:rsidP="006D33FE">
            <w:pPr>
              <w:suppressAutoHyphens w:val="0"/>
              <w:rPr>
                <w:rFonts w:cs="Arial"/>
                <w:noProof w:val="0"/>
                <w:color w:val="000000"/>
                <w:sz w:val="18"/>
                <w:szCs w:val="18"/>
                <w:lang w:eastAsia="cs-CZ"/>
              </w:rPr>
            </w:pPr>
          </w:p>
        </w:tc>
        <w:tc>
          <w:tcPr>
            <w:tcW w:w="809"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celkem</w:t>
            </w:r>
          </w:p>
        </w:tc>
        <w:tc>
          <w:tcPr>
            <w:tcW w:w="851"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muži</w:t>
            </w:r>
          </w:p>
        </w:tc>
        <w:tc>
          <w:tcPr>
            <w:tcW w:w="872"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ženy</w:t>
            </w:r>
          </w:p>
        </w:tc>
        <w:tc>
          <w:tcPr>
            <w:tcW w:w="785"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celkem</w:t>
            </w:r>
          </w:p>
        </w:tc>
        <w:tc>
          <w:tcPr>
            <w:tcW w:w="752"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muži</w:t>
            </w:r>
          </w:p>
        </w:tc>
        <w:tc>
          <w:tcPr>
            <w:tcW w:w="687"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ženy</w:t>
            </w:r>
          </w:p>
        </w:tc>
        <w:tc>
          <w:tcPr>
            <w:tcW w:w="752"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celkem</w:t>
            </w:r>
          </w:p>
        </w:tc>
        <w:tc>
          <w:tcPr>
            <w:tcW w:w="687" w:type="dxa"/>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muži</w:t>
            </w:r>
          </w:p>
        </w:tc>
        <w:tc>
          <w:tcPr>
            <w:tcW w:w="687" w:type="dxa"/>
            <w:gridSpan w:val="2"/>
            <w:tcBorders>
              <w:top w:val="nil"/>
              <w:left w:val="nil"/>
              <w:bottom w:val="single" w:sz="4" w:space="0" w:color="auto"/>
              <w:right w:val="single" w:sz="4" w:space="0" w:color="auto"/>
            </w:tcBorders>
            <w:shd w:val="clear" w:color="auto" w:fill="auto"/>
            <w:noWrap/>
            <w:vAlign w:val="center"/>
            <w:hideMark/>
          </w:tcPr>
          <w:p w:rsidR="006D33FE" w:rsidRPr="006D33FE" w:rsidRDefault="006D33FE" w:rsidP="006D33FE">
            <w:pPr>
              <w:suppressAutoHyphens w:val="0"/>
              <w:jc w:val="center"/>
              <w:rPr>
                <w:rFonts w:cs="Arial"/>
                <w:noProof w:val="0"/>
                <w:color w:val="000000"/>
                <w:sz w:val="18"/>
                <w:szCs w:val="18"/>
                <w:lang w:eastAsia="cs-CZ"/>
              </w:rPr>
            </w:pPr>
            <w:r w:rsidRPr="006D33FE">
              <w:rPr>
                <w:rFonts w:cs="Arial"/>
                <w:noProof w:val="0"/>
                <w:color w:val="000000"/>
                <w:sz w:val="18"/>
                <w:szCs w:val="18"/>
                <w:lang w:eastAsia="cs-CZ"/>
              </w:rPr>
              <w:t>ženy</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Osoby v zařízeních celkem</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194 456</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110 641</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83 815</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56,9</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43,1</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z toho:</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rPr>
                <w:rFonts w:cs="Arial"/>
                <w:noProof w:val="0"/>
                <w:color w:val="000000"/>
                <w:sz w:val="18"/>
                <w:szCs w:val="18"/>
                <w:lang w:eastAsia="cs-CZ"/>
              </w:rPr>
            </w:pPr>
            <w:r w:rsidRPr="006D33FE">
              <w:rPr>
                <w:rFonts w:cs="Arial"/>
                <w:noProof w:val="0"/>
                <w:color w:val="000000"/>
                <w:sz w:val="18"/>
                <w:szCs w:val="18"/>
                <w:lang w:eastAsia="cs-CZ"/>
              </w:rPr>
              <w:t> </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obytné domy</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37 607</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23 987</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13 620</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19,3</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21,7</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16,3</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63,8</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36,2</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ubytovny a svobodárny</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28 143</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19 983</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8 160</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14,5</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18,1</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9,7</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71,0</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29,0</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studentské koleje</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11 446</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6 068</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5 378</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5,9</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5,5</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6,4</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53,0</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47,0</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zařízení pro děti a mládež</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3 992</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2 257</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1 735</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2,1</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2,1</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56,5</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43,5</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zařízení pro seniory</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35 010</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9 415</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25 595</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18,0</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8,5</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30,5</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26,9</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73,1</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F31F91">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ústavy soc</w:t>
            </w:r>
            <w:r w:rsidR="00F31F91">
              <w:rPr>
                <w:rFonts w:cs="Arial"/>
                <w:noProof w:val="0"/>
                <w:color w:val="000000"/>
                <w:sz w:val="18"/>
                <w:szCs w:val="18"/>
                <w:lang w:eastAsia="cs-CZ"/>
              </w:rPr>
              <w:t>iální</w:t>
            </w:r>
            <w:r w:rsidRPr="006D33FE">
              <w:rPr>
                <w:rFonts w:cs="Arial"/>
                <w:noProof w:val="0"/>
                <w:color w:val="000000"/>
                <w:sz w:val="18"/>
                <w:szCs w:val="18"/>
                <w:lang w:eastAsia="cs-CZ"/>
              </w:rPr>
              <w:t xml:space="preserve"> péče</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15 015</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7 644</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7 371</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7,7</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6,9</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8,8</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50,9</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49,1</w:t>
            </w:r>
          </w:p>
        </w:tc>
      </w:tr>
      <w:tr w:rsidR="006D33FE" w:rsidRPr="006D33FE" w:rsidTr="00264BF8">
        <w:trPr>
          <w:trHeight w:val="255"/>
          <w:jc w:val="center"/>
        </w:trPr>
        <w:tc>
          <w:tcPr>
            <w:tcW w:w="2496" w:type="dxa"/>
            <w:tcBorders>
              <w:top w:val="nil"/>
              <w:left w:val="single" w:sz="4" w:space="0" w:color="auto"/>
              <w:bottom w:val="nil"/>
              <w:right w:val="single" w:sz="4" w:space="0" w:color="auto"/>
            </w:tcBorders>
            <w:shd w:val="clear" w:color="auto" w:fill="auto"/>
            <w:noWrap/>
            <w:vAlign w:val="bottom"/>
            <w:hideMark/>
          </w:tcPr>
          <w:p w:rsidR="006D33FE" w:rsidRPr="006D33FE" w:rsidRDefault="006D33FE" w:rsidP="006D33FE">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kláštery a konventy</w:t>
            </w:r>
          </w:p>
        </w:tc>
        <w:tc>
          <w:tcPr>
            <w:tcW w:w="809"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723</w:t>
            </w:r>
          </w:p>
        </w:tc>
        <w:tc>
          <w:tcPr>
            <w:tcW w:w="851"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113</w:t>
            </w:r>
          </w:p>
        </w:tc>
        <w:tc>
          <w:tcPr>
            <w:tcW w:w="87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610</w:t>
            </w:r>
          </w:p>
        </w:tc>
        <w:tc>
          <w:tcPr>
            <w:tcW w:w="785"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0,4</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0,1</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0,7</w:t>
            </w:r>
          </w:p>
        </w:tc>
        <w:tc>
          <w:tcPr>
            <w:tcW w:w="752"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15,6</w:t>
            </w:r>
          </w:p>
        </w:tc>
        <w:tc>
          <w:tcPr>
            <w:tcW w:w="687" w:type="dxa"/>
            <w:gridSpan w:val="2"/>
            <w:tcBorders>
              <w:top w:val="nil"/>
              <w:left w:val="nil"/>
              <w:bottom w:val="nil"/>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84,4</w:t>
            </w:r>
          </w:p>
        </w:tc>
      </w:tr>
      <w:tr w:rsidR="006D33FE" w:rsidRPr="006D33FE" w:rsidTr="00264BF8">
        <w:trPr>
          <w:trHeight w:val="255"/>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ind w:firstLineChars="100" w:firstLine="180"/>
              <w:rPr>
                <w:rFonts w:cs="Arial"/>
                <w:noProof w:val="0"/>
                <w:color w:val="000000"/>
                <w:sz w:val="18"/>
                <w:szCs w:val="18"/>
                <w:lang w:eastAsia="cs-CZ"/>
              </w:rPr>
            </w:pPr>
            <w:r w:rsidRPr="006D33FE">
              <w:rPr>
                <w:rFonts w:cs="Arial"/>
                <w:noProof w:val="0"/>
                <w:color w:val="000000"/>
                <w:sz w:val="18"/>
                <w:szCs w:val="18"/>
                <w:lang w:eastAsia="cs-CZ"/>
              </w:rPr>
              <w:t>věznice</w:t>
            </w:r>
          </w:p>
        </w:tc>
        <w:tc>
          <w:tcPr>
            <w:tcW w:w="809"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14 455</w:t>
            </w:r>
          </w:p>
        </w:tc>
        <w:tc>
          <w:tcPr>
            <w:tcW w:w="851"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13 798</w:t>
            </w:r>
          </w:p>
        </w:tc>
        <w:tc>
          <w:tcPr>
            <w:tcW w:w="872"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657</w:t>
            </w:r>
          </w:p>
        </w:tc>
        <w:tc>
          <w:tcPr>
            <w:tcW w:w="785"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7,4</w:t>
            </w:r>
          </w:p>
        </w:tc>
        <w:tc>
          <w:tcPr>
            <w:tcW w:w="752"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12,5</w:t>
            </w:r>
          </w:p>
        </w:tc>
        <w:tc>
          <w:tcPr>
            <w:tcW w:w="687"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0,8</w:t>
            </w:r>
          </w:p>
        </w:tc>
        <w:tc>
          <w:tcPr>
            <w:tcW w:w="752"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100,0</w:t>
            </w:r>
          </w:p>
        </w:tc>
        <w:tc>
          <w:tcPr>
            <w:tcW w:w="687" w:type="dxa"/>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95,5</w:t>
            </w:r>
          </w:p>
        </w:tc>
        <w:tc>
          <w:tcPr>
            <w:tcW w:w="687" w:type="dxa"/>
            <w:gridSpan w:val="2"/>
            <w:tcBorders>
              <w:top w:val="nil"/>
              <w:left w:val="nil"/>
              <w:bottom w:val="single" w:sz="4" w:space="0" w:color="auto"/>
              <w:right w:val="single" w:sz="4" w:space="0" w:color="auto"/>
            </w:tcBorders>
            <w:shd w:val="clear" w:color="auto" w:fill="auto"/>
            <w:noWrap/>
            <w:vAlign w:val="bottom"/>
            <w:hideMark/>
          </w:tcPr>
          <w:p w:rsidR="006D33FE" w:rsidRPr="006D33FE" w:rsidRDefault="006D33FE" w:rsidP="006D33FE">
            <w:pPr>
              <w:suppressAutoHyphens w:val="0"/>
              <w:jc w:val="right"/>
              <w:rPr>
                <w:rFonts w:cs="Arial"/>
                <w:noProof w:val="0"/>
                <w:color w:val="000000"/>
                <w:sz w:val="18"/>
                <w:szCs w:val="18"/>
                <w:lang w:eastAsia="cs-CZ"/>
              </w:rPr>
            </w:pPr>
            <w:r w:rsidRPr="006D33FE">
              <w:rPr>
                <w:rFonts w:cs="Arial"/>
                <w:noProof w:val="0"/>
                <w:color w:val="000000"/>
                <w:sz w:val="18"/>
                <w:szCs w:val="18"/>
                <w:lang w:eastAsia="cs-CZ"/>
              </w:rPr>
              <w:t>4,5</w:t>
            </w:r>
          </w:p>
        </w:tc>
      </w:tr>
    </w:tbl>
    <w:p w:rsidR="006D33FE" w:rsidRPr="00217930" w:rsidRDefault="006D33FE" w:rsidP="00885A87">
      <w:pPr>
        <w:autoSpaceDE w:val="0"/>
        <w:autoSpaceDN w:val="0"/>
        <w:adjustRightInd w:val="0"/>
        <w:spacing w:line="276" w:lineRule="auto"/>
        <w:rPr>
          <w:rFonts w:cs="Arial"/>
          <w:sz w:val="20"/>
          <w:szCs w:val="20"/>
        </w:rPr>
      </w:pPr>
    </w:p>
    <w:p w:rsidR="00F31F91" w:rsidRPr="00217930" w:rsidRDefault="00F31F91" w:rsidP="00264BF8">
      <w:pPr>
        <w:autoSpaceDE w:val="0"/>
        <w:autoSpaceDN w:val="0"/>
        <w:adjustRightInd w:val="0"/>
        <w:spacing w:line="276" w:lineRule="auto"/>
        <w:jc w:val="both"/>
        <w:rPr>
          <w:rFonts w:cs="Arial"/>
          <w:sz w:val="20"/>
          <w:szCs w:val="20"/>
        </w:rPr>
      </w:pPr>
      <w:r w:rsidRPr="00217930">
        <w:rPr>
          <w:rFonts w:cs="Arial"/>
          <w:sz w:val="20"/>
          <w:szCs w:val="20"/>
        </w:rPr>
        <w:t>V úhrnu u osob v zařízení byla shoda adresy obvyklého a trvalého bydliště pouze u 51 % osob (pro srovnání: v bytech to bylo téměř 90%). S ohledem na tuto skutečnost jsou absolutní i relativní údaje v časové řadě v podstatě nesrovnatelné. Nejvyšší shoda adresy obvyklého a trvalého bydliště - kolem 70</w:t>
      </w:r>
      <w:r w:rsidRPr="00217930">
        <w:rPr>
          <w:sz w:val="20"/>
          <w:szCs w:val="20"/>
        </w:rPr>
        <w:t> </w:t>
      </w:r>
      <w:r w:rsidRPr="00217930">
        <w:rPr>
          <w:rFonts w:cs="Arial"/>
          <w:sz w:val="20"/>
          <w:szCs w:val="20"/>
        </w:rPr>
        <w:t xml:space="preserve">% - byla v zařízeních v obytných domech, v klášterech a konventech a v ústavech sociální péče. </w:t>
      </w:r>
      <w:r w:rsidR="007A5222" w:rsidRPr="00217930">
        <w:rPr>
          <w:rFonts w:cs="Arial"/>
          <w:sz w:val="20"/>
          <w:szCs w:val="20"/>
        </w:rPr>
        <w:t xml:space="preserve">V zařízeních pro seniory mělo 60 % bydlících osob jak obvyklý tak trvalý pobyt. V ubytovnách se tento </w:t>
      </w:r>
      <w:r w:rsidR="007A5222" w:rsidRPr="00217930">
        <w:rPr>
          <w:rFonts w:cs="Arial"/>
          <w:sz w:val="20"/>
          <w:szCs w:val="20"/>
        </w:rPr>
        <w:lastRenderedPageBreak/>
        <w:t>podíl blížil hodnotě 58 % bydlících osob. Naopak nejnižší hodnoty shody adresy obvyklého i trvalého pobytu byly logicky v zařízeních pro děti a mládež a v azylových zařízeních.</w:t>
      </w:r>
    </w:p>
    <w:p w:rsidR="00264BF8" w:rsidRPr="00217930" w:rsidRDefault="00264BF8" w:rsidP="00264BF8">
      <w:pPr>
        <w:autoSpaceDE w:val="0"/>
        <w:autoSpaceDN w:val="0"/>
        <w:adjustRightInd w:val="0"/>
        <w:spacing w:line="276" w:lineRule="auto"/>
        <w:jc w:val="both"/>
        <w:rPr>
          <w:rFonts w:cs="Arial"/>
          <w:sz w:val="20"/>
          <w:szCs w:val="20"/>
        </w:rPr>
      </w:pPr>
    </w:p>
    <w:p w:rsidR="007A5222" w:rsidRPr="00217930" w:rsidRDefault="007A5222" w:rsidP="00264BF8">
      <w:pPr>
        <w:autoSpaceDE w:val="0"/>
        <w:autoSpaceDN w:val="0"/>
        <w:adjustRightInd w:val="0"/>
        <w:spacing w:line="276" w:lineRule="auto"/>
        <w:jc w:val="both"/>
        <w:rPr>
          <w:rFonts w:cs="Arial"/>
          <w:sz w:val="20"/>
          <w:szCs w:val="20"/>
        </w:rPr>
      </w:pPr>
      <w:r w:rsidRPr="00217930">
        <w:rPr>
          <w:rFonts w:cs="Arial"/>
          <w:sz w:val="20"/>
          <w:szCs w:val="20"/>
        </w:rPr>
        <w:t>Struktura osob v zařízeních vykazovala významné rozdíly podle pohlaví. Ženy měly</w:t>
      </w:r>
      <w:r w:rsidR="00F70323" w:rsidRPr="00217930">
        <w:rPr>
          <w:rFonts w:cs="Arial"/>
          <w:sz w:val="20"/>
          <w:szCs w:val="20"/>
        </w:rPr>
        <w:t xml:space="preserve"> dle předpokladu</w:t>
      </w:r>
      <w:r w:rsidRPr="00217930">
        <w:rPr>
          <w:rFonts w:cs="Arial"/>
          <w:sz w:val="20"/>
          <w:szCs w:val="20"/>
        </w:rPr>
        <w:t xml:space="preserve"> významné zastoupení v klášterech a konventech (více než čtyři pětiny osob v tomto druhu zařízení) a v zařízeních pro seniory (téměř tři čtvrtiny osob v těchto zařízeních)</w:t>
      </w:r>
      <w:r w:rsidR="00F70323" w:rsidRPr="00217930">
        <w:rPr>
          <w:rFonts w:cs="Arial"/>
          <w:sz w:val="20"/>
          <w:szCs w:val="20"/>
        </w:rPr>
        <w:t>. V ústavech sociální péče, studentských kolejích, příp. v zařízeních pro děti a mládež byly podíly mužů a žen vyrovnanější. Naopak v ubytovnách, ale zejména věznicích byla převaha mužů.</w:t>
      </w:r>
    </w:p>
    <w:p w:rsidR="00264BF8" w:rsidRPr="00217930" w:rsidRDefault="00264BF8" w:rsidP="00264BF8">
      <w:pPr>
        <w:autoSpaceDE w:val="0"/>
        <w:autoSpaceDN w:val="0"/>
        <w:adjustRightInd w:val="0"/>
        <w:spacing w:line="276" w:lineRule="auto"/>
        <w:jc w:val="both"/>
        <w:rPr>
          <w:rFonts w:cs="Arial"/>
          <w:sz w:val="20"/>
          <w:szCs w:val="20"/>
        </w:rPr>
      </w:pPr>
    </w:p>
    <w:p w:rsidR="00D20394" w:rsidRPr="00217930" w:rsidRDefault="00D20394" w:rsidP="00264BF8">
      <w:pPr>
        <w:spacing w:line="276" w:lineRule="auto"/>
        <w:jc w:val="both"/>
        <w:rPr>
          <w:sz w:val="20"/>
          <w:szCs w:val="20"/>
        </w:rPr>
      </w:pPr>
      <w:r w:rsidRPr="00217930">
        <w:rPr>
          <w:sz w:val="20"/>
          <w:szCs w:val="20"/>
        </w:rPr>
        <w:t xml:space="preserve">Doplnění osob z administrativního zdroje mělo vliv i na osoby v zařízení, a to poměrně významný. Pětina osob </w:t>
      </w:r>
      <w:r w:rsidR="007C6437" w:rsidRPr="00217930">
        <w:rPr>
          <w:sz w:val="20"/>
          <w:szCs w:val="20"/>
        </w:rPr>
        <w:t xml:space="preserve">v zařízení </w:t>
      </w:r>
      <w:r w:rsidRPr="00217930">
        <w:rPr>
          <w:sz w:val="20"/>
          <w:szCs w:val="20"/>
        </w:rPr>
        <w:t>-  přesně 41 625 - nebyl</w:t>
      </w:r>
      <w:r w:rsidR="007C6437" w:rsidRPr="00217930">
        <w:rPr>
          <w:sz w:val="20"/>
          <w:szCs w:val="20"/>
        </w:rPr>
        <w:t>a</w:t>
      </w:r>
      <w:r w:rsidRPr="00217930">
        <w:rPr>
          <w:sz w:val="20"/>
          <w:szCs w:val="20"/>
        </w:rPr>
        <w:t xml:space="preserve"> sečten</w:t>
      </w:r>
      <w:r w:rsidR="007C6437" w:rsidRPr="00217930">
        <w:rPr>
          <w:sz w:val="20"/>
          <w:szCs w:val="20"/>
        </w:rPr>
        <w:t>a</w:t>
      </w:r>
      <w:r w:rsidRPr="00217930">
        <w:rPr>
          <w:sz w:val="20"/>
          <w:szCs w:val="20"/>
        </w:rPr>
        <w:t xml:space="preserve"> prostřednictv</w:t>
      </w:r>
      <w:r w:rsidR="007C6437" w:rsidRPr="00217930">
        <w:rPr>
          <w:sz w:val="20"/>
          <w:szCs w:val="20"/>
        </w:rPr>
        <w:t>ím sčítacích formulářů, ale byl</w:t>
      </w:r>
      <w:r w:rsidR="00DA05FC" w:rsidRPr="00217930">
        <w:rPr>
          <w:sz w:val="20"/>
          <w:szCs w:val="20"/>
        </w:rPr>
        <w:t>y u nich pouze základní údaje</w:t>
      </w:r>
      <w:r w:rsidRPr="00217930">
        <w:rPr>
          <w:sz w:val="20"/>
          <w:szCs w:val="20"/>
        </w:rPr>
        <w:t xml:space="preserve"> doplněn</w:t>
      </w:r>
      <w:r w:rsidR="00DA05FC" w:rsidRPr="00217930">
        <w:rPr>
          <w:sz w:val="20"/>
          <w:szCs w:val="20"/>
        </w:rPr>
        <w:t>y</w:t>
      </w:r>
      <w:r w:rsidRPr="00217930">
        <w:rPr>
          <w:sz w:val="20"/>
          <w:szCs w:val="20"/>
        </w:rPr>
        <w:t xml:space="preserve"> z registru. Většinou to byli cizinci (39 925 osob), nejvíce pak občané Ukrajiny (22 337 osob). Podle adresy v </w:t>
      </w:r>
      <w:r w:rsidR="004F1C91" w:rsidRPr="00217930">
        <w:rPr>
          <w:sz w:val="20"/>
          <w:szCs w:val="20"/>
        </w:rPr>
        <w:t>I</w:t>
      </w:r>
      <w:r w:rsidRPr="00217930">
        <w:rPr>
          <w:sz w:val="20"/>
          <w:szCs w:val="20"/>
        </w:rPr>
        <w:t>nformačním systému evidence obyvatel byly tyto osoby zařazeny většinou do</w:t>
      </w:r>
      <w:r w:rsidR="004C011D" w:rsidRPr="00217930">
        <w:rPr>
          <w:sz w:val="20"/>
          <w:szCs w:val="20"/>
        </w:rPr>
        <w:t xml:space="preserve"> </w:t>
      </w:r>
      <w:r w:rsidR="004F1C91" w:rsidRPr="00217930">
        <w:rPr>
          <w:sz w:val="20"/>
          <w:szCs w:val="20"/>
        </w:rPr>
        <w:t xml:space="preserve">ubytovacích zařízení v rámci </w:t>
      </w:r>
      <w:r w:rsidR="004C011D" w:rsidRPr="00217930">
        <w:rPr>
          <w:sz w:val="20"/>
          <w:szCs w:val="20"/>
        </w:rPr>
        <w:t xml:space="preserve">bytových </w:t>
      </w:r>
      <w:r w:rsidR="004F1C91" w:rsidRPr="00217930">
        <w:rPr>
          <w:sz w:val="20"/>
          <w:szCs w:val="20"/>
        </w:rPr>
        <w:t xml:space="preserve">domů </w:t>
      </w:r>
      <w:r w:rsidR="004C011D" w:rsidRPr="00217930">
        <w:rPr>
          <w:sz w:val="20"/>
          <w:szCs w:val="20"/>
        </w:rPr>
        <w:t xml:space="preserve">a </w:t>
      </w:r>
      <w:r w:rsidR="004F1C91" w:rsidRPr="00217930">
        <w:rPr>
          <w:sz w:val="20"/>
          <w:szCs w:val="20"/>
        </w:rPr>
        <w:t xml:space="preserve">do </w:t>
      </w:r>
      <w:r w:rsidR="00264BF8" w:rsidRPr="00217930">
        <w:rPr>
          <w:sz w:val="20"/>
          <w:szCs w:val="20"/>
        </w:rPr>
        <w:t>ubytoven.</w:t>
      </w:r>
    </w:p>
    <w:p w:rsidR="00264BF8" w:rsidRPr="00217930" w:rsidRDefault="00264BF8" w:rsidP="00264BF8">
      <w:pPr>
        <w:autoSpaceDE w:val="0"/>
        <w:autoSpaceDN w:val="0"/>
        <w:adjustRightInd w:val="0"/>
        <w:spacing w:line="276" w:lineRule="auto"/>
        <w:jc w:val="both"/>
        <w:rPr>
          <w:rFonts w:cs="Arial"/>
          <w:sz w:val="20"/>
          <w:szCs w:val="20"/>
        </w:rPr>
      </w:pPr>
    </w:p>
    <w:p w:rsidR="00ED3099" w:rsidRPr="00217930" w:rsidRDefault="00774640" w:rsidP="00264BF8">
      <w:pPr>
        <w:autoSpaceDE w:val="0"/>
        <w:autoSpaceDN w:val="0"/>
        <w:adjustRightInd w:val="0"/>
        <w:spacing w:line="276" w:lineRule="auto"/>
        <w:jc w:val="both"/>
        <w:rPr>
          <w:rFonts w:cs="Arial"/>
          <w:sz w:val="20"/>
          <w:szCs w:val="20"/>
        </w:rPr>
      </w:pPr>
      <w:r w:rsidRPr="00217930">
        <w:rPr>
          <w:rFonts w:cs="Arial"/>
          <w:sz w:val="20"/>
          <w:szCs w:val="20"/>
        </w:rPr>
        <w:t xml:space="preserve">Poprvé v historii byly </w:t>
      </w:r>
      <w:r w:rsidR="00596D24" w:rsidRPr="00217930">
        <w:rPr>
          <w:rFonts w:cs="Arial"/>
          <w:sz w:val="20"/>
          <w:szCs w:val="20"/>
        </w:rPr>
        <w:t xml:space="preserve">v roce 2011 </w:t>
      </w:r>
      <w:r w:rsidRPr="00217930">
        <w:rPr>
          <w:rFonts w:cs="Arial"/>
          <w:sz w:val="20"/>
          <w:szCs w:val="20"/>
        </w:rPr>
        <w:t>sečteny v zařízení i rodiny</w:t>
      </w:r>
      <w:r w:rsidR="00D20394" w:rsidRPr="00217930">
        <w:rPr>
          <w:rFonts w:cs="Arial"/>
          <w:sz w:val="20"/>
          <w:szCs w:val="20"/>
        </w:rPr>
        <w:t xml:space="preserve">. Počet osob v rodinách bydlících v zařízeních činil  8 407 osob, tedy pouhých 4,3 % z osob obvykle bydlících v zařízení. Více jak polovina z tohoto počtu bydlela v různých typech ubytoven v bytových domech a </w:t>
      </w:r>
      <w:r w:rsidR="00ED3099" w:rsidRPr="00217930">
        <w:rPr>
          <w:rFonts w:cs="Arial"/>
          <w:sz w:val="20"/>
          <w:szCs w:val="20"/>
        </w:rPr>
        <w:t xml:space="preserve">dále </w:t>
      </w:r>
      <w:r w:rsidR="00D20394" w:rsidRPr="00217930">
        <w:rPr>
          <w:rFonts w:cs="Arial"/>
          <w:sz w:val="20"/>
          <w:szCs w:val="20"/>
        </w:rPr>
        <w:t>v domech, které byly přímo jako ubytovny označeny. Necelých 17 % rodin v zařízeních připadlo na domovy důchodců a penziony pro důchodce</w:t>
      </w:r>
      <w:r w:rsidR="00ED3099" w:rsidRPr="00217930">
        <w:rPr>
          <w:rFonts w:cs="Arial"/>
          <w:sz w:val="20"/>
          <w:szCs w:val="20"/>
        </w:rPr>
        <w:t>.</w:t>
      </w:r>
      <w:r w:rsidR="00D20394" w:rsidRPr="00217930">
        <w:rPr>
          <w:rFonts w:cs="Arial"/>
          <w:sz w:val="20"/>
          <w:szCs w:val="20"/>
        </w:rPr>
        <w:t xml:space="preserve"> </w:t>
      </w:r>
      <w:r w:rsidR="00ED3099" w:rsidRPr="00217930">
        <w:rPr>
          <w:rFonts w:cs="Arial"/>
          <w:sz w:val="20"/>
          <w:szCs w:val="20"/>
        </w:rPr>
        <w:t>D</w:t>
      </w:r>
      <w:r w:rsidR="00D20394" w:rsidRPr="00217930">
        <w:rPr>
          <w:rFonts w:cs="Arial"/>
          <w:sz w:val="20"/>
          <w:szCs w:val="20"/>
        </w:rPr>
        <w:t>alších 12,5 % tvořily rodiny v</w:t>
      </w:r>
      <w:r w:rsidR="00ED3099" w:rsidRPr="00217930">
        <w:rPr>
          <w:rFonts w:cs="Arial"/>
          <w:sz w:val="20"/>
          <w:szCs w:val="20"/>
        </w:rPr>
        <w:t> azylových domech pro osoby v tíživé sociální situaci. V úhrnu osob v rodinách v zařízeních byly téměř stejně zastoupeny manželské páry a neúplné rodiny osamělých matek s dětmi; tyto dva typy domácností tvořily více než tři čtvrtiny v počtu všech osob v rodinách v zařízeních. Manželské páry byly nejčastěj</w:t>
      </w:r>
      <w:r w:rsidR="00A40282" w:rsidRPr="00217930">
        <w:rPr>
          <w:rFonts w:cs="Arial"/>
          <w:sz w:val="20"/>
          <w:szCs w:val="20"/>
        </w:rPr>
        <w:t>i zastoupeny</w:t>
      </w:r>
      <w:r w:rsidR="00ED3099" w:rsidRPr="00217930">
        <w:rPr>
          <w:rFonts w:cs="Arial"/>
          <w:sz w:val="20"/>
          <w:szCs w:val="20"/>
        </w:rPr>
        <w:t xml:space="preserve"> v domovech </w:t>
      </w:r>
      <w:r w:rsidR="00A40282" w:rsidRPr="00217930">
        <w:rPr>
          <w:rFonts w:cs="Arial"/>
          <w:sz w:val="20"/>
          <w:szCs w:val="20"/>
        </w:rPr>
        <w:t>důchodců, neúplné rodiny v ubytovnách v rámci bytových domů.</w:t>
      </w:r>
    </w:p>
    <w:p w:rsidR="00264BF8" w:rsidRPr="00217930" w:rsidRDefault="00264BF8" w:rsidP="00264BF8">
      <w:pPr>
        <w:autoSpaceDE w:val="0"/>
        <w:autoSpaceDN w:val="0"/>
        <w:adjustRightInd w:val="0"/>
        <w:spacing w:line="276" w:lineRule="auto"/>
        <w:jc w:val="both"/>
        <w:rPr>
          <w:rFonts w:cs="Arial"/>
          <w:sz w:val="20"/>
          <w:szCs w:val="20"/>
        </w:rPr>
      </w:pPr>
    </w:p>
    <w:p w:rsidR="00492844" w:rsidRPr="00217930" w:rsidRDefault="00774640" w:rsidP="00264BF8">
      <w:pPr>
        <w:autoSpaceDE w:val="0"/>
        <w:autoSpaceDN w:val="0"/>
        <w:adjustRightInd w:val="0"/>
        <w:spacing w:line="276" w:lineRule="auto"/>
        <w:jc w:val="both"/>
        <w:rPr>
          <w:rFonts w:cs="Arial"/>
          <w:sz w:val="20"/>
          <w:szCs w:val="20"/>
        </w:rPr>
      </w:pPr>
      <w:r w:rsidRPr="00217930">
        <w:rPr>
          <w:rFonts w:cs="Arial"/>
          <w:sz w:val="20"/>
          <w:szCs w:val="20"/>
        </w:rPr>
        <w:t>Jako jednotlivé osoby v zaříze</w:t>
      </w:r>
      <w:r w:rsidR="007C6437" w:rsidRPr="00217930">
        <w:rPr>
          <w:rFonts w:cs="Arial"/>
          <w:sz w:val="20"/>
          <w:szCs w:val="20"/>
        </w:rPr>
        <w:t>ní obvykle bydlelo 186 049 osob. Jejich základní charakteristiky se lišily podle druhu zařízení</w:t>
      </w:r>
      <w:r w:rsidR="003620C3" w:rsidRPr="00217930">
        <w:rPr>
          <w:rFonts w:cs="Arial"/>
          <w:sz w:val="20"/>
          <w:szCs w:val="20"/>
        </w:rPr>
        <w:t>. K nejpočetněji zastoupeným patřilo bydlení v zařízeních pro seniory, bydlení v </w:t>
      </w:r>
      <w:r w:rsidR="00264BF8" w:rsidRPr="00217930">
        <w:rPr>
          <w:rFonts w:cs="Arial"/>
          <w:sz w:val="20"/>
          <w:szCs w:val="20"/>
        </w:rPr>
        <w:t>ubytovnách</w:t>
      </w:r>
      <w:r w:rsidR="003620C3" w:rsidRPr="00217930">
        <w:rPr>
          <w:rFonts w:cs="Arial"/>
          <w:sz w:val="20"/>
          <w:szCs w:val="20"/>
        </w:rPr>
        <w:t xml:space="preserve"> a bydlení v zařízeních, která byla součástí obytných domů.</w:t>
      </w:r>
    </w:p>
    <w:p w:rsidR="008C4593" w:rsidRPr="00217930" w:rsidRDefault="008C4593" w:rsidP="00264BF8">
      <w:pPr>
        <w:rPr>
          <w:sz w:val="20"/>
          <w:szCs w:val="20"/>
        </w:rPr>
      </w:pPr>
    </w:p>
    <w:p w:rsidR="00960A32" w:rsidRPr="00217930" w:rsidRDefault="00960A32" w:rsidP="00264BF8">
      <w:pPr>
        <w:rPr>
          <w:sz w:val="20"/>
          <w:szCs w:val="20"/>
        </w:rPr>
      </w:pPr>
    </w:p>
    <w:p w:rsidR="00BE7A51" w:rsidRPr="00BA2890" w:rsidRDefault="00433AF9" w:rsidP="00264BF8">
      <w:pPr>
        <w:spacing w:line="276" w:lineRule="auto"/>
        <w:rPr>
          <w:b/>
          <w:sz w:val="22"/>
          <w:szCs w:val="22"/>
        </w:rPr>
      </w:pPr>
      <w:r w:rsidRPr="00BA2890">
        <w:rPr>
          <w:b/>
          <w:sz w:val="22"/>
          <w:szCs w:val="22"/>
        </w:rPr>
        <w:t>4.1</w:t>
      </w:r>
      <w:r w:rsidRPr="00BA2890">
        <w:rPr>
          <w:b/>
          <w:sz w:val="22"/>
          <w:szCs w:val="22"/>
        </w:rPr>
        <w:tab/>
      </w:r>
      <w:r w:rsidR="00BE7A51" w:rsidRPr="00BA2890">
        <w:rPr>
          <w:b/>
          <w:sz w:val="22"/>
          <w:szCs w:val="22"/>
        </w:rPr>
        <w:t>Zařízení pro seniory</w:t>
      </w:r>
    </w:p>
    <w:p w:rsidR="003C3568" w:rsidRDefault="00112079" w:rsidP="00264BF8">
      <w:pPr>
        <w:spacing w:line="276" w:lineRule="auto"/>
        <w:jc w:val="both"/>
        <w:rPr>
          <w:sz w:val="20"/>
          <w:szCs w:val="20"/>
        </w:rPr>
      </w:pPr>
      <w:r w:rsidRPr="00217930">
        <w:rPr>
          <w:sz w:val="20"/>
          <w:szCs w:val="20"/>
        </w:rPr>
        <w:t xml:space="preserve">V zařízeních pro seniory bydlelo jako jednotlivci nebo rodiny v roce 2011 celkem 35 010 osob. V roce 2001 to bylo 32 688 osob.  </w:t>
      </w:r>
    </w:p>
    <w:p w:rsidR="003C3568" w:rsidRDefault="003C3568" w:rsidP="00264BF8">
      <w:pPr>
        <w:spacing w:line="276" w:lineRule="auto"/>
        <w:jc w:val="both"/>
        <w:rPr>
          <w:sz w:val="20"/>
          <w:szCs w:val="20"/>
        </w:rPr>
      </w:pPr>
    </w:p>
    <w:p w:rsidR="003C3568" w:rsidRPr="003C3568" w:rsidRDefault="003C3568" w:rsidP="003C3568">
      <w:pPr>
        <w:spacing w:line="276" w:lineRule="auto"/>
        <w:jc w:val="both"/>
        <w:rPr>
          <w:b/>
          <w:sz w:val="20"/>
          <w:szCs w:val="20"/>
        </w:rPr>
      </w:pPr>
      <w:r w:rsidRPr="003C3568">
        <w:rPr>
          <w:b/>
          <w:sz w:val="20"/>
          <w:szCs w:val="20"/>
        </w:rPr>
        <w:t>Graf č. 9 Osoby v zařízeních pro seniory v letech 1991 - 2011</w:t>
      </w:r>
    </w:p>
    <w:p w:rsidR="004675C1" w:rsidRDefault="001F2998" w:rsidP="00264BF8">
      <w:pPr>
        <w:spacing w:line="276" w:lineRule="auto"/>
        <w:jc w:val="both"/>
        <w:rPr>
          <w:sz w:val="20"/>
          <w:szCs w:val="20"/>
        </w:rPr>
      </w:pPr>
      <w:r>
        <w:rPr>
          <w:sz w:val="20"/>
          <w:szCs w:val="20"/>
          <w:lang w:eastAsia="cs-CZ"/>
        </w:rPr>
        <w:drawing>
          <wp:anchor distT="36195" distB="71755" distL="114300" distR="114300" simplePos="0" relativeHeight="251675648" behindDoc="0" locked="0" layoutInCell="1" allowOverlap="1">
            <wp:simplePos x="0" y="0"/>
            <wp:positionH relativeFrom="column">
              <wp:posOffset>23495</wp:posOffset>
            </wp:positionH>
            <wp:positionV relativeFrom="paragraph">
              <wp:posOffset>85090</wp:posOffset>
            </wp:positionV>
            <wp:extent cx="3928745" cy="2124075"/>
            <wp:effectExtent l="19050" t="0" r="14605" b="0"/>
            <wp:wrapSquare wrapText="bothSides"/>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B5F6A" w:rsidRDefault="00112079" w:rsidP="00264BF8">
      <w:pPr>
        <w:spacing w:line="276" w:lineRule="auto"/>
        <w:jc w:val="both"/>
        <w:rPr>
          <w:sz w:val="20"/>
          <w:szCs w:val="20"/>
        </w:rPr>
      </w:pPr>
      <w:r w:rsidRPr="00217930">
        <w:rPr>
          <w:sz w:val="20"/>
          <w:szCs w:val="20"/>
        </w:rPr>
        <w:t xml:space="preserve">Růst počtu osob o 7 % </w:t>
      </w:r>
      <w:r w:rsidR="00666CC7" w:rsidRPr="00217930">
        <w:rPr>
          <w:sz w:val="20"/>
          <w:szCs w:val="20"/>
        </w:rPr>
        <w:t xml:space="preserve">není výrazný, zvláště pokud se porovná s vývojem počtu osob bydlících v bytech rovněž v zařízeních pro seniory. Celkově vzrostl počet bydlících osob  v penzionech a domovech důchodců o více než třetinu, růst </w:t>
      </w:r>
      <w:r w:rsidR="000061AF" w:rsidRPr="00217930">
        <w:rPr>
          <w:sz w:val="20"/>
          <w:szCs w:val="20"/>
        </w:rPr>
        <w:t xml:space="preserve">počtu </w:t>
      </w:r>
      <w:r w:rsidR="00666CC7" w:rsidRPr="00217930">
        <w:rPr>
          <w:sz w:val="20"/>
          <w:szCs w:val="20"/>
        </w:rPr>
        <w:t xml:space="preserve">osob v bytech byl ale mnohonásobně </w:t>
      </w:r>
      <w:r w:rsidR="000E10FC" w:rsidRPr="00217930">
        <w:rPr>
          <w:sz w:val="20"/>
          <w:szCs w:val="20"/>
        </w:rPr>
        <w:t>rychlejší</w:t>
      </w:r>
      <w:r w:rsidR="00666CC7" w:rsidRPr="00217930">
        <w:rPr>
          <w:sz w:val="20"/>
          <w:szCs w:val="20"/>
        </w:rPr>
        <w:t xml:space="preserve"> než růst počtu osob hromadně ubytovaných v</w:t>
      </w:r>
      <w:r w:rsidR="000061AF" w:rsidRPr="00217930">
        <w:rPr>
          <w:sz w:val="20"/>
          <w:szCs w:val="20"/>
        </w:rPr>
        <w:t xml:space="preserve"> těchto typech </w:t>
      </w:r>
      <w:r w:rsidR="00666CC7" w:rsidRPr="00217930">
        <w:rPr>
          <w:sz w:val="20"/>
          <w:szCs w:val="20"/>
        </w:rPr>
        <w:lastRenderedPageBreak/>
        <w:t>zařízení. Změnila se tak podstatným způsobem proporce bydlících osob ve prospěch osob v bytech. Výsledky sčítání</w:t>
      </w:r>
      <w:r w:rsidR="000E10FC" w:rsidRPr="00217930">
        <w:rPr>
          <w:sz w:val="20"/>
          <w:szCs w:val="20"/>
        </w:rPr>
        <w:t xml:space="preserve"> </w:t>
      </w:r>
      <w:r w:rsidR="00666CC7" w:rsidRPr="00217930">
        <w:rPr>
          <w:sz w:val="20"/>
          <w:szCs w:val="20"/>
        </w:rPr>
        <w:t xml:space="preserve">potvrdily, že nároky na speciální </w:t>
      </w:r>
      <w:r w:rsidR="00AB5F6A" w:rsidRPr="00217930">
        <w:rPr>
          <w:sz w:val="20"/>
          <w:szCs w:val="20"/>
        </w:rPr>
        <w:t>zařízení pro seniory</w:t>
      </w:r>
      <w:r w:rsidR="00E736AC" w:rsidRPr="00217930">
        <w:rPr>
          <w:sz w:val="20"/>
          <w:szCs w:val="20"/>
        </w:rPr>
        <w:t xml:space="preserve"> - vzhledem k</w:t>
      </w:r>
      <w:r w:rsidR="003774F2">
        <w:rPr>
          <w:sz w:val="20"/>
          <w:szCs w:val="20"/>
        </w:rPr>
        <w:t xml:space="preserve">e zvyšování </w:t>
      </w:r>
      <w:r w:rsidR="00E736AC" w:rsidRPr="00217930">
        <w:rPr>
          <w:sz w:val="20"/>
          <w:szCs w:val="20"/>
        </w:rPr>
        <w:t>jejich počtu v populaci -</w:t>
      </w:r>
      <w:r w:rsidR="00AB5F6A" w:rsidRPr="00217930">
        <w:rPr>
          <w:sz w:val="20"/>
          <w:szCs w:val="20"/>
        </w:rPr>
        <w:t xml:space="preserve"> rostou, současně je ale</w:t>
      </w:r>
      <w:r w:rsidR="00E736AC" w:rsidRPr="00217930">
        <w:rPr>
          <w:sz w:val="20"/>
          <w:szCs w:val="20"/>
        </w:rPr>
        <w:t xml:space="preserve"> zřejmý</w:t>
      </w:r>
      <w:r w:rsidR="00AB5F6A" w:rsidRPr="00217930">
        <w:rPr>
          <w:sz w:val="20"/>
          <w:szCs w:val="20"/>
        </w:rPr>
        <w:t xml:space="preserve"> trend </w:t>
      </w:r>
      <w:r w:rsidR="00E736AC" w:rsidRPr="00217930">
        <w:rPr>
          <w:sz w:val="20"/>
          <w:szCs w:val="20"/>
        </w:rPr>
        <w:t>poptávky po vyšším</w:t>
      </w:r>
      <w:r w:rsidR="00AB5F6A" w:rsidRPr="00217930">
        <w:rPr>
          <w:sz w:val="20"/>
          <w:szCs w:val="20"/>
        </w:rPr>
        <w:t xml:space="preserve"> komfortu bydlení a zvýšení počtu seniorů směřuje zejména do objektů s byty, které nabízejí v podstatě stejný životní styl</w:t>
      </w:r>
      <w:r w:rsidR="0074450D" w:rsidRPr="00217930">
        <w:rPr>
          <w:sz w:val="20"/>
          <w:szCs w:val="20"/>
        </w:rPr>
        <w:t>, jaký měly osoby v předchozím bydlení</w:t>
      </w:r>
      <w:r w:rsidR="000E10FC" w:rsidRPr="00217930">
        <w:rPr>
          <w:sz w:val="20"/>
          <w:szCs w:val="20"/>
        </w:rPr>
        <w:t>, ale</w:t>
      </w:r>
      <w:r w:rsidR="00AB5F6A" w:rsidRPr="00217930">
        <w:rPr>
          <w:sz w:val="20"/>
          <w:szCs w:val="20"/>
        </w:rPr>
        <w:t xml:space="preserve"> s přidanou hodnotou nabízených služeb.</w:t>
      </w:r>
    </w:p>
    <w:p w:rsidR="003C3568" w:rsidRDefault="003C3568" w:rsidP="00264BF8">
      <w:pPr>
        <w:spacing w:line="276" w:lineRule="auto"/>
        <w:jc w:val="both"/>
        <w:rPr>
          <w:sz w:val="20"/>
          <w:szCs w:val="20"/>
        </w:rPr>
      </w:pPr>
    </w:p>
    <w:p w:rsidR="00576861" w:rsidRDefault="00576861" w:rsidP="00264BF8">
      <w:pPr>
        <w:spacing w:line="276" w:lineRule="auto"/>
        <w:jc w:val="both"/>
        <w:rPr>
          <w:sz w:val="20"/>
          <w:szCs w:val="20"/>
        </w:rPr>
      </w:pPr>
      <w:r w:rsidRPr="00217930">
        <w:rPr>
          <w:sz w:val="20"/>
          <w:szCs w:val="20"/>
        </w:rPr>
        <w:t xml:space="preserve">Ve věkové struktuře hromadně bydlících osob v zařízeních pro seniory </w:t>
      </w:r>
      <w:r w:rsidR="0043470F" w:rsidRPr="00217930">
        <w:rPr>
          <w:sz w:val="20"/>
          <w:szCs w:val="20"/>
        </w:rPr>
        <w:t>jednoznačně převažovaly osoby starší 80</w:t>
      </w:r>
      <w:r w:rsidR="000E10FC" w:rsidRPr="00217930">
        <w:rPr>
          <w:sz w:val="20"/>
          <w:szCs w:val="20"/>
        </w:rPr>
        <w:t> </w:t>
      </w:r>
      <w:r w:rsidR="0043470F" w:rsidRPr="00217930">
        <w:rPr>
          <w:sz w:val="20"/>
          <w:szCs w:val="20"/>
        </w:rPr>
        <w:t>let. Polovinu všech osob (50,5 %) tvořily osoby ve věku 80 - 89 let, dalších téměř 13 % pak osoby v</w:t>
      </w:r>
      <w:r w:rsidR="00BA2890">
        <w:rPr>
          <w:sz w:val="20"/>
          <w:szCs w:val="20"/>
        </w:rPr>
        <w:t>e</w:t>
      </w:r>
      <w:r w:rsidR="0043470F" w:rsidRPr="00217930">
        <w:rPr>
          <w:sz w:val="20"/>
          <w:szCs w:val="20"/>
        </w:rPr>
        <w:t xml:space="preserve"> věku 90 let a více. Více než pětina (22 %) připadla na osoby ve věku 70 - 79 let. Osoby do 69 let a mladší tvořily v zařízeních pro seniory necelých 15 % osob.</w:t>
      </w:r>
      <w:r w:rsidR="009B2919" w:rsidRPr="00217930">
        <w:rPr>
          <w:sz w:val="20"/>
          <w:szCs w:val="20"/>
        </w:rPr>
        <w:t xml:space="preserve"> </w:t>
      </w:r>
      <w:r w:rsidR="004B2DC6">
        <w:rPr>
          <w:sz w:val="20"/>
          <w:szCs w:val="20"/>
        </w:rPr>
        <w:t>Ve vztahu k celkovému počtu obyvatel příslušného věku je jednoznačná závislost: se zvyšujícím se věkem osoby roste i podíl osob, které opouští své byty a volí pro své bydlení zařízení. Zatímco z celkového počtu osob ve věku 70 – 79 let jich v zařízení bydlela necelá 2 %, z počtu osob ve věku 80 – 89 let to bylo 7,4 % a u devadesátiletých a starších již 17,8 % jejich počtu.</w:t>
      </w:r>
    </w:p>
    <w:p w:rsidR="008749FF" w:rsidRDefault="008749FF" w:rsidP="00264BF8">
      <w:pPr>
        <w:spacing w:line="276" w:lineRule="auto"/>
        <w:jc w:val="both"/>
        <w:rPr>
          <w:sz w:val="20"/>
          <w:szCs w:val="20"/>
        </w:rPr>
      </w:pPr>
    </w:p>
    <w:p w:rsidR="004B2DC6" w:rsidRDefault="008749FF" w:rsidP="00264BF8">
      <w:pPr>
        <w:spacing w:line="276" w:lineRule="auto"/>
        <w:jc w:val="both"/>
        <w:rPr>
          <w:sz w:val="20"/>
          <w:szCs w:val="20"/>
        </w:rPr>
      </w:pPr>
      <w:r w:rsidRPr="00217930">
        <w:rPr>
          <w:sz w:val="20"/>
          <w:szCs w:val="20"/>
        </w:rPr>
        <w:t>Z hlediska pohlaví byla relace osob v zařízeních pro seniory zhruba 1:3 ve prospěch žen. Z celkového počtu žen jich bylo 15,6 % bezdětných, třem pětinám žen se naopak v průběhu života narodily dvě a více dětí.</w:t>
      </w:r>
    </w:p>
    <w:p w:rsidR="008749FF" w:rsidRDefault="008749FF" w:rsidP="00264BF8">
      <w:pPr>
        <w:spacing w:line="276" w:lineRule="auto"/>
        <w:jc w:val="both"/>
        <w:rPr>
          <w:sz w:val="20"/>
          <w:szCs w:val="20"/>
        </w:rPr>
      </w:pPr>
    </w:p>
    <w:p w:rsidR="00BA2890" w:rsidRDefault="009B2919" w:rsidP="00264BF8">
      <w:pPr>
        <w:spacing w:line="276" w:lineRule="auto"/>
        <w:jc w:val="both"/>
        <w:rPr>
          <w:sz w:val="20"/>
          <w:szCs w:val="20"/>
        </w:rPr>
      </w:pPr>
      <w:r w:rsidRPr="00217930">
        <w:rPr>
          <w:sz w:val="20"/>
          <w:szCs w:val="20"/>
        </w:rPr>
        <w:t>Pouhých 1 408 osob (4,0 %)</w:t>
      </w:r>
      <w:r w:rsidR="004B2DC6">
        <w:rPr>
          <w:sz w:val="20"/>
          <w:szCs w:val="20"/>
        </w:rPr>
        <w:t xml:space="preserve"> v zařízeních</w:t>
      </w:r>
      <w:r w:rsidRPr="00217930">
        <w:rPr>
          <w:sz w:val="20"/>
          <w:szCs w:val="20"/>
        </w:rPr>
        <w:t xml:space="preserve"> žilo v rodině, většinou to byly manželské páry. Ostatních 33</w:t>
      </w:r>
      <w:r w:rsidR="00CA2329" w:rsidRPr="00217930">
        <w:rPr>
          <w:sz w:val="20"/>
          <w:szCs w:val="20"/>
        </w:rPr>
        <w:t> 602 osob žilo jako jed</w:t>
      </w:r>
      <w:r w:rsidR="00FA4F8D" w:rsidRPr="00217930">
        <w:rPr>
          <w:sz w:val="20"/>
          <w:szCs w:val="20"/>
        </w:rPr>
        <w:t>n</w:t>
      </w:r>
      <w:r w:rsidR="00CA2329" w:rsidRPr="00217930">
        <w:rPr>
          <w:sz w:val="20"/>
          <w:szCs w:val="20"/>
        </w:rPr>
        <w:t xml:space="preserve">otlivé osoby. </w:t>
      </w:r>
    </w:p>
    <w:p w:rsidR="008749FF" w:rsidRDefault="008749FF" w:rsidP="00264BF8">
      <w:pPr>
        <w:spacing w:line="276" w:lineRule="auto"/>
        <w:jc w:val="both"/>
        <w:rPr>
          <w:sz w:val="20"/>
          <w:szCs w:val="20"/>
        </w:rPr>
      </w:pPr>
    </w:p>
    <w:p w:rsidR="007C022F" w:rsidRPr="00217930" w:rsidRDefault="00956BAB" w:rsidP="00264BF8">
      <w:pPr>
        <w:spacing w:line="276" w:lineRule="auto"/>
        <w:jc w:val="both"/>
        <w:rPr>
          <w:sz w:val="20"/>
          <w:szCs w:val="20"/>
        </w:rPr>
      </w:pPr>
      <w:r w:rsidRPr="00217930">
        <w:rPr>
          <w:sz w:val="20"/>
          <w:szCs w:val="20"/>
        </w:rPr>
        <w:t>Téměř čtyři pětiny osob v zařízeních pro seniory žilo ve stejné obci i před rokem.</w:t>
      </w:r>
    </w:p>
    <w:p w:rsidR="000E10FC" w:rsidRPr="00217930" w:rsidRDefault="000E10FC" w:rsidP="00264BF8">
      <w:pPr>
        <w:spacing w:line="276" w:lineRule="auto"/>
        <w:rPr>
          <w:sz w:val="20"/>
          <w:szCs w:val="20"/>
        </w:rPr>
      </w:pPr>
    </w:p>
    <w:p w:rsidR="00A0300C" w:rsidRPr="00217930" w:rsidRDefault="00A0300C" w:rsidP="00264BF8">
      <w:pPr>
        <w:spacing w:line="276" w:lineRule="auto"/>
        <w:jc w:val="both"/>
        <w:rPr>
          <w:sz w:val="20"/>
          <w:szCs w:val="20"/>
        </w:rPr>
      </w:pPr>
      <w:r w:rsidRPr="00217930">
        <w:rPr>
          <w:sz w:val="20"/>
          <w:szCs w:val="20"/>
        </w:rPr>
        <w:t xml:space="preserve">Rozložení zařízení </w:t>
      </w:r>
      <w:r w:rsidR="00BE54A1" w:rsidRPr="00217930">
        <w:rPr>
          <w:sz w:val="20"/>
          <w:szCs w:val="20"/>
        </w:rPr>
        <w:t xml:space="preserve">pro seniory </w:t>
      </w:r>
      <w:r w:rsidRPr="00217930">
        <w:rPr>
          <w:sz w:val="20"/>
          <w:szCs w:val="20"/>
        </w:rPr>
        <w:t>i osob v nich bydlících v jednotlivých krajích odpovíd</w:t>
      </w:r>
      <w:r w:rsidR="006C1DC5" w:rsidRPr="00217930">
        <w:rPr>
          <w:sz w:val="20"/>
          <w:szCs w:val="20"/>
        </w:rPr>
        <w:t>aly</w:t>
      </w:r>
      <w:r w:rsidRPr="00217930">
        <w:rPr>
          <w:sz w:val="20"/>
          <w:szCs w:val="20"/>
        </w:rPr>
        <w:t xml:space="preserve"> v podstatě </w:t>
      </w:r>
      <w:r w:rsidR="006C1DC5" w:rsidRPr="00217930">
        <w:rPr>
          <w:sz w:val="20"/>
          <w:szCs w:val="20"/>
        </w:rPr>
        <w:t xml:space="preserve">váze jednotlivých krajů na celkovém počtu obyvatel republiky. </w:t>
      </w:r>
      <w:r w:rsidR="004C0C78" w:rsidRPr="00217930">
        <w:rPr>
          <w:sz w:val="20"/>
          <w:szCs w:val="20"/>
        </w:rPr>
        <w:t>V absolutním vyjádření nejvíce</w:t>
      </w:r>
      <w:r w:rsidR="006C1DC5" w:rsidRPr="00217930">
        <w:rPr>
          <w:sz w:val="20"/>
          <w:szCs w:val="20"/>
        </w:rPr>
        <w:t xml:space="preserve"> </w:t>
      </w:r>
      <w:r w:rsidR="00EF568B" w:rsidRPr="00217930">
        <w:rPr>
          <w:sz w:val="20"/>
          <w:szCs w:val="20"/>
        </w:rPr>
        <w:t xml:space="preserve">seniorů v zařízeních </w:t>
      </w:r>
      <w:r w:rsidR="006C1DC5" w:rsidRPr="00217930">
        <w:rPr>
          <w:sz w:val="20"/>
          <w:szCs w:val="20"/>
        </w:rPr>
        <w:t>měly Moravskoslezský, Středočeský a Jihomoravský kraj</w:t>
      </w:r>
      <w:r w:rsidR="00EF568B" w:rsidRPr="00217930">
        <w:rPr>
          <w:sz w:val="20"/>
          <w:szCs w:val="20"/>
        </w:rPr>
        <w:t>, nejméně jich bylo v Libereckém a Karlovarském kraji</w:t>
      </w:r>
      <w:r w:rsidR="003F5EFE" w:rsidRPr="00217930">
        <w:rPr>
          <w:sz w:val="20"/>
          <w:szCs w:val="20"/>
        </w:rPr>
        <w:t>. Jediná Praha uvedeným relacím neodpovídala.</w:t>
      </w:r>
      <w:r w:rsidR="00EF568B" w:rsidRPr="00217930">
        <w:rPr>
          <w:sz w:val="20"/>
          <w:szCs w:val="20"/>
        </w:rPr>
        <w:t xml:space="preserve"> Zatímco na celkovém počtu obyvatel se podílela 12,2, % (druhé nejvyšší zastoupení po Středočeském kraji), podíl počtu osob v zařízeních pro seniory v Praze byl pouze 5,5 % (až desátý kraj v pořadí). Podle relace počtu seniorů v zařízení k celkovému počtu obyvatel kraje byla Praha hodnotou </w:t>
      </w:r>
      <w:r w:rsidR="00BA2890">
        <w:rPr>
          <w:sz w:val="20"/>
          <w:szCs w:val="20"/>
        </w:rPr>
        <w:t>3</w:t>
      </w:r>
      <w:r w:rsidR="000F3DA7" w:rsidRPr="00217930">
        <w:rPr>
          <w:sz w:val="20"/>
          <w:szCs w:val="20"/>
        </w:rPr>
        <w:t xml:space="preserve"> </w:t>
      </w:r>
      <w:r w:rsidR="0005747A" w:rsidRPr="00217930">
        <w:rPr>
          <w:sz w:val="20"/>
          <w:szCs w:val="20"/>
        </w:rPr>
        <w:t>‰</w:t>
      </w:r>
      <w:r w:rsidR="00EF568B" w:rsidRPr="00217930">
        <w:rPr>
          <w:sz w:val="20"/>
          <w:szCs w:val="20"/>
        </w:rPr>
        <w:t xml:space="preserve">  až</w:t>
      </w:r>
      <w:r w:rsidR="003F5EFE" w:rsidRPr="00217930">
        <w:rPr>
          <w:sz w:val="20"/>
          <w:szCs w:val="20"/>
        </w:rPr>
        <w:t xml:space="preserve"> dvanáctá</w:t>
      </w:r>
      <w:r w:rsidR="0005747A" w:rsidRPr="00217930">
        <w:rPr>
          <w:sz w:val="20"/>
          <w:szCs w:val="20"/>
        </w:rPr>
        <w:t>.</w:t>
      </w:r>
    </w:p>
    <w:p w:rsidR="0005747A" w:rsidRDefault="0005747A" w:rsidP="00264BF8">
      <w:pPr>
        <w:spacing w:line="276" w:lineRule="auto"/>
        <w:rPr>
          <w:szCs w:val="20"/>
        </w:rPr>
      </w:pPr>
    </w:p>
    <w:p w:rsidR="00B109CA" w:rsidRDefault="00B109CA" w:rsidP="00B109CA">
      <w:pPr>
        <w:keepNext/>
        <w:keepLines/>
        <w:spacing w:line="276" w:lineRule="auto"/>
        <w:jc w:val="both"/>
        <w:rPr>
          <w:b/>
          <w:sz w:val="20"/>
          <w:szCs w:val="20"/>
        </w:rPr>
      </w:pPr>
      <w:r w:rsidRPr="00B109CA">
        <w:rPr>
          <w:b/>
          <w:sz w:val="20"/>
          <w:szCs w:val="20"/>
        </w:rPr>
        <w:t>Graf č. 10 Domy pro seniory (bez bytů) podle vlastníka domu</w:t>
      </w:r>
      <w:r>
        <w:rPr>
          <w:b/>
          <w:sz w:val="20"/>
          <w:szCs w:val="20"/>
        </w:rPr>
        <w:t xml:space="preserve"> </w:t>
      </w:r>
    </w:p>
    <w:p w:rsidR="00B109CA" w:rsidRPr="00B109CA" w:rsidRDefault="00B109CA" w:rsidP="00B109CA">
      <w:pPr>
        <w:keepNext/>
        <w:keepLines/>
        <w:spacing w:line="276" w:lineRule="auto"/>
        <w:jc w:val="both"/>
        <w:rPr>
          <w:b/>
          <w:sz w:val="20"/>
          <w:szCs w:val="20"/>
        </w:rPr>
      </w:pPr>
      <w:r>
        <w:rPr>
          <w:b/>
          <w:sz w:val="20"/>
          <w:szCs w:val="20"/>
        </w:rPr>
        <w:t>k 26. 3. 2011</w:t>
      </w:r>
    </w:p>
    <w:p w:rsidR="00A0300C" w:rsidRPr="00217930" w:rsidRDefault="00B109CA" w:rsidP="00217930">
      <w:pPr>
        <w:spacing w:line="276" w:lineRule="auto"/>
        <w:jc w:val="both"/>
        <w:rPr>
          <w:sz w:val="20"/>
          <w:szCs w:val="20"/>
        </w:rPr>
      </w:pPr>
      <w:r>
        <w:rPr>
          <w:sz w:val="20"/>
          <w:szCs w:val="20"/>
          <w:lang w:eastAsia="cs-CZ"/>
        </w:rPr>
        <w:drawing>
          <wp:anchor distT="0" distB="0" distL="114300" distR="114300" simplePos="0" relativeHeight="251676672" behindDoc="0" locked="0" layoutInCell="1" allowOverlap="1">
            <wp:simplePos x="0" y="0"/>
            <wp:positionH relativeFrom="column">
              <wp:posOffset>-8255</wp:posOffset>
            </wp:positionH>
            <wp:positionV relativeFrom="paragraph">
              <wp:posOffset>19685</wp:posOffset>
            </wp:positionV>
            <wp:extent cx="3067050" cy="2009775"/>
            <wp:effectExtent l="19050" t="0" r="19050" b="0"/>
            <wp:wrapSquare wrapText="bothSides"/>
            <wp:docPr id="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0300C" w:rsidRPr="00217930">
        <w:rPr>
          <w:sz w:val="20"/>
          <w:szCs w:val="20"/>
        </w:rPr>
        <w:t xml:space="preserve">Rozvoj </w:t>
      </w:r>
      <w:r w:rsidR="0075761B" w:rsidRPr="00217930">
        <w:rPr>
          <w:sz w:val="20"/>
          <w:szCs w:val="20"/>
        </w:rPr>
        <w:t>zaříze</w:t>
      </w:r>
      <w:r w:rsidR="008749FF">
        <w:rPr>
          <w:sz w:val="20"/>
          <w:szCs w:val="20"/>
        </w:rPr>
        <w:t>n</w:t>
      </w:r>
      <w:r w:rsidR="0075761B" w:rsidRPr="00217930">
        <w:rPr>
          <w:sz w:val="20"/>
          <w:szCs w:val="20"/>
        </w:rPr>
        <w:t>í pro seniory je samozřejmě ovlivněn potřebami příslušného regionu</w:t>
      </w:r>
      <w:r w:rsidR="00306C5A">
        <w:rPr>
          <w:sz w:val="20"/>
          <w:szCs w:val="20"/>
        </w:rPr>
        <w:t xml:space="preserve"> a jeho celkovým rozvojem</w:t>
      </w:r>
      <w:r w:rsidR="0075761B" w:rsidRPr="00217930">
        <w:rPr>
          <w:sz w:val="20"/>
          <w:szCs w:val="20"/>
        </w:rPr>
        <w:t>, ale současně je limitován</w:t>
      </w:r>
      <w:r w:rsidR="00306C5A">
        <w:rPr>
          <w:sz w:val="20"/>
          <w:szCs w:val="20"/>
        </w:rPr>
        <w:t xml:space="preserve"> i</w:t>
      </w:r>
      <w:r w:rsidR="0075761B" w:rsidRPr="00217930">
        <w:rPr>
          <w:sz w:val="20"/>
          <w:szCs w:val="20"/>
        </w:rPr>
        <w:t xml:space="preserve"> finančními možnostmi zřizovatelů nebo nových investorů.</w:t>
      </w:r>
      <w:r w:rsidR="009C16DE">
        <w:rPr>
          <w:sz w:val="20"/>
          <w:szCs w:val="20"/>
        </w:rPr>
        <w:t xml:space="preserve"> K 26.</w:t>
      </w:r>
      <w:r w:rsidR="00BA2890">
        <w:rPr>
          <w:sz w:val="20"/>
          <w:szCs w:val="20"/>
        </w:rPr>
        <w:t xml:space="preserve"> </w:t>
      </w:r>
      <w:r w:rsidR="009C16DE">
        <w:rPr>
          <w:sz w:val="20"/>
          <w:szCs w:val="20"/>
        </w:rPr>
        <w:t>3.</w:t>
      </w:r>
      <w:r w:rsidR="00BA2890">
        <w:rPr>
          <w:sz w:val="20"/>
          <w:szCs w:val="20"/>
        </w:rPr>
        <w:t xml:space="preserve"> </w:t>
      </w:r>
      <w:r w:rsidR="009C16DE">
        <w:rPr>
          <w:sz w:val="20"/>
          <w:szCs w:val="20"/>
        </w:rPr>
        <w:t>2011 bylo v České republice 394 zařízení pro seniory (bez bytů), z nich bylo 67 neobydlených.</w:t>
      </w:r>
      <w:r w:rsidR="0075761B" w:rsidRPr="00217930">
        <w:rPr>
          <w:sz w:val="20"/>
          <w:szCs w:val="20"/>
        </w:rPr>
        <w:t xml:space="preserve"> </w:t>
      </w:r>
      <w:r w:rsidR="00D71F47" w:rsidRPr="00217930">
        <w:rPr>
          <w:sz w:val="20"/>
          <w:szCs w:val="20"/>
        </w:rPr>
        <w:t xml:space="preserve">Většina zařízení určená pro bydlení seniorů je ve vlastnictví obce příp. státu. </w:t>
      </w:r>
      <w:r w:rsidR="0005747A" w:rsidRPr="00217930">
        <w:rPr>
          <w:sz w:val="20"/>
          <w:szCs w:val="20"/>
        </w:rPr>
        <w:t>Zhruba čtvrtina zařízení</w:t>
      </w:r>
      <w:r w:rsidR="00D71F47" w:rsidRPr="00217930">
        <w:rPr>
          <w:sz w:val="20"/>
          <w:szCs w:val="20"/>
        </w:rPr>
        <w:t xml:space="preserve"> má za vlastníka jinou právnickou nebo fyzickou osobu. Lze předpokládat, že vlastník domu je </w:t>
      </w:r>
      <w:r w:rsidR="0005747A" w:rsidRPr="00217930">
        <w:rPr>
          <w:sz w:val="20"/>
          <w:szCs w:val="20"/>
        </w:rPr>
        <w:t>současně</w:t>
      </w:r>
      <w:r w:rsidR="00D71F47" w:rsidRPr="00217930">
        <w:rPr>
          <w:sz w:val="20"/>
          <w:szCs w:val="20"/>
        </w:rPr>
        <w:t xml:space="preserve"> i zřizovatelem nebo provozovatelem zařízení. </w:t>
      </w:r>
      <w:r w:rsidR="00217930">
        <w:rPr>
          <w:sz w:val="20"/>
          <w:szCs w:val="20"/>
        </w:rPr>
        <w:t xml:space="preserve"> </w:t>
      </w:r>
    </w:p>
    <w:p w:rsidR="00CF1FE3" w:rsidRDefault="00CF1FE3" w:rsidP="00264BF8">
      <w:pPr>
        <w:spacing w:line="276" w:lineRule="auto"/>
        <w:rPr>
          <w:szCs w:val="20"/>
        </w:rPr>
      </w:pPr>
    </w:p>
    <w:p w:rsidR="00802AFC" w:rsidRPr="00653754" w:rsidRDefault="00406B1F" w:rsidP="00264BF8">
      <w:pPr>
        <w:spacing w:line="276" w:lineRule="auto"/>
        <w:jc w:val="both"/>
        <w:rPr>
          <w:sz w:val="20"/>
          <w:szCs w:val="20"/>
        </w:rPr>
      </w:pPr>
      <w:r w:rsidRPr="00653754">
        <w:rPr>
          <w:sz w:val="20"/>
          <w:szCs w:val="20"/>
        </w:rPr>
        <w:lastRenderedPageBreak/>
        <w:t xml:space="preserve">Z celkového počtu osob v zařízeních pro seniory jich 60 % mělo v příslušném zařízení i trvalý pobyt. Podíl byl u mužů </w:t>
      </w:r>
      <w:r w:rsidR="001C4BD3" w:rsidRPr="00653754">
        <w:rPr>
          <w:sz w:val="20"/>
          <w:szCs w:val="20"/>
        </w:rPr>
        <w:t>mírně</w:t>
      </w:r>
      <w:r w:rsidRPr="00653754">
        <w:rPr>
          <w:sz w:val="20"/>
          <w:szCs w:val="20"/>
        </w:rPr>
        <w:t xml:space="preserve"> (</w:t>
      </w:r>
      <w:r w:rsidR="001C4BD3" w:rsidRPr="00653754">
        <w:rPr>
          <w:sz w:val="20"/>
          <w:szCs w:val="20"/>
        </w:rPr>
        <w:t xml:space="preserve">o </w:t>
      </w:r>
      <w:r w:rsidRPr="00653754">
        <w:rPr>
          <w:sz w:val="20"/>
          <w:szCs w:val="20"/>
        </w:rPr>
        <w:t xml:space="preserve">2,5 procentního bodu) vyšší než u žen. Ostatní dvě pětiny </w:t>
      </w:r>
      <w:r w:rsidR="001C4BD3" w:rsidRPr="00653754">
        <w:rPr>
          <w:sz w:val="20"/>
          <w:szCs w:val="20"/>
        </w:rPr>
        <w:t xml:space="preserve">osob </w:t>
      </w:r>
      <w:r w:rsidRPr="00653754">
        <w:rPr>
          <w:sz w:val="20"/>
          <w:szCs w:val="20"/>
        </w:rPr>
        <w:t>žily v zařízení obvykle (tedy dlouhodobě), trvalý pobyt měly ale na jiné adrese</w:t>
      </w:r>
      <w:r w:rsidR="001C4BD3" w:rsidRPr="00653754">
        <w:rPr>
          <w:sz w:val="20"/>
          <w:szCs w:val="20"/>
        </w:rPr>
        <w:t>, přitom zhruba v polovině případů byla tato evidenční adresa trvalého pobytu ve stejné obci.</w:t>
      </w:r>
    </w:p>
    <w:p w:rsidR="00DA2841" w:rsidRDefault="00DA2841" w:rsidP="00264BF8">
      <w:pPr>
        <w:spacing w:line="276" w:lineRule="auto"/>
        <w:jc w:val="both"/>
        <w:rPr>
          <w:sz w:val="20"/>
          <w:szCs w:val="20"/>
        </w:rPr>
      </w:pPr>
    </w:p>
    <w:p w:rsidR="00A06082" w:rsidRPr="00653754" w:rsidRDefault="00DA2841" w:rsidP="00264BF8">
      <w:pPr>
        <w:spacing w:line="276" w:lineRule="auto"/>
        <w:jc w:val="both"/>
        <w:rPr>
          <w:sz w:val="20"/>
          <w:szCs w:val="20"/>
        </w:rPr>
      </w:pPr>
      <w:r>
        <w:rPr>
          <w:sz w:val="20"/>
          <w:szCs w:val="20"/>
        </w:rPr>
        <w:t>Senioři</w:t>
      </w:r>
      <w:r w:rsidR="00A06082" w:rsidRPr="00653754">
        <w:rPr>
          <w:sz w:val="20"/>
          <w:szCs w:val="20"/>
        </w:rPr>
        <w:t xml:space="preserve"> v zařízení častěji než celá populace vyplnil</w:t>
      </w:r>
      <w:r>
        <w:rPr>
          <w:sz w:val="20"/>
          <w:szCs w:val="20"/>
        </w:rPr>
        <w:t>i</w:t>
      </w:r>
      <w:r w:rsidR="00A06082" w:rsidRPr="00653754">
        <w:rPr>
          <w:sz w:val="20"/>
          <w:szCs w:val="20"/>
        </w:rPr>
        <w:t xml:space="preserve"> ve sčítacím formuláři dobrovoln</w:t>
      </w:r>
      <w:r w:rsidR="006561DB" w:rsidRPr="00653754">
        <w:rPr>
          <w:sz w:val="20"/>
          <w:szCs w:val="20"/>
        </w:rPr>
        <w:t>ou</w:t>
      </w:r>
      <w:r w:rsidR="00A06082" w:rsidRPr="00653754">
        <w:rPr>
          <w:sz w:val="20"/>
          <w:szCs w:val="20"/>
        </w:rPr>
        <w:t xml:space="preserve"> otázk</w:t>
      </w:r>
      <w:r w:rsidR="006561DB" w:rsidRPr="00653754">
        <w:rPr>
          <w:sz w:val="20"/>
          <w:szCs w:val="20"/>
        </w:rPr>
        <w:t>u na n</w:t>
      </w:r>
      <w:r w:rsidR="00A06082" w:rsidRPr="00653754">
        <w:rPr>
          <w:sz w:val="20"/>
          <w:szCs w:val="20"/>
        </w:rPr>
        <w:t>árodnost</w:t>
      </w:r>
      <w:r w:rsidR="006561DB" w:rsidRPr="00653754">
        <w:rPr>
          <w:sz w:val="20"/>
          <w:szCs w:val="20"/>
        </w:rPr>
        <w:t xml:space="preserve">; </w:t>
      </w:r>
      <w:r w:rsidR="00A06082" w:rsidRPr="00653754">
        <w:rPr>
          <w:sz w:val="20"/>
          <w:szCs w:val="20"/>
        </w:rPr>
        <w:t>neuvedlo</w:t>
      </w:r>
      <w:r w:rsidR="006561DB" w:rsidRPr="00653754">
        <w:rPr>
          <w:sz w:val="20"/>
          <w:szCs w:val="20"/>
        </w:rPr>
        <w:t xml:space="preserve"> ji</w:t>
      </w:r>
      <w:r w:rsidR="00A06082" w:rsidRPr="00653754">
        <w:rPr>
          <w:sz w:val="20"/>
          <w:szCs w:val="20"/>
        </w:rPr>
        <w:t xml:space="preserve"> pouze 19 % osob v zařízení pro seniory (obyvatelstvo celkem - 25 %)</w:t>
      </w:r>
      <w:r w:rsidR="006561DB" w:rsidRPr="00653754">
        <w:rPr>
          <w:sz w:val="20"/>
          <w:szCs w:val="20"/>
        </w:rPr>
        <w:t xml:space="preserve">. </w:t>
      </w:r>
      <w:r w:rsidR="00A06082" w:rsidRPr="00653754">
        <w:rPr>
          <w:sz w:val="20"/>
          <w:szCs w:val="20"/>
        </w:rPr>
        <w:t>Ve struktuře podle národnosti měla převahu národnost česká (73,6 %), moravská (2,8 %) a slovenská (2,1 %)</w:t>
      </w:r>
      <w:r w:rsidR="006561DB" w:rsidRPr="00653754">
        <w:rPr>
          <w:sz w:val="20"/>
          <w:szCs w:val="20"/>
        </w:rPr>
        <w:t>.</w:t>
      </w:r>
    </w:p>
    <w:p w:rsidR="009725E2" w:rsidRPr="00653754" w:rsidRDefault="009725E2" w:rsidP="00264BF8">
      <w:pPr>
        <w:spacing w:line="276" w:lineRule="auto"/>
        <w:jc w:val="both"/>
        <w:rPr>
          <w:sz w:val="20"/>
          <w:szCs w:val="20"/>
        </w:rPr>
      </w:pPr>
    </w:p>
    <w:p w:rsidR="000061AF" w:rsidRPr="00653754" w:rsidRDefault="00DA2841" w:rsidP="00264BF8">
      <w:pPr>
        <w:spacing w:line="276" w:lineRule="auto"/>
        <w:jc w:val="both"/>
        <w:rPr>
          <w:sz w:val="20"/>
          <w:szCs w:val="20"/>
        </w:rPr>
      </w:pPr>
      <w:r>
        <w:rPr>
          <w:sz w:val="20"/>
          <w:szCs w:val="20"/>
        </w:rPr>
        <w:t>V případě</w:t>
      </w:r>
      <w:r w:rsidR="006561DB" w:rsidRPr="00653754">
        <w:rPr>
          <w:sz w:val="20"/>
          <w:szCs w:val="20"/>
        </w:rPr>
        <w:t xml:space="preserve"> druhé dobrovolné otázky - o vztahu k náboženské víře - byl podíl neuvedených odpovědí (43,0</w:t>
      </w:r>
      <w:r w:rsidR="00BA2890">
        <w:rPr>
          <w:sz w:val="20"/>
          <w:szCs w:val="20"/>
        </w:rPr>
        <w:t> </w:t>
      </w:r>
      <w:r w:rsidR="006561DB" w:rsidRPr="00653754">
        <w:rPr>
          <w:sz w:val="20"/>
          <w:szCs w:val="20"/>
        </w:rPr>
        <w:t xml:space="preserve">%) srovnatelný s celorepublikou hodnotou (44,7 %). </w:t>
      </w:r>
      <w:r w:rsidR="009725E2" w:rsidRPr="00653754">
        <w:rPr>
          <w:sz w:val="20"/>
          <w:szCs w:val="20"/>
        </w:rPr>
        <w:t xml:space="preserve">Osoby, které svůj vztah k víře deklarovaly, měly ale odlišnou strukturu odpovědí než byla v populaci celkem. Z celkového počtu osob v zařízeních pro seniory  jich 28,8, % uvedlo Církev římskokatolickou (populace celkem - 10,4 %), volbu bez </w:t>
      </w:r>
      <w:r w:rsidR="00BB400A" w:rsidRPr="00653754">
        <w:rPr>
          <w:sz w:val="20"/>
          <w:szCs w:val="20"/>
        </w:rPr>
        <w:t xml:space="preserve">náboženské </w:t>
      </w:r>
      <w:r w:rsidR="009725E2" w:rsidRPr="00653754">
        <w:rPr>
          <w:sz w:val="20"/>
          <w:szCs w:val="20"/>
        </w:rPr>
        <w:t xml:space="preserve">víry uvedlo </w:t>
      </w:r>
      <w:r w:rsidR="00BB400A" w:rsidRPr="00653754">
        <w:rPr>
          <w:sz w:val="20"/>
          <w:szCs w:val="20"/>
        </w:rPr>
        <w:t xml:space="preserve"> 15,8 % osob (populace celkem 34,5 %). Odlišná struktura odpovědí měla přímou vazbu na věk osob v těchto zařízeních.</w:t>
      </w:r>
    </w:p>
    <w:p w:rsidR="00ED078D" w:rsidRPr="00653754" w:rsidRDefault="00ED078D" w:rsidP="0051354C">
      <w:pPr>
        <w:rPr>
          <w:sz w:val="20"/>
          <w:szCs w:val="20"/>
        </w:rPr>
      </w:pPr>
    </w:p>
    <w:p w:rsidR="00ED078D" w:rsidRPr="00653754" w:rsidRDefault="00ED078D" w:rsidP="0051354C">
      <w:pPr>
        <w:rPr>
          <w:sz w:val="20"/>
          <w:szCs w:val="20"/>
        </w:rPr>
      </w:pPr>
    </w:p>
    <w:p w:rsidR="00ED078D" w:rsidRPr="00E74AD7" w:rsidRDefault="00433AF9" w:rsidP="0051354C">
      <w:pPr>
        <w:rPr>
          <w:b/>
          <w:sz w:val="22"/>
          <w:szCs w:val="22"/>
        </w:rPr>
      </w:pPr>
      <w:r w:rsidRPr="00E74AD7">
        <w:rPr>
          <w:b/>
          <w:sz w:val="22"/>
          <w:szCs w:val="22"/>
        </w:rPr>
        <w:t>4.2</w:t>
      </w:r>
      <w:r w:rsidRPr="00E74AD7">
        <w:rPr>
          <w:b/>
          <w:sz w:val="22"/>
          <w:szCs w:val="22"/>
        </w:rPr>
        <w:tab/>
      </w:r>
      <w:r w:rsidR="00ED078D" w:rsidRPr="00E74AD7">
        <w:rPr>
          <w:b/>
          <w:sz w:val="22"/>
          <w:szCs w:val="22"/>
        </w:rPr>
        <w:t>Ubytovny</w:t>
      </w:r>
      <w:r w:rsidR="00D30AEB" w:rsidRPr="00E74AD7">
        <w:rPr>
          <w:b/>
          <w:sz w:val="22"/>
          <w:szCs w:val="22"/>
        </w:rPr>
        <w:t xml:space="preserve"> </w:t>
      </w:r>
    </w:p>
    <w:p w:rsidR="008749FF" w:rsidRDefault="00ED078D" w:rsidP="008749FF">
      <w:pPr>
        <w:spacing w:line="276" w:lineRule="auto"/>
        <w:jc w:val="both"/>
        <w:rPr>
          <w:sz w:val="20"/>
          <w:szCs w:val="20"/>
        </w:rPr>
      </w:pPr>
      <w:r w:rsidRPr="00653754">
        <w:rPr>
          <w:sz w:val="20"/>
          <w:szCs w:val="20"/>
        </w:rPr>
        <w:t xml:space="preserve">V domech, které byly na domovním listu označeny jako ubytovny, mělo obvyklý pobyt  k datu sčítání celkem </w:t>
      </w:r>
      <w:r w:rsidR="004009D7" w:rsidRPr="00653754">
        <w:rPr>
          <w:sz w:val="20"/>
          <w:szCs w:val="20"/>
        </w:rPr>
        <w:t>28 143 osob, v tom bylo 71 % mužů a 29 % žen. V rodinách žilo v ubytovnách jen 1</w:t>
      </w:r>
      <w:r w:rsidR="00AF50AF" w:rsidRPr="00653754">
        <w:rPr>
          <w:sz w:val="20"/>
          <w:szCs w:val="20"/>
        </w:rPr>
        <w:t xml:space="preserve"> </w:t>
      </w:r>
      <w:r w:rsidR="004009D7" w:rsidRPr="00653754">
        <w:rPr>
          <w:sz w:val="20"/>
          <w:szCs w:val="20"/>
        </w:rPr>
        <w:t>806 osob (841 mužů a  965 žen).</w:t>
      </w:r>
    </w:p>
    <w:p w:rsidR="008749FF" w:rsidRDefault="008749FF" w:rsidP="008749FF">
      <w:pPr>
        <w:spacing w:line="276" w:lineRule="auto"/>
        <w:jc w:val="both"/>
        <w:rPr>
          <w:sz w:val="20"/>
          <w:szCs w:val="20"/>
        </w:rPr>
      </w:pPr>
    </w:p>
    <w:p w:rsidR="008749FF" w:rsidRPr="00B109CA" w:rsidRDefault="008749FF" w:rsidP="008749FF">
      <w:pPr>
        <w:keepNext/>
        <w:keepLines/>
        <w:spacing w:line="276" w:lineRule="auto"/>
        <w:jc w:val="both"/>
        <w:rPr>
          <w:b/>
          <w:sz w:val="20"/>
          <w:szCs w:val="20"/>
        </w:rPr>
      </w:pPr>
      <w:r w:rsidRPr="00B109CA">
        <w:rPr>
          <w:b/>
          <w:sz w:val="20"/>
          <w:szCs w:val="20"/>
        </w:rPr>
        <w:t>Graf č. 1</w:t>
      </w:r>
      <w:r>
        <w:rPr>
          <w:b/>
          <w:sz w:val="20"/>
          <w:szCs w:val="20"/>
        </w:rPr>
        <w:t>1</w:t>
      </w:r>
      <w:r w:rsidRPr="00B109CA">
        <w:rPr>
          <w:b/>
          <w:sz w:val="20"/>
          <w:szCs w:val="20"/>
        </w:rPr>
        <w:t xml:space="preserve"> </w:t>
      </w:r>
      <w:r>
        <w:rPr>
          <w:b/>
          <w:sz w:val="20"/>
          <w:szCs w:val="20"/>
        </w:rPr>
        <w:t>Věková struktura osob v ubytovnách k 26. 3. 2011</w:t>
      </w:r>
    </w:p>
    <w:p w:rsidR="00D75AB0" w:rsidRDefault="001770AA" w:rsidP="008749FF">
      <w:pPr>
        <w:spacing w:line="276" w:lineRule="auto"/>
        <w:jc w:val="both"/>
        <w:rPr>
          <w:sz w:val="20"/>
          <w:szCs w:val="20"/>
        </w:rPr>
      </w:pPr>
      <w:r>
        <w:rPr>
          <w:sz w:val="20"/>
          <w:szCs w:val="20"/>
          <w:lang w:eastAsia="cs-CZ"/>
        </w:rPr>
        <w:drawing>
          <wp:anchor distT="0" distB="0" distL="114300" distR="114300" simplePos="0" relativeHeight="251677696" behindDoc="0" locked="0" layoutInCell="1" allowOverlap="1">
            <wp:simplePos x="0" y="0"/>
            <wp:positionH relativeFrom="column">
              <wp:posOffset>20320</wp:posOffset>
            </wp:positionH>
            <wp:positionV relativeFrom="paragraph">
              <wp:posOffset>113030</wp:posOffset>
            </wp:positionV>
            <wp:extent cx="3886200" cy="2476500"/>
            <wp:effectExtent l="19050" t="0" r="19050" b="0"/>
            <wp:wrapSquare wrapText="bothSides"/>
            <wp:docPr id="2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009D7" w:rsidRPr="00653754">
        <w:rPr>
          <w:sz w:val="20"/>
          <w:szCs w:val="20"/>
        </w:rPr>
        <w:t xml:space="preserve"> </w:t>
      </w:r>
    </w:p>
    <w:p w:rsidR="004009D7" w:rsidRPr="00653754" w:rsidRDefault="004009D7" w:rsidP="00653754">
      <w:pPr>
        <w:spacing w:line="276" w:lineRule="auto"/>
        <w:jc w:val="both"/>
        <w:rPr>
          <w:sz w:val="20"/>
          <w:szCs w:val="20"/>
        </w:rPr>
      </w:pPr>
      <w:r w:rsidRPr="00653754">
        <w:rPr>
          <w:sz w:val="20"/>
          <w:szCs w:val="20"/>
        </w:rPr>
        <w:t xml:space="preserve">Ve struktuře podle věku </w:t>
      </w:r>
      <w:r w:rsidR="00AF50AF" w:rsidRPr="00653754">
        <w:rPr>
          <w:sz w:val="20"/>
          <w:szCs w:val="20"/>
        </w:rPr>
        <w:t>měl jednoznačnou převahu produktivní věk. Více než 93 % osob bylo ve věku 15 - 64 let, přičemž desetiletky věku mezi 20 a 49 lety byly zastoupeny v podstatě rovnoměrně (rozdíl mezi nimi byl maximálně pouhých 2,2 procentního bodu).</w:t>
      </w:r>
    </w:p>
    <w:p w:rsidR="0097751D" w:rsidRPr="00653754" w:rsidRDefault="0097751D" w:rsidP="00653754">
      <w:pPr>
        <w:spacing w:line="276" w:lineRule="auto"/>
        <w:jc w:val="both"/>
        <w:rPr>
          <w:sz w:val="20"/>
          <w:szCs w:val="20"/>
        </w:rPr>
      </w:pPr>
    </w:p>
    <w:p w:rsidR="0097751D" w:rsidRPr="00653754" w:rsidRDefault="00D22D5F" w:rsidP="00653754">
      <w:pPr>
        <w:spacing w:line="276" w:lineRule="auto"/>
        <w:jc w:val="both"/>
        <w:rPr>
          <w:sz w:val="20"/>
          <w:szCs w:val="20"/>
        </w:rPr>
      </w:pPr>
      <w:r w:rsidRPr="00653754">
        <w:rPr>
          <w:sz w:val="20"/>
          <w:szCs w:val="20"/>
        </w:rPr>
        <w:t>Z celkového počtu osob v ubytovnách dvě pětiny nevyplnily sčítací formuláře, ale byly za ně pouze doplněny údaje z administrativního zdroje</w:t>
      </w:r>
      <w:r w:rsidR="00AD7182" w:rsidRPr="00653754">
        <w:rPr>
          <w:sz w:val="20"/>
          <w:szCs w:val="20"/>
        </w:rPr>
        <w:t xml:space="preserve"> (tedy pouze věk, pohlaví, státní občanství a rodinný stav)</w:t>
      </w:r>
      <w:r w:rsidRPr="00653754">
        <w:rPr>
          <w:sz w:val="20"/>
          <w:szCs w:val="20"/>
        </w:rPr>
        <w:t xml:space="preserve">. Tento  vysoký počet významně ovlivnil hodnoty deklaratorních charakteristik </w:t>
      </w:r>
      <w:r w:rsidR="00AD7182" w:rsidRPr="00653754">
        <w:rPr>
          <w:sz w:val="20"/>
          <w:szCs w:val="20"/>
        </w:rPr>
        <w:t xml:space="preserve">. Např. ekonomická aktivita </w:t>
      </w:r>
      <w:r w:rsidR="00972D8E" w:rsidRPr="00653754">
        <w:rPr>
          <w:sz w:val="20"/>
          <w:szCs w:val="20"/>
        </w:rPr>
        <w:t xml:space="preserve">zůstala nezjištěna téměř u poloviny osob bydlících v ubytovnách (47,4 %); vztaženo pouze k osobám v produktivním věku byl podíl nezjištěné ekonomické aktivity ještě vyšší (50,4 %) . S omezením pouze na osoby, které vyplnily sčítací formuláře, </w:t>
      </w:r>
      <w:r w:rsidR="00E77EDA" w:rsidRPr="00653754">
        <w:rPr>
          <w:sz w:val="20"/>
          <w:szCs w:val="20"/>
        </w:rPr>
        <w:t>byla</w:t>
      </w:r>
      <w:r w:rsidR="00972D8E" w:rsidRPr="00653754">
        <w:rPr>
          <w:sz w:val="20"/>
          <w:szCs w:val="20"/>
        </w:rPr>
        <w:t xml:space="preserve"> nezjištěná ekonomická aktivita  </w:t>
      </w:r>
      <w:r w:rsidR="00E74AD7">
        <w:rPr>
          <w:sz w:val="20"/>
          <w:szCs w:val="20"/>
        </w:rPr>
        <w:t>na úrovni</w:t>
      </w:r>
      <w:r w:rsidR="00E77EDA" w:rsidRPr="00653754">
        <w:rPr>
          <w:sz w:val="20"/>
          <w:szCs w:val="20"/>
        </w:rPr>
        <w:t xml:space="preserve"> 12,6 %.</w:t>
      </w:r>
    </w:p>
    <w:p w:rsidR="00E74AD7" w:rsidRDefault="00E74AD7" w:rsidP="00653754">
      <w:pPr>
        <w:spacing w:line="276" w:lineRule="auto"/>
        <w:jc w:val="both"/>
        <w:rPr>
          <w:sz w:val="20"/>
          <w:szCs w:val="20"/>
        </w:rPr>
      </w:pPr>
    </w:p>
    <w:p w:rsidR="00E77EDA" w:rsidRDefault="00E77EDA" w:rsidP="00653754">
      <w:pPr>
        <w:spacing w:line="276" w:lineRule="auto"/>
        <w:jc w:val="both"/>
        <w:rPr>
          <w:sz w:val="20"/>
          <w:szCs w:val="20"/>
        </w:rPr>
      </w:pPr>
      <w:r w:rsidRPr="00653754">
        <w:rPr>
          <w:sz w:val="20"/>
          <w:szCs w:val="20"/>
        </w:rPr>
        <w:t>Z porovnání struktury osob v ubytovnách podle ekonomické aktivity a téže struktury za obyvatelstvo celkem je zřejmé specifické složení osob v tomto typu zařízení.</w:t>
      </w:r>
    </w:p>
    <w:p w:rsidR="001770AA" w:rsidRDefault="001770AA" w:rsidP="00653754">
      <w:pPr>
        <w:spacing w:line="276" w:lineRule="auto"/>
        <w:jc w:val="both"/>
        <w:rPr>
          <w:sz w:val="20"/>
          <w:szCs w:val="20"/>
        </w:rPr>
      </w:pPr>
    </w:p>
    <w:p w:rsidR="001770AA" w:rsidRDefault="001770AA" w:rsidP="00C117FF">
      <w:pPr>
        <w:tabs>
          <w:tab w:val="left" w:pos="993"/>
        </w:tabs>
        <w:spacing w:line="276" w:lineRule="auto"/>
        <w:ind w:firstLine="993"/>
        <w:rPr>
          <w:b/>
          <w:bCs/>
          <w:sz w:val="20"/>
          <w:szCs w:val="20"/>
        </w:rPr>
      </w:pPr>
      <w:r w:rsidRPr="001770AA">
        <w:rPr>
          <w:b/>
          <w:sz w:val="20"/>
          <w:szCs w:val="20"/>
        </w:rPr>
        <w:lastRenderedPageBreak/>
        <w:t>Graf č. 12</w:t>
      </w:r>
      <w:r>
        <w:rPr>
          <w:sz w:val="20"/>
          <w:szCs w:val="20"/>
        </w:rPr>
        <w:t xml:space="preserve"> </w:t>
      </w:r>
      <w:r w:rsidRPr="001770AA">
        <w:rPr>
          <w:b/>
          <w:bCs/>
          <w:sz w:val="20"/>
          <w:szCs w:val="20"/>
        </w:rPr>
        <w:t>Porovnání struktur obyvatel podle ekonomické aktivity</w:t>
      </w:r>
      <w:r>
        <w:rPr>
          <w:b/>
          <w:bCs/>
          <w:sz w:val="20"/>
          <w:szCs w:val="20"/>
        </w:rPr>
        <w:t xml:space="preserve">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1929D6" w:rsidRDefault="001929D6" w:rsidP="001770AA">
      <w:pPr>
        <w:spacing w:line="276" w:lineRule="auto"/>
        <w:jc w:val="center"/>
        <w:rPr>
          <w:b/>
          <w:bCs/>
          <w:sz w:val="20"/>
          <w:szCs w:val="20"/>
        </w:rPr>
      </w:pPr>
      <w:r w:rsidRPr="001929D6">
        <w:rPr>
          <w:b/>
          <w:bCs/>
          <w:sz w:val="20"/>
          <w:szCs w:val="20"/>
          <w:bdr w:val="single" w:sz="4" w:space="0" w:color="auto"/>
          <w:lang w:eastAsia="cs-CZ"/>
        </w:rPr>
        <w:drawing>
          <wp:inline distT="0" distB="0" distL="0" distR="0">
            <wp:extent cx="4768947" cy="2700997"/>
            <wp:effectExtent l="0" t="0" r="0" b="0"/>
            <wp:docPr id="32"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29D6" w:rsidRPr="001770AA" w:rsidRDefault="001929D6" w:rsidP="001770AA">
      <w:pPr>
        <w:spacing w:line="276" w:lineRule="auto"/>
        <w:jc w:val="center"/>
        <w:rPr>
          <w:sz w:val="20"/>
          <w:szCs w:val="20"/>
        </w:rPr>
      </w:pPr>
    </w:p>
    <w:p w:rsidR="00EC7146" w:rsidRDefault="00EC7146" w:rsidP="001770AA">
      <w:pPr>
        <w:jc w:val="center"/>
        <w:rPr>
          <w:szCs w:val="20"/>
        </w:rPr>
      </w:pPr>
    </w:p>
    <w:p w:rsidR="00EC7146" w:rsidRDefault="00EC7146" w:rsidP="001770AA">
      <w:pPr>
        <w:jc w:val="center"/>
        <w:rPr>
          <w:szCs w:val="20"/>
        </w:rPr>
      </w:pPr>
    </w:p>
    <w:p w:rsidR="00EC7146" w:rsidRDefault="00E77EDA" w:rsidP="00653754">
      <w:pPr>
        <w:spacing w:line="276" w:lineRule="auto"/>
        <w:jc w:val="both"/>
        <w:rPr>
          <w:sz w:val="20"/>
          <w:szCs w:val="20"/>
        </w:rPr>
      </w:pPr>
      <w:r w:rsidRPr="00653754">
        <w:rPr>
          <w:sz w:val="20"/>
          <w:szCs w:val="20"/>
        </w:rPr>
        <w:t xml:space="preserve">Bez ohledu na vyšší podíl nezjištěné ekonomické aktivity převažuje </w:t>
      </w:r>
      <w:r w:rsidR="004A16CC" w:rsidRPr="00653754">
        <w:rPr>
          <w:sz w:val="20"/>
          <w:szCs w:val="20"/>
        </w:rPr>
        <w:t xml:space="preserve">u osob v ubytovnách </w:t>
      </w:r>
      <w:r w:rsidRPr="00653754">
        <w:rPr>
          <w:sz w:val="20"/>
          <w:szCs w:val="20"/>
        </w:rPr>
        <w:t>zastoupení ekonomicky aktivních,</w:t>
      </w:r>
      <w:r w:rsidR="004A16CC" w:rsidRPr="00653754">
        <w:rPr>
          <w:sz w:val="20"/>
          <w:szCs w:val="20"/>
        </w:rPr>
        <w:t xml:space="preserve"> a to</w:t>
      </w:r>
      <w:r w:rsidRPr="00653754">
        <w:rPr>
          <w:sz w:val="20"/>
          <w:szCs w:val="20"/>
        </w:rPr>
        <w:t xml:space="preserve"> jak o něco vyšší podíl zaměstnaných (o 2,8 procentního bodu), tak zejména trojnásobně vyšší zastoupení nezaměstnaných</w:t>
      </w:r>
      <w:r w:rsidR="00F64BE1" w:rsidRPr="00653754">
        <w:rPr>
          <w:sz w:val="20"/>
          <w:szCs w:val="20"/>
        </w:rPr>
        <w:t xml:space="preserve">. Úměrně tomu je v ubytovnách výrazně nižší podíl osob ekonomicky neaktivních. Toto složení odpovídá </w:t>
      </w:r>
      <w:r w:rsidR="00D82095" w:rsidRPr="00653754">
        <w:rPr>
          <w:sz w:val="20"/>
          <w:szCs w:val="20"/>
        </w:rPr>
        <w:t xml:space="preserve">skutečnosti, že některé ubytovny slouží ubytování pracujících </w:t>
      </w:r>
      <w:r w:rsidR="004A16CC" w:rsidRPr="00653754">
        <w:rPr>
          <w:sz w:val="20"/>
          <w:szCs w:val="20"/>
        </w:rPr>
        <w:t>osob, některé ubytovny jsou určeny k ubytování osob v tíživé sociální situaci. Např. tak cizinci na ubytovnách patřili  většinou do kategorie osob pracujících a měli významně vyšší zastoupení zaměstnaných osob (69 %)</w:t>
      </w:r>
      <w:r w:rsidR="00B516F4" w:rsidRPr="00653754">
        <w:rPr>
          <w:sz w:val="20"/>
          <w:szCs w:val="20"/>
        </w:rPr>
        <w:t xml:space="preserve">, občané ČR vč. osob bez občanství a s nezjištěným občanstvím </w:t>
      </w:r>
      <w:r w:rsidR="001361EF" w:rsidRPr="00653754">
        <w:rPr>
          <w:sz w:val="20"/>
          <w:szCs w:val="20"/>
        </w:rPr>
        <w:t>byli v pětině případů nezaměstnaní a více než třetina z nich byla ekonomicky neaktivní.</w:t>
      </w:r>
    </w:p>
    <w:p w:rsidR="001770AA" w:rsidRDefault="001770AA" w:rsidP="00653754">
      <w:pPr>
        <w:spacing w:line="276" w:lineRule="auto"/>
        <w:jc w:val="both"/>
        <w:rPr>
          <w:sz w:val="20"/>
          <w:szCs w:val="20"/>
        </w:rPr>
      </w:pPr>
    </w:p>
    <w:p w:rsidR="001929D6" w:rsidRDefault="001770AA" w:rsidP="001929D6">
      <w:pPr>
        <w:spacing w:line="276" w:lineRule="auto"/>
        <w:ind w:left="993"/>
        <w:rPr>
          <w:b/>
          <w:bCs/>
          <w:sz w:val="20"/>
          <w:szCs w:val="20"/>
        </w:rPr>
      </w:pPr>
      <w:r w:rsidRPr="001770AA">
        <w:rPr>
          <w:b/>
          <w:sz w:val="20"/>
          <w:szCs w:val="20"/>
        </w:rPr>
        <w:t>Graf č. 1</w:t>
      </w:r>
      <w:r>
        <w:rPr>
          <w:b/>
          <w:sz w:val="20"/>
          <w:szCs w:val="20"/>
        </w:rPr>
        <w:t>3</w:t>
      </w:r>
      <w:r>
        <w:rPr>
          <w:sz w:val="20"/>
          <w:szCs w:val="20"/>
        </w:rPr>
        <w:t xml:space="preserve"> </w:t>
      </w:r>
      <w:r w:rsidRPr="001770AA">
        <w:rPr>
          <w:b/>
          <w:bCs/>
          <w:sz w:val="20"/>
          <w:szCs w:val="20"/>
        </w:rPr>
        <w:t>Porovnání struktur</w:t>
      </w:r>
      <w:r>
        <w:rPr>
          <w:b/>
          <w:bCs/>
          <w:sz w:val="20"/>
          <w:szCs w:val="20"/>
        </w:rPr>
        <w:t xml:space="preserve"> </w:t>
      </w:r>
      <w:r w:rsidRPr="001770AA">
        <w:rPr>
          <w:b/>
          <w:bCs/>
          <w:sz w:val="20"/>
          <w:szCs w:val="20"/>
        </w:rPr>
        <w:t>obyvatel v</w:t>
      </w:r>
      <w:r>
        <w:rPr>
          <w:b/>
          <w:bCs/>
          <w:sz w:val="20"/>
          <w:szCs w:val="20"/>
        </w:rPr>
        <w:t> </w:t>
      </w:r>
      <w:r w:rsidRPr="001770AA">
        <w:rPr>
          <w:b/>
          <w:bCs/>
          <w:sz w:val="20"/>
          <w:szCs w:val="20"/>
        </w:rPr>
        <w:t>ubytovnách</w:t>
      </w:r>
      <w:r>
        <w:rPr>
          <w:b/>
          <w:bCs/>
          <w:sz w:val="20"/>
          <w:szCs w:val="20"/>
        </w:rPr>
        <w:t xml:space="preserve"> </w:t>
      </w:r>
      <w:r w:rsidRPr="001770AA">
        <w:rPr>
          <w:b/>
          <w:bCs/>
          <w:sz w:val="20"/>
          <w:szCs w:val="20"/>
        </w:rPr>
        <w:t>podle ekonomické</w:t>
      </w:r>
      <w:r>
        <w:rPr>
          <w:b/>
          <w:bCs/>
          <w:sz w:val="20"/>
          <w:szCs w:val="20"/>
        </w:rPr>
        <w:t xml:space="preserve"> </w:t>
      </w:r>
      <w:r w:rsidR="001929D6">
        <w:rPr>
          <w:b/>
          <w:bCs/>
          <w:sz w:val="20"/>
          <w:szCs w:val="20"/>
        </w:rPr>
        <w:t xml:space="preserve">aktivity </w:t>
      </w:r>
    </w:p>
    <w:p w:rsidR="001770AA" w:rsidRPr="001770AA" w:rsidRDefault="001929D6" w:rsidP="001929D6">
      <w:pPr>
        <w:spacing w:line="276" w:lineRule="auto"/>
        <w:ind w:left="993"/>
        <w:rPr>
          <w:b/>
          <w:bCs/>
          <w:sz w:val="20"/>
          <w:szCs w:val="20"/>
        </w:rPr>
      </w:pPr>
      <w:r>
        <w:rPr>
          <w:b/>
          <w:bCs/>
          <w:sz w:val="20"/>
          <w:szCs w:val="20"/>
        </w:rPr>
        <w:t xml:space="preserve">a </w:t>
      </w:r>
      <w:r w:rsidR="001770AA" w:rsidRPr="001770AA">
        <w:rPr>
          <w:b/>
          <w:bCs/>
          <w:sz w:val="20"/>
          <w:szCs w:val="20"/>
        </w:rPr>
        <w:t>občanství</w:t>
      </w:r>
      <w:r>
        <w:rPr>
          <w:b/>
          <w:bCs/>
          <w:sz w:val="20"/>
          <w:szCs w:val="20"/>
        </w:rPr>
        <w:t xml:space="preserve"> </w:t>
      </w:r>
      <w:r w:rsidR="001770AA" w:rsidRPr="001770AA">
        <w:rPr>
          <w:b/>
          <w:bCs/>
          <w:sz w:val="20"/>
          <w:szCs w:val="20"/>
        </w:rPr>
        <w:t>k 26.</w:t>
      </w:r>
      <w:r>
        <w:rPr>
          <w:b/>
          <w:bCs/>
          <w:sz w:val="20"/>
          <w:szCs w:val="20"/>
        </w:rPr>
        <w:t xml:space="preserve"> </w:t>
      </w:r>
      <w:r w:rsidR="001770AA" w:rsidRPr="001770AA">
        <w:rPr>
          <w:b/>
          <w:bCs/>
          <w:sz w:val="20"/>
          <w:szCs w:val="20"/>
        </w:rPr>
        <w:t>3.</w:t>
      </w:r>
      <w:r>
        <w:rPr>
          <w:b/>
          <w:bCs/>
          <w:sz w:val="20"/>
          <w:szCs w:val="20"/>
        </w:rPr>
        <w:t xml:space="preserve"> </w:t>
      </w:r>
      <w:r w:rsidR="001770AA" w:rsidRPr="001770AA">
        <w:rPr>
          <w:b/>
          <w:bCs/>
          <w:sz w:val="20"/>
          <w:szCs w:val="20"/>
        </w:rPr>
        <w:t>2011</w:t>
      </w:r>
    </w:p>
    <w:p w:rsidR="00B516F4" w:rsidRDefault="00B516F4" w:rsidP="001770AA">
      <w:pPr>
        <w:jc w:val="center"/>
        <w:rPr>
          <w:szCs w:val="20"/>
        </w:rPr>
      </w:pPr>
      <w:r w:rsidRPr="00B516F4">
        <w:rPr>
          <w:szCs w:val="20"/>
          <w:bdr w:val="single" w:sz="4" w:space="0" w:color="auto"/>
          <w:lang w:eastAsia="cs-CZ"/>
        </w:rPr>
        <w:drawing>
          <wp:inline distT="0" distB="0" distL="0" distR="0">
            <wp:extent cx="4733925" cy="2743200"/>
            <wp:effectExtent l="0" t="0" r="0" b="0"/>
            <wp:docPr id="1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7146" w:rsidRDefault="00EC7146" w:rsidP="0051354C">
      <w:pPr>
        <w:rPr>
          <w:szCs w:val="20"/>
        </w:rPr>
      </w:pPr>
    </w:p>
    <w:p w:rsidR="00EC7146" w:rsidRDefault="00EC7146" w:rsidP="0051354C">
      <w:pPr>
        <w:rPr>
          <w:szCs w:val="20"/>
        </w:rPr>
      </w:pPr>
    </w:p>
    <w:p w:rsidR="00EC7146" w:rsidRPr="00E74AD7" w:rsidRDefault="00433AF9" w:rsidP="00653754">
      <w:pPr>
        <w:keepNext/>
        <w:keepLines/>
        <w:spacing w:line="276" w:lineRule="auto"/>
        <w:rPr>
          <w:b/>
          <w:sz w:val="22"/>
          <w:szCs w:val="22"/>
        </w:rPr>
      </w:pPr>
      <w:r w:rsidRPr="00E74AD7">
        <w:rPr>
          <w:b/>
          <w:sz w:val="22"/>
          <w:szCs w:val="22"/>
        </w:rPr>
        <w:t>4.3</w:t>
      </w:r>
      <w:r w:rsidRPr="00E74AD7">
        <w:rPr>
          <w:b/>
          <w:sz w:val="22"/>
          <w:szCs w:val="22"/>
        </w:rPr>
        <w:tab/>
      </w:r>
      <w:r w:rsidR="00EC7146" w:rsidRPr="00E74AD7">
        <w:rPr>
          <w:b/>
          <w:sz w:val="22"/>
          <w:szCs w:val="22"/>
        </w:rPr>
        <w:t>Ubytovací zařízení v obytných domech</w:t>
      </w:r>
    </w:p>
    <w:p w:rsidR="00461252" w:rsidRPr="00653754" w:rsidRDefault="00461252" w:rsidP="00DA2841">
      <w:pPr>
        <w:keepNext/>
        <w:keepLines/>
        <w:spacing w:line="276" w:lineRule="auto"/>
        <w:jc w:val="both"/>
        <w:rPr>
          <w:sz w:val="20"/>
          <w:szCs w:val="20"/>
        </w:rPr>
      </w:pPr>
      <w:r w:rsidRPr="00653754">
        <w:rPr>
          <w:sz w:val="20"/>
          <w:szCs w:val="20"/>
        </w:rPr>
        <w:t>V ubytovacích zařízeních v obytných domech bydlelo 37 607 osob, v tom bylo téměř 24 tisíc mužů a 13,6 tisíc žen.</w:t>
      </w:r>
      <w:r w:rsidR="00DA2841">
        <w:rPr>
          <w:sz w:val="20"/>
          <w:szCs w:val="20"/>
        </w:rPr>
        <w:t xml:space="preserve"> Skupina osob bydlících tímto způsobem je nejméně čitelná zejména proto, že d</w:t>
      </w:r>
      <w:r w:rsidRPr="00653754">
        <w:rPr>
          <w:sz w:val="20"/>
          <w:szCs w:val="20"/>
        </w:rPr>
        <w:t xml:space="preserve">ruh zařízení v těchto případech nebylo možné </w:t>
      </w:r>
      <w:r w:rsidR="007C022F" w:rsidRPr="00653754">
        <w:rPr>
          <w:sz w:val="20"/>
          <w:szCs w:val="20"/>
        </w:rPr>
        <w:t xml:space="preserve">přesně </w:t>
      </w:r>
      <w:r w:rsidRPr="00653754">
        <w:rPr>
          <w:sz w:val="20"/>
          <w:szCs w:val="20"/>
        </w:rPr>
        <w:t>identifikovat</w:t>
      </w:r>
      <w:r w:rsidR="00DA2841">
        <w:rPr>
          <w:sz w:val="20"/>
          <w:szCs w:val="20"/>
        </w:rPr>
        <w:t>. Osoby byly sečteny sčítacím komisařem jako bydlící v zařízení</w:t>
      </w:r>
      <w:r w:rsidRPr="00653754">
        <w:rPr>
          <w:sz w:val="20"/>
          <w:szCs w:val="20"/>
        </w:rPr>
        <w:t xml:space="preserve">, </w:t>
      </w:r>
      <w:r w:rsidR="00DA2841">
        <w:rPr>
          <w:sz w:val="20"/>
          <w:szCs w:val="20"/>
        </w:rPr>
        <w:t xml:space="preserve">na stejné adrese měly pak i obvyklý pobyt, domy ale </w:t>
      </w:r>
      <w:r w:rsidRPr="00653754">
        <w:rPr>
          <w:sz w:val="20"/>
          <w:szCs w:val="20"/>
        </w:rPr>
        <w:t xml:space="preserve">byly označeny jako obytné </w:t>
      </w:r>
      <w:r w:rsidR="00DA2841">
        <w:rPr>
          <w:sz w:val="20"/>
          <w:szCs w:val="20"/>
        </w:rPr>
        <w:t xml:space="preserve">– </w:t>
      </w:r>
      <w:r w:rsidRPr="00653754">
        <w:rPr>
          <w:sz w:val="20"/>
          <w:szCs w:val="20"/>
        </w:rPr>
        <w:t>převažovala v nich funkce bydlení</w:t>
      </w:r>
      <w:r w:rsidR="00DA2841">
        <w:rPr>
          <w:sz w:val="20"/>
          <w:szCs w:val="20"/>
        </w:rPr>
        <w:t xml:space="preserve"> v bytech</w:t>
      </w:r>
      <w:r w:rsidRPr="00653754">
        <w:rPr>
          <w:sz w:val="20"/>
          <w:szCs w:val="20"/>
        </w:rPr>
        <w:t xml:space="preserve">. </w:t>
      </w:r>
    </w:p>
    <w:p w:rsidR="00DA2841" w:rsidRDefault="00DA2841" w:rsidP="00653754">
      <w:pPr>
        <w:keepNext/>
        <w:keepLines/>
        <w:spacing w:line="276" w:lineRule="auto"/>
        <w:jc w:val="both"/>
        <w:rPr>
          <w:sz w:val="20"/>
          <w:szCs w:val="20"/>
        </w:rPr>
      </w:pPr>
    </w:p>
    <w:p w:rsidR="0053587E" w:rsidRDefault="007315B5" w:rsidP="00653754">
      <w:pPr>
        <w:keepNext/>
        <w:keepLines/>
        <w:spacing w:line="276" w:lineRule="auto"/>
        <w:jc w:val="both"/>
        <w:rPr>
          <w:sz w:val="20"/>
          <w:szCs w:val="20"/>
        </w:rPr>
      </w:pPr>
      <w:r w:rsidRPr="00653754">
        <w:rPr>
          <w:sz w:val="20"/>
          <w:szCs w:val="20"/>
        </w:rPr>
        <w:t xml:space="preserve">I v této skupině </w:t>
      </w:r>
      <w:r w:rsidR="00DF4439" w:rsidRPr="00653754">
        <w:rPr>
          <w:sz w:val="20"/>
          <w:szCs w:val="20"/>
        </w:rPr>
        <w:t>bydlících</w:t>
      </w:r>
      <w:r w:rsidRPr="00653754">
        <w:rPr>
          <w:sz w:val="20"/>
          <w:szCs w:val="20"/>
        </w:rPr>
        <w:t xml:space="preserve"> bylo významné zastoupení osob</w:t>
      </w:r>
      <w:r w:rsidR="0053587E" w:rsidRPr="00653754">
        <w:rPr>
          <w:sz w:val="20"/>
          <w:szCs w:val="20"/>
        </w:rPr>
        <w:t>, o kterých byly k dispozici údaje pouze v rozsahu dat z</w:t>
      </w:r>
      <w:r w:rsidRPr="00653754">
        <w:rPr>
          <w:sz w:val="20"/>
          <w:szCs w:val="20"/>
        </w:rPr>
        <w:t xml:space="preserve"> administrativního zdroje </w:t>
      </w:r>
      <w:r w:rsidR="0053587E" w:rsidRPr="00653754">
        <w:rPr>
          <w:sz w:val="20"/>
          <w:szCs w:val="20"/>
        </w:rPr>
        <w:t xml:space="preserve">- takových osob byla téměř polovina </w:t>
      </w:r>
      <w:r w:rsidRPr="00653754">
        <w:rPr>
          <w:sz w:val="20"/>
          <w:szCs w:val="20"/>
        </w:rPr>
        <w:t>(48,3 %)</w:t>
      </w:r>
      <w:r w:rsidR="006F4A12" w:rsidRPr="00653754">
        <w:rPr>
          <w:sz w:val="20"/>
          <w:szCs w:val="20"/>
        </w:rPr>
        <w:t>; většinou to byli cizinci</w:t>
      </w:r>
      <w:r w:rsidR="0091209F">
        <w:rPr>
          <w:sz w:val="20"/>
          <w:szCs w:val="20"/>
        </w:rPr>
        <w:t>.</w:t>
      </w:r>
      <w:r w:rsidRPr="00653754">
        <w:rPr>
          <w:sz w:val="20"/>
          <w:szCs w:val="20"/>
        </w:rPr>
        <w:t xml:space="preserve"> </w:t>
      </w:r>
    </w:p>
    <w:p w:rsidR="00F245C4" w:rsidRPr="00653754" w:rsidRDefault="00F245C4" w:rsidP="00653754">
      <w:pPr>
        <w:keepNext/>
        <w:keepLines/>
        <w:spacing w:line="276" w:lineRule="auto"/>
        <w:jc w:val="both"/>
        <w:rPr>
          <w:sz w:val="20"/>
          <w:szCs w:val="20"/>
        </w:rPr>
      </w:pPr>
    </w:p>
    <w:p w:rsidR="0053587E" w:rsidRPr="00653754" w:rsidRDefault="00EC7146" w:rsidP="00653754">
      <w:pPr>
        <w:keepNext/>
        <w:keepLines/>
        <w:spacing w:line="276" w:lineRule="auto"/>
        <w:jc w:val="both"/>
        <w:rPr>
          <w:sz w:val="20"/>
          <w:szCs w:val="20"/>
        </w:rPr>
      </w:pPr>
      <w:r w:rsidRPr="00653754">
        <w:rPr>
          <w:sz w:val="20"/>
          <w:szCs w:val="20"/>
        </w:rPr>
        <w:t xml:space="preserve">Z hlediska věku </w:t>
      </w:r>
      <w:r w:rsidR="0053587E" w:rsidRPr="00653754">
        <w:rPr>
          <w:sz w:val="20"/>
          <w:szCs w:val="20"/>
        </w:rPr>
        <w:t xml:space="preserve">jednoznačně převažovaly osoby </w:t>
      </w:r>
      <w:r w:rsidRPr="00653754">
        <w:rPr>
          <w:sz w:val="20"/>
          <w:szCs w:val="20"/>
        </w:rPr>
        <w:t>v produktivním věku (</w:t>
      </w:r>
      <w:r w:rsidR="0053587E" w:rsidRPr="00653754">
        <w:rPr>
          <w:sz w:val="20"/>
          <w:szCs w:val="20"/>
        </w:rPr>
        <w:t>84,5</w:t>
      </w:r>
      <w:r w:rsidRPr="00653754">
        <w:rPr>
          <w:sz w:val="20"/>
          <w:szCs w:val="20"/>
        </w:rPr>
        <w:t xml:space="preserve"> %)</w:t>
      </w:r>
      <w:r w:rsidR="00A21966">
        <w:rPr>
          <w:sz w:val="20"/>
          <w:szCs w:val="20"/>
        </w:rPr>
        <w:t>. Mužů bylo více výrazně více než žen (64 % vers. 36 %). Z pohledu věku a pohlaví se charakteristiky této skupiny osob blížily charakteristikám osob v ubytovnách a svobodárnách.</w:t>
      </w:r>
      <w:r w:rsidRPr="00653754">
        <w:rPr>
          <w:sz w:val="20"/>
          <w:szCs w:val="20"/>
        </w:rPr>
        <w:t xml:space="preserve"> Ekonomická aktivita</w:t>
      </w:r>
      <w:r w:rsidR="0053587E" w:rsidRPr="00653754">
        <w:rPr>
          <w:sz w:val="20"/>
          <w:szCs w:val="20"/>
        </w:rPr>
        <w:t xml:space="preserve"> </w:t>
      </w:r>
      <w:r w:rsidR="00735BF0" w:rsidRPr="00653754">
        <w:rPr>
          <w:sz w:val="20"/>
          <w:szCs w:val="20"/>
        </w:rPr>
        <w:t>o</w:t>
      </w:r>
      <w:r w:rsidR="0053587E" w:rsidRPr="00653754">
        <w:rPr>
          <w:sz w:val="20"/>
          <w:szCs w:val="20"/>
        </w:rPr>
        <w:t>sob</w:t>
      </w:r>
      <w:r w:rsidR="00A21966">
        <w:rPr>
          <w:sz w:val="20"/>
          <w:szCs w:val="20"/>
        </w:rPr>
        <w:t xml:space="preserve"> ale </w:t>
      </w:r>
      <w:r w:rsidR="0091209F">
        <w:rPr>
          <w:sz w:val="20"/>
          <w:szCs w:val="20"/>
        </w:rPr>
        <w:t xml:space="preserve">tuto </w:t>
      </w:r>
      <w:r w:rsidR="00A21966">
        <w:rPr>
          <w:sz w:val="20"/>
          <w:szCs w:val="20"/>
        </w:rPr>
        <w:t xml:space="preserve">podobnost nepotvrdila. </w:t>
      </w:r>
      <w:r w:rsidR="00386878">
        <w:rPr>
          <w:sz w:val="20"/>
          <w:szCs w:val="20"/>
        </w:rPr>
        <w:t xml:space="preserve">Důvodem může být vysoký podíl osob, u kterých informace o ekonomické aktivitě chybí. </w:t>
      </w:r>
    </w:p>
    <w:p w:rsidR="00C042BD" w:rsidRDefault="00C042BD" w:rsidP="007F05D2">
      <w:pPr>
        <w:jc w:val="both"/>
        <w:rPr>
          <w:szCs w:val="20"/>
        </w:rPr>
      </w:pPr>
    </w:p>
    <w:p w:rsidR="00797BC3" w:rsidRDefault="00797BC3">
      <w:pPr>
        <w:suppressAutoHyphens w:val="0"/>
        <w:rPr>
          <w:szCs w:val="20"/>
        </w:rPr>
      </w:pPr>
      <w:r>
        <w:rPr>
          <w:szCs w:val="20"/>
        </w:rPr>
        <w:br w:type="page"/>
      </w:r>
    </w:p>
    <w:p w:rsidR="00C042BD" w:rsidRDefault="00C042BD" w:rsidP="007F05D2">
      <w:pPr>
        <w:jc w:val="both"/>
        <w:rPr>
          <w:szCs w:val="20"/>
        </w:rPr>
      </w:pPr>
    </w:p>
    <w:p w:rsidR="00C042BD" w:rsidRDefault="00C042BD" w:rsidP="00F91AFA">
      <w:pPr>
        <w:pStyle w:val="Nadpis1a"/>
        <w:numPr>
          <w:ilvl w:val="0"/>
          <w:numId w:val="10"/>
        </w:numPr>
        <w:tabs>
          <w:tab w:val="left" w:pos="3119"/>
        </w:tabs>
        <w:ind w:left="851" w:hanging="851"/>
        <w:rPr>
          <w:i w:val="0"/>
          <w:sz w:val="24"/>
          <w:szCs w:val="24"/>
        </w:rPr>
      </w:pPr>
      <w:r w:rsidRPr="0000699C">
        <w:rPr>
          <w:i w:val="0"/>
          <w:sz w:val="24"/>
          <w:szCs w:val="24"/>
        </w:rPr>
        <w:t xml:space="preserve">Osoby </w:t>
      </w:r>
      <w:r>
        <w:rPr>
          <w:i w:val="0"/>
          <w:sz w:val="24"/>
          <w:szCs w:val="24"/>
        </w:rPr>
        <w:t>bydlící mimo byty a zařízení (nouzové bydlení)</w:t>
      </w:r>
    </w:p>
    <w:p w:rsidR="00F91AFA" w:rsidRDefault="00F91AFA" w:rsidP="007F05D2">
      <w:pPr>
        <w:pStyle w:val="Normln-web"/>
        <w:spacing w:line="276" w:lineRule="auto"/>
        <w:rPr>
          <w:sz w:val="20"/>
          <w:szCs w:val="20"/>
        </w:rPr>
      </w:pPr>
    </w:p>
    <w:p w:rsidR="00C042BD" w:rsidRDefault="00C042BD" w:rsidP="007F05D2">
      <w:pPr>
        <w:pStyle w:val="Normln-web"/>
        <w:spacing w:line="276" w:lineRule="auto"/>
        <w:rPr>
          <w:sz w:val="20"/>
          <w:szCs w:val="20"/>
        </w:rPr>
      </w:pPr>
      <w:r>
        <w:rPr>
          <w:sz w:val="20"/>
          <w:szCs w:val="20"/>
        </w:rPr>
        <w:t>Skupina osob bydlící</w:t>
      </w:r>
      <w:r w:rsidR="00450FD7">
        <w:rPr>
          <w:sz w:val="20"/>
          <w:szCs w:val="20"/>
        </w:rPr>
        <w:t>c</w:t>
      </w:r>
      <w:r>
        <w:rPr>
          <w:sz w:val="20"/>
          <w:szCs w:val="20"/>
        </w:rPr>
        <w:t>h mimo byty a zařízení byla složena z typově různých skupin osob, které měly odlišné charakteristiky. Byly to:</w:t>
      </w:r>
    </w:p>
    <w:p w:rsidR="00C042BD" w:rsidRDefault="00C042BD" w:rsidP="007F05D2">
      <w:pPr>
        <w:pStyle w:val="Normln-web"/>
        <w:numPr>
          <w:ilvl w:val="0"/>
          <w:numId w:val="7"/>
        </w:numPr>
        <w:spacing w:before="0" w:line="276" w:lineRule="auto"/>
        <w:ind w:left="714" w:hanging="357"/>
        <w:rPr>
          <w:sz w:val="20"/>
          <w:szCs w:val="20"/>
        </w:rPr>
      </w:pPr>
      <w:r>
        <w:rPr>
          <w:sz w:val="20"/>
          <w:szCs w:val="20"/>
        </w:rPr>
        <w:t>osoby bydlící v rekreač</w:t>
      </w:r>
      <w:r w:rsidR="00205C4C">
        <w:rPr>
          <w:sz w:val="20"/>
          <w:szCs w:val="20"/>
        </w:rPr>
        <w:t>n</w:t>
      </w:r>
      <w:r>
        <w:rPr>
          <w:sz w:val="20"/>
          <w:szCs w:val="20"/>
        </w:rPr>
        <w:t>í chatě, chalupě</w:t>
      </w:r>
      <w:r w:rsidR="002B2884">
        <w:rPr>
          <w:sz w:val="20"/>
          <w:szCs w:val="20"/>
        </w:rPr>
        <w:t xml:space="preserve"> – 35 480 osob</w:t>
      </w:r>
    </w:p>
    <w:p w:rsidR="002B2884" w:rsidRPr="00C042BD" w:rsidRDefault="002B2884" w:rsidP="002B2884">
      <w:pPr>
        <w:pStyle w:val="Normln-web"/>
        <w:numPr>
          <w:ilvl w:val="0"/>
          <w:numId w:val="7"/>
        </w:numPr>
        <w:spacing w:before="0" w:line="276" w:lineRule="auto"/>
        <w:ind w:left="714" w:hanging="357"/>
        <w:rPr>
          <w:sz w:val="20"/>
          <w:szCs w:val="20"/>
        </w:rPr>
      </w:pPr>
      <w:r>
        <w:rPr>
          <w:sz w:val="20"/>
          <w:szCs w:val="20"/>
        </w:rPr>
        <w:t>osoby bydlící v domech mimo byty – 32 408 osob</w:t>
      </w:r>
    </w:p>
    <w:p w:rsidR="00C042BD" w:rsidRDefault="00C042BD" w:rsidP="007F05D2">
      <w:pPr>
        <w:pStyle w:val="Normln-web"/>
        <w:numPr>
          <w:ilvl w:val="0"/>
          <w:numId w:val="7"/>
        </w:numPr>
        <w:spacing w:before="0" w:line="276" w:lineRule="auto"/>
        <w:ind w:left="714" w:hanging="357"/>
        <w:rPr>
          <w:sz w:val="20"/>
          <w:szCs w:val="20"/>
        </w:rPr>
      </w:pPr>
      <w:r>
        <w:rPr>
          <w:sz w:val="20"/>
          <w:szCs w:val="20"/>
        </w:rPr>
        <w:t>osoby sečtené v nouzových objektech</w:t>
      </w:r>
      <w:r w:rsidR="00205C4C">
        <w:rPr>
          <w:sz w:val="20"/>
          <w:szCs w:val="20"/>
        </w:rPr>
        <w:t xml:space="preserve"> vč. mobil</w:t>
      </w:r>
      <w:r w:rsidR="00B02F11">
        <w:rPr>
          <w:sz w:val="20"/>
          <w:szCs w:val="20"/>
        </w:rPr>
        <w:t>ních</w:t>
      </w:r>
      <w:r w:rsidR="002B2884">
        <w:rPr>
          <w:sz w:val="20"/>
          <w:szCs w:val="20"/>
        </w:rPr>
        <w:t xml:space="preserve"> – 17 759 osob</w:t>
      </w:r>
    </w:p>
    <w:p w:rsidR="00C042BD" w:rsidRDefault="00C042BD" w:rsidP="007F05D2">
      <w:pPr>
        <w:spacing w:line="276" w:lineRule="auto"/>
        <w:jc w:val="both"/>
        <w:rPr>
          <w:sz w:val="22"/>
          <w:szCs w:val="22"/>
        </w:rPr>
      </w:pPr>
    </w:p>
    <w:p w:rsidR="00450FD7" w:rsidRPr="00450FD7" w:rsidRDefault="00450FD7" w:rsidP="007F05D2">
      <w:pPr>
        <w:spacing w:line="276" w:lineRule="auto"/>
        <w:jc w:val="both"/>
        <w:rPr>
          <w:sz w:val="22"/>
          <w:szCs w:val="22"/>
        </w:rPr>
      </w:pPr>
    </w:p>
    <w:p w:rsidR="00E03350" w:rsidRPr="00450FD7" w:rsidRDefault="007E61AF" w:rsidP="00A33915">
      <w:pPr>
        <w:spacing w:line="276" w:lineRule="auto"/>
        <w:jc w:val="both"/>
        <w:rPr>
          <w:sz w:val="22"/>
          <w:szCs w:val="22"/>
        </w:rPr>
      </w:pPr>
      <w:r w:rsidRPr="00450FD7">
        <w:rPr>
          <w:b/>
          <w:sz w:val="22"/>
          <w:szCs w:val="22"/>
        </w:rPr>
        <w:t>5.1</w:t>
      </w:r>
      <w:r w:rsidRPr="00450FD7">
        <w:rPr>
          <w:b/>
          <w:sz w:val="22"/>
          <w:szCs w:val="22"/>
        </w:rPr>
        <w:tab/>
      </w:r>
      <w:r w:rsidR="009B266B" w:rsidRPr="00450FD7">
        <w:rPr>
          <w:b/>
          <w:sz w:val="22"/>
          <w:szCs w:val="22"/>
        </w:rPr>
        <w:t xml:space="preserve">Osoby bydlící </w:t>
      </w:r>
      <w:r w:rsidR="00C042BD" w:rsidRPr="00450FD7">
        <w:rPr>
          <w:b/>
          <w:sz w:val="22"/>
          <w:szCs w:val="22"/>
        </w:rPr>
        <w:t>v rekreační chatě nebo chalupě</w:t>
      </w:r>
      <w:r w:rsidR="00C042BD" w:rsidRPr="00450FD7">
        <w:rPr>
          <w:sz w:val="22"/>
          <w:szCs w:val="22"/>
        </w:rPr>
        <w:t xml:space="preserve"> </w:t>
      </w:r>
    </w:p>
    <w:p w:rsidR="00E03350" w:rsidRPr="00E03350" w:rsidRDefault="00E03350" w:rsidP="00A33915">
      <w:pPr>
        <w:spacing w:line="276" w:lineRule="auto"/>
        <w:jc w:val="both"/>
        <w:rPr>
          <w:sz w:val="20"/>
          <w:szCs w:val="20"/>
        </w:rPr>
      </w:pPr>
      <w:r w:rsidRPr="00E03350">
        <w:rPr>
          <w:sz w:val="20"/>
          <w:szCs w:val="20"/>
        </w:rPr>
        <w:t>Bydlení v rekreačních objektech je zahrnuto do tzv. „nouzového bydlení“ mimo byty a zařízení proto, že tyto obje</w:t>
      </w:r>
      <w:r w:rsidR="00373752">
        <w:rPr>
          <w:sz w:val="20"/>
          <w:szCs w:val="20"/>
        </w:rPr>
        <w:t>k</w:t>
      </w:r>
      <w:r w:rsidRPr="00E03350">
        <w:rPr>
          <w:sz w:val="20"/>
          <w:szCs w:val="20"/>
        </w:rPr>
        <w:t xml:space="preserve">ty nepatří </w:t>
      </w:r>
      <w:r w:rsidR="00373752">
        <w:rPr>
          <w:sz w:val="20"/>
          <w:szCs w:val="20"/>
        </w:rPr>
        <w:t xml:space="preserve">podle metodiky sčítání </w:t>
      </w:r>
      <w:r w:rsidRPr="00E03350">
        <w:rPr>
          <w:sz w:val="20"/>
          <w:szCs w:val="20"/>
        </w:rPr>
        <w:t>do domovního</w:t>
      </w:r>
      <w:r w:rsidR="00E93FC1">
        <w:rPr>
          <w:sz w:val="20"/>
          <w:szCs w:val="20"/>
        </w:rPr>
        <w:t xml:space="preserve"> ani do bytového</w:t>
      </w:r>
      <w:r w:rsidRPr="00E03350">
        <w:rPr>
          <w:sz w:val="20"/>
          <w:szCs w:val="20"/>
        </w:rPr>
        <w:t xml:space="preserve"> fondu. Jsou to budovy s číslem evidenčním, které byly postaveny a zkolaudovány jako objekty určené k rekreaci (nikoliv k bydlení). </w:t>
      </w:r>
      <w:r w:rsidR="00E93FC1">
        <w:rPr>
          <w:sz w:val="20"/>
          <w:szCs w:val="20"/>
        </w:rPr>
        <w:t>Nepovažují se proto za obytné objekty,</w:t>
      </w:r>
      <w:r w:rsidRPr="00E03350">
        <w:rPr>
          <w:sz w:val="20"/>
          <w:szCs w:val="20"/>
        </w:rPr>
        <w:t xml:space="preserve"> přestože v</w:t>
      </w:r>
      <w:r w:rsidR="00373752">
        <w:rPr>
          <w:sz w:val="20"/>
          <w:szCs w:val="20"/>
        </w:rPr>
        <w:t xml:space="preserve"> některých</w:t>
      </w:r>
      <w:r w:rsidRPr="00E03350">
        <w:rPr>
          <w:sz w:val="20"/>
          <w:szCs w:val="20"/>
        </w:rPr>
        <w:t xml:space="preserve"> konkrétních případech by se komfortem bydlení mohly bytům </w:t>
      </w:r>
      <w:r w:rsidR="00373752">
        <w:rPr>
          <w:sz w:val="20"/>
          <w:szCs w:val="20"/>
        </w:rPr>
        <w:t xml:space="preserve">v obytných domech </w:t>
      </w:r>
      <w:r w:rsidRPr="00E03350">
        <w:rPr>
          <w:sz w:val="20"/>
          <w:szCs w:val="20"/>
        </w:rPr>
        <w:t xml:space="preserve">rovnat. </w:t>
      </w:r>
      <w:r w:rsidR="00B02F11">
        <w:rPr>
          <w:sz w:val="20"/>
          <w:szCs w:val="20"/>
        </w:rPr>
        <w:t>Také z</w:t>
      </w:r>
      <w:r w:rsidRPr="00E03350">
        <w:rPr>
          <w:sz w:val="20"/>
          <w:szCs w:val="20"/>
        </w:rPr>
        <w:t>ákon č. 133/2000 Sb. o evidenci obyvatel umož</w:t>
      </w:r>
      <w:r w:rsidR="00373752">
        <w:rPr>
          <w:sz w:val="20"/>
          <w:szCs w:val="20"/>
        </w:rPr>
        <w:t>ňuje, aby si občan zv</w:t>
      </w:r>
      <w:r w:rsidRPr="00E03350">
        <w:rPr>
          <w:sz w:val="20"/>
          <w:szCs w:val="20"/>
        </w:rPr>
        <w:t xml:space="preserve">olil místem trvalého pobytu </w:t>
      </w:r>
      <w:r w:rsidR="00373752">
        <w:rPr>
          <w:sz w:val="20"/>
          <w:szCs w:val="20"/>
        </w:rPr>
        <w:t xml:space="preserve">adresu </w:t>
      </w:r>
      <w:r w:rsidRPr="00E03350">
        <w:rPr>
          <w:sz w:val="20"/>
          <w:szCs w:val="20"/>
        </w:rPr>
        <w:t xml:space="preserve">objektu, který je </w:t>
      </w:r>
      <w:r w:rsidR="00373752">
        <w:rPr>
          <w:sz w:val="20"/>
          <w:szCs w:val="20"/>
        </w:rPr>
        <w:t>„</w:t>
      </w:r>
      <w:r w:rsidRPr="00E03350">
        <w:rPr>
          <w:sz w:val="20"/>
          <w:szCs w:val="20"/>
        </w:rPr>
        <w:t xml:space="preserve"> označen číslem popisným nebo </w:t>
      </w:r>
      <w:r w:rsidRPr="00373752">
        <w:rPr>
          <w:i/>
          <w:sz w:val="20"/>
          <w:szCs w:val="20"/>
        </w:rPr>
        <w:t>evidenčním</w:t>
      </w:r>
      <w:r w:rsidRPr="00E03350">
        <w:rPr>
          <w:sz w:val="20"/>
          <w:szCs w:val="20"/>
        </w:rPr>
        <w:t xml:space="preserve">, popřípadě orientačním číslem a který je určen pro bydlení, ubytování nebo </w:t>
      </w:r>
      <w:r w:rsidRPr="00373752">
        <w:rPr>
          <w:i/>
          <w:sz w:val="20"/>
          <w:szCs w:val="20"/>
        </w:rPr>
        <w:t>individuální rekreaci</w:t>
      </w:r>
      <w:r w:rsidR="00373752">
        <w:rPr>
          <w:sz w:val="20"/>
          <w:szCs w:val="20"/>
        </w:rPr>
        <w:t>“</w:t>
      </w:r>
      <w:r w:rsidR="00373752">
        <w:rPr>
          <w:rStyle w:val="Znakapoznpodarou"/>
          <w:sz w:val="20"/>
          <w:szCs w:val="20"/>
        </w:rPr>
        <w:footnoteReference w:id="1"/>
      </w:r>
      <w:r w:rsidRPr="00E03350">
        <w:rPr>
          <w:sz w:val="20"/>
          <w:szCs w:val="20"/>
        </w:rPr>
        <w:t>.</w:t>
      </w:r>
      <w:r w:rsidR="00E93FC1">
        <w:rPr>
          <w:sz w:val="20"/>
          <w:szCs w:val="20"/>
        </w:rPr>
        <w:t xml:space="preserve"> </w:t>
      </w:r>
      <w:r w:rsidR="002A6808">
        <w:rPr>
          <w:sz w:val="20"/>
          <w:szCs w:val="20"/>
        </w:rPr>
        <w:t xml:space="preserve">V rekreačních objektech proto mají občané regulérní trvalé pobyty. </w:t>
      </w:r>
      <w:r w:rsidR="00E93FC1">
        <w:rPr>
          <w:sz w:val="20"/>
          <w:szCs w:val="20"/>
        </w:rPr>
        <w:t xml:space="preserve">Z důvodu </w:t>
      </w:r>
      <w:r w:rsidR="002A6808">
        <w:rPr>
          <w:sz w:val="20"/>
          <w:szCs w:val="20"/>
        </w:rPr>
        <w:t>srovnatelnosti dat ale metodika sčítání</w:t>
      </w:r>
      <w:r w:rsidR="00FC7DD2">
        <w:rPr>
          <w:sz w:val="20"/>
          <w:szCs w:val="20"/>
        </w:rPr>
        <w:t xml:space="preserve"> tento fakt nijak nezohledňuje</w:t>
      </w:r>
      <w:r w:rsidR="002A6808">
        <w:rPr>
          <w:sz w:val="20"/>
          <w:szCs w:val="20"/>
        </w:rPr>
        <w:t xml:space="preserve">. </w:t>
      </w:r>
      <w:r w:rsidR="00192052">
        <w:rPr>
          <w:sz w:val="20"/>
          <w:szCs w:val="20"/>
        </w:rPr>
        <w:t xml:space="preserve">Osoby </w:t>
      </w:r>
      <w:r w:rsidR="002A6808">
        <w:rPr>
          <w:sz w:val="20"/>
          <w:szCs w:val="20"/>
        </w:rPr>
        <w:t xml:space="preserve">bydlící v rekreačních objetech jsou </w:t>
      </w:r>
      <w:r w:rsidR="00192052">
        <w:rPr>
          <w:sz w:val="20"/>
          <w:szCs w:val="20"/>
        </w:rPr>
        <w:t>samostatně identifikovatelné</w:t>
      </w:r>
      <w:r w:rsidR="002A6808">
        <w:rPr>
          <w:sz w:val="20"/>
          <w:szCs w:val="20"/>
        </w:rPr>
        <w:t>,</w:t>
      </w:r>
      <w:r w:rsidR="00192052">
        <w:rPr>
          <w:sz w:val="20"/>
          <w:szCs w:val="20"/>
        </w:rPr>
        <w:t xml:space="preserve"> n</w:t>
      </w:r>
      <w:r w:rsidR="002A6808">
        <w:rPr>
          <w:sz w:val="20"/>
          <w:szCs w:val="20"/>
        </w:rPr>
        <w:t xml:space="preserve">ejsou ale k dispozici údaje o vybavení </w:t>
      </w:r>
      <w:r w:rsidR="00B02F11">
        <w:rPr>
          <w:sz w:val="20"/>
          <w:szCs w:val="20"/>
        </w:rPr>
        <w:t>a úrovni bydlení, protože v případě bydlení mimo byt se</w:t>
      </w:r>
      <w:r w:rsidR="00450FD7">
        <w:rPr>
          <w:sz w:val="20"/>
          <w:szCs w:val="20"/>
        </w:rPr>
        <w:t xml:space="preserve"> tyto</w:t>
      </w:r>
      <w:r w:rsidR="00B02F11">
        <w:rPr>
          <w:sz w:val="20"/>
          <w:szCs w:val="20"/>
        </w:rPr>
        <w:t xml:space="preserve"> údaje nezjišťovaly ani nezpracovávaly. Metodická shoda definice bydlení</w:t>
      </w:r>
      <w:r w:rsidR="00513E37">
        <w:rPr>
          <w:sz w:val="20"/>
          <w:szCs w:val="20"/>
        </w:rPr>
        <w:t xml:space="preserve"> </w:t>
      </w:r>
      <w:r w:rsidR="00450FD7">
        <w:rPr>
          <w:sz w:val="20"/>
          <w:szCs w:val="20"/>
        </w:rPr>
        <w:t xml:space="preserve">v rekreačních objektech </w:t>
      </w:r>
      <w:r w:rsidR="00513E37">
        <w:rPr>
          <w:sz w:val="20"/>
          <w:szCs w:val="20"/>
        </w:rPr>
        <w:t>(bez ohledu na změnu konceptu trvale bydlících na obvykle bydlící)</w:t>
      </w:r>
      <w:r w:rsidR="00B02F11">
        <w:rPr>
          <w:sz w:val="20"/>
          <w:szCs w:val="20"/>
        </w:rPr>
        <w:t xml:space="preserve">, jeho zjišťování i zpracování umožńuje srovnání základních charakteristik s předchozím sčítáním. </w:t>
      </w:r>
    </w:p>
    <w:p w:rsidR="00B02F11" w:rsidRDefault="00B02F11" w:rsidP="00A33915">
      <w:pPr>
        <w:spacing w:line="276" w:lineRule="auto"/>
        <w:jc w:val="both"/>
        <w:rPr>
          <w:sz w:val="20"/>
          <w:szCs w:val="20"/>
        </w:rPr>
      </w:pPr>
    </w:p>
    <w:tbl>
      <w:tblPr>
        <w:tblpPr w:leftFromText="142" w:rightFromText="142" w:topFromText="142" w:bottomFromText="142" w:vertAnchor="text" w:horzAnchor="margin" w:tblpXSpec="right" w:tblpY="41"/>
        <w:tblOverlap w:val="never"/>
        <w:tblW w:w="4945" w:type="dxa"/>
        <w:tblCellMar>
          <w:left w:w="70" w:type="dxa"/>
          <w:right w:w="70" w:type="dxa"/>
        </w:tblCellMar>
        <w:tblLook w:val="04A0"/>
      </w:tblPr>
      <w:tblGrid>
        <w:gridCol w:w="1222"/>
        <w:gridCol w:w="977"/>
        <w:gridCol w:w="809"/>
        <w:gridCol w:w="977"/>
        <w:gridCol w:w="960"/>
      </w:tblGrid>
      <w:tr w:rsidR="00A33915" w:rsidRPr="00513E37" w:rsidTr="00A33915">
        <w:trPr>
          <w:trHeight w:val="255"/>
        </w:trPr>
        <w:tc>
          <w:tcPr>
            <w:tcW w:w="4945" w:type="dxa"/>
            <w:gridSpan w:val="5"/>
            <w:tcBorders>
              <w:top w:val="nil"/>
              <w:left w:val="nil"/>
              <w:bottom w:val="nil"/>
              <w:right w:val="nil"/>
            </w:tcBorders>
            <w:shd w:val="clear" w:color="auto" w:fill="auto"/>
            <w:noWrap/>
            <w:vAlign w:val="bottom"/>
            <w:hideMark/>
          </w:tcPr>
          <w:p w:rsidR="00A33915" w:rsidRPr="00513E37" w:rsidRDefault="00760C72" w:rsidP="004C5116">
            <w:pPr>
              <w:suppressAutoHyphens w:val="0"/>
              <w:spacing w:line="276" w:lineRule="auto"/>
              <w:rPr>
                <w:rFonts w:cs="Arial"/>
                <w:noProof w:val="0"/>
                <w:color w:val="000000"/>
                <w:sz w:val="18"/>
                <w:szCs w:val="18"/>
                <w:lang w:eastAsia="cs-CZ"/>
              </w:rPr>
            </w:pPr>
            <w:r>
              <w:rPr>
                <w:rFonts w:cs="Arial"/>
                <w:b/>
                <w:bCs/>
                <w:sz w:val="20"/>
                <w:szCs w:val="20"/>
              </w:rPr>
              <w:t xml:space="preserve">Tab. č. 12 </w:t>
            </w:r>
            <w:r w:rsidR="00A33915" w:rsidRPr="00760C72">
              <w:rPr>
                <w:rFonts w:cs="Arial"/>
                <w:b/>
                <w:noProof w:val="0"/>
                <w:color w:val="000000"/>
                <w:sz w:val="20"/>
                <w:szCs w:val="20"/>
                <w:lang w:eastAsia="cs-CZ"/>
              </w:rPr>
              <w:t>Osoby bydlící v rekreačních objektech v letech 20</w:t>
            </w:r>
            <w:r w:rsidR="004C5116">
              <w:rPr>
                <w:rFonts w:cs="Arial"/>
                <w:b/>
                <w:noProof w:val="0"/>
                <w:color w:val="000000"/>
                <w:sz w:val="20"/>
                <w:szCs w:val="20"/>
                <w:lang w:eastAsia="cs-CZ"/>
              </w:rPr>
              <w:t>0</w:t>
            </w:r>
            <w:r w:rsidR="00A33915" w:rsidRPr="00760C72">
              <w:rPr>
                <w:rFonts w:cs="Arial"/>
                <w:b/>
                <w:noProof w:val="0"/>
                <w:color w:val="000000"/>
                <w:sz w:val="20"/>
                <w:szCs w:val="20"/>
                <w:lang w:eastAsia="cs-CZ"/>
              </w:rPr>
              <w:t>1 a 2011</w:t>
            </w:r>
          </w:p>
        </w:tc>
      </w:tr>
      <w:tr w:rsidR="00513E37" w:rsidRPr="00513E37" w:rsidTr="00A33915">
        <w:trPr>
          <w:trHeight w:val="255"/>
        </w:trPr>
        <w:tc>
          <w:tcPr>
            <w:tcW w:w="12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E37" w:rsidRPr="00513E37" w:rsidRDefault="00513E37" w:rsidP="00A33915">
            <w:pPr>
              <w:suppressAutoHyphens w:val="0"/>
              <w:spacing w:line="276" w:lineRule="auto"/>
              <w:jc w:val="center"/>
              <w:rPr>
                <w:rFonts w:cs="Arial"/>
                <w:noProof w:val="0"/>
                <w:color w:val="000000"/>
                <w:sz w:val="18"/>
                <w:szCs w:val="18"/>
                <w:lang w:eastAsia="cs-CZ"/>
              </w:rPr>
            </w:pPr>
            <w:r w:rsidRPr="00513E37">
              <w:rPr>
                <w:rFonts w:cs="Arial"/>
                <w:noProof w:val="0"/>
                <w:color w:val="000000"/>
                <w:sz w:val="18"/>
                <w:szCs w:val="18"/>
                <w:lang w:eastAsia="cs-CZ"/>
              </w:rPr>
              <w:t>Věk</w:t>
            </w:r>
          </w:p>
        </w:tc>
        <w:tc>
          <w:tcPr>
            <w:tcW w:w="1786" w:type="dxa"/>
            <w:gridSpan w:val="2"/>
            <w:tcBorders>
              <w:top w:val="single" w:sz="4" w:space="0" w:color="auto"/>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center"/>
              <w:rPr>
                <w:rFonts w:cs="Arial"/>
                <w:noProof w:val="0"/>
                <w:color w:val="000000"/>
                <w:sz w:val="18"/>
                <w:szCs w:val="18"/>
                <w:lang w:eastAsia="cs-CZ"/>
              </w:rPr>
            </w:pPr>
            <w:r w:rsidRPr="00513E37">
              <w:rPr>
                <w:rFonts w:cs="Arial"/>
                <w:noProof w:val="0"/>
                <w:color w:val="000000"/>
                <w:sz w:val="18"/>
                <w:szCs w:val="18"/>
                <w:lang w:eastAsia="cs-CZ"/>
              </w:rPr>
              <w:t>2001</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center"/>
              <w:rPr>
                <w:rFonts w:cs="Arial"/>
                <w:noProof w:val="0"/>
                <w:color w:val="000000"/>
                <w:sz w:val="18"/>
                <w:szCs w:val="18"/>
                <w:lang w:eastAsia="cs-CZ"/>
              </w:rPr>
            </w:pPr>
            <w:r w:rsidRPr="00513E37">
              <w:rPr>
                <w:rFonts w:cs="Arial"/>
                <w:noProof w:val="0"/>
                <w:color w:val="000000"/>
                <w:sz w:val="18"/>
                <w:szCs w:val="18"/>
                <w:lang w:eastAsia="cs-CZ"/>
              </w:rPr>
              <w:t>2011</w:t>
            </w:r>
          </w:p>
        </w:tc>
      </w:tr>
      <w:tr w:rsidR="00513E37" w:rsidRPr="00513E37" w:rsidTr="00A33915">
        <w:trPr>
          <w:trHeight w:val="255"/>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513E37" w:rsidRPr="00513E37" w:rsidRDefault="00513E37" w:rsidP="00A33915">
            <w:pPr>
              <w:suppressAutoHyphens w:val="0"/>
              <w:spacing w:line="276" w:lineRule="auto"/>
              <w:rPr>
                <w:rFonts w:cs="Arial"/>
                <w:noProof w:val="0"/>
                <w:color w:val="000000"/>
                <w:sz w:val="18"/>
                <w:szCs w:val="18"/>
                <w:lang w:eastAsia="cs-CZ"/>
              </w:rPr>
            </w:pPr>
          </w:p>
        </w:tc>
        <w:tc>
          <w:tcPr>
            <w:tcW w:w="977"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center"/>
              <w:rPr>
                <w:rFonts w:cs="Arial"/>
                <w:noProof w:val="0"/>
                <w:color w:val="000000"/>
                <w:sz w:val="18"/>
                <w:szCs w:val="18"/>
                <w:lang w:eastAsia="cs-CZ"/>
              </w:rPr>
            </w:pPr>
            <w:r w:rsidRPr="00513E37">
              <w:rPr>
                <w:rFonts w:cs="Arial"/>
                <w:noProof w:val="0"/>
                <w:color w:val="000000"/>
                <w:sz w:val="18"/>
                <w:szCs w:val="18"/>
                <w:lang w:eastAsia="cs-CZ"/>
              </w:rPr>
              <w:t>abs.</w:t>
            </w:r>
          </w:p>
        </w:tc>
        <w:tc>
          <w:tcPr>
            <w:tcW w:w="809"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center"/>
              <w:rPr>
                <w:rFonts w:cs="Arial"/>
                <w:noProof w:val="0"/>
                <w:color w:val="000000"/>
                <w:sz w:val="18"/>
                <w:szCs w:val="18"/>
                <w:lang w:eastAsia="cs-CZ"/>
              </w:rPr>
            </w:pPr>
            <w:r w:rsidRPr="00513E37">
              <w:rPr>
                <w:rFonts w:cs="Arial"/>
                <w:noProof w:val="0"/>
                <w:color w:val="000000"/>
                <w:sz w:val="18"/>
                <w:szCs w:val="18"/>
                <w:lang w:eastAsia="cs-CZ"/>
              </w:rPr>
              <w:t>%</w:t>
            </w:r>
          </w:p>
        </w:tc>
        <w:tc>
          <w:tcPr>
            <w:tcW w:w="977"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center"/>
              <w:rPr>
                <w:rFonts w:cs="Arial"/>
                <w:noProof w:val="0"/>
                <w:color w:val="000000"/>
                <w:sz w:val="18"/>
                <w:szCs w:val="18"/>
                <w:lang w:eastAsia="cs-CZ"/>
              </w:rPr>
            </w:pPr>
            <w:r w:rsidRPr="00513E37">
              <w:rPr>
                <w:rFonts w:cs="Arial"/>
                <w:noProof w:val="0"/>
                <w:color w:val="000000"/>
                <w:sz w:val="18"/>
                <w:szCs w:val="18"/>
                <w:lang w:eastAsia="cs-CZ"/>
              </w:rPr>
              <w:t>abs.</w:t>
            </w:r>
          </w:p>
        </w:tc>
        <w:tc>
          <w:tcPr>
            <w:tcW w:w="960"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center"/>
              <w:rPr>
                <w:rFonts w:cs="Arial"/>
                <w:noProof w:val="0"/>
                <w:color w:val="000000"/>
                <w:sz w:val="18"/>
                <w:szCs w:val="18"/>
                <w:lang w:eastAsia="cs-CZ"/>
              </w:rPr>
            </w:pPr>
            <w:r w:rsidRPr="00513E37">
              <w:rPr>
                <w:rFonts w:cs="Arial"/>
                <w:noProof w:val="0"/>
                <w:color w:val="000000"/>
                <w:sz w:val="18"/>
                <w:szCs w:val="18"/>
                <w:lang w:eastAsia="cs-CZ"/>
              </w:rPr>
              <w:t>%</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center"/>
            <w:hideMark/>
          </w:tcPr>
          <w:p w:rsidR="00513E37" w:rsidRPr="00513E37" w:rsidRDefault="00513E37" w:rsidP="00A33915">
            <w:pPr>
              <w:suppressAutoHyphens w:val="0"/>
              <w:spacing w:line="276" w:lineRule="auto"/>
              <w:rPr>
                <w:rFonts w:cs="Arial"/>
                <w:noProof w:val="0"/>
                <w:color w:val="000000"/>
                <w:sz w:val="18"/>
                <w:szCs w:val="18"/>
                <w:lang w:eastAsia="cs-CZ"/>
              </w:rPr>
            </w:pPr>
            <w:r w:rsidRPr="00513E37">
              <w:rPr>
                <w:rFonts w:cs="Arial"/>
                <w:noProof w:val="0"/>
                <w:color w:val="000000"/>
                <w:sz w:val="18"/>
                <w:szCs w:val="18"/>
                <w:lang w:eastAsia="cs-CZ"/>
              </w:rPr>
              <w:t>Celkem</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12 519</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100,0</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35 480</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100,0</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0-14</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1 724</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13,8</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4 547</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12,8</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15-19</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517</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4,1</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1 451</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4,1</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20-29</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1 873</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15,0</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3 370</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9,5</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30-39</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1 518</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12,1</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5 831</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16,4</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40-49</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1 743</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13,9</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5 010</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14,1</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50-59</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2 410</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19,3</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6 066</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17,1</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60-64</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788</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6,3</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3 741</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10,5</w:t>
            </w:r>
          </w:p>
        </w:tc>
      </w:tr>
      <w:tr w:rsidR="00513E37" w:rsidRPr="00513E37" w:rsidTr="00A33915">
        <w:trPr>
          <w:trHeight w:val="255"/>
        </w:trPr>
        <w:tc>
          <w:tcPr>
            <w:tcW w:w="1222" w:type="dxa"/>
            <w:tcBorders>
              <w:top w:val="nil"/>
              <w:left w:val="single" w:sz="4" w:space="0" w:color="auto"/>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r w:rsidRPr="00513E37">
              <w:rPr>
                <w:rFonts w:cs="Arial"/>
                <w:noProof w:val="0"/>
                <w:color w:val="000000"/>
                <w:sz w:val="18"/>
                <w:szCs w:val="18"/>
                <w:lang w:eastAsia="cs-CZ"/>
              </w:rPr>
              <w:t>65+</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1 939</w:t>
            </w:r>
          </w:p>
        </w:tc>
        <w:tc>
          <w:tcPr>
            <w:tcW w:w="809"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15,5</w:t>
            </w:r>
          </w:p>
        </w:tc>
        <w:tc>
          <w:tcPr>
            <w:tcW w:w="977"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5 216</w:t>
            </w:r>
          </w:p>
        </w:tc>
        <w:tc>
          <w:tcPr>
            <w:tcW w:w="960" w:type="dxa"/>
            <w:tcBorders>
              <w:top w:val="nil"/>
              <w:left w:val="nil"/>
              <w:bottom w:val="nil"/>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14,7</w:t>
            </w:r>
          </w:p>
        </w:tc>
      </w:tr>
      <w:tr w:rsidR="00513E37" w:rsidRPr="00513E37" w:rsidTr="00A33915">
        <w:trPr>
          <w:trHeight w:val="255"/>
        </w:trPr>
        <w:tc>
          <w:tcPr>
            <w:tcW w:w="1222" w:type="dxa"/>
            <w:tcBorders>
              <w:top w:val="nil"/>
              <w:left w:val="single" w:sz="4" w:space="0" w:color="auto"/>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ind w:firstLineChars="100" w:firstLine="180"/>
              <w:rPr>
                <w:rFonts w:cs="Arial"/>
                <w:noProof w:val="0"/>
                <w:color w:val="000000"/>
                <w:sz w:val="18"/>
                <w:szCs w:val="18"/>
                <w:lang w:eastAsia="cs-CZ"/>
              </w:rPr>
            </w:pPr>
            <w:proofErr w:type="spellStart"/>
            <w:r w:rsidRPr="00513E37">
              <w:rPr>
                <w:rFonts w:cs="Arial"/>
                <w:noProof w:val="0"/>
                <w:color w:val="000000"/>
                <w:sz w:val="18"/>
                <w:szCs w:val="18"/>
                <w:lang w:eastAsia="cs-CZ"/>
              </w:rPr>
              <w:t>nezj</w:t>
            </w:r>
            <w:proofErr w:type="spellEnd"/>
            <w:r w:rsidR="001929D6">
              <w:rPr>
                <w:rFonts w:cs="Arial"/>
                <w:noProof w:val="0"/>
                <w:color w:val="000000"/>
                <w:sz w:val="18"/>
                <w:szCs w:val="18"/>
                <w:lang w:eastAsia="cs-CZ"/>
              </w:rPr>
              <w:t>.</w:t>
            </w:r>
          </w:p>
        </w:tc>
        <w:tc>
          <w:tcPr>
            <w:tcW w:w="977"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7</w:t>
            </w:r>
          </w:p>
        </w:tc>
        <w:tc>
          <w:tcPr>
            <w:tcW w:w="809"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0,1</w:t>
            </w:r>
          </w:p>
        </w:tc>
        <w:tc>
          <w:tcPr>
            <w:tcW w:w="977"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248</w:t>
            </w:r>
          </w:p>
        </w:tc>
        <w:tc>
          <w:tcPr>
            <w:tcW w:w="960" w:type="dxa"/>
            <w:tcBorders>
              <w:top w:val="nil"/>
              <w:left w:val="nil"/>
              <w:bottom w:val="single" w:sz="4" w:space="0" w:color="auto"/>
              <w:right w:val="single" w:sz="4" w:space="0" w:color="auto"/>
            </w:tcBorders>
            <w:shd w:val="clear" w:color="auto" w:fill="auto"/>
            <w:noWrap/>
            <w:vAlign w:val="bottom"/>
            <w:hideMark/>
          </w:tcPr>
          <w:p w:rsidR="00513E37" w:rsidRPr="00513E37" w:rsidRDefault="00513E37" w:rsidP="00A33915">
            <w:pPr>
              <w:suppressAutoHyphens w:val="0"/>
              <w:spacing w:line="276" w:lineRule="auto"/>
              <w:jc w:val="right"/>
              <w:rPr>
                <w:rFonts w:cs="Arial"/>
                <w:noProof w:val="0"/>
                <w:color w:val="000000"/>
                <w:sz w:val="18"/>
                <w:szCs w:val="18"/>
                <w:lang w:eastAsia="cs-CZ"/>
              </w:rPr>
            </w:pPr>
            <w:r w:rsidRPr="00513E37">
              <w:rPr>
                <w:rFonts w:cs="Arial"/>
                <w:noProof w:val="0"/>
                <w:color w:val="000000"/>
                <w:sz w:val="18"/>
                <w:szCs w:val="18"/>
                <w:lang w:eastAsia="cs-CZ"/>
              </w:rPr>
              <w:t>0,7</w:t>
            </w:r>
          </w:p>
        </w:tc>
      </w:tr>
    </w:tbl>
    <w:p w:rsidR="007F05D2" w:rsidRDefault="00373752" w:rsidP="00A33915">
      <w:pPr>
        <w:spacing w:line="276" w:lineRule="auto"/>
        <w:jc w:val="both"/>
        <w:rPr>
          <w:sz w:val="20"/>
          <w:szCs w:val="20"/>
        </w:rPr>
      </w:pPr>
      <w:r>
        <w:rPr>
          <w:sz w:val="20"/>
          <w:szCs w:val="20"/>
        </w:rPr>
        <w:t>Z</w:t>
      </w:r>
      <w:r w:rsidR="002A6808">
        <w:rPr>
          <w:sz w:val="20"/>
          <w:szCs w:val="20"/>
        </w:rPr>
        <w:t xml:space="preserve"> celkového </w:t>
      </w:r>
      <w:r>
        <w:rPr>
          <w:sz w:val="20"/>
          <w:szCs w:val="20"/>
        </w:rPr>
        <w:t xml:space="preserve">počtu obvykle bydlících </w:t>
      </w:r>
      <w:r w:rsidR="00B02F11">
        <w:rPr>
          <w:sz w:val="20"/>
          <w:szCs w:val="20"/>
        </w:rPr>
        <w:t xml:space="preserve">mělo místo obvyklého pobytu </w:t>
      </w:r>
      <w:r w:rsidR="00C042BD" w:rsidRPr="00E03350">
        <w:rPr>
          <w:sz w:val="20"/>
          <w:szCs w:val="20"/>
        </w:rPr>
        <w:t xml:space="preserve"> </w:t>
      </w:r>
      <w:r w:rsidR="00B02F11" w:rsidRPr="00E03350">
        <w:rPr>
          <w:sz w:val="20"/>
          <w:szCs w:val="20"/>
        </w:rPr>
        <w:t>v</w:t>
      </w:r>
      <w:r w:rsidR="00B02F11">
        <w:rPr>
          <w:sz w:val="20"/>
          <w:szCs w:val="20"/>
        </w:rPr>
        <w:t xml:space="preserve"> rekreačních </w:t>
      </w:r>
      <w:r w:rsidR="00B02F11" w:rsidRPr="00E03350">
        <w:rPr>
          <w:sz w:val="20"/>
          <w:szCs w:val="20"/>
        </w:rPr>
        <w:t xml:space="preserve">objektech </w:t>
      </w:r>
      <w:r w:rsidR="00B02F11">
        <w:rPr>
          <w:sz w:val="20"/>
          <w:szCs w:val="20"/>
        </w:rPr>
        <w:t xml:space="preserve">35 480 osob. </w:t>
      </w:r>
      <w:r w:rsidR="00471506">
        <w:rPr>
          <w:sz w:val="20"/>
          <w:szCs w:val="20"/>
        </w:rPr>
        <w:t xml:space="preserve"> Z nich 79 % mělo v témže objektu i pobyt trvalý</w:t>
      </w:r>
      <w:r w:rsidR="00513E37">
        <w:rPr>
          <w:sz w:val="20"/>
          <w:szCs w:val="20"/>
        </w:rPr>
        <w:t xml:space="preserve">, což v absolutním vyjádření představovalo 28 tisíc osob. Za předpokladu, že by se nezměnil koncept bydlícího obyvatelstva a byl i v roce 2011 za trvale bydlící, zvýšil by se počet osob bydlících trvale v rekreačních objektech </w:t>
      </w:r>
      <w:r w:rsidR="00DC0C7F">
        <w:rPr>
          <w:sz w:val="20"/>
          <w:szCs w:val="20"/>
        </w:rPr>
        <w:t xml:space="preserve">více než </w:t>
      </w:r>
      <w:r w:rsidR="0042539C">
        <w:rPr>
          <w:sz w:val="20"/>
          <w:szCs w:val="20"/>
        </w:rPr>
        <w:t>dvakrát</w:t>
      </w:r>
      <w:r w:rsidR="00DC0C7F">
        <w:rPr>
          <w:sz w:val="20"/>
          <w:szCs w:val="20"/>
        </w:rPr>
        <w:t>. Z p</w:t>
      </w:r>
      <w:r w:rsidR="00450FD7">
        <w:rPr>
          <w:sz w:val="20"/>
          <w:szCs w:val="20"/>
        </w:rPr>
        <w:t>o</w:t>
      </w:r>
      <w:r w:rsidR="00DC0C7F">
        <w:rPr>
          <w:sz w:val="20"/>
          <w:szCs w:val="20"/>
        </w:rPr>
        <w:t xml:space="preserve">rovnání osob s obvyklým pobytem a osob s trvalým pobytem v rekreačních objektech v letech 2011 a 2001 je </w:t>
      </w:r>
      <w:r w:rsidR="0042539C">
        <w:rPr>
          <w:sz w:val="20"/>
          <w:szCs w:val="20"/>
        </w:rPr>
        <w:t>růst ještě vyšší</w:t>
      </w:r>
      <w:r w:rsidR="00DC0C7F">
        <w:rPr>
          <w:sz w:val="20"/>
          <w:szCs w:val="20"/>
        </w:rPr>
        <w:t xml:space="preserve"> </w:t>
      </w:r>
      <w:r w:rsidR="0042539C">
        <w:rPr>
          <w:sz w:val="20"/>
          <w:szCs w:val="20"/>
        </w:rPr>
        <w:t>(index 283</w:t>
      </w:r>
      <w:r w:rsidR="00DC0C7F">
        <w:rPr>
          <w:sz w:val="20"/>
          <w:szCs w:val="20"/>
        </w:rPr>
        <w:t xml:space="preserve"> %</w:t>
      </w:r>
      <w:r w:rsidR="0042539C">
        <w:rPr>
          <w:sz w:val="20"/>
          <w:szCs w:val="20"/>
        </w:rPr>
        <w:t xml:space="preserve"> - tedy</w:t>
      </w:r>
      <w:r w:rsidR="00DC0C7F">
        <w:rPr>
          <w:sz w:val="20"/>
          <w:szCs w:val="20"/>
        </w:rPr>
        <w:t xml:space="preserve"> téměř trojnásobek</w:t>
      </w:r>
      <w:r w:rsidR="0042539C">
        <w:rPr>
          <w:sz w:val="20"/>
          <w:szCs w:val="20"/>
        </w:rPr>
        <w:t xml:space="preserve"> počtu z roku 2001</w:t>
      </w:r>
      <w:r w:rsidR="00DC0C7F">
        <w:rPr>
          <w:sz w:val="20"/>
          <w:szCs w:val="20"/>
        </w:rPr>
        <w:t>).</w:t>
      </w:r>
    </w:p>
    <w:p w:rsidR="00DC0C7F" w:rsidRDefault="00DC0C7F" w:rsidP="00A33915">
      <w:pPr>
        <w:spacing w:line="276" w:lineRule="auto"/>
        <w:jc w:val="both"/>
        <w:rPr>
          <w:sz w:val="20"/>
          <w:szCs w:val="20"/>
        </w:rPr>
      </w:pPr>
    </w:p>
    <w:p w:rsidR="00DA2C4F" w:rsidRDefault="00DA2C4F" w:rsidP="00A33915">
      <w:pPr>
        <w:spacing w:line="276" w:lineRule="auto"/>
        <w:jc w:val="both"/>
        <w:rPr>
          <w:sz w:val="20"/>
          <w:szCs w:val="20"/>
        </w:rPr>
      </w:pPr>
      <w:r>
        <w:rPr>
          <w:sz w:val="20"/>
          <w:szCs w:val="20"/>
        </w:rPr>
        <w:t>Ve vztahu k celkovému počtu obyvatel jde o marginální způsob bydlení, který v relativním vyjádření dosahuje pouze tří desetin procenta z počtu obvykle bydlícího obyvatelstva. Důvody bydlení v rekreačních objektech mohou být jak ekonomické, tak mohou být cílenou volbou stylu života. O obou možnostech svědčí i široká škála věku osob tímto způsobem bydlících, i různé typy domácností, ve kterých osoby v rekreačních objektech žijí.</w:t>
      </w:r>
    </w:p>
    <w:p w:rsidR="00826508" w:rsidRDefault="00826508" w:rsidP="00A33915">
      <w:pPr>
        <w:spacing w:line="276" w:lineRule="auto"/>
        <w:jc w:val="both"/>
        <w:rPr>
          <w:sz w:val="20"/>
          <w:szCs w:val="20"/>
        </w:rPr>
      </w:pPr>
    </w:p>
    <w:p w:rsidR="00DC0C7F" w:rsidRDefault="00DA2C4F" w:rsidP="00A33915">
      <w:pPr>
        <w:spacing w:line="276" w:lineRule="auto"/>
        <w:jc w:val="both"/>
        <w:rPr>
          <w:sz w:val="20"/>
          <w:szCs w:val="20"/>
        </w:rPr>
      </w:pPr>
      <w:r>
        <w:rPr>
          <w:sz w:val="20"/>
          <w:szCs w:val="20"/>
        </w:rPr>
        <w:t>V porovnání s rokem 2001 se základní charakteristiky osob v rekrečních objektech z</w:t>
      </w:r>
      <w:r w:rsidR="00DC0C7F">
        <w:rPr>
          <w:sz w:val="20"/>
          <w:szCs w:val="20"/>
        </w:rPr>
        <w:t xml:space="preserve">ásadním </w:t>
      </w:r>
      <w:r w:rsidR="00A33915">
        <w:rPr>
          <w:sz w:val="20"/>
          <w:szCs w:val="20"/>
        </w:rPr>
        <w:t>zp</w:t>
      </w:r>
      <w:r w:rsidR="00DC0C7F">
        <w:rPr>
          <w:sz w:val="20"/>
          <w:szCs w:val="20"/>
        </w:rPr>
        <w:t>ůsobem nezměnily</w:t>
      </w:r>
      <w:r>
        <w:rPr>
          <w:sz w:val="20"/>
          <w:szCs w:val="20"/>
        </w:rPr>
        <w:t>. Např. z hlediska věkových proporcí i</w:t>
      </w:r>
      <w:r w:rsidR="00DC0C7F">
        <w:rPr>
          <w:sz w:val="20"/>
          <w:szCs w:val="20"/>
        </w:rPr>
        <w:t xml:space="preserve"> v roce 2011 bylo nejvyšší zastoupení osob bydlících v rekreačních objektech ve věk</w:t>
      </w:r>
      <w:r w:rsidR="005D5808">
        <w:rPr>
          <w:sz w:val="20"/>
          <w:szCs w:val="20"/>
        </w:rPr>
        <w:t>ov</w:t>
      </w:r>
      <w:r>
        <w:rPr>
          <w:sz w:val="20"/>
          <w:szCs w:val="20"/>
        </w:rPr>
        <w:t>é</w:t>
      </w:r>
      <w:r w:rsidR="005D5808">
        <w:rPr>
          <w:sz w:val="20"/>
          <w:szCs w:val="20"/>
        </w:rPr>
        <w:t xml:space="preserve"> skupin</w:t>
      </w:r>
      <w:r>
        <w:rPr>
          <w:sz w:val="20"/>
          <w:szCs w:val="20"/>
        </w:rPr>
        <w:t>ě 50-59 let</w:t>
      </w:r>
      <w:r w:rsidR="00DC0C7F">
        <w:rPr>
          <w:sz w:val="20"/>
          <w:szCs w:val="20"/>
        </w:rPr>
        <w:t>.</w:t>
      </w:r>
      <w:r w:rsidR="004A5D14">
        <w:rPr>
          <w:sz w:val="20"/>
          <w:szCs w:val="20"/>
        </w:rPr>
        <w:t xml:space="preserve"> </w:t>
      </w:r>
    </w:p>
    <w:p w:rsidR="003730BB" w:rsidRDefault="003730BB" w:rsidP="00A33915">
      <w:pPr>
        <w:spacing w:line="276" w:lineRule="auto"/>
        <w:jc w:val="both"/>
        <w:rPr>
          <w:sz w:val="20"/>
          <w:szCs w:val="20"/>
        </w:rPr>
      </w:pPr>
    </w:p>
    <w:p w:rsidR="003730BB" w:rsidRDefault="00826508" w:rsidP="00A33915">
      <w:pPr>
        <w:spacing w:line="276" w:lineRule="auto"/>
        <w:jc w:val="both"/>
        <w:rPr>
          <w:sz w:val="20"/>
          <w:szCs w:val="20"/>
        </w:rPr>
      </w:pPr>
      <w:r>
        <w:rPr>
          <w:sz w:val="20"/>
          <w:szCs w:val="20"/>
        </w:rPr>
        <w:t xml:space="preserve">Ve struktuře podle pohlaví pro bydlení v rekreačních </w:t>
      </w:r>
      <w:r w:rsidR="003019C6">
        <w:rPr>
          <w:sz w:val="20"/>
          <w:szCs w:val="20"/>
        </w:rPr>
        <w:t xml:space="preserve">objektech neplatily relace celé populace ani přímá závislost  růstu podílu žen v závislosti na vyšším věku. Ženy tvořily z počtu osob bydlících v rekreačních objektech </w:t>
      </w:r>
      <w:r w:rsidR="00850952">
        <w:rPr>
          <w:sz w:val="20"/>
          <w:szCs w:val="20"/>
        </w:rPr>
        <w:t xml:space="preserve">necelých 47 % a tento podíl byl v podstatě stejný </w:t>
      </w:r>
      <w:r w:rsidR="003730BB">
        <w:rPr>
          <w:sz w:val="20"/>
          <w:szCs w:val="20"/>
        </w:rPr>
        <w:t xml:space="preserve">v celém věkovém spektru. Ani v poproduktivním věku se podíl žen z celkového počtu osob bydlících v rekreačních objektech nezvýšil a nepřekročil 47 %. </w:t>
      </w:r>
    </w:p>
    <w:p w:rsidR="003730BB" w:rsidRDefault="003730BB" w:rsidP="00A33915">
      <w:pPr>
        <w:spacing w:line="276" w:lineRule="auto"/>
        <w:jc w:val="both"/>
        <w:rPr>
          <w:sz w:val="20"/>
          <w:szCs w:val="20"/>
        </w:rPr>
      </w:pPr>
    </w:p>
    <w:p w:rsidR="00A3535B" w:rsidRDefault="002070C6" w:rsidP="00A33915">
      <w:pPr>
        <w:spacing w:line="276" w:lineRule="auto"/>
        <w:jc w:val="both"/>
        <w:rPr>
          <w:sz w:val="20"/>
          <w:szCs w:val="20"/>
        </w:rPr>
      </w:pPr>
      <w:r>
        <w:rPr>
          <w:sz w:val="20"/>
          <w:szCs w:val="20"/>
        </w:rPr>
        <w:t>Necelá p</w:t>
      </w:r>
      <w:r w:rsidR="00D96332">
        <w:rPr>
          <w:sz w:val="20"/>
          <w:szCs w:val="20"/>
        </w:rPr>
        <w:t>olovina všech osob bydlících v rekreačních objektech žila v úplných rodinách</w:t>
      </w:r>
      <w:r>
        <w:rPr>
          <w:sz w:val="20"/>
          <w:szCs w:val="20"/>
        </w:rPr>
        <w:t xml:space="preserve"> (49,7 %)</w:t>
      </w:r>
      <w:r w:rsidR="00D96332">
        <w:rPr>
          <w:sz w:val="20"/>
          <w:szCs w:val="20"/>
        </w:rPr>
        <w:t>, většinou v rodinách tvořených manželským párem. Více než čtvrtina osob tvořila domácnost jednotlivce</w:t>
      </w:r>
      <w:r w:rsidR="00694020">
        <w:rPr>
          <w:sz w:val="20"/>
          <w:szCs w:val="20"/>
        </w:rPr>
        <w:t xml:space="preserve"> (25,4 %) a</w:t>
      </w:r>
      <w:r w:rsidR="00D96332">
        <w:rPr>
          <w:sz w:val="20"/>
          <w:szCs w:val="20"/>
        </w:rPr>
        <w:t xml:space="preserve"> 14,5 % osob v rekreačních objektech žilo v neúplných rodinách.</w:t>
      </w:r>
      <w:r>
        <w:rPr>
          <w:sz w:val="20"/>
          <w:szCs w:val="20"/>
        </w:rPr>
        <w:t xml:space="preserve"> </w:t>
      </w:r>
      <w:r w:rsidR="005043DD">
        <w:rPr>
          <w:sz w:val="20"/>
          <w:szCs w:val="20"/>
        </w:rPr>
        <w:t xml:space="preserve">Ostatních zhruba 10 % připadlo na nerodinné domácnosti a domácnosti tvořené 2 a více rodinami. </w:t>
      </w:r>
    </w:p>
    <w:p w:rsidR="00F91AFA" w:rsidRDefault="00F91AFA" w:rsidP="00A33915">
      <w:pPr>
        <w:spacing w:line="276" w:lineRule="auto"/>
        <w:jc w:val="both"/>
        <w:rPr>
          <w:sz w:val="20"/>
          <w:szCs w:val="20"/>
        </w:rPr>
      </w:pPr>
    </w:p>
    <w:p w:rsidR="005043DD" w:rsidRDefault="00F91AFA" w:rsidP="00A33915">
      <w:pPr>
        <w:spacing w:line="276" w:lineRule="auto"/>
        <w:jc w:val="both"/>
        <w:rPr>
          <w:sz w:val="20"/>
          <w:szCs w:val="20"/>
        </w:rPr>
      </w:pPr>
      <w:r>
        <w:rPr>
          <w:sz w:val="20"/>
          <w:szCs w:val="20"/>
        </w:rPr>
        <w:t>R</w:t>
      </w:r>
      <w:r w:rsidR="002070C6">
        <w:rPr>
          <w:sz w:val="20"/>
          <w:szCs w:val="20"/>
        </w:rPr>
        <w:t>ozložení</w:t>
      </w:r>
      <w:r>
        <w:rPr>
          <w:sz w:val="20"/>
          <w:szCs w:val="20"/>
        </w:rPr>
        <w:t xml:space="preserve"> osob podle typu domácnosti</w:t>
      </w:r>
      <w:r w:rsidR="002070C6">
        <w:rPr>
          <w:sz w:val="20"/>
          <w:szCs w:val="20"/>
        </w:rPr>
        <w:t xml:space="preserve"> bylo </w:t>
      </w:r>
      <w:r>
        <w:rPr>
          <w:sz w:val="20"/>
          <w:szCs w:val="20"/>
        </w:rPr>
        <w:t xml:space="preserve">v rekreačních objektech </w:t>
      </w:r>
      <w:r w:rsidR="002070C6">
        <w:rPr>
          <w:sz w:val="20"/>
          <w:szCs w:val="20"/>
        </w:rPr>
        <w:t>proporčně jiné než rozložení osob v celkové populaci České republiky, kde na osoby v domácnostech jednotlivců připadlo</w:t>
      </w:r>
      <w:r w:rsidR="00694020">
        <w:rPr>
          <w:sz w:val="20"/>
          <w:szCs w:val="20"/>
        </w:rPr>
        <w:t xml:space="preserve"> jen</w:t>
      </w:r>
      <w:r w:rsidR="002070C6">
        <w:rPr>
          <w:sz w:val="20"/>
          <w:szCs w:val="20"/>
        </w:rPr>
        <w:t xml:space="preserve"> 13,9 % a na úplné rodiny 62,5 %</w:t>
      </w:r>
      <w:r w:rsidR="00694020">
        <w:rPr>
          <w:sz w:val="20"/>
          <w:szCs w:val="20"/>
        </w:rPr>
        <w:t xml:space="preserve"> z počtu osob v domácnostech</w:t>
      </w:r>
      <w:r w:rsidR="002070C6">
        <w:rPr>
          <w:sz w:val="20"/>
          <w:szCs w:val="20"/>
        </w:rPr>
        <w:t>.</w:t>
      </w:r>
      <w:r w:rsidR="00694020">
        <w:rPr>
          <w:sz w:val="20"/>
          <w:szCs w:val="20"/>
        </w:rPr>
        <w:t xml:space="preserve"> </w:t>
      </w:r>
    </w:p>
    <w:p w:rsidR="008E478F" w:rsidRDefault="008E478F" w:rsidP="008E478F">
      <w:pPr>
        <w:spacing w:line="276" w:lineRule="auto"/>
        <w:rPr>
          <w:b/>
          <w:sz w:val="20"/>
          <w:szCs w:val="20"/>
        </w:rPr>
      </w:pPr>
    </w:p>
    <w:p w:rsidR="008E478F" w:rsidRPr="001770AA" w:rsidRDefault="00C117FF" w:rsidP="008E478F">
      <w:pPr>
        <w:spacing w:line="276" w:lineRule="auto"/>
        <w:rPr>
          <w:b/>
          <w:bCs/>
          <w:sz w:val="20"/>
          <w:szCs w:val="20"/>
        </w:rPr>
      </w:pPr>
      <w:r>
        <w:rPr>
          <w:b/>
          <w:sz w:val="20"/>
          <w:szCs w:val="20"/>
          <w:lang w:eastAsia="cs-CZ"/>
        </w:rPr>
        <w:drawing>
          <wp:anchor distT="0" distB="0" distL="114300" distR="114300" simplePos="0" relativeHeight="251663360" behindDoc="1" locked="0" layoutInCell="1" allowOverlap="1">
            <wp:simplePos x="0" y="0"/>
            <wp:positionH relativeFrom="column">
              <wp:posOffset>3042920</wp:posOffset>
            </wp:positionH>
            <wp:positionV relativeFrom="paragraph">
              <wp:posOffset>170815</wp:posOffset>
            </wp:positionV>
            <wp:extent cx="2939415" cy="2405380"/>
            <wp:effectExtent l="19050" t="0" r="13335" b="0"/>
            <wp:wrapTight wrapText="bothSides">
              <wp:wrapPolygon edited="0">
                <wp:start x="-140" y="0"/>
                <wp:lineTo x="-140" y="21554"/>
                <wp:lineTo x="21698" y="21554"/>
                <wp:lineTo x="21698" y="0"/>
                <wp:lineTo x="-140" y="0"/>
              </wp:wrapPolygon>
            </wp:wrapTight>
            <wp:docPr id="2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E478F" w:rsidRPr="001770AA">
        <w:rPr>
          <w:b/>
          <w:sz w:val="20"/>
          <w:szCs w:val="20"/>
        </w:rPr>
        <w:t>Graf</w:t>
      </w:r>
      <w:r w:rsidR="008E478F">
        <w:rPr>
          <w:b/>
          <w:sz w:val="20"/>
          <w:szCs w:val="20"/>
        </w:rPr>
        <w:t>y</w:t>
      </w:r>
      <w:r w:rsidR="008E478F" w:rsidRPr="001770AA">
        <w:rPr>
          <w:b/>
          <w:sz w:val="20"/>
          <w:szCs w:val="20"/>
        </w:rPr>
        <w:t xml:space="preserve"> č. 1</w:t>
      </w:r>
      <w:r w:rsidR="008E478F">
        <w:rPr>
          <w:b/>
          <w:sz w:val="20"/>
          <w:szCs w:val="20"/>
        </w:rPr>
        <w:t xml:space="preserve">4, </w:t>
      </w:r>
      <w:r w:rsidR="008E478F" w:rsidRPr="008E478F">
        <w:rPr>
          <w:b/>
          <w:sz w:val="20"/>
          <w:szCs w:val="20"/>
        </w:rPr>
        <w:t>15 O</w:t>
      </w:r>
      <w:r w:rsidR="008E478F" w:rsidRPr="008E478F">
        <w:rPr>
          <w:b/>
          <w:bCs/>
          <w:sz w:val="20"/>
          <w:szCs w:val="20"/>
        </w:rPr>
        <w:t>soby</w:t>
      </w:r>
      <w:r w:rsidR="008E478F">
        <w:rPr>
          <w:b/>
          <w:bCs/>
          <w:sz w:val="20"/>
          <w:szCs w:val="20"/>
        </w:rPr>
        <w:t xml:space="preserve"> </w:t>
      </w:r>
      <w:r w:rsidR="008E478F" w:rsidRPr="001770AA">
        <w:rPr>
          <w:b/>
          <w:bCs/>
          <w:sz w:val="20"/>
          <w:szCs w:val="20"/>
        </w:rPr>
        <w:t xml:space="preserve">podle </w:t>
      </w:r>
      <w:r w:rsidR="008E478F">
        <w:rPr>
          <w:b/>
          <w:bCs/>
          <w:sz w:val="20"/>
          <w:szCs w:val="20"/>
        </w:rPr>
        <w:t xml:space="preserve">typu domácnosti </w:t>
      </w:r>
      <w:r w:rsidR="008E478F" w:rsidRPr="001770AA">
        <w:rPr>
          <w:b/>
          <w:bCs/>
          <w:sz w:val="20"/>
          <w:szCs w:val="20"/>
        </w:rPr>
        <w:t>k 26.</w:t>
      </w:r>
      <w:r w:rsidR="00165DC3">
        <w:rPr>
          <w:b/>
          <w:bCs/>
          <w:sz w:val="20"/>
          <w:szCs w:val="20"/>
        </w:rPr>
        <w:t xml:space="preserve"> </w:t>
      </w:r>
      <w:r w:rsidR="008E478F" w:rsidRPr="001770AA">
        <w:rPr>
          <w:b/>
          <w:bCs/>
          <w:sz w:val="20"/>
          <w:szCs w:val="20"/>
        </w:rPr>
        <w:t>3.</w:t>
      </w:r>
      <w:r w:rsidR="00165DC3">
        <w:rPr>
          <w:b/>
          <w:bCs/>
          <w:sz w:val="20"/>
          <w:szCs w:val="20"/>
        </w:rPr>
        <w:t xml:space="preserve"> </w:t>
      </w:r>
      <w:r w:rsidR="008E478F" w:rsidRPr="001770AA">
        <w:rPr>
          <w:b/>
          <w:bCs/>
          <w:sz w:val="20"/>
          <w:szCs w:val="20"/>
        </w:rPr>
        <w:t>2011</w:t>
      </w:r>
    </w:p>
    <w:p w:rsidR="004F71A1" w:rsidRDefault="00C117FF" w:rsidP="00A33915">
      <w:pPr>
        <w:spacing w:line="276" w:lineRule="auto"/>
        <w:jc w:val="both"/>
        <w:rPr>
          <w:sz w:val="20"/>
          <w:szCs w:val="20"/>
        </w:rPr>
      </w:pPr>
      <w:r>
        <w:rPr>
          <w:sz w:val="20"/>
          <w:szCs w:val="20"/>
          <w:lang w:eastAsia="cs-CZ"/>
        </w:rPr>
        <w:drawing>
          <wp:anchor distT="0" distB="0" distL="114300" distR="114300" simplePos="0" relativeHeight="251662336" behindDoc="1" locked="0" layoutInCell="1" allowOverlap="1">
            <wp:simplePos x="0" y="0"/>
            <wp:positionH relativeFrom="column">
              <wp:posOffset>23495</wp:posOffset>
            </wp:positionH>
            <wp:positionV relativeFrom="paragraph">
              <wp:posOffset>3175</wp:posOffset>
            </wp:positionV>
            <wp:extent cx="2986405" cy="2405380"/>
            <wp:effectExtent l="19050" t="0" r="23495" b="0"/>
            <wp:wrapTight wrapText="bothSides">
              <wp:wrapPolygon edited="0">
                <wp:start x="-138" y="0"/>
                <wp:lineTo x="-138" y="21554"/>
                <wp:lineTo x="21770" y="21554"/>
                <wp:lineTo x="21770" y="0"/>
                <wp:lineTo x="-138" y="0"/>
              </wp:wrapPolygon>
            </wp:wrapTight>
            <wp:docPr id="2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043DD" w:rsidRDefault="005043DD" w:rsidP="00A33915">
      <w:pPr>
        <w:spacing w:line="276" w:lineRule="auto"/>
        <w:jc w:val="both"/>
        <w:rPr>
          <w:sz w:val="20"/>
          <w:szCs w:val="20"/>
        </w:rPr>
      </w:pPr>
    </w:p>
    <w:p w:rsidR="00F91AFA" w:rsidRDefault="00992EF3" w:rsidP="00F91AFA">
      <w:pPr>
        <w:spacing w:line="276" w:lineRule="auto"/>
        <w:jc w:val="both"/>
        <w:rPr>
          <w:sz w:val="20"/>
          <w:szCs w:val="20"/>
        </w:rPr>
      </w:pPr>
      <w:r>
        <w:rPr>
          <w:sz w:val="20"/>
          <w:szCs w:val="20"/>
        </w:rPr>
        <w:t>Významnější zastoupení</w:t>
      </w:r>
      <w:r w:rsidR="00694020">
        <w:rPr>
          <w:sz w:val="20"/>
          <w:szCs w:val="20"/>
        </w:rPr>
        <w:t xml:space="preserve"> domácností </w:t>
      </w:r>
      <w:r w:rsidR="00694020" w:rsidRPr="000E5F8B">
        <w:rPr>
          <w:sz w:val="20"/>
          <w:szCs w:val="20"/>
        </w:rPr>
        <w:t>jednotlivců v rekreačních objektech se týkal</w:t>
      </w:r>
      <w:r w:rsidRPr="000E5F8B">
        <w:rPr>
          <w:sz w:val="20"/>
          <w:szCs w:val="20"/>
        </w:rPr>
        <w:t>o</w:t>
      </w:r>
      <w:r w:rsidR="00694020" w:rsidRPr="000E5F8B">
        <w:rPr>
          <w:sz w:val="20"/>
          <w:szCs w:val="20"/>
        </w:rPr>
        <w:t xml:space="preserve"> zejména osob v</w:t>
      </w:r>
      <w:r w:rsidR="000E5F8B">
        <w:rPr>
          <w:sz w:val="20"/>
          <w:szCs w:val="20"/>
        </w:rPr>
        <w:t> produktivním věku (více než tři čtvrtiny domácností jednotlivců bydlících v rekreačním objektu</w:t>
      </w:r>
      <w:r w:rsidR="00B02A61">
        <w:rPr>
          <w:sz w:val="20"/>
          <w:szCs w:val="20"/>
        </w:rPr>
        <w:t>)</w:t>
      </w:r>
      <w:r w:rsidR="000E5F8B">
        <w:rPr>
          <w:sz w:val="20"/>
          <w:szCs w:val="20"/>
        </w:rPr>
        <w:t xml:space="preserve">, </w:t>
      </w:r>
      <w:r w:rsidR="00694020" w:rsidRPr="000E5F8B">
        <w:rPr>
          <w:sz w:val="20"/>
          <w:szCs w:val="20"/>
        </w:rPr>
        <w:t xml:space="preserve"> </w:t>
      </w:r>
      <w:r w:rsidR="00B02A61">
        <w:rPr>
          <w:sz w:val="20"/>
          <w:szCs w:val="20"/>
        </w:rPr>
        <w:t>přičemž z tohoto počtu byla jen zhruba polovina pracujících a naopak pětina byla ekonomicky neaktivní. Proporci mezi ekonomicky aktivními a neaktivními ale deformoval vysoký počet nezji</w:t>
      </w:r>
      <w:r w:rsidR="007560B0">
        <w:rPr>
          <w:sz w:val="20"/>
          <w:szCs w:val="20"/>
        </w:rPr>
        <w:t>štěné ekonomické aktivity (18,6 </w:t>
      </w:r>
      <w:r w:rsidR="00B02A61">
        <w:rPr>
          <w:sz w:val="20"/>
          <w:szCs w:val="20"/>
        </w:rPr>
        <w:t xml:space="preserve">% z počtu jednotlivců </w:t>
      </w:r>
      <w:r w:rsidR="007560B0">
        <w:rPr>
          <w:sz w:val="20"/>
          <w:szCs w:val="20"/>
        </w:rPr>
        <w:t xml:space="preserve">v produktivním věku </w:t>
      </w:r>
      <w:r w:rsidR="00B02A61">
        <w:rPr>
          <w:sz w:val="20"/>
          <w:szCs w:val="20"/>
        </w:rPr>
        <w:t xml:space="preserve">bydlících v rekreačních objektech). </w:t>
      </w:r>
      <w:r w:rsidR="00F91AFA">
        <w:rPr>
          <w:sz w:val="20"/>
          <w:szCs w:val="20"/>
        </w:rPr>
        <w:t>Podíl jednotlivců se měnil v závislosti na věku osob. Např. v nejpočetněji zastoupené skupině osob ve věku 50</w:t>
      </w:r>
      <w:r w:rsidR="00165DC3">
        <w:rPr>
          <w:sz w:val="20"/>
          <w:szCs w:val="20"/>
        </w:rPr>
        <w:t xml:space="preserve"> </w:t>
      </w:r>
      <w:r w:rsidR="00F91AFA">
        <w:rPr>
          <w:sz w:val="20"/>
          <w:szCs w:val="20"/>
        </w:rPr>
        <w:t>-</w:t>
      </w:r>
      <w:r w:rsidR="00165DC3">
        <w:rPr>
          <w:sz w:val="20"/>
          <w:szCs w:val="20"/>
        </w:rPr>
        <w:t xml:space="preserve"> </w:t>
      </w:r>
      <w:r w:rsidR="00F91AFA">
        <w:rPr>
          <w:sz w:val="20"/>
          <w:szCs w:val="20"/>
        </w:rPr>
        <w:t>59 let žila jako jednotlivec celá třetina osob v tomto věku, zatímco v druhé nejpočetnější věkové skupině 30</w:t>
      </w:r>
      <w:r w:rsidR="00165DC3">
        <w:rPr>
          <w:sz w:val="20"/>
          <w:szCs w:val="20"/>
        </w:rPr>
        <w:t xml:space="preserve"> </w:t>
      </w:r>
      <w:r w:rsidR="00F91AFA">
        <w:rPr>
          <w:sz w:val="20"/>
          <w:szCs w:val="20"/>
        </w:rPr>
        <w:t>-</w:t>
      </w:r>
      <w:r w:rsidR="00165DC3">
        <w:rPr>
          <w:sz w:val="20"/>
          <w:szCs w:val="20"/>
        </w:rPr>
        <w:t xml:space="preserve"> </w:t>
      </w:r>
      <w:r w:rsidR="00F91AFA">
        <w:rPr>
          <w:sz w:val="20"/>
          <w:szCs w:val="20"/>
        </w:rPr>
        <w:t>39 let bylo jednotlivců jen necelých 23 %.</w:t>
      </w:r>
    </w:p>
    <w:p w:rsidR="00B02A61" w:rsidRDefault="00B02A61" w:rsidP="00A33915">
      <w:pPr>
        <w:spacing w:line="276" w:lineRule="auto"/>
        <w:jc w:val="both"/>
        <w:rPr>
          <w:sz w:val="20"/>
          <w:szCs w:val="20"/>
        </w:rPr>
      </w:pPr>
    </w:p>
    <w:p w:rsidR="005043DD" w:rsidRDefault="00B02A61" w:rsidP="00A33915">
      <w:pPr>
        <w:spacing w:line="276" w:lineRule="auto"/>
        <w:jc w:val="both"/>
        <w:rPr>
          <w:sz w:val="20"/>
          <w:szCs w:val="20"/>
        </w:rPr>
      </w:pPr>
      <w:r>
        <w:rPr>
          <w:sz w:val="20"/>
          <w:szCs w:val="20"/>
        </w:rPr>
        <w:lastRenderedPageBreak/>
        <w:t>Celkově p</w:t>
      </w:r>
      <w:r w:rsidR="005043DD">
        <w:rPr>
          <w:sz w:val="20"/>
          <w:szCs w:val="20"/>
        </w:rPr>
        <w:t xml:space="preserve">odle ekonomické aktivity byly v počtu osob bydlících v rekreačních objektech téměř rovnoměrně zastoupeny osoby ekonomicky aktivní </w:t>
      </w:r>
      <w:r w:rsidR="007560B0">
        <w:rPr>
          <w:sz w:val="20"/>
          <w:szCs w:val="20"/>
        </w:rPr>
        <w:t xml:space="preserve">(16,7 tis. osob) </w:t>
      </w:r>
      <w:r w:rsidR="005043DD">
        <w:rPr>
          <w:sz w:val="20"/>
          <w:szCs w:val="20"/>
        </w:rPr>
        <w:t>a ekonomicky neaktivní</w:t>
      </w:r>
      <w:r w:rsidR="007560B0">
        <w:rPr>
          <w:sz w:val="20"/>
          <w:szCs w:val="20"/>
        </w:rPr>
        <w:t xml:space="preserve"> (15,8 tis. osob)</w:t>
      </w:r>
      <w:r w:rsidR="009B266B">
        <w:rPr>
          <w:sz w:val="20"/>
          <w:szCs w:val="20"/>
        </w:rPr>
        <w:t xml:space="preserve">. </w:t>
      </w:r>
    </w:p>
    <w:p w:rsidR="00513E37" w:rsidRDefault="00513E37" w:rsidP="007F05D2">
      <w:pPr>
        <w:spacing w:line="276" w:lineRule="auto"/>
        <w:jc w:val="both"/>
        <w:rPr>
          <w:sz w:val="20"/>
          <w:szCs w:val="20"/>
        </w:rPr>
      </w:pPr>
    </w:p>
    <w:p w:rsidR="000C0514" w:rsidRDefault="00557239" w:rsidP="007F05D2">
      <w:pPr>
        <w:spacing w:line="276" w:lineRule="auto"/>
        <w:jc w:val="both"/>
        <w:rPr>
          <w:sz w:val="20"/>
          <w:szCs w:val="20"/>
        </w:rPr>
      </w:pPr>
      <w:r>
        <w:rPr>
          <w:sz w:val="20"/>
          <w:szCs w:val="20"/>
        </w:rPr>
        <w:t>Z územního pohledu bylo nejvíce osob bydlících obvykle v rekreačních objektech v nejlidnatějším Středočeském kraji</w:t>
      </w:r>
      <w:r w:rsidR="003730BB">
        <w:rPr>
          <w:sz w:val="20"/>
          <w:szCs w:val="20"/>
        </w:rPr>
        <w:t xml:space="preserve">, druhý nejvyšší počet byl v kraji Plzeňském. </w:t>
      </w:r>
      <w:r w:rsidR="00B35AC2">
        <w:rPr>
          <w:sz w:val="20"/>
          <w:szCs w:val="20"/>
        </w:rPr>
        <w:t>Č</w:t>
      </w:r>
      <w:r w:rsidR="003730BB">
        <w:rPr>
          <w:sz w:val="20"/>
          <w:szCs w:val="20"/>
        </w:rPr>
        <w:t xml:space="preserve">astěji byly využívány k bydlení rekreační objekty v blízkosti velkých měst. Z podrobných dat např. v rámci Středočeského kraje za </w:t>
      </w:r>
      <w:r w:rsidR="00165DC3">
        <w:rPr>
          <w:sz w:val="20"/>
          <w:szCs w:val="20"/>
        </w:rPr>
        <w:t xml:space="preserve">SO </w:t>
      </w:r>
      <w:r w:rsidR="003730BB">
        <w:rPr>
          <w:sz w:val="20"/>
          <w:szCs w:val="20"/>
        </w:rPr>
        <w:t xml:space="preserve">ORP Černošice, Říčany nebo Benešov vyplývá, že nejčastěji zde bydlely </w:t>
      </w:r>
      <w:r w:rsidR="00082788">
        <w:rPr>
          <w:sz w:val="20"/>
          <w:szCs w:val="20"/>
        </w:rPr>
        <w:t>rodiny</w:t>
      </w:r>
      <w:r w:rsidR="005E5343">
        <w:rPr>
          <w:sz w:val="20"/>
          <w:szCs w:val="20"/>
        </w:rPr>
        <w:t>. P</w:t>
      </w:r>
      <w:r w:rsidR="00082788">
        <w:rPr>
          <w:sz w:val="20"/>
          <w:szCs w:val="20"/>
        </w:rPr>
        <w:t>odíl osob v rodinách z celkového počtu obvykle bydlících obyvatel v chatách v</w:t>
      </w:r>
      <w:r w:rsidR="00165DC3">
        <w:rPr>
          <w:sz w:val="20"/>
          <w:szCs w:val="20"/>
        </w:rPr>
        <w:t xml:space="preserve"> jednotlivých SO ORP </w:t>
      </w:r>
      <w:r w:rsidR="00082788">
        <w:rPr>
          <w:sz w:val="20"/>
          <w:szCs w:val="20"/>
        </w:rPr>
        <w:t>se pohyboval mezi 61 a 69</w:t>
      </w:r>
      <w:r w:rsidR="00165DC3">
        <w:rPr>
          <w:sz w:val="20"/>
          <w:szCs w:val="20"/>
        </w:rPr>
        <w:t> </w:t>
      </w:r>
      <w:r w:rsidR="00082788">
        <w:rPr>
          <w:sz w:val="20"/>
          <w:szCs w:val="20"/>
        </w:rPr>
        <w:t>%.</w:t>
      </w:r>
      <w:r w:rsidR="0056725A">
        <w:rPr>
          <w:sz w:val="20"/>
          <w:szCs w:val="20"/>
        </w:rPr>
        <w:t xml:space="preserve"> </w:t>
      </w:r>
    </w:p>
    <w:p w:rsidR="00B35AC2" w:rsidRDefault="00B35AC2" w:rsidP="007F05D2">
      <w:pPr>
        <w:spacing w:line="276" w:lineRule="auto"/>
        <w:jc w:val="both"/>
        <w:rPr>
          <w:sz w:val="20"/>
          <w:szCs w:val="20"/>
        </w:rPr>
      </w:pPr>
    </w:p>
    <w:p w:rsidR="007E61AF" w:rsidRDefault="00D57959" w:rsidP="007F05D2">
      <w:pPr>
        <w:spacing w:line="276" w:lineRule="auto"/>
        <w:jc w:val="both"/>
        <w:rPr>
          <w:sz w:val="20"/>
          <w:szCs w:val="20"/>
        </w:rPr>
      </w:pPr>
      <w:r>
        <w:rPr>
          <w:sz w:val="20"/>
          <w:szCs w:val="20"/>
        </w:rPr>
        <w:t>Jako zajímavost lze uvést, že b</w:t>
      </w:r>
      <w:r w:rsidR="000C0514">
        <w:rPr>
          <w:sz w:val="20"/>
          <w:szCs w:val="20"/>
        </w:rPr>
        <w:t>ydlení v rekreačních objektech bylo identifikováno i na území hlavního města Prahy. Necelých 2</w:t>
      </w:r>
      <w:r w:rsidR="005E5343">
        <w:rPr>
          <w:sz w:val="20"/>
          <w:szCs w:val="20"/>
        </w:rPr>
        <w:t xml:space="preserve"> </w:t>
      </w:r>
      <w:r w:rsidR="000C0514">
        <w:rPr>
          <w:sz w:val="20"/>
          <w:szCs w:val="20"/>
        </w:rPr>
        <w:t xml:space="preserve">300 osob bylo sečteno </w:t>
      </w:r>
      <w:r w:rsidR="00A66E34">
        <w:rPr>
          <w:sz w:val="20"/>
          <w:szCs w:val="20"/>
        </w:rPr>
        <w:t xml:space="preserve">v oblastech, kde se nacházejí zahrádkářské kolonie nebo v okrajových částech Prahy, kde </w:t>
      </w:r>
      <w:r>
        <w:rPr>
          <w:sz w:val="20"/>
          <w:szCs w:val="20"/>
        </w:rPr>
        <w:t>byla</w:t>
      </w:r>
      <w:r w:rsidR="00A66E34">
        <w:rPr>
          <w:sz w:val="20"/>
          <w:szCs w:val="20"/>
        </w:rPr>
        <w:t xml:space="preserve"> původní zástavba rodinných domů </w:t>
      </w:r>
      <w:r>
        <w:rPr>
          <w:sz w:val="20"/>
          <w:szCs w:val="20"/>
        </w:rPr>
        <w:t>a</w:t>
      </w:r>
      <w:r w:rsidR="00A66E34">
        <w:rPr>
          <w:sz w:val="20"/>
          <w:szCs w:val="20"/>
        </w:rPr>
        <w:t xml:space="preserve"> v některých případech </w:t>
      </w:r>
      <w:r>
        <w:rPr>
          <w:sz w:val="20"/>
          <w:szCs w:val="20"/>
        </w:rPr>
        <w:t xml:space="preserve">se změnil důvod užívání. </w:t>
      </w:r>
    </w:p>
    <w:p w:rsidR="00165DC3" w:rsidRDefault="00165DC3" w:rsidP="007F05D2">
      <w:pPr>
        <w:spacing w:line="276" w:lineRule="auto"/>
        <w:jc w:val="both"/>
        <w:rPr>
          <w:sz w:val="20"/>
          <w:szCs w:val="20"/>
        </w:rPr>
      </w:pPr>
    </w:p>
    <w:p w:rsidR="00165DC3" w:rsidRPr="001770AA" w:rsidRDefault="00165DC3" w:rsidP="00165DC3">
      <w:pPr>
        <w:spacing w:line="276" w:lineRule="auto"/>
        <w:rPr>
          <w:b/>
          <w:bCs/>
          <w:sz w:val="20"/>
          <w:szCs w:val="20"/>
        </w:rPr>
      </w:pPr>
      <w:r>
        <w:rPr>
          <w:b/>
          <w:sz w:val="20"/>
          <w:szCs w:val="20"/>
          <w:lang w:eastAsia="cs-CZ"/>
        </w:rPr>
        <w:drawing>
          <wp:anchor distT="36195" distB="107950" distL="114300" distR="114300" simplePos="0" relativeHeight="251667456" behindDoc="0" locked="0" layoutInCell="1" allowOverlap="1">
            <wp:simplePos x="0" y="0"/>
            <wp:positionH relativeFrom="column">
              <wp:posOffset>-131445</wp:posOffset>
            </wp:positionH>
            <wp:positionV relativeFrom="paragraph">
              <wp:posOffset>278130</wp:posOffset>
            </wp:positionV>
            <wp:extent cx="6096000" cy="4305300"/>
            <wp:effectExtent l="19050" t="0" r="0" b="0"/>
            <wp:wrapTopAndBottom/>
            <wp:docPr id="11" name="obrázek 1" descr="C:\Users\moravkova5238\Desktop\Praha_ch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vkova5238\Desktop\Praha_chaty.jpg"/>
                    <pic:cNvPicPr>
                      <a:picLocks noChangeAspect="1" noChangeArrowheads="1"/>
                    </pic:cNvPicPr>
                  </pic:nvPicPr>
                  <pic:blipFill>
                    <a:blip r:embed="rId24" cstate="print"/>
                    <a:srcRect/>
                    <a:stretch>
                      <a:fillRect/>
                    </a:stretch>
                  </pic:blipFill>
                  <pic:spPr bwMode="auto">
                    <a:xfrm>
                      <a:off x="0" y="0"/>
                      <a:ext cx="6096000" cy="4305300"/>
                    </a:xfrm>
                    <a:prstGeom prst="rect">
                      <a:avLst/>
                    </a:prstGeom>
                    <a:noFill/>
                    <a:ln w="3175">
                      <a:noFill/>
                      <a:miter lim="800000"/>
                      <a:headEnd/>
                      <a:tailEnd/>
                    </a:ln>
                  </pic:spPr>
                </pic:pic>
              </a:graphicData>
            </a:graphic>
          </wp:anchor>
        </w:drawing>
      </w:r>
      <w:r w:rsidRPr="001770AA">
        <w:rPr>
          <w:b/>
          <w:sz w:val="20"/>
          <w:szCs w:val="20"/>
        </w:rPr>
        <w:t xml:space="preserve">Graf č. </w:t>
      </w:r>
      <w:r>
        <w:rPr>
          <w:b/>
          <w:sz w:val="20"/>
          <w:szCs w:val="20"/>
        </w:rPr>
        <w:t>16</w:t>
      </w:r>
      <w:r w:rsidRPr="008E478F">
        <w:rPr>
          <w:b/>
          <w:sz w:val="20"/>
          <w:szCs w:val="20"/>
        </w:rPr>
        <w:t xml:space="preserve"> </w:t>
      </w:r>
      <w:r>
        <w:rPr>
          <w:b/>
          <w:sz w:val="20"/>
          <w:szCs w:val="20"/>
        </w:rPr>
        <w:t>Osoby bydlící v rekreačních objektech na území hl. m. Prahy</w:t>
      </w:r>
      <w:r>
        <w:rPr>
          <w:b/>
          <w:bCs/>
          <w:sz w:val="20"/>
          <w:szCs w:val="20"/>
        </w:rPr>
        <w:t xml:space="preserve">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7E61AF" w:rsidRDefault="007E61AF" w:rsidP="007F05D2">
      <w:pPr>
        <w:spacing w:line="276" w:lineRule="auto"/>
        <w:jc w:val="both"/>
        <w:rPr>
          <w:sz w:val="20"/>
          <w:szCs w:val="20"/>
        </w:rPr>
      </w:pPr>
    </w:p>
    <w:p w:rsidR="00165DC3" w:rsidRDefault="00165DC3" w:rsidP="007F05D2">
      <w:pPr>
        <w:spacing w:line="276" w:lineRule="auto"/>
        <w:jc w:val="both"/>
        <w:rPr>
          <w:sz w:val="20"/>
          <w:szCs w:val="20"/>
        </w:rPr>
      </w:pPr>
    </w:p>
    <w:p w:rsidR="000C0514" w:rsidRDefault="000C0514" w:rsidP="007F05D2">
      <w:pPr>
        <w:spacing w:line="276" w:lineRule="auto"/>
        <w:jc w:val="both"/>
        <w:rPr>
          <w:sz w:val="20"/>
          <w:szCs w:val="20"/>
        </w:rPr>
      </w:pPr>
    </w:p>
    <w:p w:rsidR="00557239" w:rsidRDefault="00557239" w:rsidP="009B266B">
      <w:pPr>
        <w:pStyle w:val="Normln-web"/>
        <w:spacing w:before="0" w:line="276" w:lineRule="auto"/>
        <w:rPr>
          <w:sz w:val="20"/>
          <w:szCs w:val="20"/>
        </w:rPr>
      </w:pPr>
    </w:p>
    <w:p w:rsidR="00165DC3" w:rsidRDefault="00165DC3">
      <w:pPr>
        <w:suppressAutoHyphens w:val="0"/>
        <w:rPr>
          <w:b/>
          <w:sz w:val="22"/>
          <w:szCs w:val="22"/>
          <w:lang w:eastAsia="cs-CZ"/>
        </w:rPr>
      </w:pPr>
    </w:p>
    <w:p w:rsidR="002B2884" w:rsidRPr="00B35AC2" w:rsidRDefault="007E61AF" w:rsidP="002B2884">
      <w:pPr>
        <w:pStyle w:val="Normln-web"/>
        <w:spacing w:before="0" w:line="276" w:lineRule="auto"/>
        <w:rPr>
          <w:b/>
          <w:sz w:val="22"/>
          <w:szCs w:val="22"/>
        </w:rPr>
      </w:pPr>
      <w:r w:rsidRPr="00B35AC2">
        <w:rPr>
          <w:b/>
          <w:sz w:val="22"/>
          <w:szCs w:val="22"/>
        </w:rPr>
        <w:lastRenderedPageBreak/>
        <w:t>5.2</w:t>
      </w:r>
      <w:r w:rsidRPr="00B35AC2">
        <w:rPr>
          <w:b/>
          <w:sz w:val="22"/>
          <w:szCs w:val="22"/>
        </w:rPr>
        <w:tab/>
      </w:r>
      <w:r w:rsidR="002B2884" w:rsidRPr="00B35AC2">
        <w:rPr>
          <w:b/>
          <w:sz w:val="22"/>
          <w:szCs w:val="22"/>
        </w:rPr>
        <w:t>Osoby bydlící v domech mimo byty</w:t>
      </w:r>
    </w:p>
    <w:p w:rsidR="002B2884" w:rsidRDefault="002B2884" w:rsidP="007E61AF">
      <w:pPr>
        <w:pStyle w:val="Normln-web"/>
        <w:spacing w:before="0" w:line="276" w:lineRule="auto"/>
        <w:rPr>
          <w:sz w:val="20"/>
          <w:szCs w:val="20"/>
        </w:rPr>
      </w:pPr>
      <w:r>
        <w:rPr>
          <w:sz w:val="20"/>
          <w:szCs w:val="20"/>
        </w:rPr>
        <w:t xml:space="preserve">Jako bydlící mimo byty v domech bylo ve výstupech sčítání zjištěno celkem 32 408 osob. Tyto osoby </w:t>
      </w:r>
      <w:r w:rsidR="006D7537">
        <w:rPr>
          <w:sz w:val="20"/>
          <w:szCs w:val="20"/>
        </w:rPr>
        <w:t>nebydlely</w:t>
      </w:r>
      <w:r>
        <w:rPr>
          <w:sz w:val="20"/>
          <w:szCs w:val="20"/>
        </w:rPr>
        <w:t xml:space="preserve"> ani v bytech ani v zařízeních, jejich adresa obvyklého bydliště byla přitom v domě s číslem popisným (tedy v budově trvalého charakteru).</w:t>
      </w:r>
    </w:p>
    <w:p w:rsidR="00165DC3" w:rsidRDefault="00165DC3" w:rsidP="00165DC3">
      <w:pPr>
        <w:spacing w:line="276" w:lineRule="auto"/>
        <w:rPr>
          <w:b/>
          <w:sz w:val="20"/>
          <w:szCs w:val="20"/>
        </w:rPr>
      </w:pPr>
    </w:p>
    <w:p w:rsidR="00165DC3" w:rsidRPr="001770AA" w:rsidRDefault="00165DC3" w:rsidP="00165DC3">
      <w:pPr>
        <w:spacing w:line="276" w:lineRule="auto"/>
        <w:rPr>
          <w:b/>
          <w:bCs/>
          <w:sz w:val="20"/>
          <w:szCs w:val="20"/>
        </w:rPr>
      </w:pPr>
      <w:r w:rsidRPr="001770AA">
        <w:rPr>
          <w:b/>
          <w:sz w:val="20"/>
          <w:szCs w:val="20"/>
        </w:rPr>
        <w:t xml:space="preserve">Graf č. </w:t>
      </w:r>
      <w:r>
        <w:rPr>
          <w:b/>
          <w:sz w:val="20"/>
          <w:szCs w:val="20"/>
        </w:rPr>
        <w:t>17</w:t>
      </w:r>
      <w:r w:rsidRPr="008E478F">
        <w:rPr>
          <w:b/>
          <w:sz w:val="20"/>
          <w:szCs w:val="20"/>
        </w:rPr>
        <w:t xml:space="preserve"> O</w:t>
      </w:r>
      <w:r w:rsidRPr="008E478F">
        <w:rPr>
          <w:b/>
          <w:bCs/>
          <w:sz w:val="20"/>
          <w:szCs w:val="20"/>
        </w:rPr>
        <w:t>soby</w:t>
      </w:r>
      <w:r>
        <w:rPr>
          <w:b/>
          <w:bCs/>
          <w:sz w:val="20"/>
          <w:szCs w:val="20"/>
        </w:rPr>
        <w:t xml:space="preserve"> bydlící mimo byty podle druhu domu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DD0301" w:rsidRDefault="00165DC3" w:rsidP="002B2884">
      <w:pPr>
        <w:pStyle w:val="Normln-web"/>
        <w:spacing w:before="0" w:line="276" w:lineRule="auto"/>
        <w:rPr>
          <w:sz w:val="20"/>
          <w:szCs w:val="20"/>
        </w:rPr>
      </w:pPr>
      <w:r>
        <w:rPr>
          <w:sz w:val="20"/>
          <w:szCs w:val="20"/>
        </w:rPr>
        <w:drawing>
          <wp:anchor distT="36195" distB="107950" distL="144145" distR="114300" simplePos="0" relativeHeight="251673600" behindDoc="0" locked="0" layoutInCell="1" allowOverlap="1">
            <wp:simplePos x="0" y="0"/>
            <wp:positionH relativeFrom="column">
              <wp:posOffset>10795</wp:posOffset>
            </wp:positionH>
            <wp:positionV relativeFrom="paragraph">
              <wp:posOffset>67945</wp:posOffset>
            </wp:positionV>
            <wp:extent cx="4032250" cy="2527935"/>
            <wp:effectExtent l="19050" t="0" r="25400" b="5715"/>
            <wp:wrapSquare wrapText="bothSides"/>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77E12">
        <w:rPr>
          <w:sz w:val="20"/>
          <w:szCs w:val="20"/>
        </w:rPr>
        <w:t>Tři pětiny</w:t>
      </w:r>
      <w:r w:rsidR="00DD0301">
        <w:rPr>
          <w:sz w:val="20"/>
          <w:szCs w:val="20"/>
        </w:rPr>
        <w:t xml:space="preserve"> takto bydlících osob byl</w:t>
      </w:r>
      <w:r w:rsidR="00877E12">
        <w:rPr>
          <w:sz w:val="20"/>
          <w:szCs w:val="20"/>
        </w:rPr>
        <w:t>y</w:t>
      </w:r>
      <w:r w:rsidR="00DD0301">
        <w:rPr>
          <w:sz w:val="20"/>
          <w:szCs w:val="20"/>
        </w:rPr>
        <w:t xml:space="preserve"> v</w:t>
      </w:r>
      <w:r w:rsidR="00877E12">
        <w:rPr>
          <w:sz w:val="20"/>
          <w:szCs w:val="20"/>
        </w:rPr>
        <w:t xml:space="preserve"> různých provozních budovách, </w:t>
      </w:r>
      <w:r w:rsidR="006D7537">
        <w:rPr>
          <w:sz w:val="20"/>
          <w:szCs w:val="20"/>
        </w:rPr>
        <w:t xml:space="preserve">dalších </w:t>
      </w:r>
      <w:r w:rsidR="00877E12">
        <w:rPr>
          <w:sz w:val="20"/>
          <w:szCs w:val="20"/>
        </w:rPr>
        <w:t>15 % bylo v obytných domech.</w:t>
      </w:r>
      <w:r w:rsidR="006D7537">
        <w:rPr>
          <w:sz w:val="20"/>
          <w:szCs w:val="20"/>
        </w:rPr>
        <w:t xml:space="preserve"> Zastoupení dalších druhů domu bylo rovnoměrné. Ve </w:t>
      </w:r>
      <w:r w:rsidR="006D7537" w:rsidRPr="006D7537">
        <w:rPr>
          <w:sz w:val="20"/>
          <w:szCs w:val="20"/>
        </w:rPr>
        <w:t>2</w:t>
      </w:r>
      <w:r w:rsidR="00BB5235">
        <w:rPr>
          <w:sz w:val="20"/>
          <w:szCs w:val="20"/>
        </w:rPr>
        <w:t> </w:t>
      </w:r>
      <w:r w:rsidR="006D7537" w:rsidRPr="006D7537">
        <w:rPr>
          <w:sz w:val="20"/>
          <w:szCs w:val="20"/>
        </w:rPr>
        <w:t>627</w:t>
      </w:r>
      <w:r w:rsidR="006D7537">
        <w:rPr>
          <w:sz w:val="20"/>
          <w:szCs w:val="20"/>
        </w:rPr>
        <w:t xml:space="preserve"> případech byla adresa obvyklého pobytu osoby na adrese obecního úřadu, resp. ohlašovny pobytu. </w:t>
      </w:r>
      <w:r w:rsidR="00441D06">
        <w:rPr>
          <w:sz w:val="20"/>
          <w:szCs w:val="20"/>
        </w:rPr>
        <w:t xml:space="preserve">Byly to případy sečtených osob, které na formuláři uvedly adresu ohlašovny jako své „faktické“ bydliště. V rámci zpracování příslušný algoritmus tuto adresu odvodil jako obvyklé bydliště. Vzhledem k neexistenci bytu </w:t>
      </w:r>
      <w:r w:rsidR="003A060A">
        <w:rPr>
          <w:sz w:val="20"/>
          <w:szCs w:val="20"/>
        </w:rPr>
        <w:t>nebo</w:t>
      </w:r>
      <w:r w:rsidR="00441D06">
        <w:rPr>
          <w:sz w:val="20"/>
          <w:szCs w:val="20"/>
        </w:rPr>
        <w:t xml:space="preserve"> zařízení na dané adrese zůstaly pak tyto osoby jako bydlící mimo byty.</w:t>
      </w:r>
    </w:p>
    <w:p w:rsidR="00084B9C" w:rsidRDefault="00084B9C" w:rsidP="002B2884">
      <w:pPr>
        <w:pStyle w:val="Normln-web"/>
        <w:spacing w:before="0" w:line="276" w:lineRule="auto"/>
        <w:rPr>
          <w:sz w:val="20"/>
          <w:szCs w:val="20"/>
        </w:rPr>
      </w:pPr>
    </w:p>
    <w:p w:rsidR="00084B9C" w:rsidRDefault="00B258EC" w:rsidP="002B2884">
      <w:pPr>
        <w:pStyle w:val="Normln-web"/>
        <w:spacing w:before="0" w:line="276" w:lineRule="auto"/>
        <w:rPr>
          <w:sz w:val="20"/>
          <w:szCs w:val="20"/>
        </w:rPr>
      </w:pPr>
      <w:r>
        <w:rPr>
          <w:sz w:val="20"/>
          <w:szCs w:val="20"/>
        </w:rPr>
        <w:t xml:space="preserve">Podle pohlaví jednoznačně převažovali muži, kterých bylo 63 %. </w:t>
      </w:r>
      <w:r w:rsidR="00084B9C">
        <w:rPr>
          <w:sz w:val="20"/>
          <w:szCs w:val="20"/>
        </w:rPr>
        <w:t>Ve věkové struktuře osob</w:t>
      </w:r>
      <w:r w:rsidR="009B32DE">
        <w:rPr>
          <w:sz w:val="20"/>
          <w:szCs w:val="20"/>
        </w:rPr>
        <w:t xml:space="preserve"> bydlících</w:t>
      </w:r>
      <w:r w:rsidR="00084B9C">
        <w:rPr>
          <w:sz w:val="20"/>
          <w:szCs w:val="20"/>
        </w:rPr>
        <w:t xml:space="preserve"> mimo byty v domech převládaly mladší osoby. V produktivním věku bylo 84,4 % osob, </w:t>
      </w:r>
      <w:r w:rsidR="00D56645">
        <w:rPr>
          <w:sz w:val="20"/>
          <w:szCs w:val="20"/>
        </w:rPr>
        <w:t>osoby v poproduktivním věku a dětská složka do 14 let byly zastoupeny minimálně. Nejpočetněji zastoupené věkové skupiny byly desetiletky 20-29 let a 30-39 let. V obou těchto skupinách více jak polovina osob tvořila domácnost jednotlivce</w:t>
      </w:r>
      <w:r>
        <w:rPr>
          <w:sz w:val="20"/>
          <w:szCs w:val="20"/>
        </w:rPr>
        <w:t>.</w:t>
      </w:r>
    </w:p>
    <w:p w:rsidR="009B32DE" w:rsidRDefault="009B32DE" w:rsidP="002B2884">
      <w:pPr>
        <w:pStyle w:val="Normln-web"/>
        <w:spacing w:before="0" w:line="276" w:lineRule="auto"/>
        <w:rPr>
          <w:sz w:val="20"/>
          <w:szCs w:val="20"/>
        </w:rPr>
      </w:pPr>
    </w:p>
    <w:tbl>
      <w:tblPr>
        <w:tblW w:w="8360" w:type="dxa"/>
        <w:jc w:val="center"/>
        <w:tblInd w:w="55" w:type="dxa"/>
        <w:tblCellMar>
          <w:left w:w="70" w:type="dxa"/>
          <w:right w:w="70" w:type="dxa"/>
        </w:tblCellMar>
        <w:tblLook w:val="04A0"/>
      </w:tblPr>
      <w:tblGrid>
        <w:gridCol w:w="940"/>
        <w:gridCol w:w="820"/>
        <w:gridCol w:w="1000"/>
        <w:gridCol w:w="1000"/>
        <w:gridCol w:w="1000"/>
        <w:gridCol w:w="840"/>
        <w:gridCol w:w="960"/>
        <w:gridCol w:w="960"/>
        <w:gridCol w:w="840"/>
      </w:tblGrid>
      <w:tr w:rsidR="009B32DE" w:rsidRPr="009B32DE" w:rsidTr="009B32DE">
        <w:trPr>
          <w:trHeight w:val="255"/>
          <w:jc w:val="center"/>
        </w:trPr>
        <w:tc>
          <w:tcPr>
            <w:tcW w:w="8360" w:type="dxa"/>
            <w:gridSpan w:val="9"/>
            <w:tcBorders>
              <w:top w:val="nil"/>
              <w:left w:val="nil"/>
              <w:bottom w:val="single" w:sz="4" w:space="0" w:color="auto"/>
              <w:right w:val="nil"/>
            </w:tcBorders>
            <w:shd w:val="clear" w:color="auto" w:fill="auto"/>
            <w:vAlign w:val="bottom"/>
            <w:hideMark/>
          </w:tcPr>
          <w:p w:rsidR="00904EA7" w:rsidRDefault="00760C72" w:rsidP="009B32DE">
            <w:pPr>
              <w:suppressAutoHyphens w:val="0"/>
              <w:rPr>
                <w:rFonts w:cs="Arial"/>
                <w:b/>
                <w:bCs/>
                <w:noProof w:val="0"/>
                <w:color w:val="000000"/>
                <w:sz w:val="20"/>
                <w:szCs w:val="20"/>
                <w:lang w:eastAsia="cs-CZ"/>
              </w:rPr>
            </w:pPr>
            <w:r>
              <w:rPr>
                <w:rFonts w:cs="Arial"/>
                <w:b/>
                <w:bCs/>
                <w:sz w:val="20"/>
                <w:szCs w:val="20"/>
              </w:rPr>
              <w:t xml:space="preserve">Tab. č. 13 </w:t>
            </w:r>
            <w:r w:rsidR="009B32DE" w:rsidRPr="009B32DE">
              <w:rPr>
                <w:rFonts w:cs="Arial"/>
                <w:b/>
                <w:bCs/>
                <w:noProof w:val="0"/>
                <w:color w:val="000000"/>
                <w:sz w:val="20"/>
                <w:szCs w:val="20"/>
                <w:lang w:eastAsia="cs-CZ"/>
              </w:rPr>
              <w:t>Osoby bydlící mimo byty v domech podle věku a typu domácnosti</w:t>
            </w:r>
            <w:r w:rsidR="00904EA7">
              <w:rPr>
                <w:rFonts w:cs="Arial"/>
                <w:b/>
                <w:bCs/>
                <w:noProof w:val="0"/>
                <w:color w:val="000000"/>
                <w:sz w:val="20"/>
                <w:szCs w:val="20"/>
                <w:lang w:eastAsia="cs-CZ"/>
              </w:rPr>
              <w:t xml:space="preserve"> </w:t>
            </w:r>
          </w:p>
          <w:p w:rsidR="009B32DE" w:rsidRPr="009B32DE" w:rsidRDefault="00904EA7" w:rsidP="004C4847">
            <w:pPr>
              <w:suppressAutoHyphens w:val="0"/>
              <w:rPr>
                <w:rFonts w:cs="Arial"/>
                <w:b/>
                <w:bCs/>
                <w:noProof w:val="0"/>
                <w:color w:val="000000"/>
                <w:sz w:val="20"/>
                <w:szCs w:val="20"/>
                <w:lang w:eastAsia="cs-CZ"/>
              </w:rPr>
            </w:pPr>
            <w:r>
              <w:rPr>
                <w:rFonts w:cs="Arial"/>
                <w:b/>
                <w:bCs/>
                <w:noProof w:val="0"/>
                <w:color w:val="000000"/>
                <w:sz w:val="20"/>
                <w:szCs w:val="20"/>
                <w:lang w:eastAsia="cs-CZ"/>
              </w:rPr>
              <w:t>k 26. 3. 2011</w:t>
            </w:r>
            <w:r w:rsidR="009B32DE" w:rsidRPr="009B32DE">
              <w:rPr>
                <w:rFonts w:cs="Arial"/>
                <w:b/>
                <w:bCs/>
                <w:noProof w:val="0"/>
                <w:color w:val="000000"/>
                <w:sz w:val="20"/>
                <w:szCs w:val="20"/>
                <w:lang w:eastAsia="cs-CZ"/>
              </w:rPr>
              <w:t xml:space="preserve"> (podíly v %)</w:t>
            </w:r>
          </w:p>
        </w:tc>
      </w:tr>
      <w:tr w:rsidR="009B32DE" w:rsidRPr="009B32DE" w:rsidTr="009B32DE">
        <w:trPr>
          <w:trHeight w:val="240"/>
          <w:jc w:val="center"/>
        </w:trPr>
        <w:tc>
          <w:tcPr>
            <w:tcW w:w="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proofErr w:type="gramStart"/>
            <w:r w:rsidRPr="009B32DE">
              <w:rPr>
                <w:rFonts w:cs="Arial"/>
                <w:noProof w:val="0"/>
                <w:color w:val="000000"/>
                <w:sz w:val="18"/>
                <w:szCs w:val="18"/>
                <w:lang w:eastAsia="cs-CZ"/>
              </w:rPr>
              <w:t xml:space="preserve">Osoby </w:t>
            </w:r>
            <w:r w:rsidRPr="009B32DE">
              <w:rPr>
                <w:rFonts w:cs="Arial"/>
                <w:noProof w:val="0"/>
                <w:color w:val="000000"/>
                <w:sz w:val="18"/>
                <w:szCs w:val="18"/>
                <w:lang w:eastAsia="cs-CZ"/>
              </w:rPr>
              <w:br/>
              <w:t>v dom</w:t>
            </w:r>
            <w:proofErr w:type="gramEnd"/>
            <w:r w:rsidRPr="009B32DE">
              <w:rPr>
                <w:rFonts w:cs="Arial"/>
                <w:noProof w:val="0"/>
                <w:color w:val="000000"/>
                <w:sz w:val="18"/>
                <w:szCs w:val="18"/>
                <w:lang w:eastAsia="cs-CZ"/>
              </w:rPr>
              <w:t>.  celkem</w:t>
            </w:r>
          </w:p>
        </w:tc>
        <w:tc>
          <w:tcPr>
            <w:tcW w:w="3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typ domácnosti</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proofErr w:type="gramStart"/>
            <w:r w:rsidRPr="009B32DE">
              <w:rPr>
                <w:rFonts w:cs="Arial"/>
                <w:noProof w:val="0"/>
                <w:color w:val="000000"/>
                <w:sz w:val="18"/>
                <w:szCs w:val="18"/>
                <w:lang w:eastAsia="cs-CZ"/>
              </w:rPr>
              <w:t xml:space="preserve">Osoby </w:t>
            </w:r>
            <w:r w:rsidRPr="009B32DE">
              <w:rPr>
                <w:rFonts w:cs="Arial"/>
                <w:noProof w:val="0"/>
                <w:color w:val="000000"/>
                <w:sz w:val="18"/>
                <w:szCs w:val="18"/>
                <w:lang w:eastAsia="cs-CZ"/>
              </w:rPr>
              <w:br/>
              <w:t>v dom</w:t>
            </w:r>
            <w:proofErr w:type="gramEnd"/>
            <w:r w:rsidRPr="009B32DE">
              <w:rPr>
                <w:rFonts w:cs="Arial"/>
                <w:noProof w:val="0"/>
                <w:color w:val="000000"/>
                <w:sz w:val="18"/>
                <w:szCs w:val="18"/>
                <w:lang w:eastAsia="cs-CZ"/>
              </w:rPr>
              <w:t>.  celkem</w:t>
            </w:r>
          </w:p>
        </w:tc>
        <w:tc>
          <w:tcPr>
            <w:tcW w:w="2760" w:type="dxa"/>
            <w:gridSpan w:val="3"/>
            <w:tcBorders>
              <w:top w:val="single" w:sz="4" w:space="0" w:color="auto"/>
              <w:left w:val="nil"/>
              <w:bottom w:val="single" w:sz="4" w:space="0" w:color="auto"/>
              <w:right w:val="single" w:sz="4" w:space="0" w:color="auto"/>
            </w:tcBorders>
            <w:shd w:val="clear" w:color="auto" w:fill="auto"/>
            <w:noWrap/>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typ domácnosti</w:t>
            </w:r>
          </w:p>
        </w:tc>
      </w:tr>
      <w:tr w:rsidR="009B32DE" w:rsidRPr="009B32DE" w:rsidTr="009B32DE">
        <w:trPr>
          <w:trHeight w:val="480"/>
          <w:jc w:val="center"/>
        </w:trPr>
        <w:tc>
          <w:tcPr>
            <w:tcW w:w="940" w:type="dxa"/>
            <w:vMerge/>
            <w:tcBorders>
              <w:top w:val="nil"/>
              <w:left w:val="single" w:sz="4" w:space="0" w:color="auto"/>
              <w:bottom w:val="single" w:sz="4" w:space="0" w:color="auto"/>
              <w:right w:val="single" w:sz="4" w:space="0" w:color="auto"/>
            </w:tcBorders>
            <w:vAlign w:val="center"/>
            <w:hideMark/>
          </w:tcPr>
          <w:p w:rsidR="009B32DE" w:rsidRPr="009B32DE" w:rsidRDefault="009B32DE" w:rsidP="009B32DE">
            <w:pPr>
              <w:suppressAutoHyphens w:val="0"/>
              <w:rPr>
                <w:rFonts w:cs="Arial"/>
                <w:noProof w:val="0"/>
                <w:color w:val="000000"/>
                <w:sz w:val="18"/>
                <w:szCs w:val="18"/>
                <w:lang w:eastAsia="cs-CZ"/>
              </w:rPr>
            </w:pPr>
          </w:p>
        </w:tc>
        <w:tc>
          <w:tcPr>
            <w:tcW w:w="820" w:type="dxa"/>
            <w:vMerge/>
            <w:tcBorders>
              <w:top w:val="nil"/>
              <w:left w:val="single" w:sz="4" w:space="0" w:color="auto"/>
              <w:bottom w:val="single" w:sz="4" w:space="0" w:color="auto"/>
              <w:right w:val="single" w:sz="4" w:space="0" w:color="auto"/>
            </w:tcBorders>
            <w:vAlign w:val="center"/>
            <w:hideMark/>
          </w:tcPr>
          <w:p w:rsidR="009B32DE" w:rsidRPr="009B32DE" w:rsidRDefault="009B32DE" w:rsidP="009B32DE">
            <w:pPr>
              <w:suppressAutoHyphens w:val="0"/>
              <w:rPr>
                <w:rFonts w:cs="Arial"/>
                <w:noProof w:val="0"/>
                <w:color w:val="000000"/>
                <w:sz w:val="18"/>
                <w:szCs w:val="18"/>
                <w:lang w:eastAsia="cs-CZ"/>
              </w:rPr>
            </w:pPr>
          </w:p>
        </w:tc>
        <w:tc>
          <w:tcPr>
            <w:tcW w:w="1000" w:type="dxa"/>
            <w:tcBorders>
              <w:top w:val="nil"/>
              <w:left w:val="nil"/>
              <w:bottom w:val="single" w:sz="4" w:space="0" w:color="auto"/>
              <w:right w:val="single" w:sz="4" w:space="0" w:color="auto"/>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jednotlivci</w:t>
            </w:r>
          </w:p>
        </w:tc>
        <w:tc>
          <w:tcPr>
            <w:tcW w:w="1000" w:type="dxa"/>
            <w:tcBorders>
              <w:top w:val="nil"/>
              <w:left w:val="nil"/>
              <w:bottom w:val="single" w:sz="4" w:space="0" w:color="auto"/>
              <w:right w:val="single" w:sz="4" w:space="0" w:color="auto"/>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nerodinné dom.</w:t>
            </w:r>
          </w:p>
        </w:tc>
        <w:tc>
          <w:tcPr>
            <w:tcW w:w="1000" w:type="dxa"/>
            <w:tcBorders>
              <w:top w:val="nil"/>
              <w:left w:val="nil"/>
              <w:bottom w:val="single" w:sz="4" w:space="0" w:color="auto"/>
              <w:right w:val="nil"/>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rodinné dom.</w:t>
            </w:r>
          </w:p>
        </w:tc>
        <w:tc>
          <w:tcPr>
            <w:tcW w:w="840" w:type="dxa"/>
            <w:vMerge/>
            <w:tcBorders>
              <w:top w:val="nil"/>
              <w:left w:val="single" w:sz="4" w:space="0" w:color="auto"/>
              <w:bottom w:val="single" w:sz="4" w:space="0" w:color="auto"/>
              <w:right w:val="single" w:sz="4" w:space="0" w:color="auto"/>
            </w:tcBorders>
            <w:vAlign w:val="center"/>
            <w:hideMark/>
          </w:tcPr>
          <w:p w:rsidR="009B32DE" w:rsidRPr="009B32DE" w:rsidRDefault="009B32DE" w:rsidP="009B32DE">
            <w:pPr>
              <w:suppressAutoHyphens w:val="0"/>
              <w:rPr>
                <w:rFonts w:cs="Arial"/>
                <w:noProof w:val="0"/>
                <w:color w:val="000000"/>
                <w:sz w:val="18"/>
                <w:szCs w:val="18"/>
                <w:lang w:eastAsia="cs-CZ"/>
              </w:rPr>
            </w:pPr>
          </w:p>
        </w:tc>
        <w:tc>
          <w:tcPr>
            <w:tcW w:w="960" w:type="dxa"/>
            <w:tcBorders>
              <w:top w:val="nil"/>
              <w:left w:val="nil"/>
              <w:bottom w:val="single" w:sz="4" w:space="0" w:color="auto"/>
              <w:right w:val="single" w:sz="4" w:space="0" w:color="auto"/>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jednotlivci</w:t>
            </w:r>
          </w:p>
        </w:tc>
        <w:tc>
          <w:tcPr>
            <w:tcW w:w="960" w:type="dxa"/>
            <w:tcBorders>
              <w:top w:val="nil"/>
              <w:left w:val="nil"/>
              <w:bottom w:val="single" w:sz="4" w:space="0" w:color="auto"/>
              <w:right w:val="single" w:sz="4" w:space="0" w:color="auto"/>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nerodinné dom.</w:t>
            </w:r>
          </w:p>
        </w:tc>
        <w:tc>
          <w:tcPr>
            <w:tcW w:w="840" w:type="dxa"/>
            <w:tcBorders>
              <w:top w:val="nil"/>
              <w:left w:val="nil"/>
              <w:bottom w:val="single" w:sz="4" w:space="0" w:color="auto"/>
              <w:right w:val="single" w:sz="4" w:space="0" w:color="auto"/>
            </w:tcBorders>
            <w:shd w:val="clear" w:color="auto" w:fill="auto"/>
            <w:vAlign w:val="center"/>
            <w:hideMark/>
          </w:tcPr>
          <w:p w:rsidR="009B32DE" w:rsidRPr="009B32DE" w:rsidRDefault="009B32DE" w:rsidP="009B32DE">
            <w:pPr>
              <w:suppressAutoHyphens w:val="0"/>
              <w:jc w:val="center"/>
              <w:rPr>
                <w:rFonts w:cs="Arial"/>
                <w:noProof w:val="0"/>
                <w:color w:val="000000"/>
                <w:sz w:val="18"/>
                <w:szCs w:val="18"/>
                <w:lang w:eastAsia="cs-CZ"/>
              </w:rPr>
            </w:pPr>
            <w:r w:rsidRPr="009B32DE">
              <w:rPr>
                <w:rFonts w:cs="Arial"/>
                <w:noProof w:val="0"/>
                <w:color w:val="000000"/>
                <w:sz w:val="18"/>
                <w:szCs w:val="18"/>
                <w:lang w:eastAsia="cs-CZ"/>
              </w:rPr>
              <w:t>rodinné dom.</w:t>
            </w:r>
          </w:p>
        </w:tc>
      </w:tr>
      <w:tr w:rsidR="009B32DE" w:rsidRPr="009B32DE" w:rsidTr="009B32DE">
        <w:trPr>
          <w:trHeight w:val="480"/>
          <w:jc w:val="center"/>
        </w:trPr>
        <w:tc>
          <w:tcPr>
            <w:tcW w:w="940" w:type="dxa"/>
            <w:tcBorders>
              <w:top w:val="nil"/>
              <w:left w:val="single" w:sz="4" w:space="0" w:color="auto"/>
              <w:bottom w:val="nil"/>
              <w:right w:val="single" w:sz="4" w:space="0" w:color="auto"/>
            </w:tcBorders>
            <w:shd w:val="clear" w:color="auto" w:fill="auto"/>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Osoby celkem</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49,5</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30,0</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20,5</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0-14</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5,9</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3A060A" w:rsidP="003A060A">
            <w:pPr>
              <w:suppressAutoHyphens w:val="0"/>
              <w:jc w:val="right"/>
              <w:rPr>
                <w:rFonts w:cs="Arial"/>
                <w:noProof w:val="0"/>
                <w:color w:val="000000"/>
                <w:sz w:val="18"/>
                <w:szCs w:val="18"/>
                <w:lang w:eastAsia="cs-CZ"/>
              </w:rPr>
            </w:pPr>
            <w:r>
              <w:rPr>
                <w:rFonts w:cs="Arial"/>
                <w:noProof w:val="0"/>
                <w:color w:val="000000"/>
                <w:sz w:val="18"/>
                <w:szCs w:val="18"/>
                <w:lang w:eastAsia="cs-CZ"/>
              </w:rPr>
              <w:t>x</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3A060A">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4,1</w:t>
            </w:r>
          </w:p>
        </w:tc>
        <w:tc>
          <w:tcPr>
            <w:tcW w:w="1000" w:type="dxa"/>
            <w:tcBorders>
              <w:top w:val="nil"/>
              <w:left w:val="nil"/>
              <w:bottom w:val="nil"/>
              <w:right w:val="nil"/>
            </w:tcBorders>
            <w:shd w:val="clear" w:color="auto" w:fill="auto"/>
            <w:noWrap/>
            <w:vAlign w:val="bottom"/>
            <w:hideMark/>
          </w:tcPr>
          <w:p w:rsidR="009B32DE" w:rsidRPr="009B32DE" w:rsidRDefault="009B32DE" w:rsidP="003A060A">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22,9</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3A060A">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3A060A" w:rsidP="003A060A">
            <w:pPr>
              <w:suppressAutoHyphens w:val="0"/>
              <w:jc w:val="right"/>
              <w:rPr>
                <w:rFonts w:cs="Arial"/>
                <w:noProof w:val="0"/>
                <w:color w:val="000000"/>
                <w:sz w:val="18"/>
                <w:szCs w:val="18"/>
                <w:lang w:eastAsia="cs-CZ"/>
              </w:rPr>
            </w:pPr>
            <w:r>
              <w:rPr>
                <w:rFonts w:cs="Arial"/>
                <w:noProof w:val="0"/>
                <w:color w:val="000000"/>
                <w:sz w:val="18"/>
                <w:szCs w:val="18"/>
                <w:lang w:eastAsia="cs-CZ"/>
              </w:rPr>
              <w:t>x</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20,7</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79,3</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15-19</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4,4</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3,7</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3,8</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7,0</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41,5</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25,8</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32,7</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20-29</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23,1</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25,4</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25,5</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14,2</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54,4</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33,0</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12,6</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30-39</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22,6</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23,8</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23,5</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18,3</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52,1</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31,3</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16,6</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40-49</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17,5</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18,3</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18,0</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14,7</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51,8</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30,9</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17,3</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50-59</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12,7</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12,8</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13,7</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11,2</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49,7</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32,2</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18,1</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60-64</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4,0</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4,2</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3,4</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4,5</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51,4</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25,5</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23,1</w:t>
            </w:r>
          </w:p>
        </w:tc>
      </w:tr>
      <w:tr w:rsidR="009B32DE" w:rsidRPr="009B32DE" w:rsidTr="009B32DE">
        <w:trPr>
          <w:trHeight w:val="240"/>
          <w:jc w:val="center"/>
        </w:trPr>
        <w:tc>
          <w:tcPr>
            <w:tcW w:w="9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r w:rsidRPr="009B32DE">
              <w:rPr>
                <w:rFonts w:cs="Arial"/>
                <w:noProof w:val="0"/>
                <w:color w:val="000000"/>
                <w:sz w:val="18"/>
                <w:szCs w:val="18"/>
                <w:lang w:eastAsia="cs-CZ"/>
              </w:rPr>
              <w:t>65+</w:t>
            </w:r>
          </w:p>
        </w:tc>
        <w:tc>
          <w:tcPr>
            <w:tcW w:w="82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6,3</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5,9</w:t>
            </w:r>
          </w:p>
        </w:tc>
        <w:tc>
          <w:tcPr>
            <w:tcW w:w="100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6,4</w:t>
            </w:r>
          </w:p>
        </w:tc>
        <w:tc>
          <w:tcPr>
            <w:tcW w:w="1000" w:type="dxa"/>
            <w:tcBorders>
              <w:top w:val="nil"/>
              <w:left w:val="nil"/>
              <w:bottom w:val="nil"/>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7,0</w:t>
            </w:r>
          </w:p>
        </w:tc>
        <w:tc>
          <w:tcPr>
            <w:tcW w:w="840" w:type="dxa"/>
            <w:tcBorders>
              <w:top w:val="nil"/>
              <w:left w:val="single" w:sz="4" w:space="0" w:color="auto"/>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46,5</w:t>
            </w:r>
          </w:p>
        </w:tc>
        <w:tc>
          <w:tcPr>
            <w:tcW w:w="96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30,7</w:t>
            </w:r>
          </w:p>
        </w:tc>
        <w:tc>
          <w:tcPr>
            <w:tcW w:w="840" w:type="dxa"/>
            <w:tcBorders>
              <w:top w:val="nil"/>
              <w:left w:val="nil"/>
              <w:bottom w:val="nil"/>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22,8</w:t>
            </w:r>
          </w:p>
        </w:tc>
      </w:tr>
      <w:tr w:rsidR="009B32DE" w:rsidRPr="009B32DE" w:rsidTr="009B32DE">
        <w:trPr>
          <w:trHeight w:val="24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rPr>
                <w:rFonts w:cs="Arial"/>
                <w:noProof w:val="0"/>
                <w:color w:val="000000"/>
                <w:sz w:val="18"/>
                <w:szCs w:val="18"/>
                <w:lang w:eastAsia="cs-CZ"/>
              </w:rPr>
            </w:pPr>
            <w:proofErr w:type="spellStart"/>
            <w:r w:rsidRPr="009B32DE">
              <w:rPr>
                <w:rFonts w:cs="Arial"/>
                <w:noProof w:val="0"/>
                <w:color w:val="000000"/>
                <w:sz w:val="18"/>
                <w:szCs w:val="18"/>
                <w:lang w:eastAsia="cs-CZ"/>
              </w:rPr>
              <w:t>nezj</w:t>
            </w:r>
            <w:proofErr w:type="spellEnd"/>
            <w:r w:rsidRPr="009B32DE">
              <w:rPr>
                <w:rFonts w:cs="Arial"/>
                <w:noProof w:val="0"/>
                <w:color w:val="000000"/>
                <w:sz w:val="18"/>
                <w:szCs w:val="18"/>
                <w:lang w:eastAsia="cs-CZ"/>
              </w:rPr>
              <w:t>.</w:t>
            </w:r>
          </w:p>
        </w:tc>
        <w:tc>
          <w:tcPr>
            <w:tcW w:w="820" w:type="dxa"/>
            <w:tcBorders>
              <w:top w:val="nil"/>
              <w:left w:val="nil"/>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3,4</w:t>
            </w:r>
          </w:p>
        </w:tc>
        <w:tc>
          <w:tcPr>
            <w:tcW w:w="1000" w:type="dxa"/>
            <w:tcBorders>
              <w:top w:val="nil"/>
              <w:left w:val="nil"/>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6,0</w:t>
            </w:r>
          </w:p>
        </w:tc>
        <w:tc>
          <w:tcPr>
            <w:tcW w:w="1000" w:type="dxa"/>
            <w:tcBorders>
              <w:top w:val="nil"/>
              <w:left w:val="nil"/>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1,5</w:t>
            </w:r>
          </w:p>
        </w:tc>
        <w:tc>
          <w:tcPr>
            <w:tcW w:w="1000" w:type="dxa"/>
            <w:tcBorders>
              <w:top w:val="nil"/>
              <w:left w:val="nil"/>
              <w:bottom w:val="single" w:sz="4" w:space="0" w:color="auto"/>
              <w:right w:val="nil"/>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0,0</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86,4</w:t>
            </w:r>
          </w:p>
        </w:tc>
        <w:tc>
          <w:tcPr>
            <w:tcW w:w="960" w:type="dxa"/>
            <w:tcBorders>
              <w:top w:val="nil"/>
              <w:left w:val="nil"/>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13,6</w:t>
            </w:r>
          </w:p>
        </w:tc>
        <w:tc>
          <w:tcPr>
            <w:tcW w:w="840" w:type="dxa"/>
            <w:tcBorders>
              <w:top w:val="nil"/>
              <w:left w:val="nil"/>
              <w:bottom w:val="single" w:sz="4" w:space="0" w:color="auto"/>
              <w:right w:val="single" w:sz="4" w:space="0" w:color="auto"/>
            </w:tcBorders>
            <w:shd w:val="clear" w:color="auto" w:fill="auto"/>
            <w:noWrap/>
            <w:vAlign w:val="bottom"/>
            <w:hideMark/>
          </w:tcPr>
          <w:p w:rsidR="009B32DE" w:rsidRPr="009B32DE" w:rsidRDefault="009B32DE" w:rsidP="009B32DE">
            <w:pPr>
              <w:suppressAutoHyphens w:val="0"/>
              <w:jc w:val="right"/>
              <w:rPr>
                <w:rFonts w:cs="Arial"/>
                <w:noProof w:val="0"/>
                <w:color w:val="000000"/>
                <w:sz w:val="18"/>
                <w:szCs w:val="18"/>
                <w:lang w:eastAsia="cs-CZ"/>
              </w:rPr>
            </w:pPr>
            <w:r w:rsidRPr="009B32DE">
              <w:rPr>
                <w:rFonts w:cs="Arial"/>
                <w:noProof w:val="0"/>
                <w:color w:val="000000"/>
                <w:sz w:val="18"/>
                <w:szCs w:val="18"/>
                <w:lang w:eastAsia="cs-CZ"/>
              </w:rPr>
              <w:t>0,0</w:t>
            </w:r>
          </w:p>
        </w:tc>
      </w:tr>
    </w:tbl>
    <w:p w:rsidR="009B32DE" w:rsidRDefault="009B32DE" w:rsidP="002B2884">
      <w:pPr>
        <w:pStyle w:val="Normln-web"/>
        <w:spacing w:before="0" w:line="276" w:lineRule="auto"/>
        <w:rPr>
          <w:sz w:val="20"/>
          <w:szCs w:val="20"/>
        </w:rPr>
      </w:pPr>
    </w:p>
    <w:p w:rsidR="00640086" w:rsidRDefault="00640086" w:rsidP="002B2884">
      <w:pPr>
        <w:pStyle w:val="Normln-web"/>
        <w:spacing w:before="0" w:line="276" w:lineRule="auto"/>
        <w:rPr>
          <w:sz w:val="20"/>
          <w:szCs w:val="20"/>
        </w:rPr>
      </w:pPr>
    </w:p>
    <w:p w:rsidR="00B258EC" w:rsidRDefault="00B258EC" w:rsidP="002B2884">
      <w:pPr>
        <w:pStyle w:val="Normln-web"/>
        <w:spacing w:before="0" w:line="276" w:lineRule="auto"/>
        <w:rPr>
          <w:sz w:val="20"/>
          <w:szCs w:val="20"/>
        </w:rPr>
      </w:pPr>
      <w:r>
        <w:rPr>
          <w:sz w:val="20"/>
          <w:szCs w:val="20"/>
        </w:rPr>
        <w:lastRenderedPageBreak/>
        <w:t xml:space="preserve">Složení podle druhu domácností bylo velmi atypické. Polovina osob bydlících mimo byty tvořila domácnost jednotlivce a téměř třetina nerodinnou domácnost. Nestandardní struktura podle druhu domácnosti odpovídá nestandardnímu způsobu bydlení, proto je zastoupení osob v rodinných domácnostech extrémně nízké. </w:t>
      </w:r>
    </w:p>
    <w:p w:rsidR="007E61AF" w:rsidRDefault="007E61AF" w:rsidP="002B2884">
      <w:pPr>
        <w:pStyle w:val="Normln-web"/>
        <w:spacing w:before="0" w:line="276" w:lineRule="auto"/>
        <w:rPr>
          <w:sz w:val="20"/>
          <w:szCs w:val="20"/>
        </w:rPr>
      </w:pPr>
    </w:p>
    <w:p w:rsidR="00627A32" w:rsidRDefault="0091209F" w:rsidP="002B2884">
      <w:pPr>
        <w:pStyle w:val="Normln-web"/>
        <w:spacing w:before="0" w:line="276" w:lineRule="auto"/>
        <w:rPr>
          <w:sz w:val="20"/>
          <w:szCs w:val="20"/>
        </w:rPr>
      </w:pPr>
      <w:r>
        <w:rPr>
          <w:sz w:val="20"/>
          <w:szCs w:val="20"/>
        </w:rPr>
        <w:t xml:space="preserve">Zhruba </w:t>
      </w:r>
      <w:r w:rsidR="00627A32">
        <w:rPr>
          <w:sz w:val="20"/>
          <w:szCs w:val="20"/>
        </w:rPr>
        <w:t>třetina osob mimo byty byla pracující, ale u téměř stejného podílu osob (31 %) zůstala ekonomická aktivita nezjištěna.</w:t>
      </w:r>
    </w:p>
    <w:p w:rsidR="0091209F" w:rsidRDefault="0091209F" w:rsidP="0091209F">
      <w:pPr>
        <w:pStyle w:val="Normln-web"/>
        <w:spacing w:before="0" w:line="276" w:lineRule="auto"/>
        <w:rPr>
          <w:sz w:val="20"/>
          <w:szCs w:val="20"/>
        </w:rPr>
      </w:pPr>
    </w:p>
    <w:p w:rsidR="0091209F" w:rsidRDefault="0091209F" w:rsidP="0091209F">
      <w:pPr>
        <w:pStyle w:val="Normln-web"/>
        <w:spacing w:before="0" w:line="276" w:lineRule="auto"/>
        <w:rPr>
          <w:sz w:val="20"/>
          <w:szCs w:val="20"/>
        </w:rPr>
      </w:pPr>
      <w:r>
        <w:rPr>
          <w:sz w:val="20"/>
          <w:szCs w:val="20"/>
        </w:rPr>
        <w:t xml:space="preserve">Více jak polovina osob mimo byty v domech (55 %) měla na téže adrese kromě obvyklého pobytu i pobyt trvalý. </w:t>
      </w:r>
    </w:p>
    <w:p w:rsidR="00586100" w:rsidRDefault="00586100" w:rsidP="002B2884">
      <w:pPr>
        <w:pStyle w:val="Normln-web"/>
        <w:spacing w:before="0" w:line="276" w:lineRule="auto"/>
        <w:rPr>
          <w:sz w:val="20"/>
          <w:szCs w:val="20"/>
        </w:rPr>
      </w:pPr>
    </w:p>
    <w:p w:rsidR="00586100" w:rsidRDefault="00586100">
      <w:pPr>
        <w:suppressAutoHyphens w:val="0"/>
        <w:rPr>
          <w:b/>
          <w:sz w:val="20"/>
          <w:szCs w:val="20"/>
          <w:lang w:eastAsia="cs-CZ"/>
        </w:rPr>
      </w:pPr>
    </w:p>
    <w:p w:rsidR="009B266B" w:rsidRPr="00A4116D" w:rsidRDefault="00586100" w:rsidP="009B266B">
      <w:pPr>
        <w:pStyle w:val="Normln-web"/>
        <w:spacing w:before="0" w:line="276" w:lineRule="auto"/>
        <w:rPr>
          <w:b/>
          <w:sz w:val="22"/>
          <w:szCs w:val="22"/>
        </w:rPr>
      </w:pPr>
      <w:r w:rsidRPr="00A4116D">
        <w:rPr>
          <w:b/>
          <w:sz w:val="22"/>
          <w:szCs w:val="22"/>
        </w:rPr>
        <w:t>5.3</w:t>
      </w:r>
      <w:r w:rsidRPr="00A4116D">
        <w:rPr>
          <w:b/>
          <w:sz w:val="22"/>
          <w:szCs w:val="22"/>
        </w:rPr>
        <w:tab/>
      </w:r>
      <w:r w:rsidR="009B266B" w:rsidRPr="00A4116D">
        <w:rPr>
          <w:b/>
          <w:sz w:val="22"/>
          <w:szCs w:val="22"/>
        </w:rPr>
        <w:t xml:space="preserve">Osoby </w:t>
      </w:r>
      <w:r w:rsidR="009F0BD8" w:rsidRPr="00A4116D">
        <w:rPr>
          <w:b/>
          <w:sz w:val="22"/>
          <w:szCs w:val="22"/>
        </w:rPr>
        <w:t>bydlící</w:t>
      </w:r>
      <w:r w:rsidR="009B266B" w:rsidRPr="00A4116D">
        <w:rPr>
          <w:b/>
          <w:sz w:val="22"/>
          <w:szCs w:val="22"/>
        </w:rPr>
        <w:t xml:space="preserve"> v nouzových objektech vč. mobilních</w:t>
      </w:r>
    </w:p>
    <w:p w:rsidR="00370F79" w:rsidRDefault="009B266B" w:rsidP="009B266B">
      <w:pPr>
        <w:pStyle w:val="Normln-web"/>
        <w:spacing w:before="0" w:line="276" w:lineRule="auto"/>
        <w:rPr>
          <w:sz w:val="20"/>
          <w:szCs w:val="20"/>
        </w:rPr>
      </w:pPr>
      <w:r>
        <w:rPr>
          <w:sz w:val="20"/>
          <w:szCs w:val="20"/>
        </w:rPr>
        <w:t xml:space="preserve">V nouzových objektech </w:t>
      </w:r>
      <w:r w:rsidR="00627A32">
        <w:rPr>
          <w:sz w:val="20"/>
          <w:szCs w:val="20"/>
        </w:rPr>
        <w:t>mělo obvyklé bydliště</w:t>
      </w:r>
      <w:r>
        <w:rPr>
          <w:sz w:val="20"/>
          <w:szCs w:val="20"/>
        </w:rPr>
        <w:t xml:space="preserve"> </w:t>
      </w:r>
      <w:r w:rsidR="000D57B9">
        <w:rPr>
          <w:sz w:val="20"/>
          <w:szCs w:val="20"/>
        </w:rPr>
        <w:t>k 26.</w:t>
      </w:r>
      <w:r w:rsidR="00A4116D">
        <w:rPr>
          <w:sz w:val="20"/>
          <w:szCs w:val="20"/>
        </w:rPr>
        <w:t xml:space="preserve"> </w:t>
      </w:r>
      <w:r w:rsidR="000D57B9">
        <w:rPr>
          <w:sz w:val="20"/>
          <w:szCs w:val="20"/>
        </w:rPr>
        <w:t>3.</w:t>
      </w:r>
      <w:r w:rsidR="00A4116D">
        <w:rPr>
          <w:sz w:val="20"/>
          <w:szCs w:val="20"/>
        </w:rPr>
        <w:t xml:space="preserve"> </w:t>
      </w:r>
      <w:r w:rsidR="000D57B9">
        <w:rPr>
          <w:sz w:val="20"/>
          <w:szCs w:val="20"/>
        </w:rPr>
        <w:t xml:space="preserve">2011 </w:t>
      </w:r>
      <w:r>
        <w:rPr>
          <w:sz w:val="20"/>
          <w:szCs w:val="20"/>
        </w:rPr>
        <w:t>celkem</w:t>
      </w:r>
      <w:r w:rsidR="000C0514">
        <w:rPr>
          <w:sz w:val="20"/>
          <w:szCs w:val="20"/>
        </w:rPr>
        <w:t xml:space="preserve"> </w:t>
      </w:r>
      <w:r w:rsidR="000D57B9">
        <w:rPr>
          <w:sz w:val="20"/>
          <w:szCs w:val="20"/>
        </w:rPr>
        <w:t>17 759 osob</w:t>
      </w:r>
      <w:r w:rsidR="00807764">
        <w:rPr>
          <w:sz w:val="20"/>
          <w:szCs w:val="20"/>
        </w:rPr>
        <w:t xml:space="preserve"> </w:t>
      </w:r>
      <w:r w:rsidR="00640086">
        <w:rPr>
          <w:sz w:val="20"/>
          <w:szCs w:val="20"/>
        </w:rPr>
        <w:t>(16 834 osob v nouzových obydlích a 925 osob v mobilních obydlích).</w:t>
      </w:r>
      <w:r w:rsidR="000D57B9">
        <w:rPr>
          <w:sz w:val="20"/>
          <w:szCs w:val="20"/>
        </w:rPr>
        <w:t xml:space="preserve"> Mezi tzv. nouzové objekty patřily</w:t>
      </w:r>
      <w:r w:rsidR="00807462">
        <w:rPr>
          <w:sz w:val="20"/>
          <w:szCs w:val="20"/>
        </w:rPr>
        <w:t xml:space="preserve"> budovy s nouzovými čísly nebo bez čísla, </w:t>
      </w:r>
      <w:r w:rsidR="000D57B9">
        <w:rPr>
          <w:sz w:val="20"/>
          <w:szCs w:val="20"/>
        </w:rPr>
        <w:t xml:space="preserve">ale i </w:t>
      </w:r>
      <w:r w:rsidR="00807462">
        <w:rPr>
          <w:sz w:val="20"/>
          <w:szCs w:val="20"/>
        </w:rPr>
        <w:t>např.</w:t>
      </w:r>
      <w:r w:rsidR="000D57B9">
        <w:rPr>
          <w:sz w:val="20"/>
          <w:szCs w:val="20"/>
        </w:rPr>
        <w:t xml:space="preserve"> dosud nezkolaudované obytné domy</w:t>
      </w:r>
      <w:r w:rsidR="00807462">
        <w:rPr>
          <w:sz w:val="20"/>
          <w:szCs w:val="20"/>
        </w:rPr>
        <w:t>, kterým číslo popisné nebylo</w:t>
      </w:r>
      <w:r w:rsidR="00370F79">
        <w:rPr>
          <w:sz w:val="20"/>
          <w:szCs w:val="20"/>
        </w:rPr>
        <w:t xml:space="preserve"> k rozhodnému okamžiku sčítání</w:t>
      </w:r>
      <w:r w:rsidR="00A4116D">
        <w:rPr>
          <w:sz w:val="20"/>
          <w:szCs w:val="20"/>
        </w:rPr>
        <w:t xml:space="preserve"> dosud</w:t>
      </w:r>
      <w:r w:rsidR="00807462">
        <w:rPr>
          <w:sz w:val="20"/>
          <w:szCs w:val="20"/>
        </w:rPr>
        <w:t xml:space="preserve"> přiděleno</w:t>
      </w:r>
      <w:r w:rsidR="00370F79">
        <w:rPr>
          <w:sz w:val="20"/>
          <w:szCs w:val="20"/>
        </w:rPr>
        <w:t xml:space="preserve">. Úroveň bydlení této skupiny osob tedy fakticky mohla být značně rozdílná, např. osoby </w:t>
      </w:r>
      <w:r w:rsidR="00807462">
        <w:rPr>
          <w:sz w:val="20"/>
          <w:szCs w:val="20"/>
        </w:rPr>
        <w:t>bydlící</w:t>
      </w:r>
      <w:r w:rsidR="00370F79">
        <w:rPr>
          <w:sz w:val="20"/>
          <w:szCs w:val="20"/>
        </w:rPr>
        <w:t xml:space="preserve"> v nezkolaudovaných domech</w:t>
      </w:r>
      <w:r w:rsidR="00807462">
        <w:rPr>
          <w:sz w:val="20"/>
          <w:szCs w:val="20"/>
        </w:rPr>
        <w:t xml:space="preserve"> </w:t>
      </w:r>
      <w:r w:rsidR="00370F79">
        <w:rPr>
          <w:sz w:val="20"/>
          <w:szCs w:val="20"/>
        </w:rPr>
        <w:t>mohly mít v některých případech</w:t>
      </w:r>
      <w:r w:rsidR="00807462">
        <w:rPr>
          <w:sz w:val="20"/>
          <w:szCs w:val="20"/>
        </w:rPr>
        <w:t xml:space="preserve"> v podstatě standardní</w:t>
      </w:r>
      <w:r w:rsidR="000D57B9">
        <w:rPr>
          <w:sz w:val="20"/>
          <w:szCs w:val="20"/>
        </w:rPr>
        <w:t xml:space="preserve"> způsob bydlení. </w:t>
      </w:r>
      <w:r w:rsidR="00807462">
        <w:rPr>
          <w:sz w:val="20"/>
          <w:szCs w:val="20"/>
        </w:rPr>
        <w:t>Podle metodiky sčítání ale objekt bez čísla popisného není domem určeným k</w:t>
      </w:r>
      <w:r w:rsidR="00370F79">
        <w:rPr>
          <w:sz w:val="20"/>
          <w:szCs w:val="20"/>
        </w:rPr>
        <w:t> </w:t>
      </w:r>
      <w:r w:rsidR="00807462">
        <w:rPr>
          <w:sz w:val="20"/>
          <w:szCs w:val="20"/>
        </w:rPr>
        <w:t>bydlení</w:t>
      </w:r>
      <w:r w:rsidR="00370F79">
        <w:rPr>
          <w:sz w:val="20"/>
          <w:szCs w:val="20"/>
        </w:rPr>
        <w:t xml:space="preserve"> a kvalitativní parametry bydlení se proto nezjišťovaly. </w:t>
      </w:r>
    </w:p>
    <w:p w:rsidR="00586100" w:rsidRDefault="00586100" w:rsidP="009B266B">
      <w:pPr>
        <w:pStyle w:val="Normln-web"/>
        <w:spacing w:before="0" w:line="276" w:lineRule="auto"/>
        <w:rPr>
          <w:sz w:val="20"/>
          <w:szCs w:val="20"/>
        </w:rPr>
      </w:pPr>
    </w:p>
    <w:p w:rsidR="009F0BD8" w:rsidRDefault="009F0BD8" w:rsidP="009B266B">
      <w:pPr>
        <w:pStyle w:val="Normln-web"/>
        <w:spacing w:before="0" w:line="276" w:lineRule="auto"/>
        <w:rPr>
          <w:sz w:val="20"/>
          <w:szCs w:val="20"/>
        </w:rPr>
      </w:pPr>
      <w:r>
        <w:rPr>
          <w:sz w:val="20"/>
          <w:szCs w:val="20"/>
        </w:rPr>
        <w:t xml:space="preserve">Věkové složení osob v nouzových objektech v porovnání se skupinou nouzově bydlících v domech vykázalo </w:t>
      </w:r>
      <w:r w:rsidR="00F92ADE">
        <w:rPr>
          <w:sz w:val="20"/>
          <w:szCs w:val="20"/>
        </w:rPr>
        <w:t>téměř trojnásobný podíl dětí do 14 let</w:t>
      </w:r>
      <w:r w:rsidR="00B258EC">
        <w:rPr>
          <w:sz w:val="20"/>
          <w:szCs w:val="20"/>
        </w:rPr>
        <w:t>. Nejpočetněj</w:t>
      </w:r>
      <w:r w:rsidR="00C73231">
        <w:rPr>
          <w:sz w:val="20"/>
          <w:szCs w:val="20"/>
        </w:rPr>
        <w:t>i zastoupenou</w:t>
      </w:r>
      <w:r w:rsidR="00B258EC">
        <w:rPr>
          <w:sz w:val="20"/>
          <w:szCs w:val="20"/>
        </w:rPr>
        <w:t xml:space="preserve"> věkovou skupinou by</w:t>
      </w:r>
      <w:r w:rsidR="00C73231">
        <w:rPr>
          <w:sz w:val="20"/>
          <w:szCs w:val="20"/>
        </w:rPr>
        <w:t xml:space="preserve">ly osoby ve věku 30-39 let, </w:t>
      </w:r>
      <w:r w:rsidR="00742168">
        <w:rPr>
          <w:sz w:val="20"/>
          <w:szCs w:val="20"/>
        </w:rPr>
        <w:t>s výrazným odstupem následovaly věkové kategorie 40-49 a 20-29</w:t>
      </w:r>
      <w:r w:rsidR="00C73231">
        <w:rPr>
          <w:sz w:val="20"/>
          <w:szCs w:val="20"/>
        </w:rPr>
        <w:t xml:space="preserve">. Osoby </w:t>
      </w:r>
      <w:r w:rsidR="00742168">
        <w:rPr>
          <w:sz w:val="20"/>
          <w:szCs w:val="20"/>
        </w:rPr>
        <w:t>nejpočetnější věkové skupiny</w:t>
      </w:r>
      <w:r w:rsidR="00C73231">
        <w:rPr>
          <w:sz w:val="20"/>
          <w:szCs w:val="20"/>
        </w:rPr>
        <w:t xml:space="preserve"> 30-39 let byly</w:t>
      </w:r>
      <w:r w:rsidR="00742168">
        <w:rPr>
          <w:sz w:val="20"/>
          <w:szCs w:val="20"/>
        </w:rPr>
        <w:t xml:space="preserve"> přitom</w:t>
      </w:r>
      <w:r w:rsidR="00C73231">
        <w:rPr>
          <w:sz w:val="20"/>
          <w:szCs w:val="20"/>
        </w:rPr>
        <w:t xml:space="preserve"> více než z poloviny v rodinných domácnostech.</w:t>
      </w:r>
    </w:p>
    <w:p w:rsidR="00586100" w:rsidRDefault="00586100" w:rsidP="009B266B">
      <w:pPr>
        <w:pStyle w:val="Normln-web"/>
        <w:spacing w:before="0" w:line="276" w:lineRule="auto"/>
        <w:rPr>
          <w:sz w:val="20"/>
          <w:szCs w:val="20"/>
        </w:rPr>
      </w:pPr>
    </w:p>
    <w:tbl>
      <w:tblPr>
        <w:tblW w:w="8360" w:type="dxa"/>
        <w:tblInd w:w="55" w:type="dxa"/>
        <w:tblCellMar>
          <w:left w:w="70" w:type="dxa"/>
          <w:right w:w="70" w:type="dxa"/>
        </w:tblCellMar>
        <w:tblLook w:val="04A0"/>
      </w:tblPr>
      <w:tblGrid>
        <w:gridCol w:w="940"/>
        <w:gridCol w:w="820"/>
        <w:gridCol w:w="1000"/>
        <w:gridCol w:w="1000"/>
        <w:gridCol w:w="1000"/>
        <w:gridCol w:w="840"/>
        <w:gridCol w:w="960"/>
        <w:gridCol w:w="960"/>
        <w:gridCol w:w="840"/>
      </w:tblGrid>
      <w:tr w:rsidR="004C0502" w:rsidRPr="004C0502" w:rsidTr="004C0502">
        <w:trPr>
          <w:trHeight w:val="300"/>
        </w:trPr>
        <w:tc>
          <w:tcPr>
            <w:tcW w:w="8360" w:type="dxa"/>
            <w:gridSpan w:val="9"/>
            <w:tcBorders>
              <w:top w:val="nil"/>
              <w:left w:val="nil"/>
              <w:bottom w:val="single" w:sz="4" w:space="0" w:color="auto"/>
              <w:right w:val="nil"/>
            </w:tcBorders>
            <w:shd w:val="clear" w:color="auto" w:fill="auto"/>
            <w:vAlign w:val="bottom"/>
            <w:hideMark/>
          </w:tcPr>
          <w:p w:rsidR="00760C72" w:rsidRDefault="00760C72" w:rsidP="004C0502">
            <w:pPr>
              <w:suppressAutoHyphens w:val="0"/>
              <w:rPr>
                <w:rFonts w:cs="Arial"/>
                <w:b/>
                <w:bCs/>
                <w:noProof w:val="0"/>
                <w:color w:val="000000"/>
                <w:sz w:val="20"/>
                <w:szCs w:val="20"/>
                <w:lang w:eastAsia="cs-CZ"/>
              </w:rPr>
            </w:pPr>
            <w:r>
              <w:rPr>
                <w:rFonts w:cs="Arial"/>
                <w:b/>
                <w:bCs/>
                <w:sz w:val="20"/>
                <w:szCs w:val="20"/>
              </w:rPr>
              <w:t xml:space="preserve">Tab. č.  14 </w:t>
            </w:r>
            <w:r w:rsidR="004C0502" w:rsidRPr="004C0502">
              <w:rPr>
                <w:rFonts w:cs="Arial"/>
                <w:b/>
                <w:bCs/>
                <w:noProof w:val="0"/>
                <w:color w:val="000000"/>
                <w:sz w:val="20"/>
                <w:szCs w:val="20"/>
                <w:lang w:eastAsia="cs-CZ"/>
              </w:rPr>
              <w:t xml:space="preserve">Osoby bydlící v nouzových objektech podle věku a typu domácnosti </w:t>
            </w:r>
          </w:p>
          <w:p w:rsidR="004C0502" w:rsidRPr="004C0502" w:rsidRDefault="00760C72" w:rsidP="004C0502">
            <w:pPr>
              <w:suppressAutoHyphens w:val="0"/>
              <w:rPr>
                <w:rFonts w:cs="Arial"/>
                <w:b/>
                <w:bCs/>
                <w:noProof w:val="0"/>
                <w:color w:val="000000"/>
                <w:sz w:val="20"/>
                <w:szCs w:val="20"/>
                <w:lang w:eastAsia="cs-CZ"/>
              </w:rPr>
            </w:pPr>
            <w:r>
              <w:rPr>
                <w:rFonts w:cs="Arial"/>
                <w:b/>
                <w:bCs/>
                <w:noProof w:val="0"/>
                <w:color w:val="000000"/>
                <w:sz w:val="20"/>
                <w:szCs w:val="20"/>
                <w:lang w:eastAsia="cs-CZ"/>
              </w:rPr>
              <w:t xml:space="preserve">k 26. 3. 2011 </w:t>
            </w:r>
            <w:r w:rsidR="004C0502" w:rsidRPr="004C0502">
              <w:rPr>
                <w:rFonts w:cs="Arial"/>
                <w:b/>
                <w:bCs/>
                <w:noProof w:val="0"/>
                <w:color w:val="000000"/>
                <w:sz w:val="20"/>
                <w:szCs w:val="20"/>
                <w:lang w:eastAsia="cs-CZ"/>
              </w:rPr>
              <w:t>(podíly v %)</w:t>
            </w:r>
          </w:p>
        </w:tc>
      </w:tr>
      <w:tr w:rsidR="004C0502" w:rsidRPr="004C0502" w:rsidTr="004C0502">
        <w:trPr>
          <w:trHeight w:val="240"/>
        </w:trPr>
        <w:tc>
          <w:tcPr>
            <w:tcW w:w="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proofErr w:type="gramStart"/>
            <w:r w:rsidRPr="004C0502">
              <w:rPr>
                <w:rFonts w:cs="Arial"/>
                <w:noProof w:val="0"/>
                <w:color w:val="000000"/>
                <w:sz w:val="18"/>
                <w:szCs w:val="18"/>
                <w:lang w:eastAsia="cs-CZ"/>
              </w:rPr>
              <w:t xml:space="preserve">Osoby </w:t>
            </w:r>
            <w:r w:rsidRPr="004C0502">
              <w:rPr>
                <w:rFonts w:cs="Arial"/>
                <w:noProof w:val="0"/>
                <w:color w:val="000000"/>
                <w:sz w:val="18"/>
                <w:szCs w:val="18"/>
                <w:lang w:eastAsia="cs-CZ"/>
              </w:rPr>
              <w:br/>
              <w:t>v dom</w:t>
            </w:r>
            <w:proofErr w:type="gramEnd"/>
            <w:r w:rsidRPr="004C0502">
              <w:rPr>
                <w:rFonts w:cs="Arial"/>
                <w:noProof w:val="0"/>
                <w:color w:val="000000"/>
                <w:sz w:val="18"/>
                <w:szCs w:val="18"/>
                <w:lang w:eastAsia="cs-CZ"/>
              </w:rPr>
              <w:t>.  celkem</w:t>
            </w:r>
          </w:p>
        </w:tc>
        <w:tc>
          <w:tcPr>
            <w:tcW w:w="3000" w:type="dxa"/>
            <w:gridSpan w:val="3"/>
            <w:tcBorders>
              <w:top w:val="single" w:sz="4" w:space="0" w:color="auto"/>
              <w:left w:val="nil"/>
              <w:bottom w:val="single" w:sz="4" w:space="0" w:color="auto"/>
              <w:right w:val="single" w:sz="4" w:space="0" w:color="auto"/>
            </w:tcBorders>
            <w:shd w:val="clear" w:color="auto" w:fill="auto"/>
            <w:noWrap/>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typ domácnosti</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proofErr w:type="gramStart"/>
            <w:r w:rsidRPr="004C0502">
              <w:rPr>
                <w:rFonts w:cs="Arial"/>
                <w:noProof w:val="0"/>
                <w:color w:val="000000"/>
                <w:sz w:val="18"/>
                <w:szCs w:val="18"/>
                <w:lang w:eastAsia="cs-CZ"/>
              </w:rPr>
              <w:t xml:space="preserve">Osoby </w:t>
            </w:r>
            <w:r w:rsidRPr="004C0502">
              <w:rPr>
                <w:rFonts w:cs="Arial"/>
                <w:noProof w:val="0"/>
                <w:color w:val="000000"/>
                <w:sz w:val="18"/>
                <w:szCs w:val="18"/>
                <w:lang w:eastAsia="cs-CZ"/>
              </w:rPr>
              <w:br/>
              <w:t>v dom</w:t>
            </w:r>
            <w:proofErr w:type="gramEnd"/>
            <w:r w:rsidRPr="004C0502">
              <w:rPr>
                <w:rFonts w:cs="Arial"/>
                <w:noProof w:val="0"/>
                <w:color w:val="000000"/>
                <w:sz w:val="18"/>
                <w:szCs w:val="18"/>
                <w:lang w:eastAsia="cs-CZ"/>
              </w:rPr>
              <w:t>.  celkem</w:t>
            </w:r>
          </w:p>
        </w:tc>
        <w:tc>
          <w:tcPr>
            <w:tcW w:w="2760" w:type="dxa"/>
            <w:gridSpan w:val="3"/>
            <w:tcBorders>
              <w:top w:val="single" w:sz="4" w:space="0" w:color="auto"/>
              <w:left w:val="nil"/>
              <w:bottom w:val="single" w:sz="4" w:space="0" w:color="auto"/>
              <w:right w:val="single" w:sz="4" w:space="0" w:color="auto"/>
            </w:tcBorders>
            <w:shd w:val="clear" w:color="auto" w:fill="auto"/>
            <w:noWrap/>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typ domácnosti</w:t>
            </w:r>
          </w:p>
        </w:tc>
      </w:tr>
      <w:tr w:rsidR="004C0502" w:rsidRPr="004C0502" w:rsidTr="004C0502">
        <w:trPr>
          <w:trHeight w:val="480"/>
        </w:trPr>
        <w:tc>
          <w:tcPr>
            <w:tcW w:w="940" w:type="dxa"/>
            <w:vMerge/>
            <w:tcBorders>
              <w:top w:val="nil"/>
              <w:left w:val="single" w:sz="4" w:space="0" w:color="auto"/>
              <w:bottom w:val="single" w:sz="4" w:space="0" w:color="auto"/>
              <w:right w:val="single" w:sz="4" w:space="0" w:color="auto"/>
            </w:tcBorders>
            <w:vAlign w:val="center"/>
            <w:hideMark/>
          </w:tcPr>
          <w:p w:rsidR="004C0502" w:rsidRPr="004C0502" w:rsidRDefault="004C0502" w:rsidP="004C0502">
            <w:pPr>
              <w:suppressAutoHyphens w:val="0"/>
              <w:rPr>
                <w:rFonts w:cs="Arial"/>
                <w:noProof w:val="0"/>
                <w:color w:val="000000"/>
                <w:sz w:val="18"/>
                <w:szCs w:val="18"/>
                <w:lang w:eastAsia="cs-CZ"/>
              </w:rPr>
            </w:pPr>
          </w:p>
        </w:tc>
        <w:tc>
          <w:tcPr>
            <w:tcW w:w="820" w:type="dxa"/>
            <w:vMerge/>
            <w:tcBorders>
              <w:top w:val="nil"/>
              <w:left w:val="single" w:sz="4" w:space="0" w:color="auto"/>
              <w:bottom w:val="single" w:sz="4" w:space="0" w:color="auto"/>
              <w:right w:val="single" w:sz="4" w:space="0" w:color="auto"/>
            </w:tcBorders>
            <w:vAlign w:val="center"/>
            <w:hideMark/>
          </w:tcPr>
          <w:p w:rsidR="004C0502" w:rsidRPr="004C0502" w:rsidRDefault="004C0502" w:rsidP="004C0502">
            <w:pPr>
              <w:suppressAutoHyphens w:val="0"/>
              <w:rPr>
                <w:rFonts w:cs="Arial"/>
                <w:noProof w:val="0"/>
                <w:color w:val="000000"/>
                <w:sz w:val="18"/>
                <w:szCs w:val="18"/>
                <w:lang w:eastAsia="cs-CZ"/>
              </w:rPr>
            </w:pPr>
          </w:p>
        </w:tc>
        <w:tc>
          <w:tcPr>
            <w:tcW w:w="1000" w:type="dxa"/>
            <w:tcBorders>
              <w:top w:val="nil"/>
              <w:left w:val="nil"/>
              <w:bottom w:val="single" w:sz="4" w:space="0" w:color="auto"/>
              <w:right w:val="single" w:sz="4" w:space="0" w:color="auto"/>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jednotlivci</w:t>
            </w:r>
          </w:p>
        </w:tc>
        <w:tc>
          <w:tcPr>
            <w:tcW w:w="1000" w:type="dxa"/>
            <w:tcBorders>
              <w:top w:val="nil"/>
              <w:left w:val="nil"/>
              <w:bottom w:val="single" w:sz="4" w:space="0" w:color="auto"/>
              <w:right w:val="single" w:sz="4" w:space="0" w:color="auto"/>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nerodinné dom.</w:t>
            </w:r>
          </w:p>
        </w:tc>
        <w:tc>
          <w:tcPr>
            <w:tcW w:w="1000" w:type="dxa"/>
            <w:tcBorders>
              <w:top w:val="nil"/>
              <w:left w:val="nil"/>
              <w:bottom w:val="single" w:sz="4" w:space="0" w:color="auto"/>
              <w:right w:val="nil"/>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rodinné dom.</w:t>
            </w:r>
          </w:p>
        </w:tc>
        <w:tc>
          <w:tcPr>
            <w:tcW w:w="840" w:type="dxa"/>
            <w:vMerge/>
            <w:tcBorders>
              <w:top w:val="nil"/>
              <w:left w:val="single" w:sz="4" w:space="0" w:color="auto"/>
              <w:bottom w:val="single" w:sz="4" w:space="0" w:color="auto"/>
              <w:right w:val="single" w:sz="4" w:space="0" w:color="auto"/>
            </w:tcBorders>
            <w:vAlign w:val="center"/>
            <w:hideMark/>
          </w:tcPr>
          <w:p w:rsidR="004C0502" w:rsidRPr="004C0502" w:rsidRDefault="004C0502" w:rsidP="004C0502">
            <w:pPr>
              <w:suppressAutoHyphens w:val="0"/>
              <w:rPr>
                <w:rFonts w:cs="Arial"/>
                <w:noProof w:val="0"/>
                <w:color w:val="000000"/>
                <w:sz w:val="18"/>
                <w:szCs w:val="18"/>
                <w:lang w:eastAsia="cs-CZ"/>
              </w:rPr>
            </w:pPr>
          </w:p>
        </w:tc>
        <w:tc>
          <w:tcPr>
            <w:tcW w:w="960" w:type="dxa"/>
            <w:tcBorders>
              <w:top w:val="nil"/>
              <w:left w:val="nil"/>
              <w:bottom w:val="single" w:sz="4" w:space="0" w:color="auto"/>
              <w:right w:val="single" w:sz="4" w:space="0" w:color="auto"/>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jednotlivci</w:t>
            </w:r>
          </w:p>
        </w:tc>
        <w:tc>
          <w:tcPr>
            <w:tcW w:w="960" w:type="dxa"/>
            <w:tcBorders>
              <w:top w:val="nil"/>
              <w:left w:val="nil"/>
              <w:bottom w:val="single" w:sz="4" w:space="0" w:color="auto"/>
              <w:right w:val="single" w:sz="4" w:space="0" w:color="auto"/>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nerodinné dom.</w:t>
            </w:r>
          </w:p>
        </w:tc>
        <w:tc>
          <w:tcPr>
            <w:tcW w:w="840" w:type="dxa"/>
            <w:tcBorders>
              <w:top w:val="nil"/>
              <w:left w:val="nil"/>
              <w:bottom w:val="single" w:sz="4" w:space="0" w:color="auto"/>
              <w:right w:val="single" w:sz="4" w:space="0" w:color="auto"/>
            </w:tcBorders>
            <w:shd w:val="clear" w:color="auto" w:fill="auto"/>
            <w:vAlign w:val="center"/>
            <w:hideMark/>
          </w:tcPr>
          <w:p w:rsidR="004C0502" w:rsidRPr="004C0502" w:rsidRDefault="004C0502" w:rsidP="004C0502">
            <w:pPr>
              <w:suppressAutoHyphens w:val="0"/>
              <w:jc w:val="center"/>
              <w:rPr>
                <w:rFonts w:cs="Arial"/>
                <w:noProof w:val="0"/>
                <w:color w:val="000000"/>
                <w:sz w:val="18"/>
                <w:szCs w:val="18"/>
                <w:lang w:eastAsia="cs-CZ"/>
              </w:rPr>
            </w:pPr>
            <w:r w:rsidRPr="004C0502">
              <w:rPr>
                <w:rFonts w:cs="Arial"/>
                <w:noProof w:val="0"/>
                <w:color w:val="000000"/>
                <w:sz w:val="18"/>
                <w:szCs w:val="18"/>
                <w:lang w:eastAsia="cs-CZ"/>
              </w:rPr>
              <w:t>rodinné dom.</w:t>
            </w:r>
          </w:p>
        </w:tc>
      </w:tr>
      <w:tr w:rsidR="004C0502" w:rsidRPr="004C0502" w:rsidTr="004C0502">
        <w:trPr>
          <w:trHeight w:val="480"/>
        </w:trPr>
        <w:tc>
          <w:tcPr>
            <w:tcW w:w="940" w:type="dxa"/>
            <w:tcBorders>
              <w:top w:val="nil"/>
              <w:left w:val="single" w:sz="4" w:space="0" w:color="auto"/>
              <w:bottom w:val="nil"/>
              <w:right w:val="single" w:sz="4" w:space="0" w:color="auto"/>
            </w:tcBorders>
            <w:shd w:val="clear" w:color="auto" w:fill="auto"/>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Osoby celkem</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44,6</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7,5</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47,9</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0-14</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15,7</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3A060A" w:rsidP="003A060A">
            <w:pPr>
              <w:suppressAutoHyphens w:val="0"/>
              <w:jc w:val="right"/>
              <w:rPr>
                <w:rFonts w:cs="Arial"/>
                <w:noProof w:val="0"/>
                <w:color w:val="000000"/>
                <w:sz w:val="18"/>
                <w:szCs w:val="18"/>
                <w:lang w:eastAsia="cs-CZ"/>
              </w:rPr>
            </w:pPr>
            <w:r>
              <w:rPr>
                <w:rFonts w:cs="Arial"/>
                <w:noProof w:val="0"/>
                <w:color w:val="000000"/>
                <w:sz w:val="18"/>
                <w:szCs w:val="18"/>
                <w:lang w:eastAsia="cs-CZ"/>
              </w:rPr>
              <w:t>x</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3A060A">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15,3</w:t>
            </w:r>
          </w:p>
        </w:tc>
        <w:tc>
          <w:tcPr>
            <w:tcW w:w="1000" w:type="dxa"/>
            <w:tcBorders>
              <w:top w:val="nil"/>
              <w:left w:val="nil"/>
              <w:bottom w:val="nil"/>
              <w:right w:val="nil"/>
            </w:tcBorders>
            <w:shd w:val="clear" w:color="auto" w:fill="auto"/>
            <w:noWrap/>
            <w:vAlign w:val="bottom"/>
            <w:hideMark/>
          </w:tcPr>
          <w:p w:rsidR="004C0502" w:rsidRPr="004C0502" w:rsidRDefault="004C0502" w:rsidP="003A060A">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30,2</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3A060A">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3A060A" w:rsidP="003A060A">
            <w:pPr>
              <w:suppressAutoHyphens w:val="0"/>
              <w:jc w:val="right"/>
              <w:rPr>
                <w:rFonts w:cs="Arial"/>
                <w:noProof w:val="0"/>
                <w:color w:val="000000"/>
                <w:sz w:val="18"/>
                <w:szCs w:val="18"/>
                <w:lang w:eastAsia="cs-CZ"/>
              </w:rPr>
            </w:pPr>
            <w:r>
              <w:rPr>
                <w:rFonts w:cs="Arial"/>
                <w:noProof w:val="0"/>
                <w:color w:val="000000"/>
                <w:sz w:val="18"/>
                <w:szCs w:val="18"/>
                <w:lang w:eastAsia="cs-CZ"/>
              </w:rPr>
              <w:t>x</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7,3</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92,7</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15-19</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5,8</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4,4</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11,2</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6,4</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32,9</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14,4</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52,7</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20-29</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13,3</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15,1</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16,0</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11,2</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50,8</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9,0</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40,3</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30-39</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26,5</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24,0</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22,0</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29,6</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40,4</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6,2</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53,4</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40-49</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14,1</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15,2</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13,5</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13,2</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48,0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7,1</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44,8</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50-59</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9,1</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12,3</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12,0</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5,7</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60,1</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9,8</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30,1</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60-64</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3,6</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5,3</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3,4</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2,0</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66,6</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7,1</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26,4</w:t>
            </w:r>
          </w:p>
        </w:tc>
      </w:tr>
      <w:tr w:rsidR="004C0502" w:rsidRPr="004C0502" w:rsidTr="004C0502">
        <w:trPr>
          <w:trHeight w:val="240"/>
        </w:trPr>
        <w:tc>
          <w:tcPr>
            <w:tcW w:w="9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r w:rsidRPr="004C0502">
              <w:rPr>
                <w:rFonts w:cs="Arial"/>
                <w:noProof w:val="0"/>
                <w:color w:val="000000"/>
                <w:sz w:val="18"/>
                <w:szCs w:val="18"/>
                <w:lang w:eastAsia="cs-CZ"/>
              </w:rPr>
              <w:t>65+</w:t>
            </w:r>
          </w:p>
        </w:tc>
        <w:tc>
          <w:tcPr>
            <w:tcW w:w="82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4,4</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7,5</w:t>
            </w:r>
          </w:p>
        </w:tc>
        <w:tc>
          <w:tcPr>
            <w:tcW w:w="100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3,1</w:t>
            </w:r>
          </w:p>
        </w:tc>
        <w:tc>
          <w:tcPr>
            <w:tcW w:w="1000" w:type="dxa"/>
            <w:tcBorders>
              <w:top w:val="nil"/>
              <w:left w:val="nil"/>
              <w:bottom w:val="nil"/>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1,7</w:t>
            </w:r>
          </w:p>
        </w:tc>
        <w:tc>
          <w:tcPr>
            <w:tcW w:w="840" w:type="dxa"/>
            <w:tcBorders>
              <w:top w:val="nil"/>
              <w:left w:val="single" w:sz="4" w:space="0" w:color="auto"/>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76,5</w:t>
            </w:r>
          </w:p>
        </w:tc>
        <w:tc>
          <w:tcPr>
            <w:tcW w:w="96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5,3</w:t>
            </w:r>
          </w:p>
        </w:tc>
        <w:tc>
          <w:tcPr>
            <w:tcW w:w="840" w:type="dxa"/>
            <w:tcBorders>
              <w:top w:val="nil"/>
              <w:left w:val="nil"/>
              <w:bottom w:val="nil"/>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18,2</w:t>
            </w:r>
          </w:p>
        </w:tc>
      </w:tr>
      <w:tr w:rsidR="004C0502" w:rsidRPr="004C0502" w:rsidTr="004C0502">
        <w:trPr>
          <w:trHeight w:val="24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rPr>
                <w:rFonts w:cs="Arial"/>
                <w:noProof w:val="0"/>
                <w:color w:val="000000"/>
                <w:sz w:val="18"/>
                <w:szCs w:val="18"/>
                <w:lang w:eastAsia="cs-CZ"/>
              </w:rPr>
            </w:pPr>
            <w:proofErr w:type="spellStart"/>
            <w:r w:rsidRPr="004C0502">
              <w:rPr>
                <w:rFonts w:cs="Arial"/>
                <w:noProof w:val="0"/>
                <w:color w:val="000000"/>
                <w:sz w:val="18"/>
                <w:szCs w:val="18"/>
                <w:lang w:eastAsia="cs-CZ"/>
              </w:rPr>
              <w:t>nezj</w:t>
            </w:r>
            <w:proofErr w:type="spellEnd"/>
            <w:r w:rsidRPr="004C0502">
              <w:rPr>
                <w:rFonts w:cs="Arial"/>
                <w:noProof w:val="0"/>
                <w:color w:val="000000"/>
                <w:sz w:val="18"/>
                <w:szCs w:val="18"/>
                <w:lang w:eastAsia="cs-CZ"/>
              </w:rPr>
              <w:t>.</w:t>
            </w:r>
          </w:p>
        </w:tc>
        <w:tc>
          <w:tcPr>
            <w:tcW w:w="820" w:type="dxa"/>
            <w:tcBorders>
              <w:top w:val="nil"/>
              <w:left w:val="nil"/>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7,5</w:t>
            </w:r>
          </w:p>
        </w:tc>
        <w:tc>
          <w:tcPr>
            <w:tcW w:w="1000" w:type="dxa"/>
            <w:tcBorders>
              <w:top w:val="nil"/>
              <w:left w:val="nil"/>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16,2</w:t>
            </w:r>
          </w:p>
        </w:tc>
        <w:tc>
          <w:tcPr>
            <w:tcW w:w="1000" w:type="dxa"/>
            <w:tcBorders>
              <w:top w:val="nil"/>
              <w:left w:val="nil"/>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3,5</w:t>
            </w:r>
          </w:p>
        </w:tc>
        <w:tc>
          <w:tcPr>
            <w:tcW w:w="1000" w:type="dxa"/>
            <w:tcBorders>
              <w:top w:val="nil"/>
              <w:left w:val="nil"/>
              <w:bottom w:val="single" w:sz="4" w:space="0" w:color="auto"/>
              <w:right w:val="nil"/>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0,0</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96,1</w:t>
            </w:r>
          </w:p>
        </w:tc>
        <w:tc>
          <w:tcPr>
            <w:tcW w:w="960" w:type="dxa"/>
            <w:tcBorders>
              <w:top w:val="nil"/>
              <w:left w:val="nil"/>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3,5</w:t>
            </w:r>
          </w:p>
        </w:tc>
        <w:tc>
          <w:tcPr>
            <w:tcW w:w="840" w:type="dxa"/>
            <w:tcBorders>
              <w:top w:val="nil"/>
              <w:left w:val="nil"/>
              <w:bottom w:val="single" w:sz="4" w:space="0" w:color="auto"/>
              <w:right w:val="single" w:sz="4" w:space="0" w:color="auto"/>
            </w:tcBorders>
            <w:shd w:val="clear" w:color="auto" w:fill="auto"/>
            <w:noWrap/>
            <w:vAlign w:val="bottom"/>
            <w:hideMark/>
          </w:tcPr>
          <w:p w:rsidR="004C0502" w:rsidRPr="004C0502" w:rsidRDefault="004C0502" w:rsidP="004C0502">
            <w:pPr>
              <w:suppressAutoHyphens w:val="0"/>
              <w:jc w:val="right"/>
              <w:rPr>
                <w:rFonts w:cs="Arial"/>
                <w:noProof w:val="0"/>
                <w:color w:val="000000"/>
                <w:sz w:val="18"/>
                <w:szCs w:val="18"/>
                <w:lang w:eastAsia="cs-CZ"/>
              </w:rPr>
            </w:pPr>
            <w:r w:rsidRPr="004C0502">
              <w:rPr>
                <w:rFonts w:cs="Arial"/>
                <w:noProof w:val="0"/>
                <w:color w:val="000000"/>
                <w:sz w:val="18"/>
                <w:szCs w:val="18"/>
                <w:lang w:eastAsia="cs-CZ"/>
              </w:rPr>
              <w:t>0,3</w:t>
            </w:r>
          </w:p>
        </w:tc>
      </w:tr>
    </w:tbl>
    <w:p w:rsidR="004C0502" w:rsidRDefault="004C0502" w:rsidP="009B266B">
      <w:pPr>
        <w:pStyle w:val="Normln-web"/>
        <w:spacing w:before="0" w:line="276" w:lineRule="auto"/>
        <w:rPr>
          <w:sz w:val="20"/>
          <w:szCs w:val="20"/>
        </w:rPr>
      </w:pPr>
    </w:p>
    <w:p w:rsidR="003A060A" w:rsidRDefault="003A060A" w:rsidP="004C0502">
      <w:pPr>
        <w:pStyle w:val="Normln-web"/>
        <w:spacing w:before="0" w:line="276" w:lineRule="auto"/>
        <w:rPr>
          <w:sz w:val="20"/>
          <w:szCs w:val="20"/>
        </w:rPr>
      </w:pPr>
    </w:p>
    <w:p w:rsidR="004C0502" w:rsidRDefault="004C0502" w:rsidP="004C0502">
      <w:pPr>
        <w:pStyle w:val="Normln-web"/>
        <w:spacing w:before="0" w:line="276" w:lineRule="auto"/>
        <w:rPr>
          <w:sz w:val="20"/>
          <w:szCs w:val="20"/>
        </w:rPr>
      </w:pPr>
      <w:r>
        <w:rPr>
          <w:sz w:val="20"/>
          <w:szCs w:val="20"/>
        </w:rPr>
        <w:t xml:space="preserve">Zatímco věková struktura bydlících osob v nouzových objektech vykazovala podobné tendence jako u osob bydlících mimo byty v domech, rozložení osob podle typu domácnosti bylo zcela odlišné. Struktura osob podle typu domácnosti v nouzových objektech se více blížila struktuře celé populace – hodnoceno z pozice základních trendů, kdy nejvyšší podíl připadá na domácnosti rodinné a minimální podíl na vícečlenné nerodinné domácnosti. Přestože rozdíly v kvantitativním vyjádření byly značné, zejména u </w:t>
      </w:r>
      <w:r>
        <w:rPr>
          <w:sz w:val="20"/>
          <w:szCs w:val="20"/>
        </w:rPr>
        <w:lastRenderedPageBreak/>
        <w:t>podílu jednotlivců</w:t>
      </w:r>
      <w:r w:rsidR="00A4116D">
        <w:rPr>
          <w:sz w:val="20"/>
          <w:szCs w:val="20"/>
        </w:rPr>
        <w:t xml:space="preserve">, který byl </w:t>
      </w:r>
      <w:r>
        <w:rPr>
          <w:sz w:val="20"/>
          <w:szCs w:val="20"/>
        </w:rPr>
        <w:t xml:space="preserve">ve srovnání  s populací celkem  zhruba trojnásobně vyšší, základní trend byl v podstatě zachován a např. zastoupení vícečlenných nerodinných domácností bylo srovnatelné. </w:t>
      </w:r>
    </w:p>
    <w:p w:rsidR="004C0502" w:rsidRDefault="004C0502" w:rsidP="004C0502">
      <w:pPr>
        <w:pStyle w:val="Normln-web"/>
        <w:spacing w:before="0" w:line="276" w:lineRule="auto"/>
        <w:rPr>
          <w:sz w:val="20"/>
          <w:szCs w:val="20"/>
        </w:rPr>
      </w:pPr>
    </w:p>
    <w:p w:rsidR="00B258EC" w:rsidRDefault="00B258EC" w:rsidP="00A92FC8">
      <w:pPr>
        <w:pStyle w:val="Normln-web"/>
        <w:spacing w:before="0" w:line="276" w:lineRule="auto"/>
        <w:rPr>
          <w:sz w:val="20"/>
          <w:szCs w:val="20"/>
        </w:rPr>
      </w:pPr>
      <w:r>
        <w:rPr>
          <w:sz w:val="20"/>
          <w:szCs w:val="20"/>
        </w:rPr>
        <w:t xml:space="preserve">Osoby s obvyklým pobytem v nouzových objektech </w:t>
      </w:r>
      <w:r w:rsidR="005E5343">
        <w:rPr>
          <w:sz w:val="20"/>
          <w:szCs w:val="20"/>
        </w:rPr>
        <w:t xml:space="preserve">byly </w:t>
      </w:r>
      <w:r>
        <w:rPr>
          <w:sz w:val="20"/>
          <w:szCs w:val="20"/>
        </w:rPr>
        <w:t xml:space="preserve">zhruba z poloviny pracující (48 %), 7 % bylo nezaměstnaných a dvě pětiny připadly na ekonomicky neaktivní. </w:t>
      </w:r>
    </w:p>
    <w:p w:rsidR="003A060A" w:rsidRDefault="003A060A" w:rsidP="00A92FC8">
      <w:pPr>
        <w:suppressAutoHyphens w:val="0"/>
        <w:spacing w:line="276" w:lineRule="auto"/>
        <w:rPr>
          <w:sz w:val="20"/>
          <w:szCs w:val="20"/>
        </w:rPr>
      </w:pPr>
    </w:p>
    <w:p w:rsidR="00220D4D" w:rsidRPr="0091209F" w:rsidRDefault="0091209F" w:rsidP="00A92FC8">
      <w:pPr>
        <w:suppressAutoHyphens w:val="0"/>
        <w:spacing w:line="276" w:lineRule="auto"/>
        <w:rPr>
          <w:sz w:val="20"/>
          <w:szCs w:val="20"/>
        </w:rPr>
      </w:pPr>
      <w:r w:rsidRPr="0091209F">
        <w:rPr>
          <w:sz w:val="20"/>
          <w:szCs w:val="20"/>
        </w:rPr>
        <w:t>Z porovnání adresy trvalého a obvyklého pobytu</w:t>
      </w:r>
      <w:r>
        <w:rPr>
          <w:sz w:val="20"/>
          <w:szCs w:val="20"/>
        </w:rPr>
        <w:t xml:space="preserve"> mělo 44,4  % osob bydlících v nouzových objektech trvalé bydliště ve stejné obci a obdobný podíl (45,6 %) představovaly osoby s trvalým bydlištěm v jiné obci (častěji i v jiném kraji). Desetina osob v nouzových objektech trvalý pobyt na území republiky neměla, byly pouze obvykle bydlící.</w:t>
      </w:r>
      <w:r w:rsidR="00FD74EF">
        <w:rPr>
          <w:sz w:val="20"/>
          <w:szCs w:val="20"/>
        </w:rPr>
        <w:t xml:space="preserve"> Shoda bydliště obvyklého a trvalého v nouzových objektech neexistovala, protože dle zákona č. 133/</w:t>
      </w:r>
      <w:r w:rsidR="00A92FC8">
        <w:rPr>
          <w:sz w:val="20"/>
          <w:szCs w:val="20"/>
        </w:rPr>
        <w:t>2000</w:t>
      </w:r>
      <w:r w:rsidR="00FD74EF">
        <w:rPr>
          <w:sz w:val="20"/>
          <w:szCs w:val="20"/>
        </w:rPr>
        <w:t xml:space="preserve"> Sb.</w:t>
      </w:r>
      <w:r w:rsidR="00A92FC8">
        <w:rPr>
          <w:sz w:val="20"/>
          <w:szCs w:val="20"/>
        </w:rPr>
        <w:t>, o</w:t>
      </w:r>
      <w:r w:rsidR="00FD74EF">
        <w:rPr>
          <w:sz w:val="20"/>
          <w:szCs w:val="20"/>
        </w:rPr>
        <w:t xml:space="preserve"> evidenci obyvatel</w:t>
      </w:r>
      <w:r w:rsidR="00A92FC8">
        <w:rPr>
          <w:sz w:val="20"/>
          <w:szCs w:val="20"/>
        </w:rPr>
        <w:t xml:space="preserve"> v nouzovém objektu nebo v objektu bez čísla občan trvalé bydliště mít nemůže.</w:t>
      </w:r>
      <w:r w:rsidR="00220D4D" w:rsidRPr="0091209F">
        <w:rPr>
          <w:sz w:val="20"/>
          <w:szCs w:val="20"/>
        </w:rPr>
        <w:br w:type="page"/>
      </w:r>
    </w:p>
    <w:p w:rsidR="0051354C" w:rsidRPr="00797BC3" w:rsidRDefault="0051354C" w:rsidP="00282C4C">
      <w:pPr>
        <w:pStyle w:val="Odstavecseseznamem"/>
        <w:numPr>
          <w:ilvl w:val="0"/>
          <w:numId w:val="10"/>
        </w:numPr>
        <w:spacing w:line="276" w:lineRule="auto"/>
        <w:ind w:left="851" w:hanging="851"/>
        <w:jc w:val="both"/>
        <w:rPr>
          <w:b/>
          <w:sz w:val="24"/>
        </w:rPr>
      </w:pPr>
      <w:r w:rsidRPr="00797BC3">
        <w:rPr>
          <w:b/>
          <w:sz w:val="24"/>
        </w:rPr>
        <w:lastRenderedPageBreak/>
        <w:t>Bezdomovci</w:t>
      </w:r>
    </w:p>
    <w:p w:rsidR="0051354C" w:rsidRDefault="0051354C" w:rsidP="00A45B5A">
      <w:pPr>
        <w:pStyle w:val="Textodstavce"/>
        <w:tabs>
          <w:tab w:val="clear" w:pos="720"/>
          <w:tab w:val="clear" w:pos="851"/>
          <w:tab w:val="left" w:pos="0"/>
        </w:tabs>
        <w:spacing w:line="276" w:lineRule="auto"/>
        <w:ind w:left="0" w:firstLine="0"/>
        <w:rPr>
          <w:rFonts w:ascii="Arial" w:hAnsi="Arial" w:cs="Arial"/>
          <w:sz w:val="20"/>
        </w:rPr>
      </w:pPr>
      <w:r>
        <w:rPr>
          <w:rFonts w:ascii="Arial" w:hAnsi="Arial" w:cs="Arial"/>
          <w:sz w:val="20"/>
        </w:rPr>
        <w:t xml:space="preserve">Bezdomovci představovali z hlediska způsobu bydlení obyvatel doplňkovou kategorii, protože jako osoby bez přístřeší způsob bydlení fakticky nemají. </w:t>
      </w:r>
    </w:p>
    <w:p w:rsidR="0051354C" w:rsidRDefault="0051354C" w:rsidP="00165156">
      <w:pPr>
        <w:pStyle w:val="Textodstavce"/>
        <w:tabs>
          <w:tab w:val="clear" w:pos="720"/>
        </w:tabs>
        <w:spacing w:line="276" w:lineRule="auto"/>
        <w:ind w:left="0" w:firstLine="0"/>
        <w:rPr>
          <w:rFonts w:ascii="Arial" w:hAnsi="Arial" w:cs="Arial"/>
          <w:sz w:val="20"/>
        </w:rPr>
      </w:pPr>
      <w:r>
        <w:rPr>
          <w:rFonts w:ascii="Arial" w:hAnsi="Arial" w:cs="Arial"/>
          <w:sz w:val="20"/>
        </w:rPr>
        <w:t>Kvantifikace počtu bezdomovců byla poprvé v historii sčítání možná až při sčítání 2011. Umožnilo to zpracování výstupů podle obvyklého pobytu, kdy osobám bez domova byla přiřazena jako adresa obvyklého pobytu adresa místa sečtení. V předchozích cenzech byly tyto osoby v rámci sčítání rovněž sečteny, ale podle trvalého bydliště byly v průběhu zpracování přeřazeny na příslušné evidenční adresy, přestože se na nich fakticky nezdržovaly. Informace o tom, že jde o osobu bez přístřeší, se v rámci zpracování ztratila a bezdomovec se tak zařadil do bydlícího obyvatelstva.</w:t>
      </w:r>
    </w:p>
    <w:p w:rsidR="0051354C" w:rsidRDefault="0051354C" w:rsidP="00165156">
      <w:pPr>
        <w:pStyle w:val="Textodstavce"/>
        <w:tabs>
          <w:tab w:val="clear" w:pos="720"/>
        </w:tabs>
        <w:spacing w:line="276" w:lineRule="auto"/>
        <w:ind w:left="0" w:firstLine="0"/>
        <w:rPr>
          <w:rFonts w:ascii="Arial" w:hAnsi="Arial" w:cs="Arial"/>
          <w:sz w:val="20"/>
        </w:rPr>
      </w:pPr>
      <w:r>
        <w:rPr>
          <w:rFonts w:ascii="Arial" w:hAnsi="Arial" w:cs="Arial"/>
          <w:sz w:val="20"/>
        </w:rPr>
        <w:t xml:space="preserve">Kvantifikovat počty bezdomovců předpokládalo i „Nařízení Komise (EU) č. 519/2010, ze dne 16. června. 2010, kterým se přijímá program statistických údajů a metadat pro sčítání lidu, domů a bytů stanovený nařízením Evropského parlamentu a Rady (ES) č. 763/2008“, které definovalo tuto skupinu osob jako osoby primárně bez domova, žijící na ulici, tedy primární bezdomovce. Mezinárodní doporučení rozlišovala i tzv. osoby sekundárně bez domova, které často mění místo svého dočasného ubytování. Podle výše uvedeného Nařízení měly být obě skupiny osob zahrnuty do celkového počtu obyvatel, přičemž členění na primární a sekundární bezdomovce již nebylo povinně vyžadováno. </w:t>
      </w:r>
    </w:p>
    <w:p w:rsidR="0051354C" w:rsidRDefault="0051354C" w:rsidP="00165156">
      <w:pPr>
        <w:pStyle w:val="Textodstavce"/>
        <w:tabs>
          <w:tab w:val="clear" w:pos="720"/>
        </w:tabs>
        <w:spacing w:line="276" w:lineRule="auto"/>
        <w:ind w:left="0" w:firstLine="0"/>
        <w:rPr>
          <w:rFonts w:ascii="Arial" w:hAnsi="Arial" w:cs="Arial"/>
          <w:sz w:val="20"/>
        </w:rPr>
      </w:pPr>
      <w:r>
        <w:rPr>
          <w:rFonts w:ascii="Arial" w:hAnsi="Arial" w:cs="Arial"/>
          <w:sz w:val="20"/>
        </w:rPr>
        <w:t>České sčítání kategorizaci bezdomovců neaplikovalo, protože pro určení sekundárního bezdomovectví neposkytovaly zjištěné informace dostatek podkladů. Stanovený postup provedení sčítání a následného zpracování výsledků dokázal určit pouze primární bezdomovce. Sekundární bezdomovci se sečetli standardním způsobem v místě ubytování v rozhodný okamžik sčítání a délka pobytu na dané adrese nebyla zjišťována. Místem jejich obvyklého pobytu se stalo většinou místo sečtení, pokud nedeklarovali jinou adresu jako faktické bydliště. Zahrnuti byli do celkového počtu obyvatel podle místa obvyklého pobytu a podle způsobu jejich bydlení v rozhodný okamžik (v bytě, v zařízení, nouzově mimo byt). Tyto osoby jako bezdomovci tedy identifikovány nebyly, přestože individuálně mohly mít charakteristiky sekundárního bezdomovectví podle mezinárodní metodiky.</w:t>
      </w:r>
    </w:p>
    <w:p w:rsidR="0051354C" w:rsidRDefault="0051354C" w:rsidP="00165156">
      <w:pPr>
        <w:pStyle w:val="Textodstavce"/>
        <w:tabs>
          <w:tab w:val="clear" w:pos="720"/>
        </w:tabs>
        <w:spacing w:line="276" w:lineRule="auto"/>
        <w:ind w:left="0" w:firstLine="0"/>
        <w:rPr>
          <w:rFonts w:ascii="Arial" w:hAnsi="Arial" w:cs="Arial"/>
          <w:sz w:val="20"/>
        </w:rPr>
      </w:pPr>
      <w:r>
        <w:rPr>
          <w:rFonts w:ascii="Arial" w:hAnsi="Arial" w:cs="Arial"/>
          <w:sz w:val="20"/>
        </w:rPr>
        <w:t>Sčítání bezdomovců mělo specifická pravidla. Zásadní bylo, že bezdomovce identifikoval sčítací komisař a použil v jejich sčítacím listu osoby číslo bytu ve speciálním intervalu. Toto číslo bytu se neměnilo po celou dobu zpracování a bylo signálem pro speciální algoritmus odvození adresy obvyklého pobytu. Místem obvyklého pobytu bezdomovce se stala adresa místa sečtení. I tato adresa plnila ale jinou roli než v případě ostatních osob. Vazba bezdomovce na konkrétní dům neznamenala v daném případě informaci o jejich bydlení, ale plnila úlohu územní lokalizace (více nebo méně přesnou) pobytu osob bez přístřeší.</w:t>
      </w:r>
    </w:p>
    <w:p w:rsidR="0051354C" w:rsidRDefault="0051354C" w:rsidP="00165156">
      <w:pPr>
        <w:pStyle w:val="Textodstavce"/>
        <w:tabs>
          <w:tab w:val="clear" w:pos="720"/>
        </w:tabs>
        <w:spacing w:line="276" w:lineRule="auto"/>
        <w:ind w:left="0" w:firstLine="0"/>
        <w:rPr>
          <w:rFonts w:ascii="Arial" w:hAnsi="Arial" w:cs="Arial"/>
          <w:sz w:val="20"/>
        </w:rPr>
      </w:pPr>
      <w:r>
        <w:rPr>
          <w:rFonts w:ascii="Arial" w:hAnsi="Arial" w:cs="Arial"/>
          <w:sz w:val="20"/>
        </w:rPr>
        <w:t>Sčítání bezdomovců probíhalo převážně ve spolupráci se Sdružením azylových domů a Asociací poskytovatelů sociálních služeb. Sečteny byly proto zejména osoby, které využívaly k datu sčítání služeb příslušných zařízení. Aktivní přístup jednotlivých zařízení, jejich rozmístění do krajů a jejich zaměření druhotně ovlivnilo jak počet sečtených bezdomovců, tak především jejich složení z hlediska věku, pohlaví a dalších demografických charakteristik, které v úhrnu neodpovídaly odhadům z jiných datových zdrojů (výzkumné projekty, odhady magistrátů velkých měst aj.) Plošné sčítání osob žijících „na ulici“ nebylo prostřednictvím cenzu možné, zejména proto, že sčítání provádělo cílenou distribuci formulářů do objektů určených k bydlení, neumožňovalo vyhledávat osoby mimo tyto objekty</w:t>
      </w:r>
      <w:r w:rsidR="00925CEF">
        <w:rPr>
          <w:rFonts w:ascii="Arial" w:hAnsi="Arial" w:cs="Arial"/>
          <w:sz w:val="20"/>
        </w:rPr>
        <w:t>,</w:t>
      </w:r>
      <w:r>
        <w:rPr>
          <w:rFonts w:ascii="Arial" w:hAnsi="Arial" w:cs="Arial"/>
          <w:sz w:val="20"/>
        </w:rPr>
        <w:t xml:space="preserve"> ani nemělo k dispozici speciálně vyškolené pracovníky pro specifickou komunikaci s bezdomovci. Spolupráce s výše uvedenými zařízeními byla proto jediným možným postupem, byť s sebou nesla určitá omezení zjištěných výsledků.</w:t>
      </w:r>
    </w:p>
    <w:p w:rsidR="0051354C" w:rsidRDefault="0051354C" w:rsidP="00165156">
      <w:pPr>
        <w:pStyle w:val="Textodstavce"/>
        <w:tabs>
          <w:tab w:val="clear" w:pos="720"/>
        </w:tabs>
        <w:spacing w:line="276" w:lineRule="auto"/>
        <w:ind w:left="0" w:firstLine="0"/>
        <w:rPr>
          <w:rFonts w:ascii="Arial" w:hAnsi="Arial" w:cs="Arial"/>
          <w:sz w:val="20"/>
        </w:rPr>
      </w:pPr>
      <w:r>
        <w:rPr>
          <w:rFonts w:ascii="Arial" w:hAnsi="Arial" w:cs="Arial"/>
          <w:sz w:val="20"/>
        </w:rPr>
        <w:t xml:space="preserve">Sčítání bezdomovců probíhalo ve 270 domech – azylových domech, domech na půli cesty, v noclehárnách a nízkoprahových denních centrech. Sčítáni byli klienti těchto zařízení k rozhodnému okamžiku. Součástí některých zařízení byly i byty. V případech pobytu v délce 12 měsíců byly bydlící osoby sečteny jako bydlící v bytech s tím, že pouze podle druhu domu se poznalo, že se jedná o speciální zařízení a nikoliv o </w:t>
      </w:r>
      <w:r>
        <w:rPr>
          <w:rFonts w:ascii="Arial" w:hAnsi="Arial" w:cs="Arial"/>
          <w:sz w:val="20"/>
        </w:rPr>
        <w:lastRenderedPageBreak/>
        <w:t>obytný dům. Osoby sice ubytované, ale pouze krátkodobě, které řešily tímto způsobem aktuální krizovou situaci, byly sečteny jako primární bezdomovci.</w:t>
      </w:r>
    </w:p>
    <w:p w:rsidR="0051354C" w:rsidRDefault="0051354C" w:rsidP="00165156">
      <w:pPr>
        <w:pStyle w:val="Textodstavce"/>
        <w:tabs>
          <w:tab w:val="clear" w:pos="720"/>
        </w:tabs>
        <w:spacing w:line="276" w:lineRule="auto"/>
        <w:ind w:left="0" w:firstLine="0"/>
        <w:rPr>
          <w:rFonts w:ascii="Arial" w:hAnsi="Arial" w:cs="Arial"/>
          <w:sz w:val="20"/>
        </w:rPr>
      </w:pPr>
      <w:r>
        <w:rPr>
          <w:rFonts w:ascii="Arial" w:hAnsi="Arial" w:cs="Arial"/>
          <w:sz w:val="20"/>
        </w:rPr>
        <w:t xml:space="preserve">Nejvíce zařízení se zapojilo do sčítání v Moravskoslezském a Ústeckém kraji. Tyto dva kraje spolu s Prahou tvořily polovinu kapacity všech zařízení pro bezdomovce, která se sčítání zúčastnila. Na počtu sečtených se ale tyto tři kraje podílely jen o něco více než dvěma pětinami. </w:t>
      </w:r>
    </w:p>
    <w:p w:rsidR="0051354C" w:rsidRPr="00E73ED3" w:rsidRDefault="0051354C" w:rsidP="00E73ED3">
      <w:pPr>
        <w:spacing w:line="276" w:lineRule="auto"/>
        <w:jc w:val="both"/>
        <w:rPr>
          <w:rFonts w:cs="Arial"/>
          <w:sz w:val="20"/>
          <w:szCs w:val="20"/>
        </w:rPr>
      </w:pPr>
      <w:r w:rsidRPr="00E73ED3">
        <w:rPr>
          <w:sz w:val="20"/>
          <w:szCs w:val="20"/>
        </w:rPr>
        <w:t>K 26.</w:t>
      </w:r>
      <w:r w:rsidR="00E73ED3" w:rsidRPr="00E73ED3">
        <w:rPr>
          <w:sz w:val="20"/>
          <w:szCs w:val="20"/>
        </w:rPr>
        <w:t xml:space="preserve"> </w:t>
      </w:r>
      <w:r w:rsidRPr="00E73ED3">
        <w:rPr>
          <w:sz w:val="20"/>
          <w:szCs w:val="20"/>
        </w:rPr>
        <w:t>3.</w:t>
      </w:r>
      <w:r w:rsidR="00E73ED3" w:rsidRPr="00E73ED3">
        <w:rPr>
          <w:sz w:val="20"/>
          <w:szCs w:val="20"/>
        </w:rPr>
        <w:t xml:space="preserve"> </w:t>
      </w:r>
      <w:r w:rsidRPr="00E73ED3">
        <w:rPr>
          <w:sz w:val="20"/>
          <w:szCs w:val="20"/>
        </w:rPr>
        <w:t>2011 bylo sečteno celkem 11 496 osob, které byly označeny jako bezdomovci. Rozložení do krajů bylo ve vztahu k počtu obyvatel kraje disproporční. Čtvrtina z počtu bezdomovců byla zjištěna</w:t>
      </w:r>
      <w:r w:rsidRPr="00E73ED3">
        <w:rPr>
          <w:rFonts w:cs="Arial"/>
          <w:sz w:val="20"/>
          <w:szCs w:val="20"/>
        </w:rPr>
        <w:t xml:space="preserve"> v Moravskoslezském kraji, což v tomto případě korespondovalo s počtem zařízení, která na sčítání spolupracovala. </w:t>
      </w:r>
    </w:p>
    <w:p w:rsidR="00E73ED3" w:rsidRDefault="00E73ED3" w:rsidP="00E73ED3">
      <w:pPr>
        <w:spacing w:line="276" w:lineRule="auto"/>
        <w:jc w:val="both"/>
        <w:rPr>
          <w:rFonts w:cs="Arial"/>
        </w:rPr>
      </w:pPr>
    </w:p>
    <w:p w:rsidR="00E73ED3" w:rsidRPr="00E73ED3" w:rsidRDefault="00E73ED3" w:rsidP="00E73ED3">
      <w:pPr>
        <w:spacing w:line="276" w:lineRule="auto"/>
        <w:jc w:val="both"/>
        <w:rPr>
          <w:rFonts w:cs="Arial"/>
          <w:sz w:val="20"/>
          <w:szCs w:val="20"/>
        </w:rPr>
      </w:pPr>
      <w:r w:rsidRPr="00E73ED3">
        <w:rPr>
          <w:rFonts w:cs="Arial"/>
          <w:sz w:val="20"/>
          <w:szCs w:val="20"/>
        </w:rPr>
        <w:t>Porovnáním adresy trvalého bydliště a místa obvyklého pobytu (v případě bezdomovců místa sečtení) bylo zjištěno, že většina bezdomovců neopustila region svého trvalého bydliště. Shoda obvyklého a trvalého pobytu na úrovni kraje se pohybovala mezi 63 až téměř 96 %. Nejnižší podíl shody byl v Praze, kde dvě pětiny bezdomovců měli trvalé bydliště v jiném kraji.</w:t>
      </w:r>
    </w:p>
    <w:p w:rsidR="00B679F7" w:rsidRDefault="00B679F7" w:rsidP="00B679F7">
      <w:pPr>
        <w:spacing w:line="276" w:lineRule="auto"/>
        <w:rPr>
          <w:b/>
          <w:sz w:val="20"/>
          <w:szCs w:val="20"/>
        </w:rPr>
      </w:pPr>
    </w:p>
    <w:p w:rsidR="00B679F7" w:rsidRDefault="00B679F7" w:rsidP="00B679F7">
      <w:pPr>
        <w:spacing w:line="276" w:lineRule="auto"/>
        <w:rPr>
          <w:b/>
          <w:bCs/>
          <w:sz w:val="20"/>
          <w:szCs w:val="20"/>
        </w:rPr>
      </w:pPr>
      <w:r w:rsidRPr="001770AA">
        <w:rPr>
          <w:b/>
          <w:sz w:val="20"/>
          <w:szCs w:val="20"/>
        </w:rPr>
        <w:t xml:space="preserve">Graf č. </w:t>
      </w:r>
      <w:r>
        <w:rPr>
          <w:b/>
          <w:sz w:val="20"/>
          <w:szCs w:val="20"/>
        </w:rPr>
        <w:t>18</w:t>
      </w:r>
      <w:r w:rsidRPr="008E478F">
        <w:rPr>
          <w:b/>
          <w:sz w:val="20"/>
          <w:szCs w:val="20"/>
        </w:rPr>
        <w:t xml:space="preserve"> </w:t>
      </w:r>
      <w:r>
        <w:rPr>
          <w:b/>
          <w:sz w:val="20"/>
          <w:szCs w:val="20"/>
        </w:rPr>
        <w:t>Bezdomovci</w:t>
      </w:r>
      <w:r>
        <w:rPr>
          <w:b/>
          <w:bCs/>
          <w:sz w:val="20"/>
          <w:szCs w:val="20"/>
        </w:rPr>
        <w:t xml:space="preserve"> podle kraje obvyklého a trvalého pobytu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08568E" w:rsidRDefault="0008568E" w:rsidP="00B679F7">
      <w:pPr>
        <w:spacing w:line="276" w:lineRule="auto"/>
        <w:rPr>
          <w:b/>
          <w:bCs/>
          <w:sz w:val="20"/>
          <w:szCs w:val="20"/>
        </w:rPr>
      </w:pPr>
      <w:r w:rsidRPr="0008568E">
        <w:rPr>
          <w:b/>
          <w:bCs/>
          <w:sz w:val="20"/>
          <w:szCs w:val="20"/>
          <w:lang w:eastAsia="cs-CZ"/>
        </w:rPr>
        <w:drawing>
          <wp:inline distT="0" distB="0" distL="0" distR="0">
            <wp:extent cx="5972810" cy="3310255"/>
            <wp:effectExtent l="19050" t="0" r="27940" b="4445"/>
            <wp:docPr id="33"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8568E" w:rsidRPr="001770AA" w:rsidRDefault="0008568E" w:rsidP="00B679F7">
      <w:pPr>
        <w:spacing w:line="276" w:lineRule="auto"/>
        <w:rPr>
          <w:b/>
          <w:bCs/>
          <w:sz w:val="20"/>
          <w:szCs w:val="20"/>
        </w:rPr>
      </w:pPr>
    </w:p>
    <w:p w:rsidR="00165156" w:rsidRDefault="00165156" w:rsidP="00165156">
      <w:pPr>
        <w:pStyle w:val="Textodstavce"/>
        <w:tabs>
          <w:tab w:val="clear" w:pos="720"/>
        </w:tabs>
        <w:spacing w:line="276" w:lineRule="auto"/>
        <w:ind w:left="0" w:firstLine="0"/>
        <w:rPr>
          <w:rFonts w:ascii="Arial" w:hAnsi="Arial" w:cs="Arial"/>
          <w:sz w:val="20"/>
        </w:rPr>
      </w:pPr>
      <w:r>
        <w:rPr>
          <w:rFonts w:ascii="Arial" w:hAnsi="Arial" w:cs="Arial"/>
          <w:sz w:val="20"/>
        </w:rPr>
        <w:t xml:space="preserve">Významná byla shoda na úrovni obce a to výraznější u žen než u mužů. U žen byla vazba na původní resp. evidenční bydliště pevnější a v případě ztráty bydlení zůstávaly častěji v obci původního trvalého bydliště. </w:t>
      </w:r>
    </w:p>
    <w:p w:rsidR="00165156" w:rsidRDefault="00165156" w:rsidP="0051354C">
      <w:pPr>
        <w:pStyle w:val="Textodstavce"/>
        <w:tabs>
          <w:tab w:val="clear" w:pos="720"/>
        </w:tabs>
        <w:ind w:left="0" w:firstLine="0"/>
        <w:rPr>
          <w:rFonts w:ascii="Arial" w:hAnsi="Arial" w:cs="Arial"/>
          <w:sz w:val="20"/>
        </w:rPr>
      </w:pPr>
    </w:p>
    <w:p w:rsidR="00165156" w:rsidRDefault="00165156" w:rsidP="0051354C">
      <w:pPr>
        <w:pStyle w:val="Textodstavce"/>
        <w:tabs>
          <w:tab w:val="clear" w:pos="720"/>
        </w:tabs>
        <w:ind w:left="0" w:firstLine="0"/>
        <w:rPr>
          <w:rFonts w:ascii="Arial" w:hAnsi="Arial" w:cs="Arial"/>
          <w:sz w:val="20"/>
        </w:rPr>
      </w:pPr>
    </w:p>
    <w:p w:rsidR="00165156" w:rsidRDefault="00165156" w:rsidP="0051354C">
      <w:pPr>
        <w:pStyle w:val="Textodstavce"/>
        <w:tabs>
          <w:tab w:val="clear" w:pos="720"/>
        </w:tabs>
        <w:ind w:left="0" w:firstLine="0"/>
        <w:rPr>
          <w:rFonts w:ascii="Arial" w:hAnsi="Arial" w:cs="Arial"/>
          <w:sz w:val="20"/>
        </w:rPr>
      </w:pPr>
    </w:p>
    <w:tbl>
      <w:tblPr>
        <w:tblW w:w="6773" w:type="dxa"/>
        <w:jc w:val="center"/>
        <w:tblInd w:w="482" w:type="dxa"/>
        <w:tblCellMar>
          <w:left w:w="70" w:type="dxa"/>
          <w:right w:w="70" w:type="dxa"/>
        </w:tblCellMar>
        <w:tblLook w:val="04A0"/>
      </w:tblPr>
      <w:tblGrid>
        <w:gridCol w:w="2951"/>
        <w:gridCol w:w="676"/>
        <w:gridCol w:w="598"/>
        <w:gridCol w:w="676"/>
        <w:gridCol w:w="598"/>
        <w:gridCol w:w="676"/>
        <w:gridCol w:w="598"/>
      </w:tblGrid>
      <w:tr w:rsidR="00E73ED3" w:rsidRPr="00E73ED3" w:rsidTr="00E73ED3">
        <w:trPr>
          <w:trHeight w:val="555"/>
          <w:jc w:val="center"/>
        </w:trPr>
        <w:tc>
          <w:tcPr>
            <w:tcW w:w="6773" w:type="dxa"/>
            <w:gridSpan w:val="7"/>
            <w:tcBorders>
              <w:top w:val="nil"/>
              <w:left w:val="nil"/>
              <w:bottom w:val="single" w:sz="4" w:space="0" w:color="auto"/>
              <w:right w:val="nil"/>
            </w:tcBorders>
            <w:shd w:val="clear" w:color="auto" w:fill="auto"/>
            <w:vAlign w:val="center"/>
            <w:hideMark/>
          </w:tcPr>
          <w:p w:rsidR="00E73ED3" w:rsidRPr="003E16DB" w:rsidRDefault="00760C72" w:rsidP="00B679F7">
            <w:pPr>
              <w:keepNext/>
              <w:keepLines/>
              <w:suppressAutoHyphens w:val="0"/>
              <w:rPr>
                <w:rFonts w:cs="Arial"/>
                <w:b/>
                <w:noProof w:val="0"/>
                <w:color w:val="000000"/>
                <w:sz w:val="20"/>
                <w:szCs w:val="20"/>
                <w:lang w:eastAsia="cs-CZ"/>
              </w:rPr>
            </w:pPr>
            <w:r>
              <w:rPr>
                <w:rFonts w:cs="Arial"/>
                <w:b/>
                <w:bCs/>
                <w:sz w:val="20"/>
                <w:szCs w:val="20"/>
              </w:rPr>
              <w:lastRenderedPageBreak/>
              <w:t xml:space="preserve">Tab. č.  15 </w:t>
            </w:r>
            <w:r w:rsidR="00E73ED3" w:rsidRPr="003E16DB">
              <w:rPr>
                <w:rFonts w:cs="Arial"/>
                <w:b/>
                <w:noProof w:val="0"/>
                <w:color w:val="000000"/>
                <w:sz w:val="20"/>
                <w:szCs w:val="20"/>
                <w:lang w:eastAsia="cs-CZ"/>
              </w:rPr>
              <w:t xml:space="preserve">Porovnání místa sečtení (místa obvyklého pobytu) a místa trvalého pobytu bezdomovců k 26. 3. 2011 </w:t>
            </w:r>
          </w:p>
        </w:tc>
      </w:tr>
      <w:tr w:rsidR="00E73ED3" w:rsidRPr="00E73ED3" w:rsidTr="00E73ED3">
        <w:trPr>
          <w:trHeight w:val="255"/>
          <w:jc w:val="center"/>
        </w:trPr>
        <w:tc>
          <w:tcPr>
            <w:tcW w:w="295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rPr>
                <w:rFonts w:cs="Arial"/>
                <w:noProof w:val="0"/>
                <w:color w:val="000000"/>
                <w:sz w:val="18"/>
                <w:szCs w:val="18"/>
                <w:lang w:eastAsia="cs-CZ"/>
              </w:rPr>
            </w:pPr>
            <w:r w:rsidRPr="00E73ED3">
              <w:rPr>
                <w:rFonts w:cs="Arial"/>
                <w:noProof w:val="0"/>
                <w:color w:val="000000"/>
                <w:sz w:val="18"/>
                <w:szCs w:val="18"/>
                <w:lang w:eastAsia="cs-CZ"/>
              </w:rPr>
              <w:t> </w:t>
            </w:r>
          </w:p>
        </w:tc>
        <w:tc>
          <w:tcPr>
            <w:tcW w:w="1274" w:type="dxa"/>
            <w:gridSpan w:val="2"/>
            <w:tcBorders>
              <w:top w:val="single" w:sz="4" w:space="0" w:color="auto"/>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muži</w:t>
            </w:r>
          </w:p>
        </w:tc>
        <w:tc>
          <w:tcPr>
            <w:tcW w:w="1274" w:type="dxa"/>
            <w:gridSpan w:val="2"/>
            <w:tcBorders>
              <w:top w:val="single" w:sz="4" w:space="0" w:color="auto"/>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ženy</w:t>
            </w:r>
          </w:p>
        </w:tc>
        <w:tc>
          <w:tcPr>
            <w:tcW w:w="1274" w:type="dxa"/>
            <w:gridSpan w:val="2"/>
            <w:tcBorders>
              <w:top w:val="single" w:sz="4" w:space="0" w:color="auto"/>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celkem</w:t>
            </w:r>
          </w:p>
        </w:tc>
      </w:tr>
      <w:tr w:rsidR="00E73ED3" w:rsidRPr="00E73ED3" w:rsidTr="00E73ED3">
        <w:trPr>
          <w:trHeight w:val="255"/>
          <w:jc w:val="center"/>
        </w:trPr>
        <w:tc>
          <w:tcPr>
            <w:tcW w:w="2951" w:type="dxa"/>
            <w:vMerge/>
            <w:tcBorders>
              <w:top w:val="nil"/>
              <w:left w:val="single" w:sz="4" w:space="0" w:color="auto"/>
              <w:bottom w:val="single" w:sz="4" w:space="0" w:color="auto"/>
              <w:right w:val="single" w:sz="4" w:space="0" w:color="auto"/>
            </w:tcBorders>
            <w:vAlign w:val="center"/>
            <w:hideMark/>
          </w:tcPr>
          <w:p w:rsidR="00E73ED3" w:rsidRPr="00E73ED3" w:rsidRDefault="00E73ED3" w:rsidP="00A45B5A">
            <w:pPr>
              <w:keepNext/>
              <w:keepLines/>
              <w:suppressAutoHyphens w:val="0"/>
              <w:rPr>
                <w:rFonts w:cs="Arial"/>
                <w:noProof w:val="0"/>
                <w:color w:val="000000"/>
                <w:sz w:val="18"/>
                <w:szCs w:val="18"/>
                <w:lang w:eastAsia="cs-CZ"/>
              </w:rPr>
            </w:pPr>
          </w:p>
        </w:tc>
        <w:tc>
          <w:tcPr>
            <w:tcW w:w="676"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abs.</w:t>
            </w:r>
          </w:p>
        </w:tc>
        <w:tc>
          <w:tcPr>
            <w:tcW w:w="598"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w:t>
            </w:r>
          </w:p>
        </w:tc>
        <w:tc>
          <w:tcPr>
            <w:tcW w:w="676"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abs.</w:t>
            </w:r>
          </w:p>
        </w:tc>
        <w:tc>
          <w:tcPr>
            <w:tcW w:w="598"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w:t>
            </w:r>
          </w:p>
        </w:tc>
        <w:tc>
          <w:tcPr>
            <w:tcW w:w="676"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abs.</w:t>
            </w:r>
          </w:p>
        </w:tc>
        <w:tc>
          <w:tcPr>
            <w:tcW w:w="598"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center"/>
              <w:rPr>
                <w:rFonts w:cs="Arial"/>
                <w:noProof w:val="0"/>
                <w:color w:val="000000"/>
                <w:sz w:val="18"/>
                <w:szCs w:val="18"/>
                <w:lang w:eastAsia="cs-CZ"/>
              </w:rPr>
            </w:pPr>
            <w:r w:rsidRPr="00E73ED3">
              <w:rPr>
                <w:rFonts w:cs="Arial"/>
                <w:noProof w:val="0"/>
                <w:color w:val="000000"/>
                <w:sz w:val="18"/>
                <w:szCs w:val="18"/>
                <w:lang w:eastAsia="cs-CZ"/>
              </w:rPr>
              <w:t>%</w:t>
            </w:r>
          </w:p>
        </w:tc>
      </w:tr>
      <w:tr w:rsidR="00E73ED3" w:rsidRPr="00E73ED3" w:rsidTr="00E73ED3">
        <w:trPr>
          <w:trHeight w:val="255"/>
          <w:jc w:val="center"/>
        </w:trPr>
        <w:tc>
          <w:tcPr>
            <w:tcW w:w="2951" w:type="dxa"/>
            <w:tcBorders>
              <w:top w:val="nil"/>
              <w:left w:val="single" w:sz="4" w:space="0" w:color="auto"/>
              <w:bottom w:val="nil"/>
              <w:right w:val="single" w:sz="4" w:space="0" w:color="auto"/>
            </w:tcBorders>
            <w:shd w:val="clear" w:color="auto" w:fill="auto"/>
            <w:noWrap/>
            <w:vAlign w:val="bottom"/>
            <w:hideMark/>
          </w:tcPr>
          <w:p w:rsidR="00E73ED3" w:rsidRPr="00E73ED3" w:rsidRDefault="00E73ED3" w:rsidP="00A45B5A">
            <w:pPr>
              <w:keepNext/>
              <w:keepLines/>
              <w:suppressAutoHyphens w:val="0"/>
              <w:rPr>
                <w:rFonts w:cs="Arial"/>
                <w:noProof w:val="0"/>
                <w:color w:val="000000"/>
                <w:sz w:val="18"/>
                <w:szCs w:val="18"/>
                <w:lang w:eastAsia="cs-CZ"/>
              </w:rPr>
            </w:pPr>
            <w:r w:rsidRPr="00E73ED3">
              <w:rPr>
                <w:rFonts w:cs="Arial"/>
                <w:noProof w:val="0"/>
                <w:color w:val="000000"/>
                <w:sz w:val="18"/>
                <w:szCs w:val="18"/>
                <w:lang w:eastAsia="cs-CZ"/>
              </w:rPr>
              <w:t>ve stejné obci</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6</w:t>
            </w:r>
            <w:r>
              <w:rPr>
                <w:rFonts w:cs="Arial"/>
                <w:noProof w:val="0"/>
                <w:color w:val="000000"/>
                <w:sz w:val="18"/>
                <w:szCs w:val="18"/>
                <w:lang w:eastAsia="cs-CZ"/>
              </w:rPr>
              <w:t xml:space="preserve"> </w:t>
            </w:r>
            <w:r w:rsidRPr="00E73ED3">
              <w:rPr>
                <w:rFonts w:cs="Arial"/>
                <w:noProof w:val="0"/>
                <w:color w:val="000000"/>
                <w:sz w:val="18"/>
                <w:szCs w:val="18"/>
                <w:lang w:eastAsia="cs-CZ"/>
              </w:rPr>
              <w:t>430</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71,3</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w:t>
            </w:r>
            <w:r>
              <w:rPr>
                <w:rFonts w:cs="Arial"/>
                <w:noProof w:val="0"/>
                <w:color w:val="000000"/>
                <w:sz w:val="18"/>
                <w:szCs w:val="18"/>
                <w:lang w:eastAsia="cs-CZ"/>
              </w:rPr>
              <w:t xml:space="preserve"> </w:t>
            </w:r>
            <w:r w:rsidRPr="00E73ED3">
              <w:rPr>
                <w:rFonts w:cs="Arial"/>
                <w:noProof w:val="0"/>
                <w:color w:val="000000"/>
                <w:sz w:val="18"/>
                <w:szCs w:val="18"/>
                <w:lang w:eastAsia="cs-CZ"/>
              </w:rPr>
              <w:t>881</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76,1</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8</w:t>
            </w:r>
            <w:r>
              <w:rPr>
                <w:rFonts w:cs="Arial"/>
                <w:noProof w:val="0"/>
                <w:color w:val="000000"/>
                <w:sz w:val="18"/>
                <w:szCs w:val="18"/>
                <w:lang w:eastAsia="cs-CZ"/>
              </w:rPr>
              <w:t xml:space="preserve"> </w:t>
            </w:r>
            <w:r w:rsidRPr="00E73ED3">
              <w:rPr>
                <w:rFonts w:cs="Arial"/>
                <w:noProof w:val="0"/>
                <w:color w:val="000000"/>
                <w:sz w:val="18"/>
                <w:szCs w:val="18"/>
                <w:lang w:eastAsia="cs-CZ"/>
              </w:rPr>
              <w:t>311</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72,3</w:t>
            </w:r>
          </w:p>
        </w:tc>
      </w:tr>
      <w:tr w:rsidR="00E73ED3" w:rsidRPr="00E73ED3" w:rsidTr="00E73ED3">
        <w:trPr>
          <w:trHeight w:val="255"/>
          <w:jc w:val="center"/>
        </w:trPr>
        <w:tc>
          <w:tcPr>
            <w:tcW w:w="2951" w:type="dxa"/>
            <w:tcBorders>
              <w:top w:val="nil"/>
              <w:left w:val="single" w:sz="4" w:space="0" w:color="auto"/>
              <w:bottom w:val="nil"/>
              <w:right w:val="single" w:sz="4" w:space="0" w:color="auto"/>
            </w:tcBorders>
            <w:shd w:val="clear" w:color="auto" w:fill="auto"/>
            <w:noWrap/>
            <w:vAlign w:val="bottom"/>
            <w:hideMark/>
          </w:tcPr>
          <w:p w:rsidR="00E73ED3" w:rsidRPr="00E73ED3" w:rsidRDefault="00E73ED3" w:rsidP="00A45B5A">
            <w:pPr>
              <w:keepNext/>
              <w:keepLines/>
              <w:suppressAutoHyphens w:val="0"/>
              <w:rPr>
                <w:rFonts w:cs="Arial"/>
                <w:noProof w:val="0"/>
                <w:color w:val="000000"/>
                <w:sz w:val="18"/>
                <w:szCs w:val="18"/>
                <w:lang w:eastAsia="cs-CZ"/>
              </w:rPr>
            </w:pPr>
            <w:r w:rsidRPr="00E73ED3">
              <w:rPr>
                <w:rFonts w:cs="Arial"/>
                <w:noProof w:val="0"/>
                <w:color w:val="000000"/>
                <w:sz w:val="18"/>
                <w:szCs w:val="18"/>
                <w:lang w:eastAsia="cs-CZ"/>
              </w:rPr>
              <w:t>v jiné obci stejného okresu</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959</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10,6</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210</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8,5</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w:t>
            </w:r>
            <w:r>
              <w:rPr>
                <w:rFonts w:cs="Arial"/>
                <w:noProof w:val="0"/>
                <w:color w:val="000000"/>
                <w:sz w:val="18"/>
                <w:szCs w:val="18"/>
                <w:lang w:eastAsia="cs-CZ"/>
              </w:rPr>
              <w:t xml:space="preserve"> </w:t>
            </w:r>
            <w:r w:rsidRPr="00E73ED3">
              <w:rPr>
                <w:rFonts w:cs="Arial"/>
                <w:noProof w:val="0"/>
                <w:color w:val="000000"/>
                <w:sz w:val="18"/>
                <w:szCs w:val="18"/>
                <w:lang w:eastAsia="cs-CZ"/>
              </w:rPr>
              <w:t>169</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10,2</w:t>
            </w:r>
          </w:p>
        </w:tc>
      </w:tr>
      <w:tr w:rsidR="00E73ED3" w:rsidRPr="00E73ED3" w:rsidTr="00E73ED3">
        <w:trPr>
          <w:trHeight w:val="255"/>
          <w:jc w:val="center"/>
        </w:trPr>
        <w:tc>
          <w:tcPr>
            <w:tcW w:w="2951" w:type="dxa"/>
            <w:tcBorders>
              <w:top w:val="nil"/>
              <w:left w:val="single" w:sz="4" w:space="0" w:color="auto"/>
              <w:bottom w:val="nil"/>
              <w:right w:val="single" w:sz="4" w:space="0" w:color="auto"/>
            </w:tcBorders>
            <w:shd w:val="clear" w:color="auto" w:fill="auto"/>
            <w:noWrap/>
            <w:vAlign w:val="bottom"/>
            <w:hideMark/>
          </w:tcPr>
          <w:p w:rsidR="00E73ED3" w:rsidRPr="00E73ED3" w:rsidRDefault="00E73ED3" w:rsidP="00A45B5A">
            <w:pPr>
              <w:keepNext/>
              <w:keepLines/>
              <w:suppressAutoHyphens w:val="0"/>
              <w:rPr>
                <w:rFonts w:cs="Arial"/>
                <w:noProof w:val="0"/>
                <w:color w:val="000000"/>
                <w:sz w:val="18"/>
                <w:szCs w:val="18"/>
                <w:lang w:eastAsia="cs-CZ"/>
              </w:rPr>
            </w:pPr>
            <w:r w:rsidRPr="00E73ED3">
              <w:rPr>
                <w:rFonts w:cs="Arial"/>
                <w:noProof w:val="0"/>
                <w:color w:val="000000"/>
                <w:sz w:val="18"/>
                <w:szCs w:val="18"/>
                <w:lang w:eastAsia="cs-CZ"/>
              </w:rPr>
              <w:t>v jiném okrese kraje</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517</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5,7</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137</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5,5</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654</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5,7</w:t>
            </w:r>
          </w:p>
        </w:tc>
      </w:tr>
      <w:tr w:rsidR="00E73ED3" w:rsidRPr="00E73ED3" w:rsidTr="00E73ED3">
        <w:trPr>
          <w:trHeight w:val="255"/>
          <w:jc w:val="center"/>
        </w:trPr>
        <w:tc>
          <w:tcPr>
            <w:tcW w:w="2951" w:type="dxa"/>
            <w:tcBorders>
              <w:top w:val="nil"/>
              <w:left w:val="single" w:sz="4" w:space="0" w:color="auto"/>
              <w:bottom w:val="nil"/>
              <w:right w:val="single" w:sz="4" w:space="0" w:color="auto"/>
            </w:tcBorders>
            <w:shd w:val="clear" w:color="auto" w:fill="auto"/>
            <w:noWrap/>
            <w:vAlign w:val="bottom"/>
            <w:hideMark/>
          </w:tcPr>
          <w:p w:rsidR="00E73ED3" w:rsidRPr="00E73ED3" w:rsidRDefault="00E73ED3" w:rsidP="00A45B5A">
            <w:pPr>
              <w:keepNext/>
              <w:keepLines/>
              <w:suppressAutoHyphens w:val="0"/>
              <w:rPr>
                <w:rFonts w:cs="Arial"/>
                <w:noProof w:val="0"/>
                <w:color w:val="000000"/>
                <w:sz w:val="18"/>
                <w:szCs w:val="18"/>
                <w:lang w:eastAsia="cs-CZ"/>
              </w:rPr>
            </w:pPr>
            <w:r w:rsidRPr="00E73ED3">
              <w:rPr>
                <w:rFonts w:cs="Arial"/>
                <w:noProof w:val="0"/>
                <w:color w:val="000000"/>
                <w:sz w:val="18"/>
                <w:szCs w:val="18"/>
                <w:lang w:eastAsia="cs-CZ"/>
              </w:rPr>
              <w:t>v jiném kraji</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959</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10,6</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205</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8,3</w:t>
            </w:r>
          </w:p>
        </w:tc>
        <w:tc>
          <w:tcPr>
            <w:tcW w:w="676"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w:t>
            </w:r>
            <w:r>
              <w:rPr>
                <w:rFonts w:cs="Arial"/>
                <w:noProof w:val="0"/>
                <w:color w:val="000000"/>
                <w:sz w:val="18"/>
                <w:szCs w:val="18"/>
                <w:lang w:eastAsia="cs-CZ"/>
              </w:rPr>
              <w:t xml:space="preserve"> </w:t>
            </w:r>
            <w:r w:rsidRPr="00E73ED3">
              <w:rPr>
                <w:rFonts w:cs="Arial"/>
                <w:noProof w:val="0"/>
                <w:color w:val="000000"/>
                <w:sz w:val="18"/>
                <w:szCs w:val="18"/>
                <w:lang w:eastAsia="cs-CZ"/>
              </w:rPr>
              <w:t>164</w:t>
            </w:r>
          </w:p>
        </w:tc>
        <w:tc>
          <w:tcPr>
            <w:tcW w:w="598" w:type="dxa"/>
            <w:tcBorders>
              <w:top w:val="nil"/>
              <w:left w:val="nil"/>
              <w:bottom w:val="nil"/>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10,1</w:t>
            </w:r>
          </w:p>
        </w:tc>
      </w:tr>
      <w:tr w:rsidR="00E73ED3" w:rsidRPr="00E73ED3" w:rsidTr="00E73ED3">
        <w:trPr>
          <w:trHeight w:val="255"/>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rPr>
                <w:rFonts w:cs="Arial"/>
                <w:noProof w:val="0"/>
                <w:color w:val="000000"/>
                <w:sz w:val="18"/>
                <w:szCs w:val="18"/>
                <w:lang w:eastAsia="cs-CZ"/>
              </w:rPr>
            </w:pPr>
            <w:r w:rsidRPr="00E73ED3">
              <w:rPr>
                <w:rFonts w:cs="Arial"/>
                <w:noProof w:val="0"/>
                <w:color w:val="000000"/>
                <w:sz w:val="18"/>
                <w:szCs w:val="18"/>
                <w:lang w:eastAsia="cs-CZ"/>
              </w:rPr>
              <w:t xml:space="preserve">bez </w:t>
            </w:r>
            <w:proofErr w:type="spellStart"/>
            <w:r w:rsidRPr="00E73ED3">
              <w:rPr>
                <w:rFonts w:cs="Arial"/>
                <w:noProof w:val="0"/>
                <w:color w:val="000000"/>
                <w:sz w:val="18"/>
                <w:szCs w:val="18"/>
                <w:lang w:eastAsia="cs-CZ"/>
              </w:rPr>
              <w:t>trv</w:t>
            </w:r>
            <w:proofErr w:type="spellEnd"/>
            <w:r w:rsidRPr="00E73ED3">
              <w:rPr>
                <w:rFonts w:cs="Arial"/>
                <w:noProof w:val="0"/>
                <w:color w:val="000000"/>
                <w:sz w:val="18"/>
                <w:szCs w:val="18"/>
                <w:lang w:eastAsia="cs-CZ"/>
              </w:rPr>
              <w:t>. pobytu</w:t>
            </w:r>
          </w:p>
        </w:tc>
        <w:tc>
          <w:tcPr>
            <w:tcW w:w="676"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158</w:t>
            </w:r>
          </w:p>
        </w:tc>
        <w:tc>
          <w:tcPr>
            <w:tcW w:w="598"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1,8</w:t>
            </w:r>
          </w:p>
        </w:tc>
        <w:tc>
          <w:tcPr>
            <w:tcW w:w="676"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40</w:t>
            </w:r>
          </w:p>
        </w:tc>
        <w:tc>
          <w:tcPr>
            <w:tcW w:w="598"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1,6</w:t>
            </w:r>
          </w:p>
        </w:tc>
        <w:tc>
          <w:tcPr>
            <w:tcW w:w="676"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198</w:t>
            </w:r>
          </w:p>
        </w:tc>
        <w:tc>
          <w:tcPr>
            <w:tcW w:w="598" w:type="dxa"/>
            <w:tcBorders>
              <w:top w:val="nil"/>
              <w:left w:val="nil"/>
              <w:bottom w:val="single" w:sz="4" w:space="0" w:color="auto"/>
              <w:right w:val="single" w:sz="4" w:space="0" w:color="auto"/>
            </w:tcBorders>
            <w:shd w:val="clear" w:color="auto" w:fill="auto"/>
            <w:noWrap/>
            <w:vAlign w:val="bottom"/>
            <w:hideMark/>
          </w:tcPr>
          <w:p w:rsidR="00E73ED3" w:rsidRPr="00E73ED3" w:rsidRDefault="00E73ED3" w:rsidP="00A45B5A">
            <w:pPr>
              <w:keepNext/>
              <w:keepLines/>
              <w:suppressAutoHyphens w:val="0"/>
              <w:jc w:val="right"/>
              <w:rPr>
                <w:rFonts w:cs="Arial"/>
                <w:noProof w:val="0"/>
                <w:color w:val="000000"/>
                <w:sz w:val="18"/>
                <w:szCs w:val="18"/>
                <w:lang w:eastAsia="cs-CZ"/>
              </w:rPr>
            </w:pPr>
            <w:r w:rsidRPr="00E73ED3">
              <w:rPr>
                <w:rFonts w:cs="Arial"/>
                <w:noProof w:val="0"/>
                <w:color w:val="000000"/>
                <w:sz w:val="18"/>
                <w:szCs w:val="18"/>
                <w:lang w:eastAsia="cs-CZ"/>
              </w:rPr>
              <w:t>1,7</w:t>
            </w:r>
          </w:p>
        </w:tc>
      </w:tr>
    </w:tbl>
    <w:p w:rsidR="00920338" w:rsidRDefault="00920338" w:rsidP="00E73ED3">
      <w:pPr>
        <w:pStyle w:val="Textodstavce"/>
        <w:tabs>
          <w:tab w:val="clear" w:pos="720"/>
        </w:tabs>
        <w:spacing w:line="276" w:lineRule="auto"/>
        <w:ind w:left="0" w:firstLine="0"/>
        <w:rPr>
          <w:rFonts w:ascii="Arial" w:hAnsi="Arial" w:cs="Arial"/>
          <w:sz w:val="20"/>
        </w:rPr>
      </w:pPr>
    </w:p>
    <w:p w:rsidR="00572B3A" w:rsidRDefault="00E73ED3" w:rsidP="00E73ED3">
      <w:pPr>
        <w:pStyle w:val="Textodstavce"/>
        <w:tabs>
          <w:tab w:val="clear" w:pos="720"/>
        </w:tabs>
        <w:spacing w:line="276" w:lineRule="auto"/>
        <w:ind w:left="0" w:firstLine="0"/>
        <w:rPr>
          <w:rFonts w:ascii="Arial" w:hAnsi="Arial" w:cs="Arial"/>
          <w:sz w:val="20"/>
        </w:rPr>
      </w:pPr>
      <w:r w:rsidRPr="00E73ED3">
        <w:rPr>
          <w:rFonts w:ascii="Arial" w:hAnsi="Arial" w:cs="Arial"/>
          <w:sz w:val="20"/>
        </w:rPr>
        <w:t>Charakteristickým rysem byl u bezdomovců i vysoký podíl osob s trvalým bydlištěm na ohlašovně. Zatímco v populaci celkem mělo z počtu obyvatel s obvyklým pobytem adresu trvalého bydliště na ohlašovně 0,2 % osob, u bezdomovců to bylo 16 %. Ztráta</w:t>
      </w:r>
      <w:r w:rsidR="00572B3A">
        <w:rPr>
          <w:rFonts w:ascii="Arial" w:hAnsi="Arial" w:cs="Arial"/>
          <w:sz w:val="20"/>
        </w:rPr>
        <w:t xml:space="preserve"> původního stálého</w:t>
      </w:r>
      <w:r w:rsidRPr="00E73ED3">
        <w:rPr>
          <w:rFonts w:ascii="Arial" w:hAnsi="Arial" w:cs="Arial"/>
          <w:sz w:val="20"/>
        </w:rPr>
        <w:t xml:space="preserve"> bydliště patří obecně k nejčastějším příčinám  bezdomovectví. </w:t>
      </w:r>
    </w:p>
    <w:p w:rsidR="00B679F7" w:rsidRDefault="00E73ED3" w:rsidP="00E73ED3">
      <w:pPr>
        <w:pStyle w:val="Textodstavce"/>
        <w:tabs>
          <w:tab w:val="clear" w:pos="720"/>
        </w:tabs>
        <w:spacing w:line="276" w:lineRule="auto"/>
        <w:ind w:left="0" w:firstLine="0"/>
        <w:rPr>
          <w:rFonts w:ascii="Arial" w:hAnsi="Arial" w:cs="Arial"/>
          <w:sz w:val="20"/>
        </w:rPr>
      </w:pPr>
      <w:r w:rsidRPr="00E73ED3">
        <w:rPr>
          <w:rFonts w:ascii="Arial" w:hAnsi="Arial" w:cs="Arial"/>
          <w:sz w:val="20"/>
        </w:rPr>
        <w:t>Údaje o bydlišti před rokem dávají zprostředkovanou informaci o délce bezdomovectví a o migraci těchto osob. U poloviny bezdomovců bylo zjištěno, že byli ve stejném regionu i před rokem. Dvě pětiny bezdomovců otázku na bydliště před rokem nezodpověděly.</w:t>
      </w:r>
    </w:p>
    <w:p w:rsidR="00B679F7" w:rsidRDefault="00B679F7" w:rsidP="00B679F7">
      <w:pPr>
        <w:spacing w:line="276" w:lineRule="auto"/>
        <w:rPr>
          <w:b/>
          <w:bCs/>
          <w:sz w:val="20"/>
          <w:szCs w:val="20"/>
        </w:rPr>
      </w:pPr>
      <w:r w:rsidRPr="001770AA">
        <w:rPr>
          <w:b/>
          <w:sz w:val="20"/>
          <w:szCs w:val="20"/>
        </w:rPr>
        <w:t xml:space="preserve">Graf č. </w:t>
      </w:r>
      <w:r>
        <w:rPr>
          <w:b/>
          <w:sz w:val="20"/>
          <w:szCs w:val="20"/>
        </w:rPr>
        <w:t xml:space="preserve">19 Bezdomovci podle věku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51354C" w:rsidRDefault="00EF5C39" w:rsidP="002714B1">
      <w:pPr>
        <w:spacing w:line="276" w:lineRule="auto"/>
        <w:rPr>
          <w:rFonts w:cs="Arial"/>
          <w:sz w:val="20"/>
        </w:rPr>
      </w:pPr>
      <w:r w:rsidRPr="00EF5C39">
        <w:rPr>
          <w:b/>
          <w:bCs/>
          <w:sz w:val="20"/>
          <w:szCs w:val="20"/>
          <w:lang w:eastAsia="cs-CZ"/>
        </w:rPr>
        <w:drawing>
          <wp:anchor distT="0" distB="0" distL="114300" distR="114300" simplePos="0" relativeHeight="251678720" behindDoc="0" locked="0" layoutInCell="1" allowOverlap="1">
            <wp:simplePos x="0" y="0"/>
            <wp:positionH relativeFrom="column">
              <wp:posOffset>20320</wp:posOffset>
            </wp:positionH>
            <wp:positionV relativeFrom="paragraph">
              <wp:posOffset>3175</wp:posOffset>
            </wp:positionV>
            <wp:extent cx="3324225" cy="2257425"/>
            <wp:effectExtent l="19050" t="0" r="9525" b="0"/>
            <wp:wrapSquare wrapText="bothSides"/>
            <wp:docPr id="2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73ED3" w:rsidRPr="00E73ED3">
        <w:rPr>
          <w:rFonts w:cs="Arial"/>
          <w:sz w:val="20"/>
        </w:rPr>
        <w:t xml:space="preserve"> </w:t>
      </w:r>
      <w:r w:rsidR="0051354C">
        <w:rPr>
          <w:rFonts w:cs="Arial"/>
          <w:sz w:val="20"/>
        </w:rPr>
        <w:t>Základní charakteristiky bezdomovců byly poplatné zařízením, prostřednictvím kterých byli sečteni. Např. poměrně značný počet zařízení pro matky s dětmi ovlivnil strukturu podle pohlaví a věku. Počet žen ve skupině osob bez domova činil 22 %, ve struktuře podle věku se objevily i děti, např. 300 dětí ve věku 0-9 let (2,6 % z počtu sečtených bezdomovců).</w:t>
      </w:r>
      <w:r w:rsidR="00920338">
        <w:rPr>
          <w:rFonts w:cs="Arial"/>
          <w:sz w:val="20"/>
        </w:rPr>
        <w:t xml:space="preserve"> </w:t>
      </w:r>
      <w:r w:rsidR="0051354C">
        <w:rPr>
          <w:rFonts w:cs="Arial"/>
          <w:sz w:val="20"/>
        </w:rPr>
        <w:t>Z věkové struktury je zřejmá vyrovnanost zastoupení desetiletých věkových skupin, zejména mezi 20 a 50 lety. U mužů byla nejpočetněji zastoupena věková kategorie 40-49 let, u žen 20-29 let. Okrajovými kategoriemi byly nejnižší (do 14 let) a nejvyšší (nad 65 let) věkové skupiny.</w:t>
      </w:r>
    </w:p>
    <w:p w:rsidR="0051354C" w:rsidRDefault="0051354C" w:rsidP="00572B3A">
      <w:pPr>
        <w:pStyle w:val="Textodstavce"/>
        <w:tabs>
          <w:tab w:val="clear" w:pos="720"/>
        </w:tabs>
        <w:spacing w:line="276" w:lineRule="auto"/>
        <w:ind w:left="0" w:firstLine="0"/>
        <w:rPr>
          <w:rFonts w:ascii="Arial" w:hAnsi="Arial" w:cs="Arial"/>
          <w:sz w:val="20"/>
        </w:rPr>
      </w:pPr>
      <w:r>
        <w:rPr>
          <w:rFonts w:ascii="Arial" w:hAnsi="Arial" w:cs="Arial"/>
          <w:sz w:val="20"/>
        </w:rPr>
        <w:t xml:space="preserve">Podíl svobodných z celkového počtu sečtených bezdomovců se blížil polovině, dvě pětiny připadly na rozvedené. Dokumentuje to tedy předpoklad, že do krizových životních situací se dostávají spíše osoby bez rodinného zázemí resp. osoby, které o toto zázemí z různých důvodů přišly. Proporčně platilo toto rozložení jak pro ženy, tak pro muže. U žen bylo ale méně svobodných (44 % proti 50 % u mužů), méně rozvedených a naopak dvojnásobný podíl vdaných (16 %) proti ženatým mužům (8 %). </w:t>
      </w:r>
    </w:p>
    <w:p w:rsidR="0051354C" w:rsidRDefault="0051354C" w:rsidP="00572B3A">
      <w:pPr>
        <w:pStyle w:val="Textodstavce"/>
        <w:tabs>
          <w:tab w:val="clear" w:pos="720"/>
        </w:tabs>
        <w:spacing w:line="276" w:lineRule="auto"/>
        <w:ind w:left="0" w:firstLine="0"/>
        <w:rPr>
          <w:rFonts w:ascii="Arial" w:hAnsi="Arial" w:cs="Arial"/>
          <w:sz w:val="20"/>
        </w:rPr>
      </w:pPr>
      <w:r>
        <w:rPr>
          <w:rFonts w:ascii="Arial" w:hAnsi="Arial" w:cs="Arial"/>
          <w:sz w:val="20"/>
        </w:rPr>
        <w:t>Většina sečtených bezdomovců byla českými státními občany, pouze 332 osob uvedlo jiné státní občanství, z nich pak 157 státní občanství Slovenska.</w:t>
      </w:r>
    </w:p>
    <w:p w:rsidR="0051354C" w:rsidRDefault="0051354C" w:rsidP="00572B3A">
      <w:pPr>
        <w:pStyle w:val="Normln-web"/>
        <w:spacing w:line="276" w:lineRule="auto"/>
        <w:rPr>
          <w:sz w:val="20"/>
          <w:szCs w:val="20"/>
        </w:rPr>
      </w:pPr>
      <w:r>
        <w:rPr>
          <w:sz w:val="20"/>
          <w:szCs w:val="20"/>
        </w:rPr>
        <w:t xml:space="preserve">Rovněž ekonomická aktivita bezdomovců byla poplatná způsobu sečtení prostřednictvím azylových zařízení. Převaha osob nezaměstnaných nebo ekonomicky neaktivních byla očekávaná, přesto údaj o podílu pracujících bezdomovců (29 %) byl neočekávaně vysoký. Z počtu bezdomovců v produktivním věku (15-64 let) pracovalo více než 31 %. Tento podíl je zhruba poloviční ve srovnání s podílem pracujících osob v produktivním věku v populaci celkem. Téměř třetina pracujících sečtených bezdomovců souvisí </w:t>
      </w:r>
      <w:r>
        <w:rPr>
          <w:sz w:val="20"/>
          <w:szCs w:val="20"/>
        </w:rPr>
        <w:lastRenderedPageBreak/>
        <w:t>pravděpodobně s typy zařízení, prostřednictvím kterých byly tyto osoby sečteny. Zařízení poskytující ubytování vyžadují většinou spoluúčast (byť minimální) při financování poskytovaných služeb, proto tato zařízení vyhledávají zejména osoby, které se snaží svou tíživou životní situaci řešit a mají-li příležitost, pracují.</w:t>
      </w:r>
    </w:p>
    <w:p w:rsidR="0051354C" w:rsidRDefault="0051354C" w:rsidP="0051354C">
      <w:pPr>
        <w:pStyle w:val="Normln-web"/>
        <w:rPr>
          <w:sz w:val="20"/>
          <w:szCs w:val="20"/>
        </w:rPr>
      </w:pPr>
    </w:p>
    <w:tbl>
      <w:tblPr>
        <w:tblW w:w="9087" w:type="dxa"/>
        <w:tblInd w:w="55" w:type="dxa"/>
        <w:tblLayout w:type="fixed"/>
        <w:tblCellMar>
          <w:left w:w="70" w:type="dxa"/>
          <w:right w:w="70" w:type="dxa"/>
        </w:tblCellMar>
        <w:tblLook w:val="04A0"/>
      </w:tblPr>
      <w:tblGrid>
        <w:gridCol w:w="1754"/>
        <w:gridCol w:w="1213"/>
        <w:gridCol w:w="1017"/>
        <w:gridCol w:w="1134"/>
        <w:gridCol w:w="993"/>
        <w:gridCol w:w="1134"/>
        <w:gridCol w:w="992"/>
        <w:gridCol w:w="850"/>
      </w:tblGrid>
      <w:tr w:rsidR="0051354C" w:rsidRPr="00572B3A" w:rsidTr="00851E06">
        <w:trPr>
          <w:trHeight w:val="255"/>
        </w:trPr>
        <w:tc>
          <w:tcPr>
            <w:tcW w:w="9087" w:type="dxa"/>
            <w:gridSpan w:val="8"/>
            <w:tcBorders>
              <w:top w:val="nil"/>
              <w:left w:val="nil"/>
              <w:bottom w:val="nil"/>
              <w:right w:val="nil"/>
            </w:tcBorders>
            <w:shd w:val="clear" w:color="auto" w:fill="auto"/>
            <w:noWrap/>
            <w:vAlign w:val="bottom"/>
            <w:hideMark/>
          </w:tcPr>
          <w:p w:rsidR="0051354C" w:rsidRPr="00A45B5A" w:rsidRDefault="00760C72" w:rsidP="00760C72">
            <w:pPr>
              <w:rPr>
                <w:rFonts w:cs="Arial"/>
                <w:b/>
                <w:color w:val="000000"/>
                <w:sz w:val="20"/>
                <w:szCs w:val="20"/>
              </w:rPr>
            </w:pPr>
            <w:r>
              <w:rPr>
                <w:rFonts w:cs="Arial"/>
                <w:b/>
                <w:bCs/>
                <w:sz w:val="20"/>
                <w:szCs w:val="20"/>
              </w:rPr>
              <w:t xml:space="preserve">Tab. č. 16  </w:t>
            </w:r>
            <w:r w:rsidR="0051354C" w:rsidRPr="00A45B5A">
              <w:rPr>
                <w:rFonts w:cs="Arial"/>
                <w:b/>
                <w:color w:val="000000"/>
                <w:sz w:val="20"/>
                <w:szCs w:val="20"/>
              </w:rPr>
              <w:t>Bezdomovci podle ekonomické aktivity a postavení v zaměstnání k 26.</w:t>
            </w:r>
            <w:r>
              <w:rPr>
                <w:rFonts w:cs="Arial"/>
                <w:b/>
                <w:color w:val="000000"/>
                <w:sz w:val="20"/>
                <w:szCs w:val="20"/>
              </w:rPr>
              <w:t xml:space="preserve"> </w:t>
            </w:r>
            <w:r w:rsidR="0051354C" w:rsidRPr="00A45B5A">
              <w:rPr>
                <w:rFonts w:cs="Arial"/>
                <w:b/>
                <w:color w:val="000000"/>
                <w:sz w:val="20"/>
                <w:szCs w:val="20"/>
              </w:rPr>
              <w:t>3.</w:t>
            </w:r>
            <w:r>
              <w:rPr>
                <w:rFonts w:cs="Arial"/>
                <w:b/>
                <w:color w:val="000000"/>
                <w:sz w:val="20"/>
                <w:szCs w:val="20"/>
              </w:rPr>
              <w:t xml:space="preserve"> </w:t>
            </w:r>
            <w:r w:rsidR="0051354C" w:rsidRPr="00A45B5A">
              <w:rPr>
                <w:rFonts w:cs="Arial"/>
                <w:b/>
                <w:color w:val="000000"/>
                <w:sz w:val="20"/>
                <w:szCs w:val="20"/>
              </w:rPr>
              <w:t>2011</w:t>
            </w:r>
          </w:p>
        </w:tc>
      </w:tr>
      <w:tr w:rsidR="0051354C" w:rsidRPr="00572B3A" w:rsidTr="00851E06">
        <w:trPr>
          <w:trHeight w:val="255"/>
        </w:trPr>
        <w:tc>
          <w:tcPr>
            <w:tcW w:w="17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54C" w:rsidRPr="00572B3A" w:rsidRDefault="0051354C" w:rsidP="00851E06">
            <w:pPr>
              <w:jc w:val="center"/>
              <w:rPr>
                <w:rFonts w:cs="Arial"/>
                <w:color w:val="000000"/>
                <w:sz w:val="18"/>
                <w:szCs w:val="18"/>
              </w:rPr>
            </w:pPr>
            <w:r w:rsidRPr="00572B3A">
              <w:rPr>
                <w:rFonts w:cs="Arial"/>
                <w:color w:val="000000"/>
                <w:sz w:val="18"/>
                <w:szCs w:val="18"/>
              </w:rPr>
              <w:t> </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Bezdomovci celkem</w:t>
            </w:r>
          </w:p>
        </w:tc>
        <w:tc>
          <w:tcPr>
            <w:tcW w:w="3144" w:type="dxa"/>
            <w:gridSpan w:val="3"/>
            <w:tcBorders>
              <w:top w:val="single" w:sz="4" w:space="0" w:color="auto"/>
              <w:left w:val="nil"/>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Ekonomicky aktivní</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Ekonomicky neaktivní</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 xml:space="preserve">z toho </w:t>
            </w:r>
            <w:r w:rsidRPr="00572B3A">
              <w:rPr>
                <w:rFonts w:cs="Arial"/>
                <w:color w:val="000000"/>
                <w:sz w:val="18"/>
                <w:szCs w:val="18"/>
              </w:rPr>
              <w:br/>
              <w:t>neprac. důchodci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Nezj. ekon. aktivita</w:t>
            </w:r>
          </w:p>
        </w:tc>
      </w:tr>
      <w:tr w:rsidR="0051354C" w:rsidRPr="00572B3A" w:rsidTr="00851E06">
        <w:trPr>
          <w:trHeight w:val="795"/>
        </w:trPr>
        <w:tc>
          <w:tcPr>
            <w:tcW w:w="1754" w:type="dxa"/>
            <w:vMerge/>
            <w:tcBorders>
              <w:top w:val="single" w:sz="4" w:space="0" w:color="auto"/>
              <w:left w:val="single" w:sz="4" w:space="0" w:color="auto"/>
              <w:bottom w:val="single" w:sz="4" w:space="0" w:color="auto"/>
              <w:right w:val="single" w:sz="4" w:space="0" w:color="auto"/>
            </w:tcBorders>
            <w:vAlign w:val="center"/>
            <w:hideMark/>
          </w:tcPr>
          <w:p w:rsidR="0051354C" w:rsidRPr="00572B3A" w:rsidRDefault="0051354C" w:rsidP="00851E06">
            <w:pPr>
              <w:rPr>
                <w:rFonts w:cs="Arial"/>
                <w:color w:val="000000"/>
                <w:sz w:val="18"/>
                <w:szCs w:val="18"/>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51354C" w:rsidRPr="00572B3A" w:rsidRDefault="0051354C" w:rsidP="00851E06">
            <w:pPr>
              <w:rPr>
                <w:rFonts w:cs="Arial"/>
                <w:color w:val="000000"/>
                <w:sz w:val="18"/>
                <w:szCs w:val="18"/>
              </w:rPr>
            </w:pPr>
          </w:p>
        </w:tc>
        <w:tc>
          <w:tcPr>
            <w:tcW w:w="1017" w:type="dxa"/>
            <w:tcBorders>
              <w:top w:val="nil"/>
              <w:left w:val="nil"/>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Pracující</w:t>
            </w:r>
          </w:p>
        </w:tc>
        <w:tc>
          <w:tcPr>
            <w:tcW w:w="1134" w:type="dxa"/>
            <w:tcBorders>
              <w:top w:val="nil"/>
              <w:left w:val="nil"/>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 xml:space="preserve">z toho </w:t>
            </w:r>
            <w:r w:rsidRPr="00572B3A">
              <w:rPr>
                <w:rFonts w:cs="Arial"/>
                <w:color w:val="000000"/>
                <w:sz w:val="18"/>
                <w:szCs w:val="18"/>
              </w:rPr>
              <w:br/>
              <w:t>v pozici zaměst--nance</w:t>
            </w:r>
          </w:p>
        </w:tc>
        <w:tc>
          <w:tcPr>
            <w:tcW w:w="993" w:type="dxa"/>
            <w:tcBorders>
              <w:top w:val="nil"/>
              <w:left w:val="nil"/>
              <w:bottom w:val="single" w:sz="4" w:space="0" w:color="auto"/>
              <w:right w:val="single" w:sz="4" w:space="0" w:color="auto"/>
            </w:tcBorders>
            <w:shd w:val="clear" w:color="auto" w:fill="auto"/>
            <w:vAlign w:val="center"/>
            <w:hideMark/>
          </w:tcPr>
          <w:p w:rsidR="0051354C" w:rsidRPr="00572B3A" w:rsidRDefault="0051354C" w:rsidP="00851E06">
            <w:pPr>
              <w:jc w:val="center"/>
              <w:rPr>
                <w:rFonts w:cs="Arial"/>
                <w:color w:val="000000"/>
                <w:sz w:val="18"/>
                <w:szCs w:val="18"/>
              </w:rPr>
            </w:pPr>
            <w:r w:rsidRPr="00572B3A">
              <w:rPr>
                <w:rFonts w:cs="Arial"/>
                <w:color w:val="000000"/>
                <w:sz w:val="18"/>
                <w:szCs w:val="18"/>
              </w:rPr>
              <w:t>Neza</w:t>
            </w:r>
            <w:r w:rsidR="00572B3A" w:rsidRPr="00572B3A">
              <w:rPr>
                <w:rFonts w:cs="Arial"/>
                <w:color w:val="000000"/>
                <w:sz w:val="18"/>
                <w:szCs w:val="18"/>
              </w:rPr>
              <w:t>--</w:t>
            </w:r>
            <w:r w:rsidRPr="00572B3A">
              <w:rPr>
                <w:rFonts w:cs="Arial"/>
                <w:color w:val="000000"/>
                <w:sz w:val="18"/>
                <w:szCs w:val="18"/>
              </w:rPr>
              <w:t>městnaní</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1354C" w:rsidRPr="00572B3A" w:rsidRDefault="0051354C" w:rsidP="00851E06">
            <w:pPr>
              <w:rPr>
                <w:rFonts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354C" w:rsidRPr="00572B3A" w:rsidRDefault="0051354C" w:rsidP="00851E06">
            <w:pPr>
              <w:rPr>
                <w:rFonts w:cs="Arial"/>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1354C" w:rsidRPr="00572B3A" w:rsidRDefault="0051354C" w:rsidP="00851E06">
            <w:pPr>
              <w:rPr>
                <w:rFonts w:cs="Arial"/>
                <w:color w:val="000000"/>
                <w:sz w:val="18"/>
                <w:szCs w:val="18"/>
              </w:rPr>
            </w:pPr>
          </w:p>
        </w:tc>
      </w:tr>
      <w:tr w:rsidR="0051354C" w:rsidRPr="00572B3A" w:rsidTr="00851E06">
        <w:trPr>
          <w:trHeight w:val="225"/>
        </w:trPr>
        <w:tc>
          <w:tcPr>
            <w:tcW w:w="1754" w:type="dxa"/>
            <w:tcBorders>
              <w:top w:val="nil"/>
              <w:left w:val="single" w:sz="4" w:space="0" w:color="auto"/>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7333" w:type="dxa"/>
            <w:gridSpan w:val="7"/>
            <w:tcBorders>
              <w:top w:val="single" w:sz="4" w:space="0" w:color="auto"/>
              <w:left w:val="nil"/>
              <w:bottom w:val="single" w:sz="4" w:space="0" w:color="auto"/>
              <w:right w:val="single" w:sz="4" w:space="0" w:color="auto"/>
            </w:tcBorders>
            <w:shd w:val="clear" w:color="auto" w:fill="auto"/>
            <w:vAlign w:val="bottom"/>
            <w:hideMark/>
          </w:tcPr>
          <w:p w:rsidR="0051354C" w:rsidRPr="00572B3A" w:rsidRDefault="0051354C" w:rsidP="00851E06">
            <w:pPr>
              <w:jc w:val="center"/>
              <w:rPr>
                <w:rFonts w:cs="Arial"/>
                <w:color w:val="000000"/>
                <w:sz w:val="18"/>
                <w:szCs w:val="18"/>
              </w:rPr>
            </w:pPr>
            <w:r w:rsidRPr="00572B3A">
              <w:rPr>
                <w:rFonts w:cs="Arial"/>
                <w:color w:val="000000"/>
                <w:sz w:val="18"/>
                <w:szCs w:val="18"/>
              </w:rPr>
              <w:t>abs.</w:t>
            </w:r>
          </w:p>
        </w:tc>
      </w:tr>
      <w:tr w:rsidR="0051354C" w:rsidRPr="00572B3A" w:rsidTr="00851E06">
        <w:trPr>
          <w:trHeight w:val="255"/>
        </w:trPr>
        <w:tc>
          <w:tcPr>
            <w:tcW w:w="1754" w:type="dxa"/>
            <w:tcBorders>
              <w:top w:val="nil"/>
              <w:left w:val="single" w:sz="4" w:space="0" w:color="auto"/>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Bezdomovci celkem</w:t>
            </w:r>
          </w:p>
        </w:tc>
        <w:tc>
          <w:tcPr>
            <w:tcW w:w="1213"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11496</w:t>
            </w:r>
          </w:p>
        </w:tc>
        <w:tc>
          <w:tcPr>
            <w:tcW w:w="1017"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3332</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2426</w:t>
            </w:r>
          </w:p>
        </w:tc>
        <w:tc>
          <w:tcPr>
            <w:tcW w:w="993"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4464</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2872</w:t>
            </w:r>
          </w:p>
        </w:tc>
        <w:tc>
          <w:tcPr>
            <w:tcW w:w="992"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1581</w:t>
            </w:r>
          </w:p>
        </w:tc>
        <w:tc>
          <w:tcPr>
            <w:tcW w:w="850"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828</w:t>
            </w:r>
          </w:p>
        </w:tc>
      </w:tr>
      <w:tr w:rsidR="0051354C" w:rsidRPr="00572B3A" w:rsidTr="00851E06">
        <w:trPr>
          <w:trHeight w:val="255"/>
        </w:trPr>
        <w:tc>
          <w:tcPr>
            <w:tcW w:w="1754" w:type="dxa"/>
            <w:tcBorders>
              <w:top w:val="nil"/>
              <w:left w:val="single" w:sz="4" w:space="0" w:color="auto"/>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z toho</w:t>
            </w:r>
          </w:p>
        </w:tc>
        <w:tc>
          <w:tcPr>
            <w:tcW w:w="1213" w:type="dxa"/>
            <w:tcBorders>
              <w:top w:val="nil"/>
              <w:left w:val="nil"/>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1017"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993"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992"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850" w:type="dxa"/>
            <w:tcBorders>
              <w:top w:val="nil"/>
              <w:left w:val="nil"/>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r>
      <w:tr w:rsidR="0051354C" w:rsidRPr="00572B3A" w:rsidTr="00851E06">
        <w:trPr>
          <w:trHeight w:val="255"/>
        </w:trPr>
        <w:tc>
          <w:tcPr>
            <w:tcW w:w="1754" w:type="dxa"/>
            <w:tcBorders>
              <w:top w:val="nil"/>
              <w:left w:val="single" w:sz="4" w:space="0" w:color="auto"/>
              <w:bottom w:val="nil"/>
              <w:right w:val="single" w:sz="4" w:space="0" w:color="auto"/>
            </w:tcBorders>
            <w:shd w:val="clear" w:color="auto" w:fill="auto"/>
            <w:noWrap/>
            <w:vAlign w:val="bottom"/>
            <w:hideMark/>
          </w:tcPr>
          <w:p w:rsidR="0051354C" w:rsidRPr="00572B3A" w:rsidRDefault="00A45B5A" w:rsidP="00851E06">
            <w:pPr>
              <w:rPr>
                <w:rFonts w:cs="Arial"/>
                <w:color w:val="000000"/>
                <w:sz w:val="18"/>
                <w:szCs w:val="18"/>
              </w:rPr>
            </w:pPr>
            <w:r>
              <w:rPr>
                <w:rFonts w:cs="Arial"/>
                <w:color w:val="000000"/>
                <w:sz w:val="18"/>
                <w:szCs w:val="18"/>
              </w:rPr>
              <w:t xml:space="preserve">   </w:t>
            </w:r>
            <w:r w:rsidR="0051354C" w:rsidRPr="00572B3A">
              <w:rPr>
                <w:rFonts w:cs="Arial"/>
                <w:color w:val="000000"/>
                <w:sz w:val="18"/>
                <w:szCs w:val="18"/>
              </w:rPr>
              <w:t>ve věku 15-64 let</w:t>
            </w:r>
          </w:p>
        </w:tc>
        <w:tc>
          <w:tcPr>
            <w:tcW w:w="1213"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10597</w:t>
            </w:r>
          </w:p>
        </w:tc>
        <w:tc>
          <w:tcPr>
            <w:tcW w:w="1017"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3302</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2410</w:t>
            </w:r>
          </w:p>
        </w:tc>
        <w:tc>
          <w:tcPr>
            <w:tcW w:w="993"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4457</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2051</w:t>
            </w:r>
          </w:p>
        </w:tc>
        <w:tc>
          <w:tcPr>
            <w:tcW w:w="992"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1170</w:t>
            </w:r>
          </w:p>
        </w:tc>
        <w:tc>
          <w:tcPr>
            <w:tcW w:w="850" w:type="dxa"/>
            <w:tcBorders>
              <w:top w:val="nil"/>
              <w:left w:val="nil"/>
              <w:bottom w:val="nil"/>
              <w:right w:val="single" w:sz="4" w:space="0" w:color="auto"/>
            </w:tcBorders>
            <w:shd w:val="clear" w:color="auto" w:fill="auto"/>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787</w:t>
            </w:r>
          </w:p>
        </w:tc>
      </w:tr>
      <w:tr w:rsidR="0051354C" w:rsidRPr="00572B3A" w:rsidTr="00851E06">
        <w:trPr>
          <w:trHeight w:val="255"/>
        </w:trPr>
        <w:tc>
          <w:tcPr>
            <w:tcW w:w="1754" w:type="dxa"/>
            <w:tcBorders>
              <w:top w:val="nil"/>
              <w:left w:val="single" w:sz="4" w:space="0" w:color="auto"/>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7333" w:type="dxa"/>
            <w:gridSpan w:val="7"/>
            <w:tcBorders>
              <w:top w:val="single" w:sz="4" w:space="0" w:color="auto"/>
              <w:left w:val="nil"/>
              <w:bottom w:val="single" w:sz="4" w:space="0" w:color="auto"/>
              <w:right w:val="single" w:sz="4" w:space="0" w:color="auto"/>
            </w:tcBorders>
            <w:shd w:val="clear" w:color="auto" w:fill="auto"/>
            <w:vAlign w:val="bottom"/>
            <w:hideMark/>
          </w:tcPr>
          <w:p w:rsidR="0051354C" w:rsidRPr="00572B3A" w:rsidRDefault="0051354C" w:rsidP="00851E06">
            <w:pPr>
              <w:jc w:val="center"/>
              <w:rPr>
                <w:rFonts w:cs="Arial"/>
                <w:color w:val="000000"/>
                <w:sz w:val="18"/>
                <w:szCs w:val="18"/>
              </w:rPr>
            </w:pPr>
            <w:r w:rsidRPr="00572B3A">
              <w:rPr>
                <w:rFonts w:cs="Arial"/>
                <w:color w:val="000000"/>
                <w:sz w:val="18"/>
                <w:szCs w:val="18"/>
              </w:rPr>
              <w:t>%</w:t>
            </w:r>
          </w:p>
        </w:tc>
      </w:tr>
      <w:tr w:rsidR="0051354C" w:rsidRPr="00572B3A" w:rsidTr="00851E06">
        <w:trPr>
          <w:trHeight w:val="255"/>
        </w:trPr>
        <w:tc>
          <w:tcPr>
            <w:tcW w:w="1754" w:type="dxa"/>
            <w:tcBorders>
              <w:top w:val="nil"/>
              <w:left w:val="single" w:sz="4" w:space="0" w:color="auto"/>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Bezdomovci celkem</w:t>
            </w:r>
          </w:p>
        </w:tc>
        <w:tc>
          <w:tcPr>
            <w:tcW w:w="1213"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100,0</w:t>
            </w:r>
          </w:p>
        </w:tc>
        <w:tc>
          <w:tcPr>
            <w:tcW w:w="1017"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29,0</w:t>
            </w:r>
          </w:p>
        </w:tc>
        <w:tc>
          <w:tcPr>
            <w:tcW w:w="1134"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21,1</w:t>
            </w:r>
          </w:p>
        </w:tc>
        <w:tc>
          <w:tcPr>
            <w:tcW w:w="993"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38,8</w:t>
            </w:r>
          </w:p>
        </w:tc>
        <w:tc>
          <w:tcPr>
            <w:tcW w:w="1134"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25,0</w:t>
            </w:r>
          </w:p>
        </w:tc>
        <w:tc>
          <w:tcPr>
            <w:tcW w:w="992"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13,8</w:t>
            </w:r>
          </w:p>
        </w:tc>
        <w:tc>
          <w:tcPr>
            <w:tcW w:w="850" w:type="dxa"/>
            <w:tcBorders>
              <w:top w:val="nil"/>
              <w:left w:val="nil"/>
              <w:bottom w:val="nil"/>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7,2</w:t>
            </w:r>
          </w:p>
        </w:tc>
      </w:tr>
      <w:tr w:rsidR="0051354C" w:rsidRPr="00572B3A" w:rsidTr="00851E06">
        <w:trPr>
          <w:trHeight w:val="255"/>
        </w:trPr>
        <w:tc>
          <w:tcPr>
            <w:tcW w:w="1754" w:type="dxa"/>
            <w:tcBorders>
              <w:top w:val="nil"/>
              <w:left w:val="single" w:sz="4" w:space="0" w:color="auto"/>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z toho</w:t>
            </w:r>
          </w:p>
        </w:tc>
        <w:tc>
          <w:tcPr>
            <w:tcW w:w="1213" w:type="dxa"/>
            <w:tcBorders>
              <w:top w:val="nil"/>
              <w:left w:val="nil"/>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1017"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993"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1134"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992" w:type="dxa"/>
            <w:tcBorders>
              <w:top w:val="nil"/>
              <w:left w:val="nil"/>
              <w:bottom w:val="nil"/>
              <w:right w:val="single" w:sz="4" w:space="0" w:color="auto"/>
            </w:tcBorders>
            <w:shd w:val="clear" w:color="auto" w:fill="auto"/>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c>
          <w:tcPr>
            <w:tcW w:w="850" w:type="dxa"/>
            <w:tcBorders>
              <w:top w:val="nil"/>
              <w:left w:val="nil"/>
              <w:bottom w:val="nil"/>
              <w:right w:val="single" w:sz="4" w:space="0" w:color="auto"/>
            </w:tcBorders>
            <w:shd w:val="clear" w:color="auto" w:fill="auto"/>
            <w:noWrap/>
            <w:vAlign w:val="bottom"/>
            <w:hideMark/>
          </w:tcPr>
          <w:p w:rsidR="0051354C" w:rsidRPr="00572B3A" w:rsidRDefault="0051354C" w:rsidP="00851E06">
            <w:pPr>
              <w:rPr>
                <w:rFonts w:cs="Arial"/>
                <w:color w:val="000000"/>
                <w:sz w:val="18"/>
                <w:szCs w:val="18"/>
              </w:rPr>
            </w:pPr>
            <w:r w:rsidRPr="00572B3A">
              <w:rPr>
                <w:rFonts w:cs="Arial"/>
                <w:color w:val="000000"/>
                <w:sz w:val="18"/>
                <w:szCs w:val="18"/>
              </w:rPr>
              <w:t> </w:t>
            </w:r>
          </w:p>
        </w:tc>
      </w:tr>
      <w:tr w:rsidR="0051354C" w:rsidRPr="00572B3A" w:rsidTr="00851E06">
        <w:trPr>
          <w:trHeight w:val="255"/>
        </w:trPr>
        <w:tc>
          <w:tcPr>
            <w:tcW w:w="1754" w:type="dxa"/>
            <w:tcBorders>
              <w:top w:val="nil"/>
              <w:left w:val="single" w:sz="4" w:space="0" w:color="auto"/>
              <w:bottom w:val="single" w:sz="4" w:space="0" w:color="auto"/>
              <w:right w:val="single" w:sz="4" w:space="0" w:color="auto"/>
            </w:tcBorders>
            <w:shd w:val="clear" w:color="auto" w:fill="auto"/>
            <w:noWrap/>
            <w:vAlign w:val="bottom"/>
            <w:hideMark/>
          </w:tcPr>
          <w:p w:rsidR="0051354C" w:rsidRPr="00572B3A" w:rsidRDefault="00A45B5A" w:rsidP="00851E06">
            <w:pPr>
              <w:rPr>
                <w:rFonts w:cs="Arial"/>
                <w:color w:val="000000"/>
                <w:sz w:val="18"/>
                <w:szCs w:val="18"/>
              </w:rPr>
            </w:pPr>
            <w:r>
              <w:rPr>
                <w:rFonts w:cs="Arial"/>
                <w:color w:val="000000"/>
                <w:sz w:val="18"/>
                <w:szCs w:val="18"/>
              </w:rPr>
              <w:t xml:space="preserve">   </w:t>
            </w:r>
            <w:r w:rsidR="0051354C" w:rsidRPr="00572B3A">
              <w:rPr>
                <w:rFonts w:cs="Arial"/>
                <w:color w:val="000000"/>
                <w:sz w:val="18"/>
                <w:szCs w:val="18"/>
              </w:rPr>
              <w:t>ve věku 15-64 let</w:t>
            </w:r>
          </w:p>
        </w:tc>
        <w:tc>
          <w:tcPr>
            <w:tcW w:w="1213" w:type="dxa"/>
            <w:tcBorders>
              <w:top w:val="nil"/>
              <w:left w:val="nil"/>
              <w:bottom w:val="single" w:sz="4" w:space="0" w:color="auto"/>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100,0</w:t>
            </w:r>
          </w:p>
        </w:tc>
        <w:tc>
          <w:tcPr>
            <w:tcW w:w="1017" w:type="dxa"/>
            <w:tcBorders>
              <w:top w:val="nil"/>
              <w:left w:val="nil"/>
              <w:bottom w:val="single" w:sz="4" w:space="0" w:color="auto"/>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31,2</w:t>
            </w:r>
          </w:p>
        </w:tc>
        <w:tc>
          <w:tcPr>
            <w:tcW w:w="1134" w:type="dxa"/>
            <w:tcBorders>
              <w:top w:val="nil"/>
              <w:left w:val="nil"/>
              <w:bottom w:val="single" w:sz="4" w:space="0" w:color="auto"/>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22,7</w:t>
            </w:r>
          </w:p>
        </w:tc>
        <w:tc>
          <w:tcPr>
            <w:tcW w:w="993" w:type="dxa"/>
            <w:tcBorders>
              <w:top w:val="nil"/>
              <w:left w:val="nil"/>
              <w:bottom w:val="single" w:sz="4" w:space="0" w:color="auto"/>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42,1</w:t>
            </w:r>
          </w:p>
        </w:tc>
        <w:tc>
          <w:tcPr>
            <w:tcW w:w="1134" w:type="dxa"/>
            <w:tcBorders>
              <w:top w:val="nil"/>
              <w:left w:val="nil"/>
              <w:bottom w:val="single" w:sz="4" w:space="0" w:color="auto"/>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19,4</w:t>
            </w:r>
          </w:p>
        </w:tc>
        <w:tc>
          <w:tcPr>
            <w:tcW w:w="992" w:type="dxa"/>
            <w:tcBorders>
              <w:top w:val="nil"/>
              <w:left w:val="nil"/>
              <w:bottom w:val="single" w:sz="4" w:space="0" w:color="auto"/>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11,0</w:t>
            </w:r>
          </w:p>
        </w:tc>
        <w:tc>
          <w:tcPr>
            <w:tcW w:w="850" w:type="dxa"/>
            <w:tcBorders>
              <w:top w:val="nil"/>
              <w:left w:val="nil"/>
              <w:bottom w:val="single" w:sz="4" w:space="0" w:color="auto"/>
              <w:right w:val="single" w:sz="4" w:space="0" w:color="auto"/>
            </w:tcBorders>
            <w:shd w:val="clear" w:color="auto" w:fill="auto"/>
            <w:noWrap/>
            <w:vAlign w:val="bottom"/>
            <w:hideMark/>
          </w:tcPr>
          <w:p w:rsidR="0051354C" w:rsidRPr="00572B3A" w:rsidRDefault="0051354C" w:rsidP="00851E06">
            <w:pPr>
              <w:jc w:val="right"/>
              <w:rPr>
                <w:rFonts w:cs="Arial"/>
                <w:color w:val="000000"/>
                <w:sz w:val="18"/>
                <w:szCs w:val="18"/>
              </w:rPr>
            </w:pPr>
            <w:r w:rsidRPr="00572B3A">
              <w:rPr>
                <w:rFonts w:cs="Arial"/>
                <w:color w:val="000000"/>
                <w:sz w:val="18"/>
                <w:szCs w:val="18"/>
              </w:rPr>
              <w:t>7,4</w:t>
            </w:r>
          </w:p>
        </w:tc>
      </w:tr>
    </w:tbl>
    <w:p w:rsidR="0051354C" w:rsidRDefault="0051354C" w:rsidP="0051354C">
      <w:pPr>
        <w:pStyle w:val="Normln-web"/>
        <w:rPr>
          <w:sz w:val="20"/>
          <w:szCs w:val="20"/>
        </w:rPr>
      </w:pPr>
    </w:p>
    <w:p w:rsidR="002714B1" w:rsidRDefault="0051354C" w:rsidP="00572B3A">
      <w:pPr>
        <w:pStyle w:val="Normln-web"/>
        <w:spacing w:line="276" w:lineRule="auto"/>
        <w:rPr>
          <w:sz w:val="20"/>
          <w:szCs w:val="20"/>
        </w:rPr>
      </w:pPr>
      <w:r>
        <w:rPr>
          <w:sz w:val="20"/>
          <w:szCs w:val="20"/>
        </w:rPr>
        <w:t xml:space="preserve">Se statusem bezdomovce a úrovní ekonomické aktivity koresponduje struktura podle nejvyššího ukončeného vzdělání. Tři čtvrtiny sečtených bezdomovců měly střední nebo základní vzdělání, přičemž na jednoho bezdomovce se základním vzděláním připadli zhruba dva se vzděláním středním.  Právě vzdělání střední (bez maturity) bylo nejpočetnější skupinou – mělo ho více než 47 % sečtených bezdomovců starších 15 let. Tyto osoby tedy určitou kvalifikaci pro případný výkon povolání měly a měly tudíž i předpoklady najít si uplatnění na trhu práce. </w:t>
      </w:r>
    </w:p>
    <w:p w:rsidR="002714B1" w:rsidRDefault="002714B1" w:rsidP="00572B3A">
      <w:pPr>
        <w:pStyle w:val="Normln-web"/>
        <w:spacing w:line="276" w:lineRule="auto"/>
        <w:rPr>
          <w:sz w:val="20"/>
          <w:szCs w:val="20"/>
        </w:rPr>
      </w:pPr>
    </w:p>
    <w:p w:rsidR="00DD1433" w:rsidRDefault="002714B1" w:rsidP="002714B1">
      <w:pPr>
        <w:spacing w:line="276" w:lineRule="auto"/>
        <w:rPr>
          <w:b/>
          <w:sz w:val="20"/>
          <w:szCs w:val="20"/>
        </w:rPr>
      </w:pPr>
      <w:r w:rsidRPr="001770AA">
        <w:rPr>
          <w:b/>
          <w:sz w:val="20"/>
          <w:szCs w:val="20"/>
        </w:rPr>
        <w:t xml:space="preserve">Graf č. </w:t>
      </w:r>
      <w:r>
        <w:rPr>
          <w:b/>
          <w:sz w:val="20"/>
          <w:szCs w:val="20"/>
        </w:rPr>
        <w:t xml:space="preserve">20 Bezdomovci podle nejvyššího ukončeného vzdělání </w:t>
      </w:r>
    </w:p>
    <w:p w:rsidR="002714B1" w:rsidRDefault="002714B1" w:rsidP="002714B1">
      <w:pPr>
        <w:spacing w:line="276" w:lineRule="auto"/>
        <w:rPr>
          <w:b/>
          <w:bCs/>
          <w:sz w:val="20"/>
          <w:szCs w:val="20"/>
        </w:rPr>
      </w:pP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51354C" w:rsidRDefault="002714B1" w:rsidP="00DD1433">
      <w:pPr>
        <w:spacing w:line="276" w:lineRule="auto"/>
        <w:rPr>
          <w:sz w:val="20"/>
          <w:szCs w:val="20"/>
        </w:rPr>
      </w:pPr>
      <w:r w:rsidRPr="002714B1">
        <w:rPr>
          <w:b/>
          <w:bCs/>
          <w:sz w:val="20"/>
          <w:szCs w:val="20"/>
          <w:lang w:eastAsia="cs-CZ"/>
        </w:rPr>
        <w:drawing>
          <wp:anchor distT="0" distB="0" distL="114300" distR="114300" simplePos="0" relativeHeight="251679744" behindDoc="0" locked="0" layoutInCell="1" allowOverlap="1">
            <wp:simplePos x="0" y="0"/>
            <wp:positionH relativeFrom="column">
              <wp:posOffset>20320</wp:posOffset>
            </wp:positionH>
            <wp:positionV relativeFrom="paragraph">
              <wp:posOffset>66040</wp:posOffset>
            </wp:positionV>
            <wp:extent cx="3695700" cy="2105025"/>
            <wp:effectExtent l="19050" t="0" r="19050" b="0"/>
            <wp:wrapSquare wrapText="bothSides"/>
            <wp:docPr id="26"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51354C">
        <w:rPr>
          <w:sz w:val="20"/>
          <w:szCs w:val="20"/>
        </w:rPr>
        <w:t xml:space="preserve">Že je vzdělání poměrně důležitým faktorem pro pracovní uplatnění dokumentuje i srovnání s bezdomovci se vzděláním základním (tedy bez jakékoliv kvalifikace). Zatímco z počtu sečtených bezdomovců se středním vzděláním pracovala třetina, z počtu bezdomovců se vzděláním základním pracovalo necelých 18 %. </w:t>
      </w:r>
    </w:p>
    <w:p w:rsidR="0051354C" w:rsidRDefault="0051354C" w:rsidP="00572B3A">
      <w:pPr>
        <w:pStyle w:val="Normln-web"/>
        <w:spacing w:line="276" w:lineRule="auto"/>
        <w:rPr>
          <w:sz w:val="20"/>
          <w:szCs w:val="20"/>
        </w:rPr>
      </w:pPr>
      <w:r>
        <w:rPr>
          <w:sz w:val="20"/>
          <w:szCs w:val="20"/>
        </w:rPr>
        <w:t>Nej</w:t>
      </w:r>
      <w:r w:rsidR="00220D4D">
        <w:rPr>
          <w:sz w:val="20"/>
          <w:szCs w:val="20"/>
        </w:rPr>
        <w:t>více pracujících bezdomovců (25 </w:t>
      </w:r>
      <w:r>
        <w:rPr>
          <w:sz w:val="20"/>
          <w:szCs w:val="20"/>
        </w:rPr>
        <w:t>%) našlo uplatnění ve zpracovatelském průmyslu, zejména v kovodělné výrobě a výrobě motorový</w:t>
      </w:r>
      <w:r w:rsidR="00220D4D">
        <w:rPr>
          <w:sz w:val="20"/>
          <w:szCs w:val="20"/>
        </w:rPr>
        <w:t>ch vozidel, ve stavebnictví (12 </w:t>
      </w:r>
      <w:r>
        <w:rPr>
          <w:sz w:val="20"/>
          <w:szCs w:val="20"/>
        </w:rPr>
        <w:t xml:space="preserve">%), dopravě a skladování (9 %) a obchodě (necelých 8 %). Z hlediska konkrétních vykonávaných zaměstnání byly zhruba stejně (cca 22 %) zastoupeny skupina řemeslníků (zejména řemeslníci na stavbách, nástrojaři a svářeči) a pracovníci obsluhy strojů a zařízení (především řidiči nákladních automobilů a montážní dělníci). Třetí nejpočetnější skupinu (12,5 %) tvořili pracovníci ve službách a prodeji – většinou prodavači nebo jiní pracovníci v prodejnách. </w:t>
      </w:r>
    </w:p>
    <w:p w:rsidR="0051354C" w:rsidRDefault="0051354C" w:rsidP="00E1165F">
      <w:pPr>
        <w:pStyle w:val="Normln-web"/>
        <w:spacing w:line="276" w:lineRule="auto"/>
        <w:rPr>
          <w:sz w:val="20"/>
          <w:szCs w:val="20"/>
        </w:rPr>
      </w:pPr>
      <w:r>
        <w:rPr>
          <w:sz w:val="20"/>
          <w:szCs w:val="20"/>
        </w:rPr>
        <w:lastRenderedPageBreak/>
        <w:t>Stejně jako u celkové populace i bezdomovci využili ve velké míře dobrovolnosti odpovědí na otázky na národnost nebo náboženskou víru a nechali tyto otázky často bez odpovědi. Národnost neuvedla téměř čtvrtina z nich, náboženskou víru neuvedlo téměř 47 % osob bez domova.</w:t>
      </w:r>
    </w:p>
    <w:p w:rsidR="0051354C" w:rsidRDefault="0051354C" w:rsidP="00E1165F">
      <w:pPr>
        <w:pStyle w:val="Normln-web"/>
        <w:spacing w:line="276" w:lineRule="auto"/>
        <w:rPr>
          <w:sz w:val="20"/>
          <w:szCs w:val="20"/>
        </w:rPr>
      </w:pPr>
      <w:r>
        <w:rPr>
          <w:sz w:val="20"/>
          <w:szCs w:val="20"/>
        </w:rPr>
        <w:t xml:space="preserve">Dominantní národností </w:t>
      </w:r>
      <w:r w:rsidR="00E1165F">
        <w:rPr>
          <w:sz w:val="20"/>
          <w:szCs w:val="20"/>
        </w:rPr>
        <w:t xml:space="preserve">bezdomovců </w:t>
      </w:r>
      <w:r>
        <w:rPr>
          <w:sz w:val="20"/>
          <w:szCs w:val="20"/>
        </w:rPr>
        <w:t xml:space="preserve">byla národnost česká, kterou deklarovaly více než dvě třetiny </w:t>
      </w:r>
      <w:r w:rsidR="00E1165F">
        <w:rPr>
          <w:sz w:val="20"/>
          <w:szCs w:val="20"/>
        </w:rPr>
        <w:t>z nich</w:t>
      </w:r>
      <w:r>
        <w:rPr>
          <w:sz w:val="20"/>
          <w:szCs w:val="20"/>
        </w:rPr>
        <w:t>, jinou než českou příp. dvojí národnost uvedla desetina osob bez domova. Ačkoliv národnost byla vnímána jako citlivá otázka, u mateřského jazyka tomu tak nebylo. Pouhá 2 % bezdomovců svůj mateřský jazyk neuvedla. Současně z</w:t>
      </w:r>
      <w:r w:rsidR="00E1165F">
        <w:rPr>
          <w:sz w:val="20"/>
          <w:szCs w:val="20"/>
        </w:rPr>
        <w:t> </w:t>
      </w:r>
      <w:r>
        <w:rPr>
          <w:sz w:val="20"/>
          <w:szCs w:val="20"/>
        </w:rPr>
        <w:t>2</w:t>
      </w:r>
      <w:r w:rsidR="00E1165F">
        <w:rPr>
          <w:sz w:val="20"/>
          <w:szCs w:val="20"/>
        </w:rPr>
        <w:t xml:space="preserve"> </w:t>
      </w:r>
      <w:r>
        <w:rPr>
          <w:sz w:val="20"/>
          <w:szCs w:val="20"/>
        </w:rPr>
        <w:t xml:space="preserve">637 bezdomovců, kteří neuvedli svou národnost, pouze 151 osob neuvedlo ani mateřský jazyk (tj. necelých 6 % z počtu bezdomovců bez uvedené národnosti resp. 1,3 % z celkového počtu bezdomovců). </w:t>
      </w:r>
    </w:p>
    <w:p w:rsidR="00DD1433" w:rsidRDefault="00DD1433" w:rsidP="00DD1433">
      <w:pPr>
        <w:spacing w:line="276" w:lineRule="auto"/>
        <w:rPr>
          <w:b/>
          <w:sz w:val="20"/>
          <w:szCs w:val="20"/>
        </w:rPr>
      </w:pPr>
    </w:p>
    <w:p w:rsidR="00DD1433" w:rsidRDefault="00DD1433" w:rsidP="00DD1433">
      <w:pPr>
        <w:spacing w:line="276" w:lineRule="auto"/>
        <w:rPr>
          <w:b/>
          <w:bCs/>
          <w:sz w:val="20"/>
          <w:szCs w:val="20"/>
        </w:rPr>
      </w:pPr>
      <w:r w:rsidRPr="001770AA">
        <w:rPr>
          <w:b/>
          <w:sz w:val="20"/>
          <w:szCs w:val="20"/>
        </w:rPr>
        <w:t>Graf</w:t>
      </w:r>
      <w:r>
        <w:rPr>
          <w:b/>
          <w:sz w:val="20"/>
          <w:szCs w:val="20"/>
        </w:rPr>
        <w:t>y</w:t>
      </w:r>
      <w:r w:rsidRPr="001770AA">
        <w:rPr>
          <w:b/>
          <w:sz w:val="20"/>
          <w:szCs w:val="20"/>
        </w:rPr>
        <w:t xml:space="preserve"> č. </w:t>
      </w:r>
      <w:r>
        <w:rPr>
          <w:b/>
          <w:sz w:val="20"/>
          <w:szCs w:val="20"/>
        </w:rPr>
        <w:t xml:space="preserve">21, 22 Bezdomovci podle mateřského jazyka a národnosti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EE0737" w:rsidRDefault="00185204" w:rsidP="00DD1433">
      <w:pPr>
        <w:spacing w:line="276" w:lineRule="auto"/>
        <w:rPr>
          <w:b/>
          <w:bCs/>
          <w:sz w:val="20"/>
          <w:szCs w:val="20"/>
        </w:rPr>
      </w:pPr>
      <w:r>
        <w:rPr>
          <w:b/>
          <w:bCs/>
          <w:sz w:val="20"/>
          <w:szCs w:val="20"/>
          <w:lang w:eastAsia="cs-CZ"/>
        </w:rPr>
        <w:drawing>
          <wp:anchor distT="0" distB="0" distL="36195" distR="36195" simplePos="0" relativeHeight="251681792" behindDoc="0" locked="0" layoutInCell="1" allowOverlap="1">
            <wp:simplePos x="0" y="0"/>
            <wp:positionH relativeFrom="column">
              <wp:posOffset>19685</wp:posOffset>
            </wp:positionH>
            <wp:positionV relativeFrom="paragraph">
              <wp:posOffset>172085</wp:posOffset>
            </wp:positionV>
            <wp:extent cx="3057525" cy="2105025"/>
            <wp:effectExtent l="19050" t="0" r="9525" b="0"/>
            <wp:wrapSquare wrapText="bothSides"/>
            <wp:docPr id="34"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b/>
          <w:bCs/>
          <w:sz w:val="20"/>
          <w:szCs w:val="20"/>
          <w:lang w:eastAsia="cs-CZ"/>
        </w:rPr>
        <w:drawing>
          <wp:anchor distT="0" distB="0" distL="36195" distR="36195" simplePos="0" relativeHeight="251682816" behindDoc="0" locked="0" layoutInCell="1" allowOverlap="1">
            <wp:simplePos x="0" y="0"/>
            <wp:positionH relativeFrom="column">
              <wp:posOffset>3077845</wp:posOffset>
            </wp:positionH>
            <wp:positionV relativeFrom="paragraph">
              <wp:posOffset>172085</wp:posOffset>
            </wp:positionV>
            <wp:extent cx="2933700" cy="2105025"/>
            <wp:effectExtent l="19050" t="0" r="19050" b="0"/>
            <wp:wrapSquare wrapText="bothSides"/>
            <wp:docPr id="35"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1354C" w:rsidRDefault="0051354C" w:rsidP="009A629E">
      <w:pPr>
        <w:pStyle w:val="Normln-web"/>
        <w:spacing w:line="276" w:lineRule="auto"/>
        <w:rPr>
          <w:sz w:val="20"/>
          <w:szCs w:val="20"/>
        </w:rPr>
      </w:pPr>
      <w:r>
        <w:rPr>
          <w:sz w:val="20"/>
          <w:szCs w:val="20"/>
        </w:rPr>
        <w:t>K náboženské víře se přihlásila necelá pětina bezdomovců. Přitom 10 % bezdomovců uvedlo konkrétní církev nebo náboženskou společnost (6 % Církev římskokatolickou) a 8 % zvolilo na sčítacím formuláři „věřící-nehlásící se k žádné církvi ani náboženské společnosti“. Více než třetina bezdomovců (35 %) deklaroval</w:t>
      </w:r>
      <w:r w:rsidR="00067BCE">
        <w:rPr>
          <w:sz w:val="20"/>
          <w:szCs w:val="20"/>
        </w:rPr>
        <w:t>a</w:t>
      </w:r>
      <w:r>
        <w:rPr>
          <w:sz w:val="20"/>
          <w:szCs w:val="20"/>
        </w:rPr>
        <w:t>, že je bez náboženské víry. Ostatní nechali otázku bez odpovědi. Podíl neuvedených odpovědí u otázky na náboženskou víru byl stejně jako u celkové populace výrazně vyšší než podíl neuvedených národností. V případě bezdomovců byl tento podíl více než dvojnásobný.</w:t>
      </w:r>
    </w:p>
    <w:p w:rsidR="0051354C" w:rsidRPr="00803273" w:rsidRDefault="0051354C" w:rsidP="00282C4C">
      <w:pPr>
        <w:pStyle w:val="Normln-web"/>
        <w:numPr>
          <w:ilvl w:val="0"/>
          <w:numId w:val="10"/>
        </w:numPr>
        <w:spacing w:line="276" w:lineRule="auto"/>
        <w:ind w:left="851" w:hanging="851"/>
        <w:rPr>
          <w:b/>
        </w:rPr>
      </w:pPr>
      <w:r>
        <w:rPr>
          <w:b/>
        </w:rPr>
        <w:br w:type="page"/>
      </w:r>
      <w:r w:rsidR="00797BC3">
        <w:rPr>
          <w:b/>
        </w:rPr>
        <w:lastRenderedPageBreak/>
        <w:t>B</w:t>
      </w:r>
      <w:r w:rsidRPr="00803273">
        <w:rPr>
          <w:b/>
        </w:rPr>
        <w:t>ydlení cizinců</w:t>
      </w:r>
    </w:p>
    <w:p w:rsidR="003A44FD" w:rsidRDefault="0051354C" w:rsidP="0051354C">
      <w:pPr>
        <w:pStyle w:val="Normln-web"/>
        <w:spacing w:line="276" w:lineRule="auto"/>
        <w:rPr>
          <w:sz w:val="20"/>
          <w:szCs w:val="20"/>
        </w:rPr>
      </w:pPr>
      <w:r>
        <w:rPr>
          <w:sz w:val="20"/>
          <w:szCs w:val="20"/>
        </w:rPr>
        <w:t xml:space="preserve">Cizinci tvoří </w:t>
      </w:r>
      <w:r w:rsidR="008F2C5C">
        <w:rPr>
          <w:sz w:val="20"/>
          <w:szCs w:val="20"/>
        </w:rPr>
        <w:t>specifickou</w:t>
      </w:r>
      <w:r>
        <w:rPr>
          <w:sz w:val="20"/>
          <w:szCs w:val="20"/>
        </w:rPr>
        <w:t xml:space="preserve"> </w:t>
      </w:r>
      <w:r w:rsidR="00797BC3">
        <w:rPr>
          <w:sz w:val="20"/>
          <w:szCs w:val="20"/>
        </w:rPr>
        <w:t>skupinu</w:t>
      </w:r>
      <w:r>
        <w:rPr>
          <w:sz w:val="20"/>
          <w:szCs w:val="20"/>
        </w:rPr>
        <w:t xml:space="preserve"> obyvatel, definovanou státním občanstvím jiným než je Česká republika. </w:t>
      </w:r>
      <w:r w:rsidR="000D2754">
        <w:rPr>
          <w:sz w:val="20"/>
          <w:szCs w:val="20"/>
        </w:rPr>
        <w:t>K</w:t>
      </w:r>
      <w:r w:rsidR="003A44FD">
        <w:rPr>
          <w:sz w:val="20"/>
          <w:szCs w:val="20"/>
        </w:rPr>
        <w:t xml:space="preserve"> 26. 3. 2011 </w:t>
      </w:r>
      <w:r w:rsidR="000D2754">
        <w:rPr>
          <w:sz w:val="20"/>
          <w:szCs w:val="20"/>
        </w:rPr>
        <w:t xml:space="preserve">bydlelo obvykle na území republiky 422 276 </w:t>
      </w:r>
      <w:r w:rsidR="003A44FD">
        <w:rPr>
          <w:sz w:val="20"/>
          <w:szCs w:val="20"/>
        </w:rPr>
        <w:t xml:space="preserve">cizinců. </w:t>
      </w:r>
      <w:r w:rsidR="000D2754">
        <w:rPr>
          <w:sz w:val="20"/>
          <w:szCs w:val="20"/>
        </w:rPr>
        <w:t xml:space="preserve">Na celkovém počtu obyvatel se podíleli </w:t>
      </w:r>
      <w:r w:rsidR="00930C18">
        <w:rPr>
          <w:sz w:val="20"/>
          <w:szCs w:val="20"/>
        </w:rPr>
        <w:t>4 %</w:t>
      </w:r>
      <w:r>
        <w:rPr>
          <w:sz w:val="20"/>
          <w:szCs w:val="20"/>
        </w:rPr>
        <w:t xml:space="preserve">. I když v České republice nemá podíl cizinců na celkovém počtu obyvatel </w:t>
      </w:r>
      <w:r w:rsidR="0080236A">
        <w:rPr>
          <w:sz w:val="20"/>
          <w:szCs w:val="20"/>
        </w:rPr>
        <w:t xml:space="preserve">zatím </w:t>
      </w:r>
      <w:r>
        <w:rPr>
          <w:sz w:val="20"/>
          <w:szCs w:val="20"/>
        </w:rPr>
        <w:t>zásadní</w:t>
      </w:r>
      <w:r w:rsidR="00930C18">
        <w:rPr>
          <w:sz w:val="20"/>
          <w:szCs w:val="20"/>
        </w:rPr>
        <w:t xml:space="preserve"> váhu</w:t>
      </w:r>
      <w:r>
        <w:rPr>
          <w:sz w:val="20"/>
          <w:szCs w:val="20"/>
        </w:rPr>
        <w:t>, jde o údaje významné jednak proto, že počet cizinců dynamicky roste (a poroste pravděpodobně i v budoucnu), jednak proto, že sociodemografické charakteristiky cizinců (vč. způsobu jejich bydlení) se do značné míry liší od populace celkem</w:t>
      </w:r>
      <w:r w:rsidR="00930C18">
        <w:rPr>
          <w:sz w:val="20"/>
          <w:szCs w:val="20"/>
        </w:rPr>
        <w:t xml:space="preserve"> a liší se i mezi jednotlivými státními občanstvími</w:t>
      </w:r>
      <w:r>
        <w:rPr>
          <w:sz w:val="20"/>
          <w:szCs w:val="20"/>
        </w:rPr>
        <w:t xml:space="preserve">. </w:t>
      </w:r>
      <w:r w:rsidR="003A44FD">
        <w:rPr>
          <w:sz w:val="20"/>
          <w:szCs w:val="20"/>
        </w:rPr>
        <w:t>Určujícím faktorem je jednoznačně</w:t>
      </w:r>
      <w:r>
        <w:rPr>
          <w:sz w:val="20"/>
          <w:szCs w:val="20"/>
        </w:rPr>
        <w:t xml:space="preserve"> důvod pobytu v České republice</w:t>
      </w:r>
      <w:r w:rsidR="003A44FD">
        <w:rPr>
          <w:sz w:val="20"/>
          <w:szCs w:val="20"/>
        </w:rPr>
        <w:t xml:space="preserve"> a s tím související druh pobytu. </w:t>
      </w:r>
    </w:p>
    <w:p w:rsidR="00765C76" w:rsidRPr="00765C76" w:rsidRDefault="00765C76" w:rsidP="0051354C">
      <w:pPr>
        <w:pStyle w:val="Normln-web"/>
        <w:spacing w:line="276" w:lineRule="auto"/>
      </w:pPr>
      <w:r>
        <w:rPr>
          <w:sz w:val="20"/>
          <w:szCs w:val="20"/>
        </w:rPr>
        <w:t>K nejpočetněji zastoupeným cizincům patřili občané Ukrajiny, Slovenska, Vietnamu, Ruska, Polska a Německa (pořadí dle absolutních počtů). Občané uvedených 6 států tvořili tři čtvrtiny všech obvykle žijících cizinců na území České republiky.</w:t>
      </w:r>
    </w:p>
    <w:p w:rsidR="003E596D" w:rsidRDefault="003A44FD" w:rsidP="0051354C">
      <w:pPr>
        <w:pStyle w:val="Normln-web"/>
        <w:spacing w:line="276" w:lineRule="auto"/>
        <w:rPr>
          <w:sz w:val="20"/>
          <w:szCs w:val="20"/>
        </w:rPr>
      </w:pPr>
      <w:r>
        <w:rPr>
          <w:sz w:val="20"/>
          <w:szCs w:val="20"/>
        </w:rPr>
        <w:t>C</w:t>
      </w:r>
      <w:r w:rsidR="00D903DC">
        <w:rPr>
          <w:sz w:val="20"/>
          <w:szCs w:val="20"/>
        </w:rPr>
        <w:t xml:space="preserve">izinci </w:t>
      </w:r>
      <w:r>
        <w:rPr>
          <w:sz w:val="20"/>
          <w:szCs w:val="20"/>
        </w:rPr>
        <w:t xml:space="preserve">zahrnutí do dat </w:t>
      </w:r>
      <w:r w:rsidR="00D903DC">
        <w:rPr>
          <w:sz w:val="20"/>
          <w:szCs w:val="20"/>
        </w:rPr>
        <w:t xml:space="preserve">sčítání </w:t>
      </w:r>
      <w:r>
        <w:rPr>
          <w:sz w:val="20"/>
          <w:szCs w:val="20"/>
        </w:rPr>
        <w:t xml:space="preserve">měli </w:t>
      </w:r>
      <w:r w:rsidR="00D17C88">
        <w:rPr>
          <w:sz w:val="20"/>
          <w:szCs w:val="20"/>
        </w:rPr>
        <w:t xml:space="preserve">zpravidla </w:t>
      </w:r>
      <w:r w:rsidR="00D903DC">
        <w:rPr>
          <w:sz w:val="20"/>
          <w:szCs w:val="20"/>
        </w:rPr>
        <w:t xml:space="preserve">evidovaný </w:t>
      </w:r>
      <w:r w:rsidR="00D17C88">
        <w:rPr>
          <w:sz w:val="20"/>
          <w:szCs w:val="20"/>
        </w:rPr>
        <w:t>některý z druh</w:t>
      </w:r>
      <w:r>
        <w:rPr>
          <w:sz w:val="20"/>
          <w:szCs w:val="20"/>
        </w:rPr>
        <w:t>ů</w:t>
      </w:r>
      <w:r w:rsidR="00D17C88">
        <w:rPr>
          <w:sz w:val="20"/>
          <w:szCs w:val="20"/>
        </w:rPr>
        <w:t xml:space="preserve"> pobytu</w:t>
      </w:r>
      <w:r>
        <w:rPr>
          <w:sz w:val="20"/>
          <w:szCs w:val="20"/>
        </w:rPr>
        <w:t xml:space="preserve"> podle zákona č. 326/1999 Sb., o pobytu cizinců na území České republiky</w:t>
      </w:r>
      <w:r w:rsidR="00D17C88">
        <w:rPr>
          <w:sz w:val="20"/>
          <w:szCs w:val="20"/>
        </w:rPr>
        <w:t xml:space="preserve">. </w:t>
      </w:r>
      <w:r w:rsidR="00203689">
        <w:rPr>
          <w:sz w:val="20"/>
          <w:szCs w:val="20"/>
        </w:rPr>
        <w:t xml:space="preserve">Informace o druhu pobytu se přebírala z administrativního zdroje – Informačního systému evidence obyvatel. </w:t>
      </w:r>
      <w:r w:rsidR="00D903DC">
        <w:rPr>
          <w:sz w:val="20"/>
          <w:szCs w:val="20"/>
        </w:rPr>
        <w:t xml:space="preserve">Občané EU </w:t>
      </w:r>
      <w:r w:rsidR="00D17C88">
        <w:rPr>
          <w:sz w:val="20"/>
          <w:szCs w:val="20"/>
        </w:rPr>
        <w:t xml:space="preserve">povinnost se evidovat dle zákona neměli, proto existovala i skupina cizinců, která žádný evidovaný druh pobytu neměla, přesto ale měli na území České republiky obvyklý pobyt. </w:t>
      </w:r>
    </w:p>
    <w:p w:rsidR="003E596D" w:rsidRDefault="003E596D" w:rsidP="0051354C">
      <w:pPr>
        <w:pStyle w:val="Normln-web"/>
        <w:spacing w:line="276" w:lineRule="auto"/>
        <w:rPr>
          <w:sz w:val="20"/>
          <w:szCs w:val="20"/>
        </w:rPr>
      </w:pPr>
      <w:r>
        <w:rPr>
          <w:sz w:val="20"/>
          <w:szCs w:val="20"/>
        </w:rPr>
        <w:t>Základní druhy pobytu lze formálně i věcně pro analytické účely rozdělit do tří skupin:</w:t>
      </w:r>
    </w:p>
    <w:p w:rsidR="003E596D" w:rsidRDefault="003E596D" w:rsidP="003E596D">
      <w:pPr>
        <w:pStyle w:val="Normln-web"/>
        <w:numPr>
          <w:ilvl w:val="0"/>
          <w:numId w:val="8"/>
        </w:numPr>
        <w:spacing w:before="0" w:line="276" w:lineRule="auto"/>
        <w:ind w:left="714" w:hanging="357"/>
        <w:rPr>
          <w:sz w:val="20"/>
          <w:szCs w:val="20"/>
        </w:rPr>
      </w:pPr>
      <w:r>
        <w:rPr>
          <w:sz w:val="20"/>
          <w:szCs w:val="20"/>
        </w:rPr>
        <w:t>„</w:t>
      </w:r>
      <w:r w:rsidR="00D17C88">
        <w:rPr>
          <w:sz w:val="20"/>
          <w:szCs w:val="20"/>
        </w:rPr>
        <w:t>Dlouhodobý pobyt</w:t>
      </w:r>
      <w:r>
        <w:rPr>
          <w:sz w:val="20"/>
          <w:szCs w:val="20"/>
        </w:rPr>
        <w:t>“</w:t>
      </w:r>
      <w:r w:rsidR="00D17C88">
        <w:rPr>
          <w:sz w:val="20"/>
          <w:szCs w:val="20"/>
        </w:rPr>
        <w:t xml:space="preserve"> </w:t>
      </w:r>
      <w:r>
        <w:rPr>
          <w:sz w:val="20"/>
          <w:szCs w:val="20"/>
        </w:rPr>
        <w:t xml:space="preserve">zahrnuje </w:t>
      </w:r>
      <w:r w:rsidR="00D17C88">
        <w:rPr>
          <w:sz w:val="20"/>
          <w:szCs w:val="20"/>
        </w:rPr>
        <w:t>cizinc</w:t>
      </w:r>
      <w:r>
        <w:rPr>
          <w:sz w:val="20"/>
          <w:szCs w:val="20"/>
        </w:rPr>
        <w:t>e</w:t>
      </w:r>
      <w:r w:rsidR="00D17C88">
        <w:rPr>
          <w:sz w:val="20"/>
          <w:szCs w:val="20"/>
        </w:rPr>
        <w:t xml:space="preserve"> s evidovaným přechodným pobytem,</w:t>
      </w:r>
      <w:r w:rsidR="00C5001A">
        <w:rPr>
          <w:sz w:val="20"/>
          <w:szCs w:val="20"/>
        </w:rPr>
        <w:t xml:space="preserve"> vč. evidovaných přechodných pobytů občanů EU,</w:t>
      </w:r>
      <w:r w:rsidR="00D17C88">
        <w:rPr>
          <w:sz w:val="20"/>
          <w:szCs w:val="20"/>
        </w:rPr>
        <w:t xml:space="preserve"> dlouhodobým pobytem vízového cizince a povoleným pobytem azylanta. </w:t>
      </w:r>
    </w:p>
    <w:p w:rsidR="003E596D" w:rsidRDefault="003E596D" w:rsidP="003E596D">
      <w:pPr>
        <w:pStyle w:val="Normln-web"/>
        <w:numPr>
          <w:ilvl w:val="0"/>
          <w:numId w:val="8"/>
        </w:numPr>
        <w:spacing w:before="0" w:line="276" w:lineRule="auto"/>
        <w:ind w:left="714" w:hanging="357"/>
        <w:rPr>
          <w:sz w:val="20"/>
          <w:szCs w:val="20"/>
        </w:rPr>
      </w:pPr>
      <w:r>
        <w:rPr>
          <w:sz w:val="20"/>
          <w:szCs w:val="20"/>
        </w:rPr>
        <w:t>„</w:t>
      </w:r>
      <w:r w:rsidR="003A44FD">
        <w:rPr>
          <w:sz w:val="20"/>
          <w:szCs w:val="20"/>
        </w:rPr>
        <w:t>Trvalý pobyt</w:t>
      </w:r>
      <w:r w:rsidR="00C5001A">
        <w:rPr>
          <w:sz w:val="20"/>
          <w:szCs w:val="20"/>
        </w:rPr>
        <w:t>“</w:t>
      </w:r>
      <w:r w:rsidR="003A44FD">
        <w:rPr>
          <w:sz w:val="20"/>
          <w:szCs w:val="20"/>
        </w:rPr>
        <w:t xml:space="preserve"> </w:t>
      </w:r>
      <w:r>
        <w:rPr>
          <w:sz w:val="20"/>
          <w:szCs w:val="20"/>
        </w:rPr>
        <w:t>zahrnuje cizince, kterým bylo vydáno povolení k trvalému pobytu; podmínky pro udělení povolení k trvalému pobytu stanoví výše citovaný zákon</w:t>
      </w:r>
      <w:r w:rsidR="008F2C5C">
        <w:rPr>
          <w:sz w:val="20"/>
          <w:szCs w:val="20"/>
        </w:rPr>
        <w:t xml:space="preserve"> č. 326/1999</w:t>
      </w:r>
      <w:r>
        <w:rPr>
          <w:sz w:val="20"/>
          <w:szCs w:val="20"/>
        </w:rPr>
        <w:t xml:space="preserve">. </w:t>
      </w:r>
    </w:p>
    <w:p w:rsidR="00930C18" w:rsidRDefault="003E596D" w:rsidP="003E596D">
      <w:pPr>
        <w:pStyle w:val="Normln-web"/>
        <w:numPr>
          <w:ilvl w:val="0"/>
          <w:numId w:val="8"/>
        </w:numPr>
        <w:spacing w:before="0" w:line="276" w:lineRule="auto"/>
        <w:ind w:left="714" w:hanging="357"/>
        <w:rPr>
          <w:sz w:val="20"/>
          <w:szCs w:val="20"/>
        </w:rPr>
      </w:pPr>
      <w:r>
        <w:rPr>
          <w:sz w:val="20"/>
          <w:szCs w:val="20"/>
        </w:rPr>
        <w:t>Pod označením „o</w:t>
      </w:r>
      <w:r w:rsidR="00D17C88">
        <w:rPr>
          <w:sz w:val="20"/>
          <w:szCs w:val="20"/>
        </w:rPr>
        <w:t>statní</w:t>
      </w:r>
      <w:r>
        <w:rPr>
          <w:sz w:val="20"/>
          <w:szCs w:val="20"/>
        </w:rPr>
        <w:t>“</w:t>
      </w:r>
      <w:r w:rsidR="00D17C88">
        <w:rPr>
          <w:sz w:val="20"/>
          <w:szCs w:val="20"/>
        </w:rPr>
        <w:t xml:space="preserve"> </w:t>
      </w:r>
      <w:r w:rsidR="00C5001A">
        <w:rPr>
          <w:sz w:val="20"/>
          <w:szCs w:val="20"/>
        </w:rPr>
        <w:t>jsou zahrnuty</w:t>
      </w:r>
      <w:r w:rsidR="00203689">
        <w:rPr>
          <w:sz w:val="20"/>
          <w:szCs w:val="20"/>
        </w:rPr>
        <w:t xml:space="preserve"> </w:t>
      </w:r>
      <w:r w:rsidR="00C5001A">
        <w:rPr>
          <w:sz w:val="20"/>
          <w:szCs w:val="20"/>
        </w:rPr>
        <w:t>osoby bez evidovaného druhu pobytu (</w:t>
      </w:r>
      <w:r w:rsidR="00203689">
        <w:rPr>
          <w:sz w:val="20"/>
          <w:szCs w:val="20"/>
        </w:rPr>
        <w:t>většinou občané</w:t>
      </w:r>
      <w:r w:rsidR="00C5001A">
        <w:rPr>
          <w:sz w:val="20"/>
          <w:szCs w:val="20"/>
        </w:rPr>
        <w:t xml:space="preserve"> některého státu EU)</w:t>
      </w:r>
      <w:r w:rsidR="00203689">
        <w:rPr>
          <w:sz w:val="20"/>
          <w:szCs w:val="20"/>
        </w:rPr>
        <w:t>.</w:t>
      </w:r>
    </w:p>
    <w:p w:rsidR="00203689" w:rsidRDefault="00203689" w:rsidP="0051354C">
      <w:pPr>
        <w:pStyle w:val="Normln-web"/>
        <w:spacing w:line="276" w:lineRule="auto"/>
        <w:rPr>
          <w:sz w:val="20"/>
          <w:szCs w:val="20"/>
        </w:rPr>
      </w:pPr>
    </w:p>
    <w:tbl>
      <w:tblPr>
        <w:tblW w:w="8020" w:type="dxa"/>
        <w:jc w:val="center"/>
        <w:tblInd w:w="55" w:type="dxa"/>
        <w:tblCellMar>
          <w:left w:w="70" w:type="dxa"/>
          <w:right w:w="70" w:type="dxa"/>
        </w:tblCellMar>
        <w:tblLook w:val="04A0"/>
      </w:tblPr>
      <w:tblGrid>
        <w:gridCol w:w="1484"/>
        <w:gridCol w:w="1206"/>
        <w:gridCol w:w="1030"/>
        <w:gridCol w:w="820"/>
        <w:gridCol w:w="960"/>
        <w:gridCol w:w="780"/>
        <w:gridCol w:w="960"/>
        <w:gridCol w:w="780"/>
      </w:tblGrid>
      <w:tr w:rsidR="00B24D10" w:rsidRPr="00F44CB0" w:rsidTr="00B24D10">
        <w:trPr>
          <w:trHeight w:val="240"/>
          <w:jc w:val="center"/>
        </w:trPr>
        <w:tc>
          <w:tcPr>
            <w:tcW w:w="8020" w:type="dxa"/>
            <w:gridSpan w:val="8"/>
            <w:tcBorders>
              <w:top w:val="nil"/>
              <w:left w:val="nil"/>
              <w:bottom w:val="nil"/>
              <w:right w:val="nil"/>
            </w:tcBorders>
            <w:shd w:val="clear" w:color="auto" w:fill="auto"/>
            <w:noWrap/>
            <w:vAlign w:val="center"/>
            <w:hideMark/>
          </w:tcPr>
          <w:p w:rsidR="00B24D10" w:rsidRPr="00F44CB0" w:rsidRDefault="00760C72" w:rsidP="00DD1433">
            <w:pPr>
              <w:suppressAutoHyphens w:val="0"/>
              <w:rPr>
                <w:rFonts w:cs="Arial"/>
                <w:noProof w:val="0"/>
                <w:color w:val="000000"/>
                <w:sz w:val="18"/>
                <w:szCs w:val="18"/>
                <w:lang w:eastAsia="cs-CZ"/>
              </w:rPr>
            </w:pPr>
            <w:r>
              <w:rPr>
                <w:rFonts w:cs="Arial"/>
                <w:b/>
                <w:bCs/>
                <w:sz w:val="20"/>
                <w:szCs w:val="20"/>
              </w:rPr>
              <w:t xml:space="preserve">Tab. č. 17 </w:t>
            </w:r>
            <w:r w:rsidR="00B24D10" w:rsidRPr="00F44CB0">
              <w:rPr>
                <w:rFonts w:cs="Arial"/>
                <w:b/>
                <w:noProof w:val="0"/>
                <w:color w:val="000000"/>
                <w:sz w:val="20"/>
                <w:szCs w:val="20"/>
                <w:lang w:eastAsia="cs-CZ"/>
              </w:rPr>
              <w:t>Cizinci podle druhu pobytu k 26.</w:t>
            </w:r>
            <w:r w:rsidR="00B24D10" w:rsidRPr="00B24D10">
              <w:rPr>
                <w:rFonts w:cs="Arial"/>
                <w:b/>
                <w:noProof w:val="0"/>
                <w:color w:val="000000"/>
                <w:sz w:val="20"/>
                <w:szCs w:val="20"/>
                <w:lang w:eastAsia="cs-CZ"/>
              </w:rPr>
              <w:t xml:space="preserve"> </w:t>
            </w:r>
            <w:r w:rsidR="00B24D10" w:rsidRPr="00F44CB0">
              <w:rPr>
                <w:rFonts w:cs="Arial"/>
                <w:b/>
                <w:noProof w:val="0"/>
                <w:color w:val="000000"/>
                <w:sz w:val="20"/>
                <w:szCs w:val="20"/>
                <w:lang w:eastAsia="cs-CZ"/>
              </w:rPr>
              <w:t>3.</w:t>
            </w:r>
            <w:r w:rsidR="00B24D10" w:rsidRPr="00B24D10">
              <w:rPr>
                <w:rFonts w:cs="Arial"/>
                <w:b/>
                <w:noProof w:val="0"/>
                <w:color w:val="000000"/>
                <w:sz w:val="20"/>
                <w:szCs w:val="20"/>
                <w:lang w:eastAsia="cs-CZ"/>
              </w:rPr>
              <w:t xml:space="preserve"> </w:t>
            </w:r>
            <w:r w:rsidR="00B24D10" w:rsidRPr="00F44CB0">
              <w:rPr>
                <w:rFonts w:cs="Arial"/>
                <w:b/>
                <w:noProof w:val="0"/>
                <w:color w:val="000000"/>
                <w:sz w:val="20"/>
                <w:szCs w:val="20"/>
                <w:lang w:eastAsia="cs-CZ"/>
              </w:rPr>
              <w:t>2011</w:t>
            </w:r>
          </w:p>
        </w:tc>
      </w:tr>
      <w:tr w:rsidR="00F44CB0" w:rsidRPr="00F44CB0" w:rsidTr="00B24D10">
        <w:trPr>
          <w:trHeight w:val="720"/>
          <w:jc w:val="center"/>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 </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Cizinci</w:t>
            </w:r>
            <w:r w:rsidRPr="00F44CB0">
              <w:rPr>
                <w:rFonts w:cs="Arial"/>
                <w:noProof w:val="0"/>
                <w:color w:val="000000"/>
                <w:sz w:val="18"/>
                <w:szCs w:val="18"/>
                <w:lang w:eastAsia="cs-CZ"/>
              </w:rPr>
              <w:br/>
              <w:t xml:space="preserve"> celkem</w:t>
            </w:r>
          </w:p>
        </w:tc>
        <w:tc>
          <w:tcPr>
            <w:tcW w:w="5330" w:type="dxa"/>
            <w:gridSpan w:val="6"/>
            <w:tcBorders>
              <w:top w:val="single" w:sz="4" w:space="0" w:color="auto"/>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v tom druhy pobytu</w:t>
            </w:r>
          </w:p>
        </w:tc>
      </w:tr>
      <w:tr w:rsidR="00F44CB0" w:rsidRPr="00F44CB0" w:rsidTr="00B24D10">
        <w:trPr>
          <w:trHeight w:val="480"/>
          <w:jc w:val="center"/>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F44CB0" w:rsidRPr="00F44CB0" w:rsidRDefault="00F44CB0" w:rsidP="00F44CB0">
            <w:pPr>
              <w:suppressAutoHyphens w:val="0"/>
              <w:rPr>
                <w:rFonts w:cs="Arial"/>
                <w:noProof w:val="0"/>
                <w:color w:val="000000"/>
                <w:sz w:val="18"/>
                <w:szCs w:val="18"/>
                <w:lang w:eastAsia="cs-CZ"/>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F44CB0" w:rsidRPr="00F44CB0" w:rsidRDefault="00F44CB0" w:rsidP="00F44CB0">
            <w:pPr>
              <w:suppressAutoHyphens w:val="0"/>
              <w:rPr>
                <w:rFonts w:cs="Arial"/>
                <w:noProof w:val="0"/>
                <w:color w:val="000000"/>
                <w:sz w:val="18"/>
                <w:szCs w:val="18"/>
                <w:lang w:eastAsia="cs-CZ"/>
              </w:rPr>
            </w:pPr>
          </w:p>
        </w:tc>
        <w:tc>
          <w:tcPr>
            <w:tcW w:w="1850" w:type="dxa"/>
            <w:gridSpan w:val="2"/>
            <w:tcBorders>
              <w:top w:val="single" w:sz="4" w:space="0" w:color="auto"/>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dlouhodobý</w:t>
            </w:r>
          </w:p>
        </w:tc>
        <w:tc>
          <w:tcPr>
            <w:tcW w:w="1740" w:type="dxa"/>
            <w:gridSpan w:val="2"/>
            <w:tcBorders>
              <w:top w:val="single" w:sz="4" w:space="0" w:color="auto"/>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trvalý</w:t>
            </w:r>
          </w:p>
        </w:tc>
        <w:tc>
          <w:tcPr>
            <w:tcW w:w="1740" w:type="dxa"/>
            <w:gridSpan w:val="2"/>
            <w:tcBorders>
              <w:top w:val="single" w:sz="4" w:space="0" w:color="auto"/>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ostatní</w:t>
            </w:r>
          </w:p>
        </w:tc>
      </w:tr>
      <w:tr w:rsidR="00F44CB0" w:rsidRPr="00F44CB0" w:rsidTr="00B24D10">
        <w:trPr>
          <w:trHeight w:val="315"/>
          <w:jc w:val="center"/>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F44CB0" w:rsidRPr="00F44CB0" w:rsidRDefault="00F44CB0" w:rsidP="00F44CB0">
            <w:pPr>
              <w:suppressAutoHyphens w:val="0"/>
              <w:rPr>
                <w:rFonts w:cs="Arial"/>
                <w:noProof w:val="0"/>
                <w:color w:val="000000"/>
                <w:sz w:val="18"/>
                <w:szCs w:val="18"/>
                <w:lang w:eastAsia="cs-CZ"/>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F44CB0" w:rsidRPr="00F44CB0" w:rsidRDefault="00F44CB0" w:rsidP="00F44CB0">
            <w:pPr>
              <w:suppressAutoHyphens w:val="0"/>
              <w:rPr>
                <w:rFonts w:cs="Arial"/>
                <w:noProof w:val="0"/>
                <w:color w:val="000000"/>
                <w:sz w:val="18"/>
                <w:szCs w:val="18"/>
                <w:lang w:eastAsia="cs-CZ"/>
              </w:rPr>
            </w:pPr>
          </w:p>
        </w:tc>
        <w:tc>
          <w:tcPr>
            <w:tcW w:w="1030" w:type="dxa"/>
            <w:tcBorders>
              <w:top w:val="nil"/>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abs.</w:t>
            </w:r>
          </w:p>
        </w:tc>
        <w:tc>
          <w:tcPr>
            <w:tcW w:w="820" w:type="dxa"/>
            <w:tcBorders>
              <w:top w:val="nil"/>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w:t>
            </w:r>
          </w:p>
        </w:tc>
        <w:tc>
          <w:tcPr>
            <w:tcW w:w="960" w:type="dxa"/>
            <w:tcBorders>
              <w:top w:val="nil"/>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abs.</w:t>
            </w:r>
          </w:p>
        </w:tc>
        <w:tc>
          <w:tcPr>
            <w:tcW w:w="780" w:type="dxa"/>
            <w:tcBorders>
              <w:top w:val="nil"/>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w:t>
            </w:r>
          </w:p>
        </w:tc>
        <w:tc>
          <w:tcPr>
            <w:tcW w:w="960" w:type="dxa"/>
            <w:tcBorders>
              <w:top w:val="nil"/>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abs.</w:t>
            </w:r>
          </w:p>
        </w:tc>
        <w:tc>
          <w:tcPr>
            <w:tcW w:w="780" w:type="dxa"/>
            <w:tcBorders>
              <w:top w:val="nil"/>
              <w:left w:val="nil"/>
              <w:bottom w:val="single" w:sz="4" w:space="0" w:color="auto"/>
              <w:right w:val="single" w:sz="4" w:space="0" w:color="auto"/>
            </w:tcBorders>
            <w:shd w:val="clear" w:color="auto" w:fill="auto"/>
            <w:vAlign w:val="center"/>
            <w:hideMark/>
          </w:tcPr>
          <w:p w:rsidR="00F44CB0" w:rsidRPr="00F44CB0" w:rsidRDefault="00F44CB0" w:rsidP="00F44CB0">
            <w:pPr>
              <w:suppressAutoHyphens w:val="0"/>
              <w:jc w:val="center"/>
              <w:rPr>
                <w:rFonts w:cs="Arial"/>
                <w:noProof w:val="0"/>
                <w:color w:val="000000"/>
                <w:sz w:val="18"/>
                <w:szCs w:val="18"/>
                <w:lang w:eastAsia="cs-CZ"/>
              </w:rPr>
            </w:pPr>
            <w:r w:rsidRPr="00F44CB0">
              <w:rPr>
                <w:rFonts w:cs="Arial"/>
                <w:noProof w:val="0"/>
                <w:color w:val="000000"/>
                <w:sz w:val="18"/>
                <w:szCs w:val="18"/>
                <w:lang w:eastAsia="cs-CZ"/>
              </w:rPr>
              <w:t>%</w:t>
            </w:r>
          </w:p>
        </w:tc>
      </w:tr>
      <w:tr w:rsidR="00F44CB0" w:rsidRPr="00F44CB0" w:rsidTr="00B24D10">
        <w:trPr>
          <w:trHeight w:val="240"/>
          <w:jc w:val="center"/>
        </w:trPr>
        <w:tc>
          <w:tcPr>
            <w:tcW w:w="1484" w:type="dxa"/>
            <w:tcBorders>
              <w:top w:val="nil"/>
              <w:left w:val="single" w:sz="4" w:space="0" w:color="auto"/>
              <w:bottom w:val="nil"/>
              <w:right w:val="single" w:sz="4" w:space="0" w:color="auto"/>
            </w:tcBorders>
            <w:shd w:val="clear" w:color="auto" w:fill="auto"/>
            <w:noWrap/>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Cizinci celkem</w:t>
            </w:r>
          </w:p>
        </w:tc>
        <w:tc>
          <w:tcPr>
            <w:tcW w:w="1206"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422 276</w:t>
            </w:r>
          </w:p>
        </w:tc>
        <w:tc>
          <w:tcPr>
            <w:tcW w:w="103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227 222</w:t>
            </w:r>
          </w:p>
        </w:tc>
        <w:tc>
          <w:tcPr>
            <w:tcW w:w="82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53,8</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146 388</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34,7</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48 666</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11,5</w:t>
            </w:r>
          </w:p>
        </w:tc>
      </w:tr>
      <w:tr w:rsidR="00F44CB0" w:rsidRPr="00F44CB0" w:rsidTr="00B24D10">
        <w:trPr>
          <w:trHeight w:val="240"/>
          <w:jc w:val="center"/>
        </w:trPr>
        <w:tc>
          <w:tcPr>
            <w:tcW w:w="1484" w:type="dxa"/>
            <w:tcBorders>
              <w:top w:val="nil"/>
              <w:left w:val="single" w:sz="4" w:space="0" w:color="auto"/>
              <w:bottom w:val="nil"/>
              <w:right w:val="single" w:sz="4" w:space="0" w:color="auto"/>
            </w:tcBorders>
            <w:shd w:val="clear" w:color="auto" w:fill="auto"/>
            <w:noWrap/>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z toho:</w:t>
            </w:r>
          </w:p>
        </w:tc>
        <w:tc>
          <w:tcPr>
            <w:tcW w:w="1206"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 </w:t>
            </w:r>
          </w:p>
        </w:tc>
        <w:tc>
          <w:tcPr>
            <w:tcW w:w="103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 </w:t>
            </w:r>
          </w:p>
        </w:tc>
        <w:tc>
          <w:tcPr>
            <w:tcW w:w="82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 </w:t>
            </w:r>
          </w:p>
        </w:tc>
        <w:tc>
          <w:tcPr>
            <w:tcW w:w="96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 </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 </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 </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rPr>
                <w:rFonts w:cs="Arial"/>
                <w:noProof w:val="0"/>
                <w:color w:val="000000"/>
                <w:sz w:val="18"/>
                <w:szCs w:val="18"/>
                <w:lang w:eastAsia="cs-CZ"/>
              </w:rPr>
            </w:pPr>
            <w:r w:rsidRPr="00F44CB0">
              <w:rPr>
                <w:rFonts w:cs="Arial"/>
                <w:noProof w:val="0"/>
                <w:color w:val="000000"/>
                <w:sz w:val="18"/>
                <w:szCs w:val="18"/>
                <w:lang w:eastAsia="cs-CZ"/>
              </w:rPr>
              <w:t> </w:t>
            </w:r>
          </w:p>
        </w:tc>
      </w:tr>
      <w:tr w:rsidR="00F44CB0" w:rsidRPr="00F44CB0" w:rsidTr="00B24D10">
        <w:trPr>
          <w:trHeight w:val="240"/>
          <w:jc w:val="center"/>
        </w:trPr>
        <w:tc>
          <w:tcPr>
            <w:tcW w:w="1484" w:type="dxa"/>
            <w:tcBorders>
              <w:top w:val="nil"/>
              <w:left w:val="single" w:sz="4" w:space="0" w:color="auto"/>
              <w:bottom w:val="nil"/>
              <w:right w:val="single" w:sz="4" w:space="0" w:color="auto"/>
            </w:tcBorders>
            <w:shd w:val="clear" w:color="auto" w:fill="auto"/>
            <w:noWrap/>
            <w:vAlign w:val="bottom"/>
            <w:hideMark/>
          </w:tcPr>
          <w:p w:rsidR="00F44CB0" w:rsidRPr="00F44CB0" w:rsidRDefault="00F44CB0" w:rsidP="00F44CB0">
            <w:pPr>
              <w:suppressAutoHyphens w:val="0"/>
              <w:ind w:firstLineChars="100" w:firstLine="180"/>
              <w:rPr>
                <w:rFonts w:cs="Arial"/>
                <w:noProof w:val="0"/>
                <w:color w:val="000000"/>
                <w:sz w:val="18"/>
                <w:szCs w:val="18"/>
                <w:lang w:eastAsia="cs-CZ"/>
              </w:rPr>
            </w:pPr>
            <w:r w:rsidRPr="00F44CB0">
              <w:rPr>
                <w:rFonts w:cs="Arial"/>
                <w:noProof w:val="0"/>
                <w:color w:val="000000"/>
                <w:sz w:val="18"/>
                <w:szCs w:val="18"/>
                <w:lang w:eastAsia="cs-CZ"/>
              </w:rPr>
              <w:t>Ukrajina</w:t>
            </w:r>
          </w:p>
        </w:tc>
        <w:tc>
          <w:tcPr>
            <w:tcW w:w="1206"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116 139</w:t>
            </w:r>
          </w:p>
        </w:tc>
        <w:tc>
          <w:tcPr>
            <w:tcW w:w="103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74 197</w:t>
            </w:r>
          </w:p>
        </w:tc>
        <w:tc>
          <w:tcPr>
            <w:tcW w:w="82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63,9</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37 790</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32,5</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4 152</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3,6</w:t>
            </w:r>
          </w:p>
        </w:tc>
      </w:tr>
      <w:tr w:rsidR="00F44CB0" w:rsidRPr="00F44CB0" w:rsidTr="00B24D10">
        <w:trPr>
          <w:trHeight w:val="240"/>
          <w:jc w:val="center"/>
        </w:trPr>
        <w:tc>
          <w:tcPr>
            <w:tcW w:w="1484" w:type="dxa"/>
            <w:tcBorders>
              <w:top w:val="nil"/>
              <w:left w:val="single" w:sz="4" w:space="0" w:color="auto"/>
              <w:bottom w:val="nil"/>
              <w:right w:val="single" w:sz="4" w:space="0" w:color="auto"/>
            </w:tcBorders>
            <w:shd w:val="clear" w:color="auto" w:fill="auto"/>
            <w:noWrap/>
            <w:vAlign w:val="bottom"/>
            <w:hideMark/>
          </w:tcPr>
          <w:p w:rsidR="00F44CB0" w:rsidRPr="00F44CB0" w:rsidRDefault="00F44CB0" w:rsidP="00F44CB0">
            <w:pPr>
              <w:suppressAutoHyphens w:val="0"/>
              <w:ind w:firstLineChars="100" w:firstLine="180"/>
              <w:rPr>
                <w:rFonts w:cs="Arial"/>
                <w:noProof w:val="0"/>
                <w:color w:val="000000"/>
                <w:sz w:val="18"/>
                <w:szCs w:val="18"/>
                <w:lang w:eastAsia="cs-CZ"/>
              </w:rPr>
            </w:pPr>
            <w:r w:rsidRPr="00F44CB0">
              <w:rPr>
                <w:rFonts w:cs="Arial"/>
                <w:noProof w:val="0"/>
                <w:color w:val="000000"/>
                <w:sz w:val="18"/>
                <w:szCs w:val="18"/>
                <w:lang w:eastAsia="cs-CZ"/>
              </w:rPr>
              <w:t>Slovensko</w:t>
            </w:r>
          </w:p>
        </w:tc>
        <w:tc>
          <w:tcPr>
            <w:tcW w:w="1206"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82 251</w:t>
            </w:r>
          </w:p>
        </w:tc>
        <w:tc>
          <w:tcPr>
            <w:tcW w:w="103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39 432</w:t>
            </w:r>
          </w:p>
        </w:tc>
        <w:tc>
          <w:tcPr>
            <w:tcW w:w="82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47,9</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23 925</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29,1</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18 894</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23,0</w:t>
            </w:r>
          </w:p>
        </w:tc>
      </w:tr>
      <w:tr w:rsidR="00F44CB0" w:rsidRPr="00F44CB0" w:rsidTr="00B24D10">
        <w:trPr>
          <w:trHeight w:val="240"/>
          <w:jc w:val="center"/>
        </w:trPr>
        <w:tc>
          <w:tcPr>
            <w:tcW w:w="1484" w:type="dxa"/>
            <w:tcBorders>
              <w:top w:val="nil"/>
              <w:left w:val="single" w:sz="4" w:space="0" w:color="auto"/>
              <w:bottom w:val="nil"/>
              <w:right w:val="single" w:sz="4" w:space="0" w:color="auto"/>
            </w:tcBorders>
            <w:shd w:val="clear" w:color="auto" w:fill="auto"/>
            <w:noWrap/>
            <w:vAlign w:val="bottom"/>
            <w:hideMark/>
          </w:tcPr>
          <w:p w:rsidR="00F44CB0" w:rsidRPr="00F44CB0" w:rsidRDefault="00F44CB0" w:rsidP="00F44CB0">
            <w:pPr>
              <w:suppressAutoHyphens w:val="0"/>
              <w:ind w:firstLineChars="100" w:firstLine="180"/>
              <w:rPr>
                <w:rFonts w:cs="Arial"/>
                <w:noProof w:val="0"/>
                <w:color w:val="000000"/>
                <w:sz w:val="18"/>
                <w:szCs w:val="18"/>
                <w:lang w:eastAsia="cs-CZ"/>
              </w:rPr>
            </w:pPr>
            <w:r w:rsidRPr="00F44CB0">
              <w:rPr>
                <w:rFonts w:cs="Arial"/>
                <w:noProof w:val="0"/>
                <w:color w:val="000000"/>
                <w:sz w:val="18"/>
                <w:szCs w:val="18"/>
                <w:lang w:eastAsia="cs-CZ"/>
              </w:rPr>
              <w:t>Vietnam</w:t>
            </w:r>
          </w:p>
        </w:tc>
        <w:tc>
          <w:tcPr>
            <w:tcW w:w="1206"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52 612</w:t>
            </w:r>
          </w:p>
        </w:tc>
        <w:tc>
          <w:tcPr>
            <w:tcW w:w="103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21 238</w:t>
            </w:r>
          </w:p>
        </w:tc>
        <w:tc>
          <w:tcPr>
            <w:tcW w:w="82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40,4</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26 626</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50,6</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4 748</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9,0</w:t>
            </w:r>
          </w:p>
        </w:tc>
      </w:tr>
      <w:tr w:rsidR="00F44CB0" w:rsidRPr="00F44CB0" w:rsidTr="00B24D10">
        <w:trPr>
          <w:trHeight w:val="240"/>
          <w:jc w:val="center"/>
        </w:trPr>
        <w:tc>
          <w:tcPr>
            <w:tcW w:w="1484" w:type="dxa"/>
            <w:tcBorders>
              <w:top w:val="nil"/>
              <w:left w:val="single" w:sz="4" w:space="0" w:color="auto"/>
              <w:bottom w:val="nil"/>
              <w:right w:val="single" w:sz="4" w:space="0" w:color="auto"/>
            </w:tcBorders>
            <w:shd w:val="clear" w:color="auto" w:fill="auto"/>
            <w:noWrap/>
            <w:vAlign w:val="bottom"/>
            <w:hideMark/>
          </w:tcPr>
          <w:p w:rsidR="00F44CB0" w:rsidRPr="00F44CB0" w:rsidRDefault="00F44CB0" w:rsidP="00F44CB0">
            <w:pPr>
              <w:suppressAutoHyphens w:val="0"/>
              <w:ind w:firstLineChars="100" w:firstLine="180"/>
              <w:rPr>
                <w:rFonts w:cs="Arial"/>
                <w:noProof w:val="0"/>
                <w:color w:val="000000"/>
                <w:sz w:val="18"/>
                <w:szCs w:val="18"/>
                <w:lang w:eastAsia="cs-CZ"/>
              </w:rPr>
            </w:pPr>
            <w:r w:rsidRPr="00F44CB0">
              <w:rPr>
                <w:rFonts w:cs="Arial"/>
                <w:noProof w:val="0"/>
                <w:color w:val="000000"/>
                <w:sz w:val="18"/>
                <w:szCs w:val="18"/>
                <w:lang w:eastAsia="cs-CZ"/>
              </w:rPr>
              <w:t>Rusko</w:t>
            </w:r>
          </w:p>
        </w:tc>
        <w:tc>
          <w:tcPr>
            <w:tcW w:w="1206"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31 545</w:t>
            </w:r>
          </w:p>
        </w:tc>
        <w:tc>
          <w:tcPr>
            <w:tcW w:w="103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18 755</w:t>
            </w:r>
          </w:p>
        </w:tc>
        <w:tc>
          <w:tcPr>
            <w:tcW w:w="82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59,5</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10 692</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33,9</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2 098</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6,7</w:t>
            </w:r>
          </w:p>
        </w:tc>
      </w:tr>
      <w:tr w:rsidR="00F44CB0" w:rsidRPr="00F44CB0" w:rsidTr="00B24D10">
        <w:trPr>
          <w:trHeight w:val="240"/>
          <w:jc w:val="center"/>
        </w:trPr>
        <w:tc>
          <w:tcPr>
            <w:tcW w:w="1484" w:type="dxa"/>
            <w:tcBorders>
              <w:top w:val="nil"/>
              <w:left w:val="single" w:sz="4" w:space="0" w:color="auto"/>
              <w:bottom w:val="nil"/>
              <w:right w:val="single" w:sz="4" w:space="0" w:color="auto"/>
            </w:tcBorders>
            <w:shd w:val="clear" w:color="auto" w:fill="auto"/>
            <w:noWrap/>
            <w:vAlign w:val="bottom"/>
            <w:hideMark/>
          </w:tcPr>
          <w:p w:rsidR="00F44CB0" w:rsidRPr="00F44CB0" w:rsidRDefault="00F44CB0" w:rsidP="00F44CB0">
            <w:pPr>
              <w:suppressAutoHyphens w:val="0"/>
              <w:ind w:firstLineChars="100" w:firstLine="180"/>
              <w:rPr>
                <w:rFonts w:cs="Arial"/>
                <w:noProof w:val="0"/>
                <w:color w:val="000000"/>
                <w:sz w:val="18"/>
                <w:szCs w:val="18"/>
                <w:lang w:eastAsia="cs-CZ"/>
              </w:rPr>
            </w:pPr>
            <w:r w:rsidRPr="00F44CB0">
              <w:rPr>
                <w:rFonts w:cs="Arial"/>
                <w:noProof w:val="0"/>
                <w:color w:val="000000"/>
                <w:sz w:val="18"/>
                <w:szCs w:val="18"/>
                <w:lang w:eastAsia="cs-CZ"/>
              </w:rPr>
              <w:t>Polsko</w:t>
            </w:r>
          </w:p>
        </w:tc>
        <w:tc>
          <w:tcPr>
            <w:tcW w:w="1206"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16 800</w:t>
            </w:r>
          </w:p>
        </w:tc>
        <w:tc>
          <w:tcPr>
            <w:tcW w:w="103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6 032</w:t>
            </w:r>
          </w:p>
        </w:tc>
        <w:tc>
          <w:tcPr>
            <w:tcW w:w="820" w:type="dxa"/>
            <w:tcBorders>
              <w:top w:val="nil"/>
              <w:left w:val="nil"/>
              <w:bottom w:val="nil"/>
              <w:right w:val="single" w:sz="4" w:space="0" w:color="auto"/>
            </w:tcBorders>
            <w:shd w:val="clear" w:color="auto" w:fill="auto"/>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35,9</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8 837</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52,6</w:t>
            </w:r>
          </w:p>
        </w:tc>
        <w:tc>
          <w:tcPr>
            <w:tcW w:w="96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1 931</w:t>
            </w:r>
          </w:p>
        </w:tc>
        <w:tc>
          <w:tcPr>
            <w:tcW w:w="780" w:type="dxa"/>
            <w:tcBorders>
              <w:top w:val="nil"/>
              <w:left w:val="nil"/>
              <w:bottom w:val="nil"/>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11,5</w:t>
            </w:r>
          </w:p>
        </w:tc>
      </w:tr>
      <w:tr w:rsidR="00F44CB0" w:rsidRPr="00F44CB0" w:rsidTr="00B24D10">
        <w:trPr>
          <w:trHeight w:val="240"/>
          <w:jc w:val="center"/>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ind w:firstLineChars="100" w:firstLine="180"/>
              <w:rPr>
                <w:rFonts w:cs="Arial"/>
                <w:noProof w:val="0"/>
                <w:color w:val="000000"/>
                <w:sz w:val="18"/>
                <w:szCs w:val="18"/>
                <w:lang w:eastAsia="cs-CZ"/>
              </w:rPr>
            </w:pPr>
            <w:r w:rsidRPr="00F44CB0">
              <w:rPr>
                <w:rFonts w:cs="Arial"/>
                <w:noProof w:val="0"/>
                <w:color w:val="000000"/>
                <w:sz w:val="18"/>
                <w:szCs w:val="18"/>
                <w:lang w:eastAsia="cs-CZ"/>
              </w:rPr>
              <w:t>Německo</w:t>
            </w:r>
          </w:p>
        </w:tc>
        <w:tc>
          <w:tcPr>
            <w:tcW w:w="1206" w:type="dxa"/>
            <w:tcBorders>
              <w:top w:val="nil"/>
              <w:left w:val="nil"/>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14 907</w:t>
            </w:r>
          </w:p>
        </w:tc>
        <w:tc>
          <w:tcPr>
            <w:tcW w:w="1030" w:type="dxa"/>
            <w:tcBorders>
              <w:top w:val="nil"/>
              <w:left w:val="nil"/>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9 780</w:t>
            </w:r>
          </w:p>
        </w:tc>
        <w:tc>
          <w:tcPr>
            <w:tcW w:w="820" w:type="dxa"/>
            <w:tcBorders>
              <w:top w:val="nil"/>
              <w:left w:val="nil"/>
              <w:bottom w:val="single" w:sz="4" w:space="0" w:color="auto"/>
              <w:right w:val="single" w:sz="4" w:space="0" w:color="auto"/>
            </w:tcBorders>
            <w:shd w:val="clear" w:color="auto" w:fill="auto"/>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65,6</w:t>
            </w:r>
          </w:p>
        </w:tc>
        <w:tc>
          <w:tcPr>
            <w:tcW w:w="960" w:type="dxa"/>
            <w:tcBorders>
              <w:top w:val="nil"/>
              <w:left w:val="nil"/>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3 298</w:t>
            </w:r>
          </w:p>
        </w:tc>
        <w:tc>
          <w:tcPr>
            <w:tcW w:w="780" w:type="dxa"/>
            <w:tcBorders>
              <w:top w:val="nil"/>
              <w:left w:val="nil"/>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22,1</w:t>
            </w:r>
          </w:p>
        </w:tc>
        <w:tc>
          <w:tcPr>
            <w:tcW w:w="960" w:type="dxa"/>
            <w:tcBorders>
              <w:top w:val="nil"/>
              <w:left w:val="nil"/>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1 829</w:t>
            </w:r>
          </w:p>
        </w:tc>
        <w:tc>
          <w:tcPr>
            <w:tcW w:w="780" w:type="dxa"/>
            <w:tcBorders>
              <w:top w:val="nil"/>
              <w:left w:val="nil"/>
              <w:bottom w:val="single" w:sz="4" w:space="0" w:color="auto"/>
              <w:right w:val="single" w:sz="4" w:space="0" w:color="auto"/>
            </w:tcBorders>
            <w:shd w:val="clear" w:color="auto" w:fill="auto"/>
            <w:noWrap/>
            <w:vAlign w:val="bottom"/>
            <w:hideMark/>
          </w:tcPr>
          <w:p w:rsidR="00F44CB0" w:rsidRPr="00F44CB0" w:rsidRDefault="00F44CB0" w:rsidP="00F44CB0">
            <w:pPr>
              <w:suppressAutoHyphens w:val="0"/>
              <w:jc w:val="right"/>
              <w:rPr>
                <w:rFonts w:cs="Arial"/>
                <w:noProof w:val="0"/>
                <w:color w:val="000000"/>
                <w:sz w:val="18"/>
                <w:szCs w:val="18"/>
                <w:lang w:eastAsia="cs-CZ"/>
              </w:rPr>
            </w:pPr>
            <w:r w:rsidRPr="00F44CB0">
              <w:rPr>
                <w:rFonts w:cs="Arial"/>
                <w:noProof w:val="0"/>
                <w:color w:val="000000"/>
                <w:sz w:val="18"/>
                <w:szCs w:val="18"/>
                <w:lang w:eastAsia="cs-CZ"/>
              </w:rPr>
              <w:t>12,3</w:t>
            </w:r>
          </w:p>
        </w:tc>
      </w:tr>
    </w:tbl>
    <w:p w:rsidR="00F44CB0" w:rsidRDefault="00F44CB0" w:rsidP="0051354C">
      <w:pPr>
        <w:pStyle w:val="Normln-web"/>
        <w:spacing w:line="276" w:lineRule="auto"/>
        <w:rPr>
          <w:sz w:val="20"/>
          <w:szCs w:val="20"/>
        </w:rPr>
      </w:pPr>
    </w:p>
    <w:p w:rsidR="00FD0A2B" w:rsidRDefault="00F44CB0" w:rsidP="0051354C">
      <w:pPr>
        <w:pStyle w:val="Normln-web"/>
        <w:spacing w:line="276" w:lineRule="auto"/>
        <w:rPr>
          <w:sz w:val="20"/>
          <w:szCs w:val="20"/>
        </w:rPr>
      </w:pPr>
      <w:r>
        <w:rPr>
          <w:sz w:val="20"/>
          <w:szCs w:val="20"/>
        </w:rPr>
        <w:t>Ve struktuře cizinců podle druhu pobytu převažovaly osoby s pobytem dlouhodobým, tedy osoby, které pobývaly na území České republiky zejména z důvodů pracovních nebo studijních</w:t>
      </w:r>
      <w:r w:rsidR="00203689">
        <w:rPr>
          <w:sz w:val="20"/>
          <w:szCs w:val="20"/>
        </w:rPr>
        <w:t xml:space="preserve">. </w:t>
      </w:r>
      <w:r w:rsidR="00FD0A2B">
        <w:rPr>
          <w:sz w:val="20"/>
          <w:szCs w:val="20"/>
        </w:rPr>
        <w:t xml:space="preserve"> </w:t>
      </w:r>
      <w:r w:rsidR="00203689">
        <w:rPr>
          <w:sz w:val="20"/>
          <w:szCs w:val="20"/>
        </w:rPr>
        <w:t xml:space="preserve">Dlouhodobý pobyt byl nejčetnější u občanů Ukrajiny, Ruska a </w:t>
      </w:r>
      <w:r>
        <w:rPr>
          <w:sz w:val="20"/>
          <w:szCs w:val="20"/>
        </w:rPr>
        <w:t>Německa</w:t>
      </w:r>
      <w:r w:rsidR="00203689">
        <w:rPr>
          <w:sz w:val="20"/>
          <w:szCs w:val="20"/>
        </w:rPr>
        <w:t xml:space="preserve">. Trvalý pobyt </w:t>
      </w:r>
      <w:r>
        <w:rPr>
          <w:sz w:val="20"/>
          <w:szCs w:val="20"/>
        </w:rPr>
        <w:t xml:space="preserve">měla zhruba třetina všech cizinců, nadprůměrné </w:t>
      </w:r>
      <w:r w:rsidR="007607E6">
        <w:rPr>
          <w:sz w:val="20"/>
          <w:szCs w:val="20"/>
        </w:rPr>
        <w:t>zastoupení</w:t>
      </w:r>
      <w:r>
        <w:rPr>
          <w:sz w:val="20"/>
          <w:szCs w:val="20"/>
        </w:rPr>
        <w:t xml:space="preserve"> (více než 50 %)</w:t>
      </w:r>
      <w:r w:rsidR="007607E6">
        <w:rPr>
          <w:sz w:val="20"/>
          <w:szCs w:val="20"/>
        </w:rPr>
        <w:t xml:space="preserve"> byl</w:t>
      </w:r>
      <w:r>
        <w:rPr>
          <w:sz w:val="20"/>
          <w:szCs w:val="20"/>
        </w:rPr>
        <w:t>o</w:t>
      </w:r>
      <w:r w:rsidR="007607E6">
        <w:rPr>
          <w:sz w:val="20"/>
          <w:szCs w:val="20"/>
        </w:rPr>
        <w:t xml:space="preserve"> typick</w:t>
      </w:r>
      <w:r>
        <w:rPr>
          <w:sz w:val="20"/>
          <w:szCs w:val="20"/>
        </w:rPr>
        <w:t>é</w:t>
      </w:r>
      <w:r w:rsidR="007607E6">
        <w:rPr>
          <w:sz w:val="20"/>
          <w:szCs w:val="20"/>
        </w:rPr>
        <w:t xml:space="preserve"> pro občany Polska a Vietnamu. </w:t>
      </w:r>
      <w:r>
        <w:rPr>
          <w:sz w:val="20"/>
          <w:szCs w:val="20"/>
        </w:rPr>
        <w:t xml:space="preserve">Trvalý pobyt </w:t>
      </w:r>
      <w:r>
        <w:rPr>
          <w:sz w:val="20"/>
          <w:szCs w:val="20"/>
        </w:rPr>
        <w:lastRenderedPageBreak/>
        <w:t xml:space="preserve">signalizoval snahu </w:t>
      </w:r>
      <w:r w:rsidRPr="00C74CC1">
        <w:rPr>
          <w:sz w:val="20"/>
          <w:szCs w:val="20"/>
        </w:rPr>
        <w:t>o definitivní</w:t>
      </w:r>
      <w:r>
        <w:rPr>
          <w:sz w:val="20"/>
          <w:szCs w:val="20"/>
        </w:rPr>
        <w:t xml:space="preserve"> usídlení </w:t>
      </w:r>
      <w:r w:rsidR="002262F3">
        <w:rPr>
          <w:sz w:val="20"/>
          <w:szCs w:val="20"/>
        </w:rPr>
        <w:t>v České republice při současné</w:t>
      </w:r>
      <w:r w:rsidR="00C74CC1">
        <w:rPr>
          <w:sz w:val="20"/>
          <w:szCs w:val="20"/>
        </w:rPr>
        <w:t>m</w:t>
      </w:r>
      <w:r w:rsidR="002262F3">
        <w:rPr>
          <w:sz w:val="20"/>
          <w:szCs w:val="20"/>
        </w:rPr>
        <w:t xml:space="preserve"> zachování si identitity země původu.</w:t>
      </w:r>
    </w:p>
    <w:p w:rsidR="007607E6" w:rsidRDefault="002262F3" w:rsidP="0051354C">
      <w:pPr>
        <w:pStyle w:val="Normln-web"/>
        <w:spacing w:line="276" w:lineRule="auto"/>
        <w:rPr>
          <w:sz w:val="20"/>
          <w:szCs w:val="20"/>
        </w:rPr>
      </w:pPr>
      <w:r>
        <w:rPr>
          <w:sz w:val="20"/>
          <w:szCs w:val="20"/>
        </w:rPr>
        <w:t>Vazba druhu pobytu a účelu</w:t>
      </w:r>
      <w:r w:rsidR="007607E6">
        <w:rPr>
          <w:sz w:val="20"/>
          <w:szCs w:val="20"/>
        </w:rPr>
        <w:t xml:space="preserve"> pobytu cizinců na našem území</w:t>
      </w:r>
      <w:r>
        <w:rPr>
          <w:sz w:val="20"/>
          <w:szCs w:val="20"/>
        </w:rPr>
        <w:t xml:space="preserve"> se promítla i do </w:t>
      </w:r>
      <w:r w:rsidR="007607E6">
        <w:rPr>
          <w:sz w:val="20"/>
          <w:szCs w:val="20"/>
        </w:rPr>
        <w:t>způsob</w:t>
      </w:r>
      <w:r>
        <w:rPr>
          <w:sz w:val="20"/>
          <w:szCs w:val="20"/>
        </w:rPr>
        <w:t>u</w:t>
      </w:r>
      <w:r w:rsidR="007607E6">
        <w:rPr>
          <w:sz w:val="20"/>
          <w:szCs w:val="20"/>
        </w:rPr>
        <w:t xml:space="preserve"> bydlení</w:t>
      </w:r>
      <w:r>
        <w:rPr>
          <w:sz w:val="20"/>
          <w:szCs w:val="20"/>
        </w:rPr>
        <w:t>.</w:t>
      </w:r>
      <w:r w:rsidR="007607E6">
        <w:rPr>
          <w:sz w:val="20"/>
          <w:szCs w:val="20"/>
        </w:rPr>
        <w:t xml:space="preserve"> </w:t>
      </w:r>
      <w:r>
        <w:rPr>
          <w:sz w:val="20"/>
          <w:szCs w:val="20"/>
        </w:rPr>
        <w:t xml:space="preserve">Pro cizince s povoleným trvalým pobytem bylo charakteristické bydlení v bytech (téměř 95 %), </w:t>
      </w:r>
      <w:r w:rsidR="00266D4E">
        <w:rPr>
          <w:sz w:val="20"/>
          <w:szCs w:val="20"/>
        </w:rPr>
        <w:t xml:space="preserve">zatímco </w:t>
      </w:r>
      <w:r>
        <w:rPr>
          <w:sz w:val="20"/>
          <w:szCs w:val="20"/>
        </w:rPr>
        <w:t xml:space="preserve">bydlení v ubytovacích zařízeních </w:t>
      </w:r>
      <w:r w:rsidR="00266D4E">
        <w:rPr>
          <w:sz w:val="20"/>
          <w:szCs w:val="20"/>
        </w:rPr>
        <w:t>překročilo pouhá</w:t>
      </w:r>
      <w:r>
        <w:rPr>
          <w:sz w:val="20"/>
          <w:szCs w:val="20"/>
        </w:rPr>
        <w:t xml:space="preserve"> 3 %. Cizinci s dlouhodobým pobytem</w:t>
      </w:r>
      <w:r w:rsidR="00266D4E">
        <w:rPr>
          <w:sz w:val="20"/>
          <w:szCs w:val="20"/>
        </w:rPr>
        <w:t xml:space="preserve"> sice většinově bydleli v bytech také, ale proporčně byly hodnoty bydlení v bytech a v zařízeních výrazně jiné – v bytech bydlely zh</w:t>
      </w:r>
      <w:r w:rsidR="00C74CC1">
        <w:rPr>
          <w:sz w:val="20"/>
          <w:szCs w:val="20"/>
        </w:rPr>
        <w:t>r</w:t>
      </w:r>
      <w:r w:rsidR="00266D4E">
        <w:rPr>
          <w:sz w:val="20"/>
          <w:szCs w:val="20"/>
        </w:rPr>
        <w:t>uba</w:t>
      </w:r>
      <w:r w:rsidR="00B24D10">
        <w:rPr>
          <w:sz w:val="20"/>
          <w:szCs w:val="20"/>
        </w:rPr>
        <w:t xml:space="preserve"> </w:t>
      </w:r>
      <w:r w:rsidR="00266D4E">
        <w:rPr>
          <w:sz w:val="20"/>
          <w:szCs w:val="20"/>
        </w:rPr>
        <w:t xml:space="preserve"> tři čtvrtiny cizinců s dlouhodobým pobytem a v zařízeních jich bydlelo 20 %.</w:t>
      </w:r>
      <w:r w:rsidR="00C74CC1">
        <w:rPr>
          <w:sz w:val="20"/>
          <w:szCs w:val="20"/>
        </w:rPr>
        <w:t xml:space="preserve"> </w:t>
      </w:r>
    </w:p>
    <w:p w:rsidR="00DD1433" w:rsidRDefault="00DD1433" w:rsidP="00DD1433">
      <w:pPr>
        <w:spacing w:line="276" w:lineRule="auto"/>
        <w:rPr>
          <w:b/>
          <w:sz w:val="20"/>
          <w:szCs w:val="20"/>
        </w:rPr>
      </w:pPr>
    </w:p>
    <w:p w:rsidR="00DD1433" w:rsidRDefault="00DD1433" w:rsidP="00DD1433">
      <w:pPr>
        <w:spacing w:line="276" w:lineRule="auto"/>
        <w:rPr>
          <w:b/>
          <w:bCs/>
          <w:sz w:val="20"/>
          <w:szCs w:val="20"/>
        </w:rPr>
      </w:pPr>
      <w:r w:rsidRPr="001770AA">
        <w:rPr>
          <w:b/>
          <w:sz w:val="20"/>
          <w:szCs w:val="20"/>
        </w:rPr>
        <w:t>Graf</w:t>
      </w:r>
      <w:r>
        <w:rPr>
          <w:b/>
          <w:sz w:val="20"/>
          <w:szCs w:val="20"/>
        </w:rPr>
        <w:t>y</w:t>
      </w:r>
      <w:r w:rsidRPr="001770AA">
        <w:rPr>
          <w:b/>
          <w:sz w:val="20"/>
          <w:szCs w:val="20"/>
        </w:rPr>
        <w:t xml:space="preserve"> č. </w:t>
      </w:r>
      <w:r>
        <w:rPr>
          <w:b/>
          <w:sz w:val="20"/>
          <w:szCs w:val="20"/>
        </w:rPr>
        <w:t xml:space="preserve">23, 24 Cizinci a populace celkem podle způsobu bydlení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3C5019" w:rsidRDefault="003C5019" w:rsidP="003C5019">
      <w:pPr>
        <w:spacing w:line="276" w:lineRule="auto"/>
        <w:rPr>
          <w:sz w:val="20"/>
          <w:szCs w:val="20"/>
        </w:rPr>
      </w:pPr>
    </w:p>
    <w:p w:rsidR="00C74CC1" w:rsidRDefault="003C5019" w:rsidP="00AE066F">
      <w:pPr>
        <w:spacing w:line="276" w:lineRule="auto"/>
        <w:jc w:val="both"/>
        <w:rPr>
          <w:sz w:val="20"/>
          <w:szCs w:val="20"/>
        </w:rPr>
      </w:pPr>
      <w:r>
        <w:rPr>
          <w:b/>
          <w:bCs/>
          <w:sz w:val="20"/>
          <w:szCs w:val="20"/>
          <w:lang w:eastAsia="cs-CZ"/>
        </w:rPr>
        <w:drawing>
          <wp:anchor distT="36195" distB="107950" distL="114300" distR="114300" simplePos="0" relativeHeight="251665408" behindDoc="0" locked="0" layoutInCell="1" allowOverlap="1">
            <wp:simplePos x="0" y="0"/>
            <wp:positionH relativeFrom="margin">
              <wp:posOffset>3020695</wp:posOffset>
            </wp:positionH>
            <wp:positionV relativeFrom="margin">
              <wp:posOffset>1692275</wp:posOffset>
            </wp:positionV>
            <wp:extent cx="3000375" cy="2228850"/>
            <wp:effectExtent l="19050" t="0" r="9525" b="0"/>
            <wp:wrapSquare wrapText="bothSides"/>
            <wp:docPr id="2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b/>
          <w:bCs/>
          <w:sz w:val="20"/>
          <w:szCs w:val="20"/>
          <w:lang w:eastAsia="cs-CZ"/>
        </w:rPr>
        <w:drawing>
          <wp:anchor distT="36195" distB="107950" distL="114300" distR="114300" simplePos="0" relativeHeight="251664384" behindDoc="0" locked="0" layoutInCell="1" allowOverlap="1">
            <wp:simplePos x="0" y="0"/>
            <wp:positionH relativeFrom="margin">
              <wp:posOffset>10795</wp:posOffset>
            </wp:positionH>
            <wp:positionV relativeFrom="margin">
              <wp:posOffset>1692275</wp:posOffset>
            </wp:positionV>
            <wp:extent cx="3009900" cy="2228850"/>
            <wp:effectExtent l="19050" t="0" r="19050" b="0"/>
            <wp:wrapSquare wrapText="bothSides"/>
            <wp:docPr id="2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B24D10">
        <w:rPr>
          <w:sz w:val="20"/>
          <w:szCs w:val="20"/>
        </w:rPr>
        <w:t>V úhrnu u cizinců bez ohledu na druh pobytu převažovalo bydlení v bytech. Tento podíl nebyl ale tak vysoký jako u obyvatel</w:t>
      </w:r>
      <w:r w:rsidR="00341839">
        <w:rPr>
          <w:sz w:val="20"/>
          <w:szCs w:val="20"/>
        </w:rPr>
        <w:t>stva celkem</w:t>
      </w:r>
      <w:r w:rsidR="00B24D10">
        <w:rPr>
          <w:sz w:val="20"/>
          <w:szCs w:val="20"/>
        </w:rPr>
        <w:t xml:space="preserve">; zastoupení bydlení mimo byty, zejména ale bydlení v zařízeních, bylo v porovnání s celkovou populací mnohonásobně větší. </w:t>
      </w:r>
    </w:p>
    <w:p w:rsidR="0051354C" w:rsidRDefault="0051354C" w:rsidP="0051354C">
      <w:pPr>
        <w:pStyle w:val="Normln-web"/>
        <w:spacing w:line="276" w:lineRule="auto"/>
        <w:rPr>
          <w:sz w:val="20"/>
          <w:szCs w:val="20"/>
        </w:rPr>
      </w:pPr>
      <w:r>
        <w:rPr>
          <w:sz w:val="20"/>
          <w:szCs w:val="20"/>
        </w:rPr>
        <w:t xml:space="preserve">Data o způsobu bydlení cizinců je třeba hodnotit v souvislosti s celkovou kvalitou dat o cizincích. </w:t>
      </w:r>
      <w:r w:rsidR="00797BC3">
        <w:rPr>
          <w:sz w:val="20"/>
          <w:szCs w:val="20"/>
        </w:rPr>
        <w:t>Výsledné údaje</w:t>
      </w:r>
      <w:r>
        <w:rPr>
          <w:sz w:val="20"/>
          <w:szCs w:val="20"/>
        </w:rPr>
        <w:t xml:space="preserve"> o cizincích byl</w:t>
      </w:r>
      <w:r w:rsidR="00797BC3">
        <w:rPr>
          <w:sz w:val="20"/>
          <w:szCs w:val="20"/>
        </w:rPr>
        <w:t>y</w:t>
      </w:r>
      <w:r>
        <w:rPr>
          <w:sz w:val="20"/>
          <w:szCs w:val="20"/>
        </w:rPr>
        <w:t xml:space="preserve"> stejně jako v minulosti i v roce 2011 ovlivněn</w:t>
      </w:r>
      <w:r w:rsidR="00797BC3">
        <w:rPr>
          <w:sz w:val="20"/>
          <w:szCs w:val="20"/>
        </w:rPr>
        <w:t>y</w:t>
      </w:r>
      <w:r>
        <w:rPr>
          <w:sz w:val="20"/>
          <w:szCs w:val="20"/>
        </w:rPr>
        <w:t xml:space="preserve"> problémy s jejich získáním. Především to byly problémy v komunikaci sčítacích komisařů a respondentů dané jazykovou bariérou a rovněž snahou některých skupin cizinců vyhnout se sčítání. Kromě toho cizinci častěji než občané ČR měli obvyklé bydliště na jiné než evidenční adrese, proto </w:t>
      </w:r>
      <w:r w:rsidR="000D2754">
        <w:rPr>
          <w:sz w:val="20"/>
          <w:szCs w:val="20"/>
        </w:rPr>
        <w:t>častěji</w:t>
      </w:r>
      <w:r>
        <w:rPr>
          <w:sz w:val="20"/>
          <w:szCs w:val="20"/>
        </w:rPr>
        <w:t xml:space="preserve"> nebyli na doručovacích adresách zastiženi. Využívání </w:t>
      </w:r>
      <w:r w:rsidR="00765C76">
        <w:rPr>
          <w:sz w:val="20"/>
          <w:szCs w:val="20"/>
        </w:rPr>
        <w:t xml:space="preserve">Informačního systému evidence obyvatel </w:t>
      </w:r>
      <w:r>
        <w:rPr>
          <w:sz w:val="20"/>
          <w:szCs w:val="20"/>
        </w:rPr>
        <w:t xml:space="preserve">při sčítání 2011 problémy se sečtením do značné míry eliminovalo, protože </w:t>
      </w:r>
      <w:r w:rsidR="00797BC3">
        <w:rPr>
          <w:sz w:val="20"/>
          <w:szCs w:val="20"/>
        </w:rPr>
        <w:t>pokud se nepodařilo cizinci doručit sčítací formulář</w:t>
      </w:r>
      <w:r>
        <w:rPr>
          <w:sz w:val="20"/>
          <w:szCs w:val="20"/>
        </w:rPr>
        <w:t>, byl</w:t>
      </w:r>
      <w:r w:rsidR="00797BC3">
        <w:rPr>
          <w:sz w:val="20"/>
          <w:szCs w:val="20"/>
        </w:rPr>
        <w:t>y základní údaje o jeho osobě</w:t>
      </w:r>
      <w:r>
        <w:rPr>
          <w:sz w:val="20"/>
          <w:szCs w:val="20"/>
        </w:rPr>
        <w:t xml:space="preserve"> doplněn</w:t>
      </w:r>
      <w:r w:rsidR="00797BC3">
        <w:rPr>
          <w:sz w:val="20"/>
          <w:szCs w:val="20"/>
        </w:rPr>
        <w:t>y</w:t>
      </w:r>
      <w:r>
        <w:rPr>
          <w:sz w:val="20"/>
          <w:szCs w:val="20"/>
        </w:rPr>
        <w:t xml:space="preserve"> (při splnění příslušných podmínek) z administr</w:t>
      </w:r>
      <w:r w:rsidR="008F2C5C">
        <w:rPr>
          <w:sz w:val="20"/>
          <w:szCs w:val="20"/>
        </w:rPr>
        <w:t xml:space="preserve">ativního zdroje. Za tyto osoby </w:t>
      </w:r>
      <w:r>
        <w:rPr>
          <w:sz w:val="20"/>
          <w:szCs w:val="20"/>
        </w:rPr>
        <w:t>byl</w:t>
      </w:r>
      <w:r w:rsidR="00797BC3">
        <w:rPr>
          <w:sz w:val="20"/>
          <w:szCs w:val="20"/>
        </w:rPr>
        <w:t>a</w:t>
      </w:r>
      <w:r>
        <w:rPr>
          <w:sz w:val="20"/>
          <w:szCs w:val="20"/>
        </w:rPr>
        <w:t xml:space="preserve"> odvozená adresa místa obvyklého pobytu vždy shodná s evidenční adresou místa pobytu</w:t>
      </w:r>
      <w:r w:rsidR="00765C76">
        <w:rPr>
          <w:sz w:val="20"/>
          <w:szCs w:val="20"/>
        </w:rPr>
        <w:t>,</w:t>
      </w:r>
      <w:r>
        <w:rPr>
          <w:sz w:val="20"/>
          <w:szCs w:val="20"/>
        </w:rPr>
        <w:t xml:space="preserve"> (protože </w:t>
      </w:r>
      <w:r w:rsidR="008F2C5C">
        <w:rPr>
          <w:sz w:val="20"/>
          <w:szCs w:val="20"/>
        </w:rPr>
        <w:t>nevyplnily sčítací formulář</w:t>
      </w:r>
      <w:r>
        <w:rPr>
          <w:sz w:val="20"/>
          <w:szCs w:val="20"/>
        </w:rPr>
        <w:t>, neexistovala žádná deklarace o jejich faktickém bydlišti). To se zprostřed</w:t>
      </w:r>
      <w:r w:rsidR="000D2754">
        <w:rPr>
          <w:sz w:val="20"/>
          <w:szCs w:val="20"/>
        </w:rPr>
        <w:t xml:space="preserve">kovaně dotklo i způsobu bydlení, který byl odvozen </w:t>
      </w:r>
      <w:r>
        <w:rPr>
          <w:sz w:val="20"/>
          <w:szCs w:val="20"/>
        </w:rPr>
        <w:t>podle adresy obvyklého</w:t>
      </w:r>
      <w:r w:rsidR="000D2754">
        <w:rPr>
          <w:sz w:val="20"/>
          <w:szCs w:val="20"/>
        </w:rPr>
        <w:t xml:space="preserve"> </w:t>
      </w:r>
      <w:r>
        <w:rPr>
          <w:sz w:val="20"/>
          <w:szCs w:val="20"/>
        </w:rPr>
        <w:t>pobytu a podle druhu domu. Údaje</w:t>
      </w:r>
      <w:r w:rsidR="000D2754">
        <w:rPr>
          <w:sz w:val="20"/>
          <w:szCs w:val="20"/>
        </w:rPr>
        <w:t xml:space="preserve"> o technických parametrech bytu zůstaly ve větší míře nevyplněné.</w:t>
      </w:r>
      <w:r>
        <w:rPr>
          <w:sz w:val="20"/>
          <w:szCs w:val="20"/>
        </w:rPr>
        <w:t xml:space="preserve"> </w:t>
      </w:r>
    </w:p>
    <w:p w:rsidR="00BF5AFA" w:rsidRDefault="00BF5AFA" w:rsidP="00BF5AFA">
      <w:pPr>
        <w:pStyle w:val="Normln-web"/>
        <w:keepNext/>
        <w:keepLines/>
        <w:spacing w:line="276" w:lineRule="auto"/>
        <w:rPr>
          <w:sz w:val="20"/>
          <w:szCs w:val="20"/>
        </w:rPr>
      </w:pPr>
      <w:r>
        <w:rPr>
          <w:sz w:val="20"/>
          <w:szCs w:val="20"/>
        </w:rPr>
        <w:t>Mezi jednotlivými státními občanstvími byly poměrně značné rozdíly, pokud jde o způsob bydlení i o detailní charakteristiky v rámci konkrétního typu obydlí.</w:t>
      </w:r>
    </w:p>
    <w:p w:rsidR="00BF5AFA" w:rsidRDefault="00BF5AFA">
      <w:pPr>
        <w:suppressAutoHyphens w:val="0"/>
        <w:rPr>
          <w:b/>
          <w:sz w:val="20"/>
          <w:szCs w:val="20"/>
        </w:rPr>
      </w:pPr>
      <w:r>
        <w:rPr>
          <w:b/>
          <w:sz w:val="20"/>
          <w:szCs w:val="20"/>
        </w:rPr>
        <w:br w:type="page"/>
      </w:r>
    </w:p>
    <w:p w:rsidR="00BF5AFA" w:rsidRDefault="00BF5AFA" w:rsidP="00BF5AFA">
      <w:pPr>
        <w:keepNext/>
        <w:keepLines/>
        <w:spacing w:line="276" w:lineRule="auto"/>
        <w:jc w:val="center"/>
        <w:rPr>
          <w:b/>
          <w:bCs/>
          <w:sz w:val="20"/>
          <w:szCs w:val="20"/>
        </w:rPr>
      </w:pPr>
      <w:r w:rsidRPr="001770AA">
        <w:rPr>
          <w:b/>
          <w:sz w:val="20"/>
          <w:szCs w:val="20"/>
        </w:rPr>
        <w:lastRenderedPageBreak/>
        <w:t>Graf č</w:t>
      </w:r>
      <w:r>
        <w:rPr>
          <w:b/>
          <w:sz w:val="20"/>
          <w:szCs w:val="20"/>
        </w:rPr>
        <w:t xml:space="preserve">. 25 Cizinci podle způsobu bydlení a podle způsobu sečtení </w:t>
      </w:r>
      <w:r w:rsidRPr="001770AA">
        <w:rPr>
          <w:b/>
          <w:bCs/>
          <w:sz w:val="20"/>
          <w:szCs w:val="20"/>
        </w:rPr>
        <w:t>k 26.</w:t>
      </w:r>
      <w:r>
        <w:rPr>
          <w:b/>
          <w:bCs/>
          <w:sz w:val="20"/>
          <w:szCs w:val="20"/>
        </w:rPr>
        <w:t xml:space="preserve"> </w:t>
      </w:r>
      <w:r w:rsidRPr="001770AA">
        <w:rPr>
          <w:b/>
          <w:bCs/>
          <w:sz w:val="20"/>
          <w:szCs w:val="20"/>
        </w:rPr>
        <w:t>3.</w:t>
      </w:r>
      <w:r>
        <w:rPr>
          <w:b/>
          <w:bCs/>
          <w:sz w:val="20"/>
          <w:szCs w:val="20"/>
        </w:rPr>
        <w:t xml:space="preserve"> </w:t>
      </w:r>
      <w:r w:rsidRPr="001770AA">
        <w:rPr>
          <w:b/>
          <w:bCs/>
          <w:sz w:val="20"/>
          <w:szCs w:val="20"/>
        </w:rPr>
        <w:t>2011</w:t>
      </w:r>
    </w:p>
    <w:p w:rsidR="0004727B" w:rsidRDefault="001F2998" w:rsidP="00BF5AFA">
      <w:pPr>
        <w:keepNext/>
        <w:keepLines/>
        <w:spacing w:line="276" w:lineRule="auto"/>
        <w:jc w:val="center"/>
        <w:rPr>
          <w:b/>
          <w:bCs/>
          <w:sz w:val="20"/>
          <w:szCs w:val="20"/>
        </w:rPr>
      </w:pPr>
      <w:r w:rsidRPr="001F2998">
        <w:rPr>
          <w:b/>
          <w:bCs/>
          <w:sz w:val="20"/>
          <w:szCs w:val="20"/>
        </w:rPr>
        <w:drawing>
          <wp:inline distT="0" distB="0" distL="0" distR="0">
            <wp:extent cx="4572000" cy="3181350"/>
            <wp:effectExtent l="19050" t="0" r="19050" b="0"/>
            <wp:docPr id="3"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7E82" w:rsidRDefault="00047E82" w:rsidP="00BF5AFA">
      <w:pPr>
        <w:keepNext/>
        <w:keepLines/>
        <w:spacing w:line="276" w:lineRule="auto"/>
        <w:jc w:val="center"/>
        <w:rPr>
          <w:b/>
          <w:bCs/>
          <w:sz w:val="20"/>
          <w:szCs w:val="20"/>
        </w:rPr>
      </w:pPr>
    </w:p>
    <w:p w:rsidR="00047E82" w:rsidRDefault="00047E82" w:rsidP="00BF5AFA">
      <w:pPr>
        <w:keepNext/>
        <w:keepLines/>
        <w:spacing w:line="276" w:lineRule="auto"/>
        <w:jc w:val="center"/>
        <w:rPr>
          <w:b/>
          <w:bCs/>
          <w:sz w:val="20"/>
          <w:szCs w:val="20"/>
        </w:rPr>
      </w:pPr>
    </w:p>
    <w:p w:rsidR="003F67A8" w:rsidRDefault="003F67A8" w:rsidP="00341839">
      <w:pPr>
        <w:pStyle w:val="Normln-web"/>
        <w:spacing w:line="276" w:lineRule="auto"/>
        <w:rPr>
          <w:sz w:val="20"/>
          <w:szCs w:val="20"/>
        </w:rPr>
      </w:pPr>
      <w:r>
        <w:rPr>
          <w:sz w:val="20"/>
          <w:szCs w:val="20"/>
        </w:rPr>
        <w:t>Majoritní zastoupení bydlení v bytech platilo pro všechna státní občanství, ale v různé intenzitě. Bydlení v bytech bylo typické zejména pro občany Vietnamu a Ruska, nadprůměrný podíl (ve srovnání s cizinci celkem) měli i občané Slovenska.</w:t>
      </w:r>
    </w:p>
    <w:p w:rsidR="00B903FD" w:rsidRDefault="00B903FD" w:rsidP="0051354C">
      <w:pPr>
        <w:pStyle w:val="Normln-web"/>
        <w:rPr>
          <w:sz w:val="20"/>
          <w:szCs w:val="20"/>
        </w:rPr>
      </w:pPr>
    </w:p>
    <w:tbl>
      <w:tblPr>
        <w:tblW w:w="7448" w:type="dxa"/>
        <w:jc w:val="center"/>
        <w:tblInd w:w="55" w:type="dxa"/>
        <w:tblCellMar>
          <w:left w:w="70" w:type="dxa"/>
          <w:right w:w="70" w:type="dxa"/>
        </w:tblCellMar>
        <w:tblLook w:val="04A0"/>
      </w:tblPr>
      <w:tblGrid>
        <w:gridCol w:w="1543"/>
        <w:gridCol w:w="1293"/>
        <w:gridCol w:w="937"/>
        <w:gridCol w:w="971"/>
        <w:gridCol w:w="933"/>
        <w:gridCol w:w="936"/>
        <w:gridCol w:w="835"/>
      </w:tblGrid>
      <w:tr w:rsidR="004D4B17" w:rsidRPr="00B903FD" w:rsidTr="009966B7">
        <w:trPr>
          <w:trHeight w:val="240"/>
          <w:jc w:val="center"/>
        </w:trPr>
        <w:tc>
          <w:tcPr>
            <w:tcW w:w="7448" w:type="dxa"/>
            <w:gridSpan w:val="7"/>
            <w:tcBorders>
              <w:top w:val="nil"/>
              <w:left w:val="nil"/>
              <w:bottom w:val="nil"/>
              <w:right w:val="nil"/>
            </w:tcBorders>
            <w:shd w:val="clear" w:color="auto" w:fill="auto"/>
            <w:noWrap/>
            <w:vAlign w:val="bottom"/>
            <w:hideMark/>
          </w:tcPr>
          <w:p w:rsidR="004D4B17" w:rsidRPr="00B903FD" w:rsidRDefault="00760C72" w:rsidP="00AE066F">
            <w:pPr>
              <w:suppressAutoHyphens w:val="0"/>
              <w:rPr>
                <w:rFonts w:cs="Arial"/>
                <w:noProof w:val="0"/>
                <w:color w:val="000000"/>
                <w:sz w:val="18"/>
                <w:szCs w:val="18"/>
                <w:lang w:eastAsia="cs-CZ"/>
              </w:rPr>
            </w:pPr>
            <w:r>
              <w:rPr>
                <w:rFonts w:cs="Arial"/>
                <w:b/>
                <w:bCs/>
                <w:sz w:val="20"/>
                <w:szCs w:val="20"/>
              </w:rPr>
              <w:t xml:space="preserve">Tab. č. 18 </w:t>
            </w:r>
            <w:r w:rsidR="004D4B17" w:rsidRPr="004D4B17">
              <w:rPr>
                <w:rFonts w:cs="Arial"/>
                <w:b/>
                <w:noProof w:val="0"/>
                <w:color w:val="000000"/>
                <w:sz w:val="20"/>
                <w:szCs w:val="20"/>
                <w:lang w:eastAsia="cs-CZ"/>
              </w:rPr>
              <w:t>Cizinci podle způsobu bydlení k 26.</w:t>
            </w:r>
            <w:r w:rsidR="00D61129">
              <w:rPr>
                <w:rFonts w:cs="Arial"/>
                <w:b/>
                <w:noProof w:val="0"/>
                <w:color w:val="000000"/>
                <w:sz w:val="20"/>
                <w:szCs w:val="20"/>
                <w:lang w:eastAsia="cs-CZ"/>
              </w:rPr>
              <w:t xml:space="preserve"> </w:t>
            </w:r>
            <w:r w:rsidR="004D4B17" w:rsidRPr="004D4B17">
              <w:rPr>
                <w:rFonts w:cs="Arial"/>
                <w:b/>
                <w:noProof w:val="0"/>
                <w:color w:val="000000"/>
                <w:sz w:val="20"/>
                <w:szCs w:val="20"/>
                <w:lang w:eastAsia="cs-CZ"/>
              </w:rPr>
              <w:t>3.</w:t>
            </w:r>
            <w:r w:rsidR="00D61129">
              <w:rPr>
                <w:rFonts w:cs="Arial"/>
                <w:b/>
                <w:noProof w:val="0"/>
                <w:color w:val="000000"/>
                <w:sz w:val="20"/>
                <w:szCs w:val="20"/>
                <w:lang w:eastAsia="cs-CZ"/>
              </w:rPr>
              <w:t xml:space="preserve"> </w:t>
            </w:r>
            <w:r w:rsidR="004D4B17" w:rsidRPr="004D4B17">
              <w:rPr>
                <w:rFonts w:cs="Arial"/>
                <w:b/>
                <w:noProof w:val="0"/>
                <w:color w:val="000000"/>
                <w:sz w:val="20"/>
                <w:szCs w:val="20"/>
                <w:lang w:eastAsia="cs-CZ"/>
              </w:rPr>
              <w:t>2011</w:t>
            </w:r>
          </w:p>
        </w:tc>
      </w:tr>
      <w:tr w:rsidR="00B903FD" w:rsidRPr="00B903FD" w:rsidTr="004D4B17">
        <w:trPr>
          <w:trHeight w:val="240"/>
          <w:jc w:val="center"/>
        </w:trPr>
        <w:tc>
          <w:tcPr>
            <w:tcW w:w="154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 </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B17"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Cizinci</w:t>
            </w:r>
          </w:p>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celkem</w:t>
            </w:r>
          </w:p>
        </w:tc>
        <w:tc>
          <w:tcPr>
            <w:tcW w:w="4612" w:type="dxa"/>
            <w:gridSpan w:val="5"/>
            <w:tcBorders>
              <w:top w:val="single" w:sz="4" w:space="0" w:color="auto"/>
              <w:left w:val="nil"/>
              <w:bottom w:val="single" w:sz="4" w:space="0" w:color="auto"/>
              <w:right w:val="single" w:sz="4" w:space="0" w:color="auto"/>
            </w:tcBorders>
            <w:shd w:val="clear" w:color="auto" w:fill="auto"/>
            <w:vAlign w:val="bottom"/>
            <w:hideMark/>
          </w:tcPr>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v tom způsob bydlení</w:t>
            </w:r>
          </w:p>
        </w:tc>
      </w:tr>
      <w:tr w:rsidR="00B903FD" w:rsidRPr="00B903FD" w:rsidTr="004D4B17">
        <w:trPr>
          <w:trHeight w:val="720"/>
          <w:jc w:val="center"/>
        </w:trPr>
        <w:tc>
          <w:tcPr>
            <w:tcW w:w="1543" w:type="dxa"/>
            <w:vMerge/>
            <w:tcBorders>
              <w:top w:val="single" w:sz="4" w:space="0" w:color="auto"/>
              <w:left w:val="single" w:sz="4" w:space="0" w:color="auto"/>
              <w:bottom w:val="single" w:sz="4" w:space="0" w:color="auto"/>
              <w:right w:val="single" w:sz="4" w:space="0" w:color="auto"/>
            </w:tcBorders>
            <w:vAlign w:val="center"/>
            <w:hideMark/>
          </w:tcPr>
          <w:p w:rsidR="00B903FD" w:rsidRPr="00B903FD" w:rsidRDefault="00B903FD" w:rsidP="00B903FD">
            <w:pPr>
              <w:suppressAutoHyphens w:val="0"/>
              <w:rPr>
                <w:rFonts w:cs="Arial"/>
                <w:noProof w:val="0"/>
                <w:color w:val="000000"/>
                <w:sz w:val="18"/>
                <w:szCs w:val="18"/>
                <w:lang w:eastAsia="cs-CZ"/>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B903FD" w:rsidRPr="00B903FD" w:rsidRDefault="00B903FD" w:rsidP="00B903FD">
            <w:pPr>
              <w:suppressAutoHyphens w:val="0"/>
              <w:rPr>
                <w:rFonts w:cs="Arial"/>
                <w:noProof w:val="0"/>
                <w:color w:val="000000"/>
                <w:sz w:val="18"/>
                <w:szCs w:val="18"/>
                <w:lang w:eastAsia="cs-CZ"/>
              </w:rPr>
            </w:pPr>
          </w:p>
        </w:tc>
        <w:tc>
          <w:tcPr>
            <w:tcW w:w="937" w:type="dxa"/>
            <w:tcBorders>
              <w:top w:val="nil"/>
              <w:left w:val="nil"/>
              <w:bottom w:val="single" w:sz="4" w:space="0" w:color="auto"/>
              <w:right w:val="single" w:sz="4" w:space="0" w:color="auto"/>
            </w:tcBorders>
            <w:shd w:val="clear" w:color="auto" w:fill="auto"/>
            <w:vAlign w:val="center"/>
            <w:hideMark/>
          </w:tcPr>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 xml:space="preserve">byt </w:t>
            </w:r>
          </w:p>
        </w:tc>
        <w:tc>
          <w:tcPr>
            <w:tcW w:w="971" w:type="dxa"/>
            <w:tcBorders>
              <w:top w:val="nil"/>
              <w:left w:val="nil"/>
              <w:bottom w:val="single" w:sz="4" w:space="0" w:color="auto"/>
              <w:right w:val="single" w:sz="4" w:space="0" w:color="auto"/>
            </w:tcBorders>
            <w:shd w:val="clear" w:color="auto" w:fill="auto"/>
            <w:vAlign w:val="center"/>
            <w:hideMark/>
          </w:tcPr>
          <w:p w:rsidR="00B903FD" w:rsidRPr="00B903FD" w:rsidRDefault="00B903FD" w:rsidP="00282C4C">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nouzové (vč. mobiln</w:t>
            </w:r>
            <w:r w:rsidR="00D474BC">
              <w:rPr>
                <w:rFonts w:cs="Arial"/>
                <w:noProof w:val="0"/>
                <w:color w:val="000000"/>
                <w:sz w:val="18"/>
                <w:szCs w:val="18"/>
                <w:lang w:eastAsia="cs-CZ"/>
              </w:rPr>
              <w:t>ích</w:t>
            </w:r>
            <w:r w:rsidRPr="00B903FD">
              <w:rPr>
                <w:rFonts w:cs="Arial"/>
                <w:noProof w:val="0"/>
                <w:color w:val="000000"/>
                <w:sz w:val="18"/>
                <w:szCs w:val="18"/>
                <w:lang w:eastAsia="cs-CZ"/>
              </w:rPr>
              <w:t>)</w:t>
            </w:r>
          </w:p>
        </w:tc>
        <w:tc>
          <w:tcPr>
            <w:tcW w:w="933" w:type="dxa"/>
            <w:tcBorders>
              <w:top w:val="nil"/>
              <w:left w:val="nil"/>
              <w:bottom w:val="single" w:sz="4" w:space="0" w:color="auto"/>
              <w:right w:val="single" w:sz="4" w:space="0" w:color="auto"/>
            </w:tcBorders>
            <w:shd w:val="clear" w:color="auto" w:fill="auto"/>
            <w:vAlign w:val="center"/>
            <w:hideMark/>
          </w:tcPr>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rekreační chata</w:t>
            </w:r>
          </w:p>
        </w:tc>
        <w:tc>
          <w:tcPr>
            <w:tcW w:w="936" w:type="dxa"/>
            <w:tcBorders>
              <w:top w:val="nil"/>
              <w:left w:val="nil"/>
              <w:bottom w:val="single" w:sz="4" w:space="0" w:color="auto"/>
              <w:right w:val="single" w:sz="4" w:space="0" w:color="auto"/>
            </w:tcBorders>
            <w:shd w:val="clear" w:color="auto" w:fill="auto"/>
            <w:vAlign w:val="center"/>
            <w:hideMark/>
          </w:tcPr>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ubytovací zařízení</w:t>
            </w:r>
          </w:p>
        </w:tc>
        <w:tc>
          <w:tcPr>
            <w:tcW w:w="835" w:type="dxa"/>
            <w:tcBorders>
              <w:top w:val="nil"/>
              <w:left w:val="nil"/>
              <w:bottom w:val="single" w:sz="4" w:space="0" w:color="auto"/>
              <w:right w:val="single" w:sz="4" w:space="0" w:color="auto"/>
            </w:tcBorders>
            <w:shd w:val="clear" w:color="auto" w:fill="auto"/>
            <w:vAlign w:val="center"/>
            <w:hideMark/>
          </w:tcPr>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bezdo-</w:t>
            </w:r>
            <w:r w:rsidRPr="00B903FD">
              <w:rPr>
                <w:rFonts w:cs="Arial"/>
                <w:noProof w:val="0"/>
                <w:color w:val="000000"/>
                <w:sz w:val="18"/>
                <w:szCs w:val="18"/>
                <w:lang w:eastAsia="cs-CZ"/>
              </w:rPr>
              <w:br/>
              <w:t>movci</w:t>
            </w:r>
          </w:p>
        </w:tc>
      </w:tr>
      <w:tr w:rsidR="00B903FD" w:rsidRPr="00B903FD" w:rsidTr="008F2C5C">
        <w:trPr>
          <w:trHeight w:val="240"/>
          <w:jc w:val="center"/>
        </w:trPr>
        <w:tc>
          <w:tcPr>
            <w:tcW w:w="74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03FD" w:rsidRPr="00B903FD" w:rsidRDefault="00B903FD" w:rsidP="00B903FD">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abs.</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Cizinci celkem</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422 276</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342 269</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11 047</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1 985</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66 749</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226</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z toho: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Ukrajina</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116 139</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84 122</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3 539</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691</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27 773</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14</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Slovensko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82 251</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69 893</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1 488</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311</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10 416</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143</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Vietnam</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52 612</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47 945</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1 608</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94</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2 946</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19</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Rusko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31 545</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28 411</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601</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114</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2 414</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5</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Polsko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16 800</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13 441</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338</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32</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2 971</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18</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Německo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14 907</w:t>
            </w:r>
          </w:p>
        </w:tc>
        <w:tc>
          <w:tcPr>
            <w:tcW w:w="937"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9 504</w:t>
            </w:r>
          </w:p>
        </w:tc>
        <w:tc>
          <w:tcPr>
            <w:tcW w:w="971"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397</w:t>
            </w:r>
          </w:p>
        </w:tc>
        <w:tc>
          <w:tcPr>
            <w:tcW w:w="933"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194</w:t>
            </w:r>
          </w:p>
        </w:tc>
        <w:tc>
          <w:tcPr>
            <w:tcW w:w="936"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4 810</w:t>
            </w:r>
          </w:p>
        </w:tc>
        <w:tc>
          <w:tcPr>
            <w:tcW w:w="835" w:type="dxa"/>
            <w:tcBorders>
              <w:top w:val="nil"/>
              <w:left w:val="nil"/>
              <w:bottom w:val="nil"/>
              <w:right w:val="single" w:sz="4" w:space="0" w:color="auto"/>
            </w:tcBorders>
            <w:shd w:val="clear" w:color="auto" w:fill="auto"/>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w:t>
            </w:r>
          </w:p>
        </w:tc>
      </w:tr>
      <w:tr w:rsidR="00D474BC" w:rsidRPr="00B903FD" w:rsidTr="008F2C5C">
        <w:trPr>
          <w:trHeight w:val="245"/>
          <w:jc w:val="center"/>
        </w:trPr>
        <w:tc>
          <w:tcPr>
            <w:tcW w:w="74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4BC" w:rsidRPr="00B903FD" w:rsidRDefault="00D474BC" w:rsidP="00D474BC">
            <w:pPr>
              <w:suppressAutoHyphens w:val="0"/>
              <w:jc w:val="center"/>
              <w:rPr>
                <w:rFonts w:cs="Arial"/>
                <w:noProof w:val="0"/>
                <w:color w:val="000000"/>
                <w:sz w:val="18"/>
                <w:szCs w:val="18"/>
                <w:lang w:eastAsia="cs-CZ"/>
              </w:rPr>
            </w:pPr>
            <w:r w:rsidRPr="00B903FD">
              <w:rPr>
                <w:rFonts w:cs="Arial"/>
                <w:noProof w:val="0"/>
                <w:color w:val="000000"/>
                <w:sz w:val="18"/>
                <w:szCs w:val="18"/>
                <w:lang w:eastAsia="cs-CZ"/>
              </w:rPr>
              <w:t>% </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Cizinci celkem</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100,0</w:t>
            </w:r>
          </w:p>
        </w:tc>
        <w:tc>
          <w:tcPr>
            <w:tcW w:w="937"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81,1</w:t>
            </w:r>
          </w:p>
        </w:tc>
        <w:tc>
          <w:tcPr>
            <w:tcW w:w="971"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2,6</w:t>
            </w:r>
          </w:p>
        </w:tc>
        <w:tc>
          <w:tcPr>
            <w:tcW w:w="93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0,5</w:t>
            </w:r>
          </w:p>
        </w:tc>
        <w:tc>
          <w:tcPr>
            <w:tcW w:w="936"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15,8</w:t>
            </w:r>
          </w:p>
        </w:tc>
        <w:tc>
          <w:tcPr>
            <w:tcW w:w="835"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0,1</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z toho: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37"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71"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3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936"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c>
          <w:tcPr>
            <w:tcW w:w="835"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rPr>
                <w:rFonts w:cs="Arial"/>
                <w:noProof w:val="0"/>
                <w:color w:val="000000"/>
                <w:sz w:val="18"/>
                <w:szCs w:val="18"/>
                <w:lang w:eastAsia="cs-CZ"/>
              </w:rPr>
            </w:pPr>
            <w:r w:rsidRPr="00B903FD">
              <w:rPr>
                <w:rFonts w:cs="Arial"/>
                <w:noProof w:val="0"/>
                <w:color w:val="000000"/>
                <w:sz w:val="18"/>
                <w:szCs w:val="18"/>
                <w:lang w:eastAsia="cs-CZ"/>
              </w:rPr>
              <w:t> </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Ukrajina</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100,0</w:t>
            </w:r>
          </w:p>
        </w:tc>
        <w:tc>
          <w:tcPr>
            <w:tcW w:w="937"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72,4</w:t>
            </w:r>
          </w:p>
        </w:tc>
        <w:tc>
          <w:tcPr>
            <w:tcW w:w="971"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3,0</w:t>
            </w:r>
          </w:p>
        </w:tc>
        <w:tc>
          <w:tcPr>
            <w:tcW w:w="93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0,6</w:t>
            </w:r>
          </w:p>
        </w:tc>
        <w:tc>
          <w:tcPr>
            <w:tcW w:w="936"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23,9</w:t>
            </w:r>
          </w:p>
        </w:tc>
        <w:tc>
          <w:tcPr>
            <w:tcW w:w="835"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0,0</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Slovensko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100,0</w:t>
            </w:r>
          </w:p>
        </w:tc>
        <w:tc>
          <w:tcPr>
            <w:tcW w:w="937"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85,0</w:t>
            </w:r>
          </w:p>
        </w:tc>
        <w:tc>
          <w:tcPr>
            <w:tcW w:w="971"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1,8</w:t>
            </w:r>
          </w:p>
        </w:tc>
        <w:tc>
          <w:tcPr>
            <w:tcW w:w="93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0,4</w:t>
            </w:r>
          </w:p>
        </w:tc>
        <w:tc>
          <w:tcPr>
            <w:tcW w:w="936"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12,7</w:t>
            </w:r>
          </w:p>
        </w:tc>
        <w:tc>
          <w:tcPr>
            <w:tcW w:w="835"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0,2</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Vietnam</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100,0</w:t>
            </w:r>
          </w:p>
        </w:tc>
        <w:tc>
          <w:tcPr>
            <w:tcW w:w="937"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91,1</w:t>
            </w:r>
          </w:p>
        </w:tc>
        <w:tc>
          <w:tcPr>
            <w:tcW w:w="971"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3,1</w:t>
            </w:r>
          </w:p>
        </w:tc>
        <w:tc>
          <w:tcPr>
            <w:tcW w:w="93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0,2</w:t>
            </w:r>
          </w:p>
        </w:tc>
        <w:tc>
          <w:tcPr>
            <w:tcW w:w="936"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5,6</w:t>
            </w:r>
          </w:p>
        </w:tc>
        <w:tc>
          <w:tcPr>
            <w:tcW w:w="835"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0,0</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Rusko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100,0</w:t>
            </w:r>
          </w:p>
        </w:tc>
        <w:tc>
          <w:tcPr>
            <w:tcW w:w="937"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90,1</w:t>
            </w:r>
          </w:p>
        </w:tc>
        <w:tc>
          <w:tcPr>
            <w:tcW w:w="971"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1,9</w:t>
            </w:r>
          </w:p>
        </w:tc>
        <w:tc>
          <w:tcPr>
            <w:tcW w:w="93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0,4</w:t>
            </w:r>
          </w:p>
        </w:tc>
        <w:tc>
          <w:tcPr>
            <w:tcW w:w="936"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7,7</w:t>
            </w:r>
          </w:p>
        </w:tc>
        <w:tc>
          <w:tcPr>
            <w:tcW w:w="835"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0,0</w:t>
            </w:r>
          </w:p>
        </w:tc>
      </w:tr>
      <w:tr w:rsidR="00B903FD" w:rsidRPr="00B903FD" w:rsidTr="004D4B17">
        <w:trPr>
          <w:trHeight w:val="240"/>
          <w:jc w:val="center"/>
        </w:trPr>
        <w:tc>
          <w:tcPr>
            <w:tcW w:w="1543" w:type="dxa"/>
            <w:tcBorders>
              <w:top w:val="nil"/>
              <w:left w:val="single" w:sz="4" w:space="0" w:color="auto"/>
              <w:bottom w:val="nil"/>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Polsko</w:t>
            </w:r>
          </w:p>
        </w:tc>
        <w:tc>
          <w:tcPr>
            <w:tcW w:w="129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100,0</w:t>
            </w:r>
          </w:p>
        </w:tc>
        <w:tc>
          <w:tcPr>
            <w:tcW w:w="937"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80,0</w:t>
            </w:r>
          </w:p>
        </w:tc>
        <w:tc>
          <w:tcPr>
            <w:tcW w:w="971"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2,0</w:t>
            </w:r>
          </w:p>
        </w:tc>
        <w:tc>
          <w:tcPr>
            <w:tcW w:w="933"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0,2</w:t>
            </w:r>
          </w:p>
        </w:tc>
        <w:tc>
          <w:tcPr>
            <w:tcW w:w="936"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17,7</w:t>
            </w:r>
          </w:p>
        </w:tc>
        <w:tc>
          <w:tcPr>
            <w:tcW w:w="835" w:type="dxa"/>
            <w:tcBorders>
              <w:top w:val="nil"/>
              <w:left w:val="nil"/>
              <w:bottom w:val="nil"/>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0,1</w:t>
            </w:r>
          </w:p>
        </w:tc>
      </w:tr>
      <w:tr w:rsidR="00B903FD" w:rsidRPr="00B903FD" w:rsidTr="004D4B17">
        <w:trPr>
          <w:trHeight w:val="240"/>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ind w:firstLineChars="100" w:firstLine="180"/>
              <w:rPr>
                <w:rFonts w:cs="Arial"/>
                <w:noProof w:val="0"/>
                <w:color w:val="000000"/>
                <w:sz w:val="18"/>
                <w:szCs w:val="18"/>
                <w:lang w:eastAsia="cs-CZ"/>
              </w:rPr>
            </w:pPr>
            <w:r w:rsidRPr="00B903FD">
              <w:rPr>
                <w:rFonts w:cs="Arial"/>
                <w:noProof w:val="0"/>
                <w:color w:val="000000"/>
                <w:sz w:val="18"/>
                <w:szCs w:val="18"/>
                <w:lang w:eastAsia="cs-CZ"/>
              </w:rPr>
              <w:t>Německo</w:t>
            </w:r>
          </w:p>
        </w:tc>
        <w:tc>
          <w:tcPr>
            <w:tcW w:w="1293" w:type="dxa"/>
            <w:tcBorders>
              <w:top w:val="nil"/>
              <w:left w:val="nil"/>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100,0</w:t>
            </w:r>
          </w:p>
        </w:tc>
        <w:tc>
          <w:tcPr>
            <w:tcW w:w="937" w:type="dxa"/>
            <w:tcBorders>
              <w:top w:val="nil"/>
              <w:left w:val="nil"/>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63,8</w:t>
            </w:r>
          </w:p>
        </w:tc>
        <w:tc>
          <w:tcPr>
            <w:tcW w:w="971" w:type="dxa"/>
            <w:tcBorders>
              <w:top w:val="nil"/>
              <w:left w:val="nil"/>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2,7</w:t>
            </w:r>
          </w:p>
        </w:tc>
        <w:tc>
          <w:tcPr>
            <w:tcW w:w="933" w:type="dxa"/>
            <w:tcBorders>
              <w:top w:val="nil"/>
              <w:left w:val="nil"/>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1,3</w:t>
            </w:r>
          </w:p>
        </w:tc>
        <w:tc>
          <w:tcPr>
            <w:tcW w:w="936" w:type="dxa"/>
            <w:tcBorders>
              <w:top w:val="nil"/>
              <w:left w:val="nil"/>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32,3</w:t>
            </w:r>
          </w:p>
        </w:tc>
        <w:tc>
          <w:tcPr>
            <w:tcW w:w="835" w:type="dxa"/>
            <w:tcBorders>
              <w:top w:val="nil"/>
              <w:left w:val="nil"/>
              <w:bottom w:val="single" w:sz="4" w:space="0" w:color="auto"/>
              <w:right w:val="single" w:sz="4" w:space="0" w:color="auto"/>
            </w:tcBorders>
            <w:shd w:val="clear" w:color="auto" w:fill="auto"/>
            <w:noWrap/>
            <w:vAlign w:val="bottom"/>
            <w:hideMark/>
          </w:tcPr>
          <w:p w:rsidR="00B903FD" w:rsidRPr="00B903FD" w:rsidRDefault="00B903FD" w:rsidP="00B903FD">
            <w:pPr>
              <w:suppressAutoHyphens w:val="0"/>
              <w:jc w:val="right"/>
              <w:rPr>
                <w:rFonts w:cs="Arial"/>
                <w:noProof w:val="0"/>
                <w:color w:val="000000"/>
                <w:sz w:val="18"/>
                <w:szCs w:val="18"/>
                <w:lang w:eastAsia="cs-CZ"/>
              </w:rPr>
            </w:pPr>
            <w:r w:rsidRPr="00B903FD">
              <w:rPr>
                <w:rFonts w:cs="Arial"/>
                <w:noProof w:val="0"/>
                <w:color w:val="000000"/>
                <w:sz w:val="18"/>
                <w:szCs w:val="18"/>
                <w:lang w:eastAsia="cs-CZ"/>
              </w:rPr>
              <w:t>0,0</w:t>
            </w:r>
          </w:p>
        </w:tc>
      </w:tr>
    </w:tbl>
    <w:p w:rsidR="00AE066F" w:rsidRDefault="00AE066F" w:rsidP="001A021A">
      <w:pPr>
        <w:pStyle w:val="Normln-web"/>
        <w:spacing w:line="276" w:lineRule="auto"/>
        <w:rPr>
          <w:sz w:val="20"/>
          <w:szCs w:val="20"/>
        </w:rPr>
      </w:pPr>
    </w:p>
    <w:p w:rsidR="00741BDA" w:rsidRDefault="00D60D29" w:rsidP="001A021A">
      <w:pPr>
        <w:pStyle w:val="Normln-web"/>
        <w:spacing w:line="276" w:lineRule="auto"/>
        <w:rPr>
          <w:sz w:val="20"/>
          <w:szCs w:val="20"/>
        </w:rPr>
      </w:pPr>
      <w:r>
        <w:rPr>
          <w:sz w:val="20"/>
          <w:szCs w:val="20"/>
        </w:rPr>
        <w:t>Nouzové bydlení nepředstavovalo ani u jednoho občanství významnější podíl. Zásadní rozdíly byly pouze v</w:t>
      </w:r>
      <w:r w:rsidR="00531924">
        <w:rPr>
          <w:sz w:val="20"/>
          <w:szCs w:val="20"/>
        </w:rPr>
        <w:t> </w:t>
      </w:r>
      <w:r>
        <w:rPr>
          <w:sz w:val="20"/>
          <w:szCs w:val="20"/>
        </w:rPr>
        <w:t>relacích</w:t>
      </w:r>
      <w:r w:rsidR="00531924">
        <w:rPr>
          <w:sz w:val="20"/>
          <w:szCs w:val="20"/>
        </w:rPr>
        <w:t xml:space="preserve"> bytů a ubytovacích zařízení.</w:t>
      </w:r>
      <w:r w:rsidR="009D3BBA">
        <w:rPr>
          <w:sz w:val="20"/>
          <w:szCs w:val="20"/>
        </w:rPr>
        <w:t xml:space="preserve"> </w:t>
      </w:r>
    </w:p>
    <w:p w:rsidR="00890A66" w:rsidRDefault="009D3BBA" w:rsidP="001A021A">
      <w:pPr>
        <w:pStyle w:val="Normln-web"/>
        <w:spacing w:line="276" w:lineRule="auto"/>
        <w:rPr>
          <w:sz w:val="20"/>
          <w:szCs w:val="20"/>
        </w:rPr>
      </w:pPr>
      <w:r>
        <w:rPr>
          <w:sz w:val="20"/>
          <w:szCs w:val="20"/>
        </w:rPr>
        <w:t xml:space="preserve">Vysoké podíly osob bydlících v zařízeních byly u občanů Německa (dvojnásobek podílu za cizince celkem) a u občanů Ukrajiny </w:t>
      </w:r>
      <w:r w:rsidR="007F2E8C">
        <w:rPr>
          <w:sz w:val="20"/>
          <w:szCs w:val="20"/>
        </w:rPr>
        <w:t xml:space="preserve">(o více než polovinu vyšší podíl proti cizincům celkem). Tyto nadprůměrné podíly byly </w:t>
      </w:r>
      <w:r w:rsidR="00890A66">
        <w:rPr>
          <w:sz w:val="20"/>
          <w:szCs w:val="20"/>
        </w:rPr>
        <w:t>ovlivněny</w:t>
      </w:r>
      <w:r w:rsidR="007F2E8C">
        <w:rPr>
          <w:sz w:val="20"/>
          <w:szCs w:val="20"/>
        </w:rPr>
        <w:t xml:space="preserve"> vysokými počty osob, o kterých byly doplněny údaje z registru (v případě Německa 63</w:t>
      </w:r>
      <w:r w:rsidR="00741BDA">
        <w:rPr>
          <w:sz w:val="20"/>
          <w:szCs w:val="20"/>
        </w:rPr>
        <w:t> </w:t>
      </w:r>
      <w:r w:rsidR="007F2E8C">
        <w:rPr>
          <w:sz w:val="20"/>
          <w:szCs w:val="20"/>
        </w:rPr>
        <w:t xml:space="preserve">%, Ukrajiny 50 % z celkového počtu osob s daným občanstvím), </w:t>
      </w:r>
      <w:r w:rsidR="00FC1331">
        <w:rPr>
          <w:sz w:val="20"/>
          <w:szCs w:val="20"/>
        </w:rPr>
        <w:t xml:space="preserve">přičemž </w:t>
      </w:r>
      <w:r w:rsidR="007F2E8C">
        <w:rPr>
          <w:sz w:val="20"/>
          <w:szCs w:val="20"/>
        </w:rPr>
        <w:t xml:space="preserve">tyto osoby zhruba ve dvou pětinách případů měly </w:t>
      </w:r>
      <w:r w:rsidR="00FC1331">
        <w:rPr>
          <w:sz w:val="20"/>
          <w:szCs w:val="20"/>
        </w:rPr>
        <w:t xml:space="preserve">evidenční adresu a tedy i </w:t>
      </w:r>
      <w:r w:rsidR="007F2E8C">
        <w:rPr>
          <w:sz w:val="20"/>
          <w:szCs w:val="20"/>
        </w:rPr>
        <w:t xml:space="preserve">místo obvyklého pobytu v zařízení. </w:t>
      </w:r>
      <w:r w:rsidR="003F465C">
        <w:rPr>
          <w:sz w:val="20"/>
          <w:szCs w:val="20"/>
        </w:rPr>
        <w:t xml:space="preserve">Spojení obou těchto faktorů se promítlo do vyšších podílů osob bydlících v zařízení. </w:t>
      </w:r>
      <w:r w:rsidR="007F2E8C">
        <w:rPr>
          <w:sz w:val="20"/>
          <w:szCs w:val="20"/>
        </w:rPr>
        <w:t>Pro srovnání: rovněž podíl osob s občanstvím Ruska,</w:t>
      </w:r>
      <w:r w:rsidR="007F2E8C" w:rsidRPr="007F2E8C">
        <w:rPr>
          <w:sz w:val="20"/>
          <w:szCs w:val="20"/>
        </w:rPr>
        <w:t xml:space="preserve"> </w:t>
      </w:r>
      <w:r w:rsidR="007F2E8C">
        <w:rPr>
          <w:sz w:val="20"/>
          <w:szCs w:val="20"/>
        </w:rPr>
        <w:t>o kterých byly doplněny údaje z registru, byl poměrně vysoký (44 %), ale z tohoto počtu osob pouze necelých 6 % mělo</w:t>
      </w:r>
      <w:r w:rsidR="00890A66">
        <w:rPr>
          <w:sz w:val="20"/>
          <w:szCs w:val="20"/>
        </w:rPr>
        <w:t xml:space="preserve"> evidenční</w:t>
      </w:r>
      <w:r w:rsidR="007F2E8C">
        <w:rPr>
          <w:sz w:val="20"/>
          <w:szCs w:val="20"/>
        </w:rPr>
        <w:t xml:space="preserve"> bydliště v</w:t>
      </w:r>
      <w:r w:rsidR="003F465C">
        <w:rPr>
          <w:sz w:val="20"/>
          <w:szCs w:val="20"/>
        </w:rPr>
        <w:t> </w:t>
      </w:r>
      <w:r w:rsidR="007F2E8C">
        <w:rPr>
          <w:sz w:val="20"/>
          <w:szCs w:val="20"/>
        </w:rPr>
        <w:t>zařízení</w:t>
      </w:r>
      <w:r w:rsidR="003F465C">
        <w:rPr>
          <w:sz w:val="20"/>
          <w:szCs w:val="20"/>
        </w:rPr>
        <w:t xml:space="preserve">, proto tyto počty hodnoty osob v zařízení v podstatě neovlivnily. </w:t>
      </w:r>
      <w:r w:rsidR="007F2E8C">
        <w:rPr>
          <w:sz w:val="20"/>
          <w:szCs w:val="20"/>
        </w:rPr>
        <w:t xml:space="preserve"> </w:t>
      </w:r>
      <w:r w:rsidR="003F465C">
        <w:rPr>
          <w:sz w:val="20"/>
          <w:szCs w:val="20"/>
        </w:rPr>
        <w:t>Neplatila tedy jednoznačná závislost mezi doplněním údajů z registru a bydlením v zařízení, ale platila závislost na konkrétním státním občanství.</w:t>
      </w:r>
      <w:r w:rsidR="00BE0728">
        <w:rPr>
          <w:sz w:val="20"/>
          <w:szCs w:val="20"/>
        </w:rPr>
        <w:t xml:space="preserve"> </w:t>
      </w:r>
    </w:p>
    <w:p w:rsidR="00741BDA" w:rsidRDefault="00741BDA" w:rsidP="001A021A">
      <w:pPr>
        <w:pStyle w:val="Normln-web"/>
        <w:spacing w:line="276" w:lineRule="auto"/>
        <w:rPr>
          <w:sz w:val="20"/>
          <w:szCs w:val="20"/>
        </w:rPr>
      </w:pPr>
      <w:r>
        <w:rPr>
          <w:sz w:val="20"/>
          <w:szCs w:val="20"/>
        </w:rPr>
        <w:t>Z celkového počtu cizinců bydlících v zařízení připadla čtvrtina na ubytovny a svobodárny, 34,5 % bydlelo v zařízeních, která byla součástí obytných domů,</w:t>
      </w:r>
      <w:r w:rsidR="003F67A8">
        <w:rPr>
          <w:sz w:val="20"/>
          <w:szCs w:val="20"/>
        </w:rPr>
        <w:t xml:space="preserve"> </w:t>
      </w:r>
      <w:r>
        <w:rPr>
          <w:sz w:val="20"/>
          <w:szCs w:val="20"/>
        </w:rPr>
        <w:t>12,1 % bydlelo na studentských kolejích a nezanedbatelných 11,3 % v obydlích mimo bytový fond, což byly většinou objekty nesloužící k trvalému bydlení, které neměly číslo popisné.</w:t>
      </w:r>
    </w:p>
    <w:p w:rsidR="00AE066F" w:rsidRDefault="00AE066F" w:rsidP="00AE066F">
      <w:pPr>
        <w:keepNext/>
        <w:keepLines/>
        <w:spacing w:line="276" w:lineRule="auto"/>
        <w:jc w:val="center"/>
        <w:rPr>
          <w:b/>
          <w:sz w:val="20"/>
          <w:szCs w:val="20"/>
        </w:rPr>
      </w:pPr>
    </w:p>
    <w:p w:rsidR="00AE066F" w:rsidRDefault="00AE066F" w:rsidP="008D140A">
      <w:pPr>
        <w:keepNext/>
        <w:keepLines/>
        <w:spacing w:line="276" w:lineRule="auto"/>
        <w:ind w:firstLine="993"/>
        <w:rPr>
          <w:b/>
          <w:bCs/>
          <w:sz w:val="20"/>
          <w:szCs w:val="20"/>
        </w:rPr>
      </w:pPr>
      <w:r w:rsidRPr="00AE066F">
        <w:rPr>
          <w:b/>
          <w:sz w:val="20"/>
          <w:szCs w:val="20"/>
        </w:rPr>
        <w:t xml:space="preserve">Graf č. 26 Cizinci bydlící v zařízení podle druhu domu </w:t>
      </w:r>
      <w:r w:rsidRPr="00AE066F">
        <w:rPr>
          <w:b/>
          <w:bCs/>
          <w:sz w:val="20"/>
          <w:szCs w:val="20"/>
        </w:rPr>
        <w:t>k 26. 3. 2011</w:t>
      </w:r>
    </w:p>
    <w:p w:rsidR="0004727B" w:rsidRPr="00AE066F" w:rsidRDefault="0004727B" w:rsidP="008D140A">
      <w:pPr>
        <w:keepNext/>
        <w:keepLines/>
        <w:spacing w:line="276" w:lineRule="auto"/>
        <w:ind w:firstLine="993"/>
        <w:rPr>
          <w:b/>
          <w:bCs/>
          <w:sz w:val="20"/>
          <w:szCs w:val="20"/>
        </w:rPr>
      </w:pPr>
      <w:r w:rsidRPr="001F2998">
        <w:rPr>
          <w:b/>
          <w:bCs/>
          <w:sz w:val="20"/>
          <w:szCs w:val="20"/>
          <w:bdr w:val="single" w:sz="4" w:space="0" w:color="auto"/>
          <w:lang w:eastAsia="cs-CZ"/>
        </w:rPr>
        <w:drawing>
          <wp:inline distT="0" distB="0" distL="0" distR="0">
            <wp:extent cx="4572000" cy="3209925"/>
            <wp:effectExtent l="0" t="0" r="0" b="0"/>
            <wp:docPr id="38"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1F8B" w:rsidRDefault="00F91F8B" w:rsidP="001A021A">
      <w:pPr>
        <w:pStyle w:val="Normln-web"/>
        <w:spacing w:line="276" w:lineRule="auto"/>
        <w:rPr>
          <w:sz w:val="20"/>
          <w:szCs w:val="20"/>
        </w:rPr>
      </w:pPr>
      <w:r>
        <w:rPr>
          <w:sz w:val="20"/>
          <w:szCs w:val="20"/>
        </w:rPr>
        <w:t xml:space="preserve">Z porovnání </w:t>
      </w:r>
      <w:r w:rsidR="00AE066F">
        <w:rPr>
          <w:sz w:val="20"/>
          <w:szCs w:val="20"/>
        </w:rPr>
        <w:t>cizinců s</w:t>
      </w:r>
      <w:r>
        <w:rPr>
          <w:sz w:val="20"/>
          <w:szCs w:val="20"/>
        </w:rPr>
        <w:t xml:space="preserve"> významnější</w:t>
      </w:r>
      <w:r w:rsidR="00AE066F">
        <w:rPr>
          <w:sz w:val="20"/>
          <w:szCs w:val="20"/>
        </w:rPr>
        <w:t>m</w:t>
      </w:r>
      <w:r>
        <w:rPr>
          <w:sz w:val="20"/>
          <w:szCs w:val="20"/>
        </w:rPr>
        <w:t xml:space="preserve"> zastoupení</w:t>
      </w:r>
      <w:r w:rsidR="00AE066F">
        <w:rPr>
          <w:sz w:val="20"/>
          <w:szCs w:val="20"/>
        </w:rPr>
        <w:t>m</w:t>
      </w:r>
      <w:r>
        <w:rPr>
          <w:sz w:val="20"/>
          <w:szCs w:val="20"/>
        </w:rPr>
        <w:t xml:space="preserve"> bydlení v zařízeních vyplývá, že pro </w:t>
      </w:r>
      <w:r w:rsidR="00AE066F">
        <w:rPr>
          <w:sz w:val="20"/>
          <w:szCs w:val="20"/>
        </w:rPr>
        <w:t>občany</w:t>
      </w:r>
      <w:r>
        <w:rPr>
          <w:sz w:val="20"/>
          <w:szCs w:val="20"/>
        </w:rPr>
        <w:t xml:space="preserve"> Německa a Ukrajiny je typické bydlení v malých zařízeních, která jsou součástí obytných domů. Z počtu Poláků v zařízeních jich jednoznačně nejvíce bydlelo na ubytovnách, zatímco u Slováků měly nejvyšší zastoupení studentské koleje a jim se blížill podíl bydlících na ubytovnách.</w:t>
      </w:r>
    </w:p>
    <w:p w:rsidR="00B903FD" w:rsidRDefault="00F74D06" w:rsidP="001A021A">
      <w:pPr>
        <w:pStyle w:val="Normln-web"/>
        <w:spacing w:line="276" w:lineRule="auto"/>
        <w:rPr>
          <w:sz w:val="20"/>
          <w:szCs w:val="20"/>
        </w:rPr>
      </w:pPr>
      <w:r>
        <w:rPr>
          <w:sz w:val="20"/>
          <w:szCs w:val="20"/>
        </w:rPr>
        <w:t>Způsob bydlení má úzkou vazbu na typ hospodařící dománosti</w:t>
      </w:r>
      <w:r w:rsidR="003728C9">
        <w:rPr>
          <w:sz w:val="20"/>
          <w:szCs w:val="20"/>
        </w:rPr>
        <w:t xml:space="preserve"> resp. na skutečnost, zda osoba </w:t>
      </w:r>
      <w:r w:rsidR="007564B9">
        <w:rPr>
          <w:sz w:val="20"/>
          <w:szCs w:val="20"/>
        </w:rPr>
        <w:t xml:space="preserve">žije </w:t>
      </w:r>
      <w:r w:rsidR="003728C9">
        <w:rPr>
          <w:sz w:val="20"/>
          <w:szCs w:val="20"/>
        </w:rPr>
        <w:t>v domácnosti nebo mimo domácnost (jednotlivé osoby v zařízení a bezdomovci)</w:t>
      </w:r>
      <w:r>
        <w:rPr>
          <w:sz w:val="20"/>
          <w:szCs w:val="20"/>
        </w:rPr>
        <w:t>.</w:t>
      </w:r>
      <w:r w:rsidR="004D30D8">
        <w:rPr>
          <w:sz w:val="20"/>
          <w:szCs w:val="20"/>
        </w:rPr>
        <w:t xml:space="preserve"> Z tohoto </w:t>
      </w:r>
      <w:r w:rsidR="00FA1C09">
        <w:rPr>
          <w:sz w:val="20"/>
          <w:szCs w:val="20"/>
        </w:rPr>
        <w:t>hlediska</w:t>
      </w:r>
      <w:r w:rsidR="004D30D8">
        <w:rPr>
          <w:sz w:val="20"/>
          <w:szCs w:val="20"/>
        </w:rPr>
        <w:t xml:space="preserve"> jsou mezi cizinci a úhrnnými počty za populaci zásadní rozdíly, které se následně promítají i do struktury </w:t>
      </w:r>
      <w:r w:rsidR="004D30D8">
        <w:rPr>
          <w:sz w:val="20"/>
          <w:szCs w:val="20"/>
        </w:rPr>
        <w:lastRenderedPageBreak/>
        <w:t>způsobu bydlení. V celkové populaci žil</w:t>
      </w:r>
      <w:r w:rsidR="00FA1C09">
        <w:rPr>
          <w:sz w:val="20"/>
          <w:szCs w:val="20"/>
        </w:rPr>
        <w:t>y</w:t>
      </w:r>
      <w:r w:rsidR="004D30D8">
        <w:rPr>
          <w:sz w:val="20"/>
          <w:szCs w:val="20"/>
        </w:rPr>
        <w:t xml:space="preserve"> mimo domácnosti necelé 2 % osob</w:t>
      </w:r>
      <w:r w:rsidR="007564B9">
        <w:rPr>
          <w:sz w:val="20"/>
          <w:szCs w:val="20"/>
        </w:rPr>
        <w:t xml:space="preserve"> a 98 % osob žilo v domácnostech, u cizinců žilo mimo domácnosti 15,8 % a v domácnostech 84,2 %. </w:t>
      </w:r>
      <w:r w:rsidR="00E00460">
        <w:rPr>
          <w:sz w:val="20"/>
          <w:szCs w:val="20"/>
        </w:rPr>
        <w:t xml:space="preserve">Výrazně nadprůměrné hodnoty pak měli občané Německa a Ukrajiny, kde podíly osob mimo domácnosti dosahovaly téměř třetiny resp. téměř čtvrtiny všech osob s občanstvím příslušné země. Občané Německa kromě extrémně vysoké hodnoty osob v zařízeních měli přitom nejvyšší podíl osob v domácnostech jednotlivců (26 %) a nejnižší zastoupení rodin (žilo v nich necelých 25 % osob s občanstvím Německa). Protipólem byli občané Vietnamu, kteří v zařízeních bydleli minimálně (pouhých 5,6 %), upřednostňovali bydlení v bytech a nejčastějším typem jejich domácností byly </w:t>
      </w:r>
      <w:r w:rsidR="008D44AD">
        <w:rPr>
          <w:sz w:val="20"/>
          <w:szCs w:val="20"/>
        </w:rPr>
        <w:t>početné rodiny nebo nerodinné domácnosti příbuzných osob.</w:t>
      </w:r>
    </w:p>
    <w:p w:rsidR="008110EF" w:rsidRDefault="007757B8" w:rsidP="001A021A">
      <w:pPr>
        <w:pStyle w:val="Normln-web"/>
        <w:spacing w:line="276" w:lineRule="auto"/>
        <w:rPr>
          <w:sz w:val="20"/>
          <w:szCs w:val="20"/>
        </w:rPr>
      </w:pPr>
      <w:r>
        <w:rPr>
          <w:sz w:val="20"/>
          <w:szCs w:val="20"/>
        </w:rPr>
        <w:t xml:space="preserve">V bytech bydlely čtyři pětiny z celkového počtu cizinců. Nejvyšší podíly bydlení v bytech měli občané Vietnamu a Ruska. </w:t>
      </w:r>
      <w:r w:rsidR="00034AD1">
        <w:rPr>
          <w:sz w:val="20"/>
          <w:szCs w:val="20"/>
        </w:rPr>
        <w:t xml:space="preserve">Z hlediska </w:t>
      </w:r>
      <w:r w:rsidR="00EC2575">
        <w:rPr>
          <w:sz w:val="20"/>
          <w:szCs w:val="20"/>
        </w:rPr>
        <w:t xml:space="preserve">základních </w:t>
      </w:r>
      <w:r w:rsidR="00034AD1">
        <w:rPr>
          <w:sz w:val="20"/>
          <w:szCs w:val="20"/>
        </w:rPr>
        <w:t>charakteristik</w:t>
      </w:r>
      <w:r w:rsidR="00EC2575">
        <w:rPr>
          <w:sz w:val="20"/>
          <w:szCs w:val="20"/>
        </w:rPr>
        <w:t xml:space="preserve"> </w:t>
      </w:r>
      <w:r w:rsidR="00482E89">
        <w:rPr>
          <w:sz w:val="20"/>
          <w:szCs w:val="20"/>
        </w:rPr>
        <w:t>bytů</w:t>
      </w:r>
      <w:r w:rsidR="00034AD1">
        <w:rPr>
          <w:sz w:val="20"/>
          <w:szCs w:val="20"/>
        </w:rPr>
        <w:t xml:space="preserve"> byly mezi </w:t>
      </w:r>
      <w:r w:rsidR="00426029">
        <w:rPr>
          <w:sz w:val="20"/>
          <w:szCs w:val="20"/>
        </w:rPr>
        <w:t>jednotlivými</w:t>
      </w:r>
      <w:r w:rsidR="00034AD1">
        <w:rPr>
          <w:sz w:val="20"/>
          <w:szCs w:val="20"/>
        </w:rPr>
        <w:t xml:space="preserve"> občanstvími významnější rozdíly.</w:t>
      </w:r>
      <w:r w:rsidR="00482E89" w:rsidRPr="00482E89">
        <w:t xml:space="preserve"> </w:t>
      </w:r>
      <w:r w:rsidR="00034AD1">
        <w:rPr>
          <w:sz w:val="20"/>
          <w:szCs w:val="20"/>
        </w:rPr>
        <w:t xml:space="preserve"> Např. </w:t>
      </w:r>
      <w:r w:rsidR="00BE0728">
        <w:rPr>
          <w:sz w:val="20"/>
          <w:szCs w:val="20"/>
        </w:rPr>
        <w:t>nejpočetnější bytové domácnosti</w:t>
      </w:r>
      <w:r w:rsidR="00374029">
        <w:rPr>
          <w:sz w:val="20"/>
          <w:szCs w:val="20"/>
        </w:rPr>
        <w:t xml:space="preserve"> měli občané Vietnamu a Ukrajiny.</w:t>
      </w:r>
      <w:r w:rsidR="00482E89">
        <w:rPr>
          <w:sz w:val="20"/>
          <w:szCs w:val="20"/>
        </w:rPr>
        <w:t xml:space="preserve"> V bytě </w:t>
      </w:r>
      <w:r w:rsidR="00374029">
        <w:rPr>
          <w:sz w:val="20"/>
          <w:szCs w:val="20"/>
        </w:rPr>
        <w:t xml:space="preserve"> </w:t>
      </w:r>
      <w:r w:rsidR="00482E89">
        <w:rPr>
          <w:sz w:val="20"/>
          <w:szCs w:val="20"/>
        </w:rPr>
        <w:t>s 5 nebo více osobami bydlelo 58 %</w:t>
      </w:r>
      <w:r w:rsidR="00374029">
        <w:rPr>
          <w:sz w:val="20"/>
          <w:szCs w:val="20"/>
        </w:rPr>
        <w:t xml:space="preserve"> Vietnamců</w:t>
      </w:r>
      <w:r w:rsidR="00482E89">
        <w:rPr>
          <w:sz w:val="20"/>
          <w:szCs w:val="20"/>
        </w:rPr>
        <w:t xml:space="preserve">, </w:t>
      </w:r>
      <w:r w:rsidR="00374029">
        <w:rPr>
          <w:sz w:val="20"/>
          <w:szCs w:val="20"/>
        </w:rPr>
        <w:t xml:space="preserve">přitom dokonce </w:t>
      </w:r>
      <w:r w:rsidR="00482E89">
        <w:rPr>
          <w:sz w:val="20"/>
          <w:szCs w:val="20"/>
        </w:rPr>
        <w:t xml:space="preserve">téměř 22 </w:t>
      </w:r>
      <w:r w:rsidR="00374029">
        <w:rPr>
          <w:sz w:val="20"/>
          <w:szCs w:val="20"/>
        </w:rPr>
        <w:t xml:space="preserve">% </w:t>
      </w:r>
      <w:r w:rsidR="008115DB">
        <w:rPr>
          <w:sz w:val="20"/>
          <w:szCs w:val="20"/>
        </w:rPr>
        <w:t xml:space="preserve">žilo </w:t>
      </w:r>
      <w:r w:rsidR="00482E89">
        <w:rPr>
          <w:sz w:val="20"/>
          <w:szCs w:val="20"/>
        </w:rPr>
        <w:t xml:space="preserve">v bytech </w:t>
      </w:r>
      <w:r w:rsidR="00443222">
        <w:rPr>
          <w:sz w:val="20"/>
          <w:szCs w:val="20"/>
        </w:rPr>
        <w:t>s</w:t>
      </w:r>
      <w:r w:rsidR="00374029">
        <w:rPr>
          <w:sz w:val="20"/>
          <w:szCs w:val="20"/>
        </w:rPr>
        <w:t> 10 nebo více</w:t>
      </w:r>
      <w:r w:rsidR="00443222">
        <w:rPr>
          <w:sz w:val="20"/>
          <w:szCs w:val="20"/>
        </w:rPr>
        <w:t xml:space="preserve"> společně bydlící</w:t>
      </w:r>
      <w:r w:rsidR="00374029">
        <w:rPr>
          <w:sz w:val="20"/>
          <w:szCs w:val="20"/>
        </w:rPr>
        <w:t>mi osobami.</w:t>
      </w:r>
      <w:r w:rsidR="00443222">
        <w:rPr>
          <w:sz w:val="20"/>
          <w:szCs w:val="20"/>
        </w:rPr>
        <w:t xml:space="preserve"> </w:t>
      </w:r>
      <w:r w:rsidR="00374029">
        <w:rPr>
          <w:sz w:val="20"/>
          <w:szCs w:val="20"/>
        </w:rPr>
        <w:t xml:space="preserve">Tento podíl </w:t>
      </w:r>
      <w:r w:rsidR="00482E89">
        <w:rPr>
          <w:sz w:val="20"/>
          <w:szCs w:val="20"/>
        </w:rPr>
        <w:t xml:space="preserve">byl </w:t>
      </w:r>
      <w:r w:rsidR="00374029">
        <w:rPr>
          <w:sz w:val="20"/>
          <w:szCs w:val="20"/>
        </w:rPr>
        <w:t>v porovnání s jinými skupinami cizinců zcela unikátní.</w:t>
      </w:r>
    </w:p>
    <w:p w:rsidR="008D140A" w:rsidRDefault="008D140A" w:rsidP="008D140A">
      <w:pPr>
        <w:keepNext/>
        <w:keepLines/>
        <w:spacing w:line="276" w:lineRule="auto"/>
        <w:ind w:firstLine="993"/>
        <w:rPr>
          <w:b/>
          <w:sz w:val="20"/>
          <w:szCs w:val="20"/>
          <w:lang w:eastAsia="cs-CZ"/>
        </w:rPr>
      </w:pPr>
    </w:p>
    <w:p w:rsidR="008D140A" w:rsidRPr="00AE066F" w:rsidRDefault="008D140A" w:rsidP="008D140A">
      <w:pPr>
        <w:keepNext/>
        <w:keepLines/>
        <w:spacing w:line="276" w:lineRule="auto"/>
        <w:rPr>
          <w:b/>
          <w:bCs/>
          <w:sz w:val="20"/>
          <w:szCs w:val="20"/>
        </w:rPr>
      </w:pPr>
      <w:r w:rsidRPr="00AE066F">
        <w:rPr>
          <w:b/>
          <w:sz w:val="20"/>
          <w:szCs w:val="20"/>
        </w:rPr>
        <w:t>Graf č. 2</w:t>
      </w:r>
      <w:r>
        <w:rPr>
          <w:b/>
          <w:sz w:val="20"/>
          <w:szCs w:val="20"/>
        </w:rPr>
        <w:t>7</w:t>
      </w:r>
      <w:r w:rsidRPr="00AE066F">
        <w:rPr>
          <w:b/>
          <w:sz w:val="20"/>
          <w:szCs w:val="20"/>
        </w:rPr>
        <w:t xml:space="preserve"> Cizinci bydlící v</w:t>
      </w:r>
      <w:r>
        <w:rPr>
          <w:b/>
          <w:sz w:val="20"/>
          <w:szCs w:val="20"/>
        </w:rPr>
        <w:t> bytech podle počtu osob v bytě</w:t>
      </w:r>
      <w:r w:rsidRPr="00AE066F">
        <w:rPr>
          <w:b/>
          <w:sz w:val="20"/>
          <w:szCs w:val="20"/>
        </w:rPr>
        <w:t xml:space="preserve"> </w:t>
      </w:r>
      <w:r w:rsidRPr="00AE066F">
        <w:rPr>
          <w:b/>
          <w:bCs/>
          <w:sz w:val="20"/>
          <w:szCs w:val="20"/>
        </w:rPr>
        <w:t>k 26. 3. 2011</w:t>
      </w:r>
    </w:p>
    <w:p w:rsidR="00B86F81" w:rsidRDefault="008D140A" w:rsidP="001A021A">
      <w:pPr>
        <w:pStyle w:val="Normln-web"/>
        <w:spacing w:line="276" w:lineRule="auto"/>
        <w:rPr>
          <w:sz w:val="20"/>
          <w:szCs w:val="20"/>
        </w:rPr>
      </w:pPr>
      <w:r>
        <w:rPr>
          <w:sz w:val="20"/>
          <w:szCs w:val="20"/>
        </w:rPr>
        <w:drawing>
          <wp:anchor distT="36195" distB="107950" distL="114300" distR="114300" simplePos="0" relativeHeight="251671552" behindDoc="0" locked="0" layoutInCell="1" allowOverlap="1">
            <wp:simplePos x="0" y="0"/>
            <wp:positionH relativeFrom="column">
              <wp:posOffset>23495</wp:posOffset>
            </wp:positionH>
            <wp:positionV relativeFrom="paragraph">
              <wp:posOffset>61595</wp:posOffset>
            </wp:positionV>
            <wp:extent cx="4420870" cy="2574290"/>
            <wp:effectExtent l="19050" t="0" r="17780" b="0"/>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034AD1">
        <w:rPr>
          <w:sz w:val="20"/>
          <w:szCs w:val="20"/>
        </w:rPr>
        <w:t>Druhou</w:t>
      </w:r>
      <w:r w:rsidR="00374029">
        <w:rPr>
          <w:sz w:val="20"/>
          <w:szCs w:val="20"/>
        </w:rPr>
        <w:t xml:space="preserve"> skupinou cizinců s vysokým počtem společně bydlících osob byli občané Ukrajiny (</w:t>
      </w:r>
      <w:r w:rsidR="00034AD1">
        <w:rPr>
          <w:sz w:val="20"/>
          <w:szCs w:val="20"/>
        </w:rPr>
        <w:t>3</w:t>
      </w:r>
      <w:r w:rsidR="00482E89">
        <w:rPr>
          <w:sz w:val="20"/>
          <w:szCs w:val="20"/>
        </w:rPr>
        <w:t>6</w:t>
      </w:r>
      <w:r>
        <w:rPr>
          <w:sz w:val="20"/>
          <w:szCs w:val="20"/>
        </w:rPr>
        <w:t> </w:t>
      </w:r>
      <w:r w:rsidR="00034AD1">
        <w:rPr>
          <w:sz w:val="20"/>
          <w:szCs w:val="20"/>
        </w:rPr>
        <w:t xml:space="preserve">% </w:t>
      </w:r>
      <w:r w:rsidR="00374029">
        <w:rPr>
          <w:sz w:val="20"/>
          <w:szCs w:val="20"/>
        </w:rPr>
        <w:t>z nich bydlelo s 5 nebo více osobami</w:t>
      </w:r>
      <w:r w:rsidR="00482E89">
        <w:rPr>
          <w:sz w:val="20"/>
          <w:szCs w:val="20"/>
        </w:rPr>
        <w:t xml:space="preserve"> společně v jednom bytě</w:t>
      </w:r>
      <w:r w:rsidR="00374029">
        <w:rPr>
          <w:sz w:val="20"/>
          <w:szCs w:val="20"/>
        </w:rPr>
        <w:t xml:space="preserve">). Odstup od občanů Vietnamu je ale značný. </w:t>
      </w:r>
      <w:r w:rsidR="00426029">
        <w:rPr>
          <w:sz w:val="20"/>
          <w:szCs w:val="20"/>
        </w:rPr>
        <w:t>Nejčastěji žili cizinci</w:t>
      </w:r>
      <w:r w:rsidR="00374029">
        <w:rPr>
          <w:sz w:val="20"/>
          <w:szCs w:val="20"/>
        </w:rPr>
        <w:t xml:space="preserve"> (s výjimkou občanů Vietnam</w:t>
      </w:r>
      <w:r w:rsidR="00034AD1">
        <w:rPr>
          <w:sz w:val="20"/>
          <w:szCs w:val="20"/>
        </w:rPr>
        <w:t>u</w:t>
      </w:r>
      <w:r w:rsidR="00F91F8B">
        <w:rPr>
          <w:sz w:val="20"/>
          <w:szCs w:val="20"/>
        </w:rPr>
        <w:t xml:space="preserve">) </w:t>
      </w:r>
      <w:r w:rsidR="00374029">
        <w:rPr>
          <w:sz w:val="20"/>
          <w:szCs w:val="20"/>
        </w:rPr>
        <w:t>v bytech obydlených 2 – 4 osobami</w:t>
      </w:r>
      <w:r w:rsidR="008115DB">
        <w:rPr>
          <w:sz w:val="20"/>
          <w:szCs w:val="20"/>
        </w:rPr>
        <w:t>, přitom rozpětí podílů se pohybovalo (</w:t>
      </w:r>
      <w:r w:rsidR="00426029">
        <w:rPr>
          <w:sz w:val="20"/>
          <w:szCs w:val="20"/>
        </w:rPr>
        <w:t xml:space="preserve">rovněž bez </w:t>
      </w:r>
      <w:r w:rsidR="008115DB">
        <w:rPr>
          <w:sz w:val="20"/>
          <w:szCs w:val="20"/>
        </w:rPr>
        <w:t>Vietnamu)</w:t>
      </w:r>
      <w:r w:rsidR="00034AD1">
        <w:rPr>
          <w:sz w:val="20"/>
          <w:szCs w:val="20"/>
        </w:rPr>
        <w:t xml:space="preserve"> </w:t>
      </w:r>
      <w:r w:rsidR="008115DB">
        <w:rPr>
          <w:sz w:val="20"/>
          <w:szCs w:val="20"/>
        </w:rPr>
        <w:t>mezi 5</w:t>
      </w:r>
      <w:r w:rsidR="00482E89">
        <w:rPr>
          <w:sz w:val="20"/>
          <w:szCs w:val="20"/>
        </w:rPr>
        <w:t>4</w:t>
      </w:r>
      <w:r w:rsidR="008115DB">
        <w:rPr>
          <w:sz w:val="20"/>
          <w:szCs w:val="20"/>
        </w:rPr>
        <w:t xml:space="preserve"> % u občan</w:t>
      </w:r>
      <w:r>
        <w:rPr>
          <w:sz w:val="20"/>
          <w:szCs w:val="20"/>
        </w:rPr>
        <w:t>ů</w:t>
      </w:r>
      <w:r w:rsidR="008115DB">
        <w:rPr>
          <w:sz w:val="20"/>
          <w:szCs w:val="20"/>
        </w:rPr>
        <w:t xml:space="preserve"> Německa  a Ukrajiny a 6</w:t>
      </w:r>
      <w:r w:rsidR="00482E89">
        <w:rPr>
          <w:sz w:val="20"/>
          <w:szCs w:val="20"/>
        </w:rPr>
        <w:t>6</w:t>
      </w:r>
      <w:r w:rsidR="008115DB">
        <w:rPr>
          <w:sz w:val="20"/>
          <w:szCs w:val="20"/>
        </w:rPr>
        <w:t xml:space="preserve"> % u občan</w:t>
      </w:r>
      <w:r>
        <w:rPr>
          <w:sz w:val="20"/>
          <w:szCs w:val="20"/>
        </w:rPr>
        <w:t>ů</w:t>
      </w:r>
      <w:r w:rsidR="008115DB">
        <w:rPr>
          <w:sz w:val="20"/>
          <w:szCs w:val="20"/>
        </w:rPr>
        <w:t xml:space="preserve"> Polska a Slovenska. Jediná osoba v bytě byla nejčastější u občanů Německa (</w:t>
      </w:r>
      <w:r w:rsidR="00846713">
        <w:rPr>
          <w:sz w:val="20"/>
          <w:szCs w:val="20"/>
        </w:rPr>
        <w:t xml:space="preserve">zhruba </w:t>
      </w:r>
      <w:r w:rsidR="008115DB">
        <w:rPr>
          <w:sz w:val="20"/>
          <w:szCs w:val="20"/>
        </w:rPr>
        <w:t xml:space="preserve">každý </w:t>
      </w:r>
      <w:r w:rsidR="00846713">
        <w:rPr>
          <w:sz w:val="20"/>
          <w:szCs w:val="20"/>
        </w:rPr>
        <w:t>pátý</w:t>
      </w:r>
      <w:r w:rsidR="008115DB">
        <w:rPr>
          <w:sz w:val="20"/>
          <w:szCs w:val="20"/>
        </w:rPr>
        <w:t xml:space="preserve"> Němec bydlící v bytě bydlel sám) a nejméně četná pak u občanství Vietnamu (</w:t>
      </w:r>
      <w:r w:rsidR="00846713">
        <w:rPr>
          <w:sz w:val="20"/>
          <w:szCs w:val="20"/>
        </w:rPr>
        <w:t>pouhých 6</w:t>
      </w:r>
      <w:r w:rsidR="008115DB">
        <w:rPr>
          <w:sz w:val="20"/>
          <w:szCs w:val="20"/>
        </w:rPr>
        <w:t xml:space="preserve"> % bydlelo samo). </w:t>
      </w:r>
    </w:p>
    <w:p w:rsidR="00864782" w:rsidRDefault="008D140A" w:rsidP="001A021A">
      <w:pPr>
        <w:pStyle w:val="Normln-web"/>
        <w:spacing w:line="276" w:lineRule="auto"/>
        <w:rPr>
          <w:sz w:val="20"/>
          <w:szCs w:val="20"/>
        </w:rPr>
      </w:pPr>
      <w:r>
        <w:rPr>
          <w:sz w:val="20"/>
          <w:szCs w:val="20"/>
        </w:rPr>
        <w:t>C</w:t>
      </w:r>
      <w:r w:rsidR="00864782">
        <w:rPr>
          <w:sz w:val="20"/>
          <w:szCs w:val="20"/>
        </w:rPr>
        <w:t>izinci v</w:t>
      </w:r>
      <w:r>
        <w:rPr>
          <w:sz w:val="20"/>
          <w:szCs w:val="20"/>
        </w:rPr>
        <w:t> </w:t>
      </w:r>
      <w:r w:rsidR="00864782">
        <w:rPr>
          <w:sz w:val="20"/>
          <w:szCs w:val="20"/>
        </w:rPr>
        <w:t>bytech</w:t>
      </w:r>
      <w:r>
        <w:rPr>
          <w:sz w:val="20"/>
          <w:szCs w:val="20"/>
        </w:rPr>
        <w:t xml:space="preserve"> bydleli</w:t>
      </w:r>
      <w:r w:rsidR="00864782">
        <w:rPr>
          <w:sz w:val="20"/>
          <w:szCs w:val="20"/>
        </w:rPr>
        <w:t xml:space="preserve"> – podobně jako populace České republiky celkem – nejčastěji v domech, jejichž vlastníkem byla fyzická osoba a v domech ve spoluvlastnictví vlastníků bytů.</w:t>
      </w:r>
      <w:r w:rsidR="00AA0854">
        <w:rPr>
          <w:sz w:val="20"/>
          <w:szCs w:val="20"/>
        </w:rPr>
        <w:t xml:space="preserve"> Rozdíl mezi </w:t>
      </w:r>
      <w:r w:rsidR="003F67A8">
        <w:rPr>
          <w:sz w:val="20"/>
          <w:szCs w:val="20"/>
        </w:rPr>
        <w:t>zastoupením uvedených dvou vlastnických forem</w:t>
      </w:r>
      <w:r w:rsidR="00AA0854">
        <w:rPr>
          <w:sz w:val="20"/>
          <w:szCs w:val="20"/>
        </w:rPr>
        <w:t xml:space="preserve"> ale</w:t>
      </w:r>
      <w:r>
        <w:rPr>
          <w:sz w:val="20"/>
          <w:szCs w:val="20"/>
        </w:rPr>
        <w:t xml:space="preserve"> u nich</w:t>
      </w:r>
      <w:r w:rsidR="00AA0854">
        <w:rPr>
          <w:sz w:val="20"/>
          <w:szCs w:val="20"/>
        </w:rPr>
        <w:t xml:space="preserve"> nebyl v relativním vyjádření tak výrazný. Cizinci bydleli v domech ve vlastnictví fyzické osoby v 38,3 % a v domech ve spoluvlastnictví vlastníků bytů ve 26,5 % (v populaci celkem byly podíly 51,3 % a 20,2 %). Celorepublikovým hodnotám se nejvíce blížilo rozložení bydlících osob</w:t>
      </w:r>
      <w:r w:rsidR="00202DE1">
        <w:rPr>
          <w:sz w:val="20"/>
          <w:szCs w:val="20"/>
        </w:rPr>
        <w:t xml:space="preserve"> s</w:t>
      </w:r>
      <w:r w:rsidR="00AA0854">
        <w:rPr>
          <w:sz w:val="20"/>
          <w:szCs w:val="20"/>
        </w:rPr>
        <w:t xml:space="preserve"> občanství</w:t>
      </w:r>
      <w:r w:rsidR="00202DE1">
        <w:rPr>
          <w:sz w:val="20"/>
          <w:szCs w:val="20"/>
        </w:rPr>
        <w:t>m</w:t>
      </w:r>
      <w:r w:rsidR="00AA0854">
        <w:rPr>
          <w:sz w:val="20"/>
          <w:szCs w:val="20"/>
        </w:rPr>
        <w:t xml:space="preserve"> </w:t>
      </w:r>
      <w:r w:rsidR="00F91F8B">
        <w:rPr>
          <w:sz w:val="20"/>
          <w:szCs w:val="20"/>
        </w:rPr>
        <w:t>N</w:t>
      </w:r>
      <w:r w:rsidR="00AA0854">
        <w:rPr>
          <w:sz w:val="20"/>
          <w:szCs w:val="20"/>
        </w:rPr>
        <w:t xml:space="preserve">ěmecka a Vietnamu. Nejvíce odlišnou strukturu měli naopak občané Ruska, u kterých bylo nejpočetněji zastoupeno bydlení v domech ve spoluvlastnictví vlastníků bytů (dvě pětiny z počtu Rusů bydlících v bytech) a podíl bydlení v domech ve vlastnictví fyzické osoby byl naopak nejnižší (necelá čtvrtina). U občanů Ruska </w:t>
      </w:r>
      <w:r w:rsidR="00B82F65">
        <w:rPr>
          <w:sz w:val="20"/>
          <w:szCs w:val="20"/>
        </w:rPr>
        <w:t xml:space="preserve">zůstal </w:t>
      </w:r>
      <w:r w:rsidR="00AA0854">
        <w:rPr>
          <w:sz w:val="20"/>
          <w:szCs w:val="20"/>
        </w:rPr>
        <w:t>ale velmi vysoký podíl nezjištěného vlastníka domu (15 %).</w:t>
      </w:r>
    </w:p>
    <w:p w:rsidR="008115DB" w:rsidRDefault="00426029" w:rsidP="001A021A">
      <w:pPr>
        <w:pStyle w:val="Normln-web"/>
        <w:spacing w:line="276" w:lineRule="auto"/>
        <w:rPr>
          <w:sz w:val="20"/>
          <w:szCs w:val="20"/>
        </w:rPr>
      </w:pPr>
      <w:r>
        <w:rPr>
          <w:sz w:val="20"/>
          <w:szCs w:val="20"/>
        </w:rPr>
        <w:t>Právní důvod užívání bytu byl u cizinců ve velmi vysokém počtu</w:t>
      </w:r>
      <w:r w:rsidR="00416794">
        <w:rPr>
          <w:sz w:val="20"/>
          <w:szCs w:val="20"/>
        </w:rPr>
        <w:t xml:space="preserve"> případů</w:t>
      </w:r>
      <w:r>
        <w:rPr>
          <w:sz w:val="20"/>
          <w:szCs w:val="20"/>
        </w:rPr>
        <w:t xml:space="preserve"> nezjištěný; podíl se pohyboval mezi 17,6 % u občanů Polska a 36,2 % u občanů Ruska. Tyto vysoké hodnoty neuvedených odpovědí </w:t>
      </w:r>
      <w:r>
        <w:rPr>
          <w:sz w:val="20"/>
          <w:szCs w:val="20"/>
        </w:rPr>
        <w:lastRenderedPageBreak/>
        <w:t>ovliv</w:t>
      </w:r>
      <w:r w:rsidR="00024FFB">
        <w:rPr>
          <w:sz w:val="20"/>
          <w:szCs w:val="20"/>
        </w:rPr>
        <w:t>nily částečně</w:t>
      </w:r>
      <w:r>
        <w:rPr>
          <w:sz w:val="20"/>
          <w:szCs w:val="20"/>
        </w:rPr>
        <w:t xml:space="preserve"> vypovídací schopnost </w:t>
      </w:r>
      <w:r w:rsidR="00BB5905">
        <w:rPr>
          <w:sz w:val="20"/>
          <w:szCs w:val="20"/>
        </w:rPr>
        <w:t xml:space="preserve">zjištěných </w:t>
      </w:r>
      <w:r>
        <w:rPr>
          <w:sz w:val="20"/>
          <w:szCs w:val="20"/>
        </w:rPr>
        <w:t>údajů.</w:t>
      </w:r>
      <w:r w:rsidR="00024FFB">
        <w:rPr>
          <w:sz w:val="20"/>
          <w:szCs w:val="20"/>
        </w:rPr>
        <w:t xml:space="preserve"> I přes toto omezení </w:t>
      </w:r>
      <w:r w:rsidR="00BB5905">
        <w:rPr>
          <w:sz w:val="20"/>
          <w:szCs w:val="20"/>
        </w:rPr>
        <w:t>byly ale</w:t>
      </w:r>
      <w:r w:rsidR="00024FFB">
        <w:rPr>
          <w:sz w:val="20"/>
          <w:szCs w:val="20"/>
        </w:rPr>
        <w:t xml:space="preserve"> zřetelné preference bydlení jednotlivých státních občanství.</w:t>
      </w:r>
    </w:p>
    <w:p w:rsidR="00024FFB" w:rsidRDefault="00024FFB" w:rsidP="001A021A">
      <w:pPr>
        <w:pStyle w:val="Normln-web"/>
        <w:spacing w:line="276" w:lineRule="auto"/>
        <w:rPr>
          <w:sz w:val="20"/>
          <w:szCs w:val="20"/>
        </w:rPr>
      </w:pPr>
    </w:p>
    <w:tbl>
      <w:tblPr>
        <w:tblW w:w="7231" w:type="dxa"/>
        <w:jc w:val="center"/>
        <w:tblInd w:w="55" w:type="dxa"/>
        <w:tblCellMar>
          <w:left w:w="70" w:type="dxa"/>
          <w:right w:w="70" w:type="dxa"/>
        </w:tblCellMar>
        <w:tblLook w:val="04A0"/>
      </w:tblPr>
      <w:tblGrid>
        <w:gridCol w:w="1374"/>
        <w:gridCol w:w="943"/>
        <w:gridCol w:w="954"/>
        <w:gridCol w:w="1024"/>
        <w:gridCol w:w="937"/>
        <w:gridCol w:w="1048"/>
        <w:gridCol w:w="951"/>
      </w:tblGrid>
      <w:tr w:rsidR="00282C4C" w:rsidRPr="00024FFB" w:rsidTr="00282C4C">
        <w:trPr>
          <w:trHeight w:val="255"/>
          <w:jc w:val="center"/>
        </w:trPr>
        <w:tc>
          <w:tcPr>
            <w:tcW w:w="7231" w:type="dxa"/>
            <w:gridSpan w:val="7"/>
            <w:tcBorders>
              <w:top w:val="nil"/>
              <w:left w:val="nil"/>
              <w:bottom w:val="nil"/>
              <w:right w:val="nil"/>
            </w:tcBorders>
            <w:shd w:val="clear" w:color="auto" w:fill="auto"/>
            <w:noWrap/>
            <w:vAlign w:val="bottom"/>
            <w:hideMark/>
          </w:tcPr>
          <w:p w:rsidR="00760C72" w:rsidRDefault="00760C72" w:rsidP="00024FFB">
            <w:pPr>
              <w:suppressAutoHyphens w:val="0"/>
              <w:rPr>
                <w:rFonts w:cs="Arial"/>
                <w:b/>
                <w:noProof w:val="0"/>
                <w:color w:val="000000"/>
                <w:sz w:val="20"/>
                <w:szCs w:val="20"/>
                <w:lang w:eastAsia="cs-CZ"/>
              </w:rPr>
            </w:pPr>
            <w:r>
              <w:rPr>
                <w:rFonts w:cs="Arial"/>
                <w:b/>
                <w:bCs/>
                <w:sz w:val="20"/>
                <w:szCs w:val="20"/>
              </w:rPr>
              <w:t xml:space="preserve">Tab. č. 19 </w:t>
            </w:r>
            <w:r w:rsidR="00282C4C" w:rsidRPr="00282C4C">
              <w:rPr>
                <w:rFonts w:cs="Arial"/>
                <w:b/>
                <w:noProof w:val="0"/>
                <w:color w:val="000000"/>
                <w:sz w:val="20"/>
                <w:szCs w:val="20"/>
                <w:lang w:eastAsia="cs-CZ"/>
              </w:rPr>
              <w:t>Cizinci bydlící v bytech podle právního důvodu užívání bytu</w:t>
            </w:r>
          </w:p>
          <w:p w:rsidR="00282C4C" w:rsidRPr="00024FFB" w:rsidRDefault="00282C4C" w:rsidP="00024FFB">
            <w:pPr>
              <w:suppressAutoHyphens w:val="0"/>
              <w:rPr>
                <w:rFonts w:cs="Arial"/>
                <w:noProof w:val="0"/>
                <w:color w:val="000000"/>
                <w:sz w:val="18"/>
                <w:szCs w:val="18"/>
                <w:lang w:eastAsia="cs-CZ"/>
              </w:rPr>
            </w:pPr>
            <w:r w:rsidRPr="00282C4C">
              <w:rPr>
                <w:rFonts w:cs="Arial"/>
                <w:b/>
                <w:noProof w:val="0"/>
                <w:color w:val="000000"/>
                <w:sz w:val="20"/>
                <w:szCs w:val="20"/>
                <w:lang w:eastAsia="cs-CZ"/>
              </w:rPr>
              <w:t xml:space="preserve"> k 26. 3. 2011</w:t>
            </w:r>
          </w:p>
        </w:tc>
      </w:tr>
      <w:tr w:rsidR="00024FFB" w:rsidRPr="00024FFB" w:rsidTr="00282C4C">
        <w:trPr>
          <w:trHeight w:val="255"/>
          <w:jc w:val="center"/>
        </w:trPr>
        <w:tc>
          <w:tcPr>
            <w:tcW w:w="13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 </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Cizinci</w:t>
            </w:r>
            <w:r w:rsidRPr="00024FFB">
              <w:rPr>
                <w:rFonts w:cs="Arial"/>
                <w:noProof w:val="0"/>
                <w:color w:val="000000"/>
                <w:sz w:val="18"/>
                <w:szCs w:val="18"/>
                <w:lang w:eastAsia="cs-CZ"/>
              </w:rPr>
              <w:br/>
              <w:t xml:space="preserve"> v bytech celkem</w:t>
            </w:r>
          </w:p>
        </w:tc>
        <w:tc>
          <w:tcPr>
            <w:tcW w:w="4914" w:type="dxa"/>
            <w:gridSpan w:val="5"/>
            <w:tcBorders>
              <w:top w:val="single" w:sz="4" w:space="0" w:color="auto"/>
              <w:left w:val="nil"/>
              <w:bottom w:val="single" w:sz="4" w:space="0" w:color="auto"/>
              <w:right w:val="single" w:sz="4" w:space="0" w:color="auto"/>
            </w:tcBorders>
            <w:shd w:val="clear" w:color="auto" w:fill="auto"/>
            <w:vAlign w:val="bottom"/>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z toho právní důvod užívání bytu</w:t>
            </w:r>
          </w:p>
        </w:tc>
      </w:tr>
      <w:tr w:rsidR="00024FFB" w:rsidRPr="00024FFB" w:rsidTr="00282C4C">
        <w:trPr>
          <w:trHeight w:val="720"/>
          <w:jc w:val="center"/>
        </w:trPr>
        <w:tc>
          <w:tcPr>
            <w:tcW w:w="1374" w:type="dxa"/>
            <w:vMerge/>
            <w:tcBorders>
              <w:top w:val="single" w:sz="4" w:space="0" w:color="auto"/>
              <w:left w:val="single" w:sz="4" w:space="0" w:color="auto"/>
              <w:bottom w:val="single" w:sz="4" w:space="0" w:color="auto"/>
              <w:right w:val="single" w:sz="4" w:space="0" w:color="auto"/>
            </w:tcBorders>
            <w:vAlign w:val="center"/>
            <w:hideMark/>
          </w:tcPr>
          <w:p w:rsidR="00024FFB" w:rsidRPr="00024FFB" w:rsidRDefault="00024FFB" w:rsidP="00024FFB">
            <w:pPr>
              <w:suppressAutoHyphens w:val="0"/>
              <w:rPr>
                <w:rFonts w:cs="Arial"/>
                <w:noProof w:val="0"/>
                <w:color w:val="000000"/>
                <w:sz w:val="18"/>
                <w:szCs w:val="18"/>
                <w:lang w:eastAsia="cs-CZ"/>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024FFB" w:rsidRPr="00024FFB" w:rsidRDefault="00024FFB" w:rsidP="00024FFB">
            <w:pPr>
              <w:suppressAutoHyphens w:val="0"/>
              <w:rPr>
                <w:rFonts w:cs="Arial"/>
                <w:noProof w:val="0"/>
                <w:color w:val="000000"/>
                <w:sz w:val="18"/>
                <w:szCs w:val="18"/>
                <w:lang w:eastAsia="cs-CZ"/>
              </w:rPr>
            </w:pPr>
          </w:p>
        </w:tc>
        <w:tc>
          <w:tcPr>
            <w:tcW w:w="954" w:type="dxa"/>
            <w:tcBorders>
              <w:top w:val="nil"/>
              <w:left w:val="nil"/>
              <w:bottom w:val="single" w:sz="4" w:space="0" w:color="auto"/>
              <w:right w:val="single" w:sz="4" w:space="0" w:color="auto"/>
            </w:tcBorders>
            <w:shd w:val="clear" w:color="auto" w:fill="auto"/>
            <w:vAlign w:val="center"/>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ve vlastním domě</w:t>
            </w:r>
          </w:p>
        </w:tc>
        <w:tc>
          <w:tcPr>
            <w:tcW w:w="1024" w:type="dxa"/>
            <w:tcBorders>
              <w:top w:val="nil"/>
              <w:left w:val="nil"/>
              <w:bottom w:val="single" w:sz="4" w:space="0" w:color="auto"/>
              <w:right w:val="single" w:sz="4" w:space="0" w:color="auto"/>
            </w:tcBorders>
            <w:shd w:val="clear" w:color="auto" w:fill="auto"/>
            <w:vAlign w:val="center"/>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v osobním vlastnictví</w:t>
            </w:r>
          </w:p>
        </w:tc>
        <w:tc>
          <w:tcPr>
            <w:tcW w:w="937" w:type="dxa"/>
            <w:tcBorders>
              <w:top w:val="nil"/>
              <w:left w:val="nil"/>
              <w:bottom w:val="single" w:sz="4" w:space="0" w:color="auto"/>
              <w:right w:val="single" w:sz="4" w:space="0" w:color="auto"/>
            </w:tcBorders>
            <w:shd w:val="clear" w:color="auto" w:fill="auto"/>
            <w:vAlign w:val="center"/>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nájemní</w:t>
            </w:r>
          </w:p>
        </w:tc>
        <w:tc>
          <w:tcPr>
            <w:tcW w:w="1048" w:type="dxa"/>
            <w:tcBorders>
              <w:top w:val="nil"/>
              <w:left w:val="nil"/>
              <w:bottom w:val="single" w:sz="4" w:space="0" w:color="auto"/>
              <w:right w:val="single" w:sz="4" w:space="0" w:color="auto"/>
            </w:tcBorders>
            <w:shd w:val="clear" w:color="auto" w:fill="auto"/>
            <w:vAlign w:val="center"/>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družstevní</w:t>
            </w:r>
          </w:p>
        </w:tc>
        <w:tc>
          <w:tcPr>
            <w:tcW w:w="951" w:type="dxa"/>
            <w:tcBorders>
              <w:top w:val="nil"/>
              <w:left w:val="nil"/>
              <w:bottom w:val="single" w:sz="4" w:space="0" w:color="auto"/>
              <w:right w:val="single" w:sz="4" w:space="0" w:color="auto"/>
            </w:tcBorders>
            <w:shd w:val="clear" w:color="auto" w:fill="auto"/>
            <w:vAlign w:val="center"/>
            <w:hideMark/>
          </w:tcPr>
          <w:p w:rsidR="00024FFB" w:rsidRPr="00024FFB" w:rsidRDefault="00024FFB" w:rsidP="00024FFB">
            <w:pPr>
              <w:suppressAutoHyphens w:val="0"/>
              <w:jc w:val="center"/>
              <w:rPr>
                <w:rFonts w:cs="Arial"/>
                <w:noProof w:val="0"/>
                <w:color w:val="000000"/>
                <w:sz w:val="18"/>
                <w:szCs w:val="18"/>
                <w:lang w:eastAsia="cs-CZ"/>
              </w:rPr>
            </w:pPr>
            <w:r w:rsidRPr="00024FFB">
              <w:rPr>
                <w:rFonts w:cs="Arial"/>
                <w:noProof w:val="0"/>
                <w:color w:val="000000"/>
                <w:sz w:val="18"/>
                <w:szCs w:val="18"/>
                <w:lang w:eastAsia="cs-CZ"/>
              </w:rPr>
              <w:t>nezjištěno</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Cizinci celkem</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342 269</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59 383</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58 135</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98 499</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15 835</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101 097</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z toho: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Ukrajina</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84 122</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15 099</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13 176</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24 658</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2 994</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25 510</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Slovensko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69 893</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12 523</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14 810</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22 488</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3 989</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14 078</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Vietnam</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47 945</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9 119</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5 577</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13 490</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2 738</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15 995</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Rusko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28 411</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3 171</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6 772</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6 600</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1 029</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10 280</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Polsko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13 441</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3 034</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2 266</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3 969</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1 360</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2 361</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Německo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9 504</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2 855</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1 023</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1 744</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273</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3 246</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podíly v %</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Cizinci celkem</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100,0</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17,3</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17,0</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28,8</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4,6</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29,5</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z toho: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 </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Ukrajina</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100,0</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17,9</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15,7</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29,3</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3,6</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30,3</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Slovensko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100,0</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17,9</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21,2</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32,2</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5,7</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20,1</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Vietnam</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100,0</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19,0</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11,6</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28,1</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5,7</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33,4</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Rusko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100,0</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11,2</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23,8</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23,2</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3,6</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36,2</w:t>
            </w:r>
          </w:p>
        </w:tc>
      </w:tr>
      <w:tr w:rsidR="00024FFB" w:rsidRPr="00024FFB" w:rsidTr="00282C4C">
        <w:trPr>
          <w:trHeight w:val="255"/>
          <w:jc w:val="center"/>
        </w:trPr>
        <w:tc>
          <w:tcPr>
            <w:tcW w:w="1374" w:type="dxa"/>
            <w:tcBorders>
              <w:top w:val="nil"/>
              <w:left w:val="single" w:sz="4" w:space="0" w:color="auto"/>
              <w:bottom w:val="nil"/>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Polsko</w:t>
            </w:r>
          </w:p>
        </w:tc>
        <w:tc>
          <w:tcPr>
            <w:tcW w:w="943"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100,0</w:t>
            </w:r>
          </w:p>
        </w:tc>
        <w:tc>
          <w:tcPr>
            <w:tcW w:w="95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22,6</w:t>
            </w:r>
          </w:p>
        </w:tc>
        <w:tc>
          <w:tcPr>
            <w:tcW w:w="1024"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16,9</w:t>
            </w:r>
          </w:p>
        </w:tc>
        <w:tc>
          <w:tcPr>
            <w:tcW w:w="937"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29,5</w:t>
            </w:r>
          </w:p>
        </w:tc>
        <w:tc>
          <w:tcPr>
            <w:tcW w:w="1048"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10,1</w:t>
            </w:r>
          </w:p>
        </w:tc>
        <w:tc>
          <w:tcPr>
            <w:tcW w:w="951" w:type="dxa"/>
            <w:tcBorders>
              <w:top w:val="nil"/>
              <w:left w:val="nil"/>
              <w:bottom w:val="nil"/>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17,6</w:t>
            </w:r>
          </w:p>
        </w:tc>
      </w:tr>
      <w:tr w:rsidR="00024FFB" w:rsidRPr="00024FFB" w:rsidTr="00282C4C">
        <w:trPr>
          <w:trHeight w:val="255"/>
          <w:jc w:val="center"/>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rPr>
                <w:rFonts w:cs="Arial"/>
                <w:noProof w:val="0"/>
                <w:color w:val="000000"/>
                <w:sz w:val="18"/>
                <w:szCs w:val="18"/>
                <w:lang w:eastAsia="cs-CZ"/>
              </w:rPr>
            </w:pPr>
            <w:r w:rsidRPr="00024FFB">
              <w:rPr>
                <w:rFonts w:cs="Arial"/>
                <w:noProof w:val="0"/>
                <w:color w:val="000000"/>
                <w:sz w:val="18"/>
                <w:szCs w:val="18"/>
                <w:lang w:eastAsia="cs-CZ"/>
              </w:rPr>
              <w:t>Německo</w:t>
            </w:r>
          </w:p>
        </w:tc>
        <w:tc>
          <w:tcPr>
            <w:tcW w:w="943" w:type="dxa"/>
            <w:tcBorders>
              <w:top w:val="nil"/>
              <w:left w:val="nil"/>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100,0</w:t>
            </w:r>
          </w:p>
        </w:tc>
        <w:tc>
          <w:tcPr>
            <w:tcW w:w="954" w:type="dxa"/>
            <w:tcBorders>
              <w:top w:val="nil"/>
              <w:left w:val="nil"/>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30,0</w:t>
            </w:r>
          </w:p>
        </w:tc>
        <w:tc>
          <w:tcPr>
            <w:tcW w:w="1024" w:type="dxa"/>
            <w:tcBorders>
              <w:top w:val="nil"/>
              <w:left w:val="nil"/>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10,8</w:t>
            </w:r>
          </w:p>
        </w:tc>
        <w:tc>
          <w:tcPr>
            <w:tcW w:w="937" w:type="dxa"/>
            <w:tcBorders>
              <w:top w:val="nil"/>
              <w:left w:val="nil"/>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18,4</w:t>
            </w:r>
          </w:p>
        </w:tc>
        <w:tc>
          <w:tcPr>
            <w:tcW w:w="1048" w:type="dxa"/>
            <w:tcBorders>
              <w:top w:val="nil"/>
              <w:left w:val="nil"/>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2,9</w:t>
            </w:r>
          </w:p>
        </w:tc>
        <w:tc>
          <w:tcPr>
            <w:tcW w:w="951" w:type="dxa"/>
            <w:tcBorders>
              <w:top w:val="nil"/>
              <w:left w:val="nil"/>
              <w:bottom w:val="single" w:sz="4" w:space="0" w:color="auto"/>
              <w:right w:val="single" w:sz="4" w:space="0" w:color="auto"/>
            </w:tcBorders>
            <w:shd w:val="clear" w:color="auto" w:fill="auto"/>
            <w:noWrap/>
            <w:vAlign w:val="bottom"/>
            <w:hideMark/>
          </w:tcPr>
          <w:p w:rsidR="00024FFB" w:rsidRPr="00024FFB" w:rsidRDefault="00024FFB" w:rsidP="00024FFB">
            <w:pPr>
              <w:suppressAutoHyphens w:val="0"/>
              <w:jc w:val="right"/>
              <w:rPr>
                <w:rFonts w:cs="Arial"/>
                <w:noProof w:val="0"/>
                <w:color w:val="000000"/>
                <w:sz w:val="18"/>
                <w:szCs w:val="18"/>
                <w:lang w:eastAsia="cs-CZ"/>
              </w:rPr>
            </w:pPr>
            <w:r w:rsidRPr="00024FFB">
              <w:rPr>
                <w:rFonts w:cs="Arial"/>
                <w:noProof w:val="0"/>
                <w:color w:val="000000"/>
                <w:sz w:val="18"/>
                <w:szCs w:val="18"/>
                <w:lang w:eastAsia="cs-CZ"/>
              </w:rPr>
              <w:t>34,2</w:t>
            </w:r>
          </w:p>
        </w:tc>
      </w:tr>
    </w:tbl>
    <w:p w:rsidR="00024FFB" w:rsidRDefault="00024FFB" w:rsidP="001A021A">
      <w:pPr>
        <w:pStyle w:val="Normln-web"/>
        <w:spacing w:line="276" w:lineRule="auto"/>
        <w:rPr>
          <w:sz w:val="20"/>
          <w:szCs w:val="20"/>
        </w:rPr>
      </w:pPr>
    </w:p>
    <w:p w:rsidR="00AB0AC0" w:rsidRDefault="00BB5905" w:rsidP="001A021A">
      <w:pPr>
        <w:pStyle w:val="Normln-web"/>
        <w:spacing w:line="276" w:lineRule="auto"/>
        <w:rPr>
          <w:sz w:val="20"/>
          <w:szCs w:val="20"/>
        </w:rPr>
      </w:pPr>
      <w:r>
        <w:rPr>
          <w:sz w:val="20"/>
          <w:szCs w:val="20"/>
        </w:rPr>
        <w:t>Cizinci v bytech jako celek bydleli nejčastěji v nájemních bytech</w:t>
      </w:r>
      <w:r w:rsidR="00FB3970">
        <w:rPr>
          <w:sz w:val="20"/>
          <w:szCs w:val="20"/>
        </w:rPr>
        <w:t xml:space="preserve">. O něco méně volili bydlení ve vlastních domech nebo bytech v osobním vlastnictví. </w:t>
      </w:r>
      <w:r w:rsidR="003F3012">
        <w:rPr>
          <w:sz w:val="20"/>
          <w:szCs w:val="20"/>
        </w:rPr>
        <w:t>Nájemní bydlení bylo nejčastější téměř u všech státních občanství, kromě Ruska, kde bylo v podstatě stejné zastoupení i bydlení v bytech v osobním vlastnictví.</w:t>
      </w:r>
      <w:r w:rsidR="00AB0AC0">
        <w:rPr>
          <w:sz w:val="20"/>
          <w:szCs w:val="20"/>
        </w:rPr>
        <w:t xml:space="preserve"> U občanů Polska byl nadprůměrný podíl bydlení v družstevních bytech. Důvodem byla</w:t>
      </w:r>
      <w:r w:rsidR="001948FF">
        <w:rPr>
          <w:sz w:val="20"/>
          <w:szCs w:val="20"/>
        </w:rPr>
        <w:t xml:space="preserve"> územní</w:t>
      </w:r>
      <w:r w:rsidR="00AB0AC0">
        <w:rPr>
          <w:sz w:val="20"/>
          <w:szCs w:val="20"/>
        </w:rPr>
        <w:t xml:space="preserve"> koncentrace této skupiny cizinců do Severomoravského kraje </w:t>
      </w:r>
      <w:r w:rsidR="001948FF">
        <w:rPr>
          <w:sz w:val="20"/>
          <w:szCs w:val="20"/>
        </w:rPr>
        <w:t xml:space="preserve">– zejména pak do okresu Karviná. Okres Karviná měl </w:t>
      </w:r>
      <w:r w:rsidR="00B82F65">
        <w:rPr>
          <w:sz w:val="20"/>
          <w:szCs w:val="20"/>
        </w:rPr>
        <w:t xml:space="preserve">totiž </w:t>
      </w:r>
      <w:r w:rsidR="001948FF">
        <w:rPr>
          <w:sz w:val="20"/>
          <w:szCs w:val="20"/>
        </w:rPr>
        <w:t xml:space="preserve">k datu sčítání ojedinělou strukturu bytového fondu – zatímco v úhrnu republiky činil podíl družstevních bytů na celkovém bytovém fondu 9,4 %, v okrese Karviná byla takových bytů více než čtvrtina (26,1 %). Struktura disponibilního bytového fondu se logicky promítla i do struktury bydlení osob </w:t>
      </w:r>
      <w:r w:rsidR="00B82F65">
        <w:rPr>
          <w:sz w:val="20"/>
          <w:szCs w:val="20"/>
        </w:rPr>
        <w:t xml:space="preserve">v tomto okresu </w:t>
      </w:r>
      <w:r w:rsidR="001948FF">
        <w:rPr>
          <w:sz w:val="20"/>
          <w:szCs w:val="20"/>
        </w:rPr>
        <w:t xml:space="preserve">a to </w:t>
      </w:r>
      <w:r w:rsidR="00B82F65">
        <w:rPr>
          <w:sz w:val="20"/>
          <w:szCs w:val="20"/>
        </w:rPr>
        <w:t>vč.</w:t>
      </w:r>
      <w:r w:rsidR="001948FF">
        <w:rPr>
          <w:sz w:val="20"/>
          <w:szCs w:val="20"/>
        </w:rPr>
        <w:t xml:space="preserve"> cizinců. </w:t>
      </w:r>
    </w:p>
    <w:p w:rsidR="00305B4D" w:rsidRDefault="00A710D8" w:rsidP="001A021A">
      <w:pPr>
        <w:pStyle w:val="Normln-web"/>
        <w:spacing w:line="276" w:lineRule="auto"/>
        <w:rPr>
          <w:sz w:val="20"/>
          <w:szCs w:val="20"/>
        </w:rPr>
      </w:pPr>
      <w:r>
        <w:rPr>
          <w:sz w:val="20"/>
          <w:szCs w:val="20"/>
        </w:rPr>
        <w:t xml:space="preserve">Bydlení cizinců podle typu bytu mělo odlišnou strukturu od bydlení populace celkem. I když horší parametry bydlení </w:t>
      </w:r>
      <w:r w:rsidR="00EC2575">
        <w:rPr>
          <w:sz w:val="20"/>
          <w:szCs w:val="20"/>
        </w:rPr>
        <w:t>cizinců nelze vyloučit</w:t>
      </w:r>
      <w:r>
        <w:rPr>
          <w:sz w:val="20"/>
          <w:szCs w:val="20"/>
        </w:rPr>
        <w:t xml:space="preserve">, hlavním důvodem byla </w:t>
      </w:r>
      <w:r w:rsidR="00EC2575">
        <w:rPr>
          <w:sz w:val="20"/>
          <w:szCs w:val="20"/>
        </w:rPr>
        <w:t>snížená</w:t>
      </w:r>
      <w:r>
        <w:rPr>
          <w:sz w:val="20"/>
          <w:szCs w:val="20"/>
        </w:rPr>
        <w:t xml:space="preserve"> kvalita vstupních dat o bydlení, přesněji řečeno velký podíl nezjištěných údajů o bytě</w:t>
      </w:r>
      <w:r w:rsidR="00B82F65">
        <w:rPr>
          <w:sz w:val="20"/>
          <w:szCs w:val="20"/>
        </w:rPr>
        <w:t>, který neumožnil zkonstruovat v plné míře příslušné informace o kvalitě bytu.</w:t>
      </w:r>
      <w:r>
        <w:rPr>
          <w:sz w:val="20"/>
          <w:szCs w:val="20"/>
        </w:rPr>
        <w:t xml:space="preserve"> V úhrnu za cizince tak bydlelo ve standardních bytech 70 % cizinců (populace celkem 93 %), v bytech se sníženou kvalitou – což ovšem často byly byty s chybějícími vstupními údaji o příslušenství – bydlelo 18 % cizinců (populace celkem necelých 5 %) a nezjištěný typ bytu mělo 12 % cizinců (populace celkem 2 %)</w:t>
      </w:r>
      <w:r w:rsidR="005D66DF">
        <w:rPr>
          <w:sz w:val="20"/>
          <w:szCs w:val="20"/>
        </w:rPr>
        <w:t xml:space="preserve">. Vysoký </w:t>
      </w:r>
      <w:r w:rsidR="00EC2575">
        <w:rPr>
          <w:sz w:val="20"/>
          <w:szCs w:val="20"/>
        </w:rPr>
        <w:t>podíl nezjištěných údajů o vybavení bytu v podstatě neumožňuje hodnotit ani další kvalitativní charakteristiky (velikost bytu</w:t>
      </w:r>
      <w:r w:rsidR="00B82F65">
        <w:rPr>
          <w:sz w:val="20"/>
          <w:szCs w:val="20"/>
        </w:rPr>
        <w:t>,</w:t>
      </w:r>
      <w:r w:rsidR="00EC2575">
        <w:rPr>
          <w:sz w:val="20"/>
          <w:szCs w:val="20"/>
        </w:rPr>
        <w:t xml:space="preserve"> počet místností nebo obytná plocha).</w:t>
      </w:r>
    </w:p>
    <w:p w:rsidR="00305B4D" w:rsidRDefault="00305B4D" w:rsidP="001A021A">
      <w:pPr>
        <w:pStyle w:val="Normln-web"/>
        <w:spacing w:line="276" w:lineRule="auto"/>
        <w:rPr>
          <w:sz w:val="20"/>
          <w:szCs w:val="20"/>
        </w:rPr>
      </w:pPr>
    </w:p>
    <w:p w:rsidR="006E6536" w:rsidRDefault="006E6536">
      <w:pPr>
        <w:suppressAutoHyphens w:val="0"/>
        <w:rPr>
          <w:sz w:val="20"/>
        </w:rPr>
      </w:pPr>
      <w:r>
        <w:rPr>
          <w:sz w:val="20"/>
        </w:rPr>
        <w:br w:type="page"/>
      </w:r>
    </w:p>
    <w:p w:rsidR="006E6536" w:rsidRDefault="006E6536" w:rsidP="006E6536">
      <w:pPr>
        <w:rPr>
          <w:rFonts w:cs="Arial"/>
          <w:sz w:val="20"/>
          <w:szCs w:val="20"/>
        </w:rPr>
      </w:pPr>
    </w:p>
    <w:p w:rsidR="006E6536" w:rsidRPr="00EB4DBA" w:rsidRDefault="006E6536" w:rsidP="006E6536">
      <w:pPr>
        <w:pStyle w:val="Odstavecseseznamem"/>
        <w:numPr>
          <w:ilvl w:val="0"/>
          <w:numId w:val="13"/>
        </w:numPr>
        <w:ind w:left="851" w:hanging="851"/>
        <w:rPr>
          <w:rFonts w:cs="Arial"/>
          <w:b/>
          <w:sz w:val="24"/>
        </w:rPr>
      </w:pPr>
      <w:r w:rsidRPr="00EB4DBA">
        <w:rPr>
          <w:rFonts w:cs="Arial"/>
          <w:b/>
          <w:sz w:val="24"/>
        </w:rPr>
        <w:t xml:space="preserve">Závěr  </w:t>
      </w:r>
    </w:p>
    <w:p w:rsidR="006E6536" w:rsidRPr="00341839" w:rsidRDefault="006E6536" w:rsidP="006E6536">
      <w:pPr>
        <w:pStyle w:val="Odstavecseseznamem"/>
        <w:rPr>
          <w:rFonts w:cs="Arial"/>
          <w:sz w:val="20"/>
          <w:szCs w:val="20"/>
        </w:rPr>
      </w:pPr>
    </w:p>
    <w:p w:rsidR="006E6536" w:rsidRDefault="006E6536" w:rsidP="00315C1E">
      <w:pPr>
        <w:pStyle w:val="Zkladntext"/>
        <w:numPr>
          <w:ilvl w:val="0"/>
          <w:numId w:val="17"/>
        </w:numPr>
        <w:spacing w:after="0"/>
        <w:ind w:hanging="720"/>
        <w:jc w:val="both"/>
        <w:rPr>
          <w:sz w:val="20"/>
          <w:szCs w:val="20"/>
        </w:rPr>
      </w:pPr>
      <w:r w:rsidRPr="007F759D">
        <w:rPr>
          <w:b/>
          <w:sz w:val="20"/>
          <w:szCs w:val="20"/>
        </w:rPr>
        <w:t xml:space="preserve">K 26. 3. 2011 bydlelo v bytech </w:t>
      </w:r>
      <w:r>
        <w:rPr>
          <w:b/>
          <w:sz w:val="20"/>
          <w:szCs w:val="20"/>
        </w:rPr>
        <w:t xml:space="preserve">téměř </w:t>
      </w:r>
      <w:r w:rsidRPr="007F759D">
        <w:rPr>
          <w:b/>
          <w:sz w:val="20"/>
          <w:szCs w:val="20"/>
        </w:rPr>
        <w:t>10</w:t>
      </w:r>
      <w:r>
        <w:rPr>
          <w:b/>
          <w:sz w:val="20"/>
          <w:szCs w:val="20"/>
        </w:rPr>
        <w:t> </w:t>
      </w:r>
      <w:r w:rsidRPr="007F759D">
        <w:rPr>
          <w:b/>
          <w:sz w:val="20"/>
          <w:szCs w:val="20"/>
        </w:rPr>
        <w:t>14</w:t>
      </w:r>
      <w:r>
        <w:rPr>
          <w:b/>
          <w:sz w:val="20"/>
          <w:szCs w:val="20"/>
        </w:rPr>
        <w:t>5 tisíc</w:t>
      </w:r>
      <w:r w:rsidRPr="007F759D">
        <w:rPr>
          <w:b/>
          <w:sz w:val="20"/>
          <w:szCs w:val="20"/>
        </w:rPr>
        <w:t xml:space="preserve"> osob</w:t>
      </w:r>
      <w:r>
        <w:rPr>
          <w:b/>
          <w:sz w:val="20"/>
          <w:szCs w:val="20"/>
        </w:rPr>
        <w:t xml:space="preserve"> (</w:t>
      </w:r>
      <w:r>
        <w:rPr>
          <w:sz w:val="20"/>
          <w:szCs w:val="20"/>
        </w:rPr>
        <w:t>97,2 % z počtu obyvatel s obvyklým pobytem).</w:t>
      </w:r>
    </w:p>
    <w:p w:rsidR="006E6536" w:rsidRDefault="006E6536" w:rsidP="00315C1E">
      <w:pPr>
        <w:pStyle w:val="Normln-web"/>
        <w:spacing w:before="0" w:line="276" w:lineRule="auto"/>
        <w:ind w:hanging="720"/>
        <w:rPr>
          <w:sz w:val="20"/>
          <w:szCs w:val="20"/>
        </w:rPr>
      </w:pPr>
    </w:p>
    <w:p w:rsidR="006E6536" w:rsidRDefault="006E6536" w:rsidP="00315C1E">
      <w:pPr>
        <w:pStyle w:val="Normln-web"/>
        <w:numPr>
          <w:ilvl w:val="1"/>
          <w:numId w:val="17"/>
        </w:numPr>
        <w:spacing w:before="0" w:after="120" w:line="276" w:lineRule="auto"/>
        <w:rPr>
          <w:sz w:val="20"/>
          <w:szCs w:val="20"/>
        </w:rPr>
      </w:pPr>
      <w:r>
        <w:rPr>
          <w:sz w:val="20"/>
          <w:szCs w:val="20"/>
        </w:rPr>
        <w:t xml:space="preserve">Z hlediska technických parametrů a vybavenosti domu (plyn, kanalizace, ústřední topení) i z hlediska charakteristik bytu (velikost bytu, typ bytu) se kvalita bydlení trvale zvyšovala. </w:t>
      </w:r>
    </w:p>
    <w:p w:rsidR="006E6536" w:rsidRDefault="006E6536" w:rsidP="00315C1E">
      <w:pPr>
        <w:pStyle w:val="Normln-web"/>
        <w:numPr>
          <w:ilvl w:val="1"/>
          <w:numId w:val="17"/>
        </w:numPr>
        <w:spacing w:before="0" w:after="120" w:line="276" w:lineRule="auto"/>
        <w:rPr>
          <w:sz w:val="20"/>
          <w:szCs w:val="20"/>
        </w:rPr>
      </w:pPr>
      <w:r>
        <w:rPr>
          <w:sz w:val="20"/>
          <w:szCs w:val="20"/>
        </w:rPr>
        <w:t>K </w:t>
      </w:r>
      <w:r w:rsidR="002C6AB4">
        <w:rPr>
          <w:sz w:val="20"/>
          <w:szCs w:val="20"/>
        </w:rPr>
        <w:t>významným</w:t>
      </w:r>
      <w:r>
        <w:rPr>
          <w:sz w:val="20"/>
          <w:szCs w:val="20"/>
        </w:rPr>
        <w:t xml:space="preserve"> změnám došlo ve struktuře podle vlastnictví domu posilováním soukromého vlastnictví. V roce 2011 již více než polovina (51,3 %) všech osob v bytech bydlela v domě, jehož vlastníkem byla fyzická osoba a pětina v domech ve spoluvlastnictví vlastníků bytů.</w:t>
      </w:r>
    </w:p>
    <w:p w:rsidR="006E6536" w:rsidRPr="00315C1E" w:rsidRDefault="006E6536" w:rsidP="00315C1E">
      <w:pPr>
        <w:pStyle w:val="Normln-web"/>
        <w:numPr>
          <w:ilvl w:val="1"/>
          <w:numId w:val="17"/>
        </w:numPr>
        <w:spacing w:before="0" w:after="120" w:line="276" w:lineRule="auto"/>
        <w:rPr>
          <w:sz w:val="20"/>
          <w:szCs w:val="20"/>
        </w:rPr>
      </w:pPr>
      <w:r w:rsidRPr="00315C1E">
        <w:rPr>
          <w:sz w:val="20"/>
          <w:szCs w:val="20"/>
        </w:rPr>
        <w:t>Podle právního důvodu užívání</w:t>
      </w:r>
      <w:r w:rsidR="00315C1E" w:rsidRPr="00315C1E">
        <w:rPr>
          <w:sz w:val="20"/>
          <w:szCs w:val="20"/>
        </w:rPr>
        <w:t xml:space="preserve"> je nejčastější bydlení ve vlastním domě. Od roku 1991 klesá</w:t>
      </w:r>
      <w:r w:rsidRPr="00315C1E">
        <w:rPr>
          <w:sz w:val="20"/>
          <w:szCs w:val="20"/>
        </w:rPr>
        <w:t xml:space="preserve"> zastoupení bytů nájemních (původně většinou ve vlastnictví státu a obcí) a bytů družstevních, které byly v průběhu privatizace převáděny do vlastnictví nájemníků nebo byly prodávány. Nejdynamičtější vývoj zaznamenalo bydlení v bytech v osobním vlastnictví</w:t>
      </w:r>
      <w:r w:rsidR="00315C1E" w:rsidRPr="00315C1E">
        <w:rPr>
          <w:sz w:val="20"/>
          <w:szCs w:val="20"/>
        </w:rPr>
        <w:t xml:space="preserve">. </w:t>
      </w:r>
    </w:p>
    <w:p w:rsidR="006E6536" w:rsidRDefault="006E6536" w:rsidP="00315C1E">
      <w:pPr>
        <w:pStyle w:val="Nadpis1a"/>
        <w:numPr>
          <w:ilvl w:val="1"/>
          <w:numId w:val="17"/>
        </w:numPr>
        <w:spacing w:before="0" w:line="276" w:lineRule="auto"/>
        <w:rPr>
          <w:b w:val="0"/>
          <w:i w:val="0"/>
          <w:sz w:val="20"/>
          <w:szCs w:val="20"/>
        </w:rPr>
      </w:pPr>
      <w:r w:rsidRPr="00315C1E">
        <w:rPr>
          <w:b w:val="0"/>
          <w:i w:val="0"/>
          <w:sz w:val="20"/>
          <w:szCs w:val="20"/>
        </w:rPr>
        <w:t xml:space="preserve">Z hlediska zalidněnosti bytu </w:t>
      </w:r>
      <w:r w:rsidR="00DD3F8E" w:rsidRPr="00315C1E">
        <w:rPr>
          <w:b w:val="0"/>
          <w:i w:val="0"/>
          <w:sz w:val="20"/>
          <w:szCs w:val="20"/>
        </w:rPr>
        <w:t xml:space="preserve">připadly </w:t>
      </w:r>
      <w:r w:rsidRPr="00315C1E">
        <w:rPr>
          <w:b w:val="0"/>
          <w:i w:val="0"/>
          <w:sz w:val="20"/>
          <w:szCs w:val="20"/>
        </w:rPr>
        <w:t>nejvyšší podíly bydlících osob na byty se 2, 3 nebo 4 osobami. Jako jediná osoba v bytě žilo 12 % osob, většinou to byli senioři.</w:t>
      </w:r>
    </w:p>
    <w:p w:rsidR="006E6536" w:rsidRDefault="006E6536" w:rsidP="00315C1E">
      <w:pPr>
        <w:autoSpaceDE w:val="0"/>
        <w:autoSpaceDN w:val="0"/>
        <w:adjustRightInd w:val="0"/>
        <w:spacing w:line="276" w:lineRule="auto"/>
        <w:ind w:left="1418" w:hanging="720"/>
        <w:jc w:val="both"/>
        <w:rPr>
          <w:rFonts w:cs="Arial"/>
          <w:b/>
          <w:sz w:val="20"/>
          <w:szCs w:val="20"/>
        </w:rPr>
      </w:pPr>
    </w:p>
    <w:p w:rsidR="006E6536" w:rsidRPr="00315C1E" w:rsidRDefault="006E6536" w:rsidP="00315C1E">
      <w:pPr>
        <w:pStyle w:val="Odstavecseseznamem"/>
        <w:numPr>
          <w:ilvl w:val="0"/>
          <w:numId w:val="17"/>
        </w:numPr>
        <w:autoSpaceDE w:val="0"/>
        <w:autoSpaceDN w:val="0"/>
        <w:adjustRightInd w:val="0"/>
        <w:spacing w:line="276" w:lineRule="auto"/>
        <w:ind w:hanging="720"/>
        <w:jc w:val="both"/>
        <w:rPr>
          <w:rFonts w:cs="Arial"/>
          <w:sz w:val="20"/>
          <w:szCs w:val="20"/>
        </w:rPr>
      </w:pPr>
      <w:r w:rsidRPr="00315C1E">
        <w:rPr>
          <w:rFonts w:cs="Arial"/>
          <w:b/>
          <w:sz w:val="20"/>
          <w:szCs w:val="20"/>
        </w:rPr>
        <w:t>V zařízeních obvykle bydlelo více než 194 tisíc osob</w:t>
      </w:r>
      <w:r w:rsidRPr="00315C1E">
        <w:rPr>
          <w:rFonts w:cs="Arial"/>
          <w:sz w:val="20"/>
          <w:szCs w:val="20"/>
        </w:rPr>
        <w:t xml:space="preserve">. K nejpočetněji zastoupeným patřilo </w:t>
      </w:r>
      <w:r w:rsidR="00DD3F8E" w:rsidRPr="00315C1E">
        <w:rPr>
          <w:rFonts w:cs="Arial"/>
          <w:sz w:val="20"/>
          <w:szCs w:val="20"/>
        </w:rPr>
        <w:t>bydlení v zařízeních, která byla součástí obytných domů (necelých 38 tis.)</w:t>
      </w:r>
      <w:r w:rsidR="00DD3F8E">
        <w:rPr>
          <w:rFonts w:cs="Arial"/>
          <w:sz w:val="20"/>
          <w:szCs w:val="20"/>
        </w:rPr>
        <w:t xml:space="preserve">, </w:t>
      </w:r>
      <w:r w:rsidRPr="00315C1E">
        <w:rPr>
          <w:rFonts w:cs="Arial"/>
          <w:sz w:val="20"/>
          <w:szCs w:val="20"/>
        </w:rPr>
        <w:t>bydlení v zařízeních pro seniory (35 tis. osob)</w:t>
      </w:r>
      <w:r w:rsidR="00DD3F8E">
        <w:rPr>
          <w:rFonts w:cs="Arial"/>
          <w:sz w:val="20"/>
          <w:szCs w:val="20"/>
        </w:rPr>
        <w:t xml:space="preserve"> a</w:t>
      </w:r>
      <w:r w:rsidRPr="00315C1E">
        <w:rPr>
          <w:rFonts w:cs="Arial"/>
          <w:sz w:val="20"/>
          <w:szCs w:val="20"/>
        </w:rPr>
        <w:t xml:space="preserve"> bydlení v ubytovnách (28 tis.)</w:t>
      </w:r>
      <w:r w:rsidR="00DD3F8E">
        <w:rPr>
          <w:rFonts w:cs="Arial"/>
          <w:sz w:val="20"/>
          <w:szCs w:val="20"/>
        </w:rPr>
        <w:t>.</w:t>
      </w:r>
      <w:r w:rsidRPr="00315C1E">
        <w:rPr>
          <w:rFonts w:cs="Arial"/>
          <w:sz w:val="20"/>
          <w:szCs w:val="20"/>
        </w:rPr>
        <w:t xml:space="preserve"> </w:t>
      </w:r>
    </w:p>
    <w:p w:rsidR="006E6536" w:rsidRPr="00217930" w:rsidRDefault="006E6536" w:rsidP="00315C1E">
      <w:pPr>
        <w:autoSpaceDE w:val="0"/>
        <w:autoSpaceDN w:val="0"/>
        <w:adjustRightInd w:val="0"/>
        <w:spacing w:line="276" w:lineRule="auto"/>
        <w:ind w:hanging="720"/>
        <w:jc w:val="both"/>
        <w:rPr>
          <w:rFonts w:cs="Arial"/>
          <w:sz w:val="20"/>
          <w:szCs w:val="20"/>
        </w:rPr>
      </w:pPr>
    </w:p>
    <w:p w:rsidR="006E6536" w:rsidRDefault="006E6536" w:rsidP="00315C1E">
      <w:pPr>
        <w:pStyle w:val="Normln-web"/>
        <w:numPr>
          <w:ilvl w:val="0"/>
          <w:numId w:val="17"/>
        </w:numPr>
        <w:spacing w:before="0" w:line="276" w:lineRule="auto"/>
        <w:ind w:hanging="720"/>
        <w:rPr>
          <w:sz w:val="20"/>
          <w:szCs w:val="20"/>
        </w:rPr>
      </w:pPr>
      <w:r w:rsidRPr="00B33F5C">
        <w:rPr>
          <w:b/>
          <w:sz w:val="20"/>
          <w:szCs w:val="20"/>
        </w:rPr>
        <w:t>Mimo byty a zařízení mělo obvyklý pobyt zhruba 86 tisíc osob</w:t>
      </w:r>
      <w:r>
        <w:rPr>
          <w:sz w:val="20"/>
          <w:szCs w:val="20"/>
        </w:rPr>
        <w:t>, z toho nejvíce připadlo na bydlení v rekreační chatě</w:t>
      </w:r>
      <w:r w:rsidR="00DD3F8E">
        <w:rPr>
          <w:sz w:val="20"/>
          <w:szCs w:val="20"/>
        </w:rPr>
        <w:t xml:space="preserve"> nebo </w:t>
      </w:r>
      <w:r>
        <w:rPr>
          <w:sz w:val="20"/>
          <w:szCs w:val="20"/>
        </w:rPr>
        <w:t xml:space="preserve">chalupě (více než 35 tis. osob). Ćtyři pětiny osob bydlících v rekreačních objektech měly v témže objektu i </w:t>
      </w:r>
      <w:r w:rsidR="00DD3F8E">
        <w:rPr>
          <w:sz w:val="20"/>
          <w:szCs w:val="20"/>
        </w:rPr>
        <w:t xml:space="preserve">trvalý </w:t>
      </w:r>
      <w:r>
        <w:rPr>
          <w:sz w:val="20"/>
          <w:szCs w:val="20"/>
        </w:rPr>
        <w:t xml:space="preserve">pobyt. </w:t>
      </w:r>
    </w:p>
    <w:p w:rsidR="006E6536" w:rsidRDefault="006E6536" w:rsidP="00315C1E">
      <w:pPr>
        <w:pStyle w:val="Normln-web"/>
        <w:spacing w:before="0" w:line="276" w:lineRule="auto"/>
        <w:ind w:hanging="720"/>
        <w:rPr>
          <w:sz w:val="20"/>
          <w:szCs w:val="20"/>
        </w:rPr>
      </w:pPr>
    </w:p>
    <w:p w:rsidR="006E6536" w:rsidRDefault="00DD3F8E" w:rsidP="00315C1E">
      <w:pPr>
        <w:pStyle w:val="Textodstavce"/>
        <w:numPr>
          <w:ilvl w:val="0"/>
          <w:numId w:val="17"/>
        </w:numPr>
        <w:spacing w:before="0" w:after="0" w:line="276" w:lineRule="auto"/>
        <w:ind w:hanging="720"/>
        <w:rPr>
          <w:rFonts w:ascii="Arial" w:hAnsi="Arial" w:cs="Arial"/>
          <w:sz w:val="20"/>
        </w:rPr>
      </w:pPr>
      <w:r>
        <w:rPr>
          <w:rFonts w:ascii="Arial" w:hAnsi="Arial" w:cs="Arial"/>
          <w:sz w:val="20"/>
        </w:rPr>
        <w:t>Prostřednictvím azylových domů a dalších sociálních zařízení</w:t>
      </w:r>
      <w:r w:rsidR="006E6536" w:rsidRPr="00B33F5C">
        <w:rPr>
          <w:rFonts w:ascii="Arial" w:hAnsi="Arial" w:cs="Arial"/>
          <w:sz w:val="20"/>
        </w:rPr>
        <w:t xml:space="preserve"> bylo </w:t>
      </w:r>
      <w:r w:rsidR="006E6536" w:rsidRPr="00DD3F8E">
        <w:rPr>
          <w:rFonts w:ascii="Arial" w:hAnsi="Arial" w:cs="Arial"/>
          <w:b/>
          <w:sz w:val="20"/>
        </w:rPr>
        <w:t xml:space="preserve">sečteno </w:t>
      </w:r>
      <w:r w:rsidR="006E6536" w:rsidRPr="00B33F5C">
        <w:rPr>
          <w:rFonts w:ascii="Arial" w:hAnsi="Arial" w:cs="Arial"/>
          <w:b/>
          <w:sz w:val="20"/>
        </w:rPr>
        <w:t>11 496 bezdomovců</w:t>
      </w:r>
      <w:r w:rsidR="001F2998">
        <w:rPr>
          <w:rFonts w:ascii="Arial" w:hAnsi="Arial" w:cs="Arial"/>
          <w:sz w:val="20"/>
        </w:rPr>
        <w:t>.</w:t>
      </w:r>
    </w:p>
    <w:p w:rsidR="006E6536" w:rsidRPr="00E73ED3" w:rsidRDefault="006E6536" w:rsidP="00315C1E">
      <w:pPr>
        <w:pStyle w:val="Textodstavce"/>
        <w:tabs>
          <w:tab w:val="clear" w:pos="720"/>
        </w:tabs>
        <w:spacing w:before="0" w:after="0" w:line="276" w:lineRule="auto"/>
        <w:ind w:left="0"/>
        <w:rPr>
          <w:rFonts w:cs="Arial"/>
          <w:sz w:val="20"/>
        </w:rPr>
      </w:pPr>
    </w:p>
    <w:p w:rsidR="006E6536" w:rsidRPr="001F2998" w:rsidRDefault="006E6536" w:rsidP="00315C1E">
      <w:pPr>
        <w:pStyle w:val="Normln-web"/>
        <w:numPr>
          <w:ilvl w:val="0"/>
          <w:numId w:val="17"/>
        </w:numPr>
        <w:spacing w:before="0" w:line="276" w:lineRule="auto"/>
        <w:ind w:hanging="720"/>
        <w:rPr>
          <w:sz w:val="20"/>
          <w:szCs w:val="20"/>
        </w:rPr>
      </w:pPr>
      <w:r w:rsidRPr="001F2998">
        <w:rPr>
          <w:sz w:val="20"/>
          <w:szCs w:val="20"/>
        </w:rPr>
        <w:t xml:space="preserve">Z celkového počtu </w:t>
      </w:r>
      <w:r w:rsidRPr="00315C1E">
        <w:rPr>
          <w:b/>
          <w:sz w:val="20"/>
          <w:szCs w:val="20"/>
        </w:rPr>
        <w:t>422 tisíc</w:t>
      </w:r>
      <w:r w:rsidRPr="001F2998">
        <w:rPr>
          <w:sz w:val="20"/>
          <w:szCs w:val="20"/>
        </w:rPr>
        <w:t xml:space="preserve"> </w:t>
      </w:r>
      <w:r w:rsidRPr="001F2998">
        <w:rPr>
          <w:b/>
          <w:sz w:val="20"/>
          <w:szCs w:val="20"/>
        </w:rPr>
        <w:t>cizinců</w:t>
      </w:r>
      <w:r w:rsidRPr="001F2998">
        <w:rPr>
          <w:sz w:val="20"/>
          <w:szCs w:val="20"/>
        </w:rPr>
        <w:t xml:space="preserve"> jich většina bydlela v bytech (342 tis.) a v zařízeních (téměř 67 tis.). </w:t>
      </w:r>
    </w:p>
    <w:p w:rsidR="006E6536" w:rsidRDefault="006E6536" w:rsidP="00315C1E">
      <w:pPr>
        <w:pStyle w:val="Normln-web"/>
        <w:spacing w:before="0" w:line="276" w:lineRule="auto"/>
        <w:ind w:left="720" w:hanging="720"/>
        <w:rPr>
          <w:sz w:val="20"/>
          <w:szCs w:val="20"/>
        </w:rPr>
      </w:pPr>
    </w:p>
    <w:p w:rsidR="006E6536" w:rsidRPr="002D04A1" w:rsidRDefault="006E6536" w:rsidP="00315C1E">
      <w:pPr>
        <w:pStyle w:val="Normln-web"/>
        <w:numPr>
          <w:ilvl w:val="1"/>
          <w:numId w:val="17"/>
        </w:numPr>
        <w:spacing w:before="0" w:after="120" w:line="276" w:lineRule="auto"/>
        <w:ind w:hanging="306"/>
        <w:rPr>
          <w:sz w:val="20"/>
          <w:szCs w:val="20"/>
        </w:rPr>
      </w:pPr>
      <w:r w:rsidRPr="002D04A1">
        <w:rPr>
          <w:sz w:val="20"/>
          <w:szCs w:val="20"/>
        </w:rPr>
        <w:t xml:space="preserve">Bydlení v bytech bylo typické zejména pro občany Vietnamu a Ruska (více než 90 %). </w:t>
      </w:r>
      <w:r>
        <w:rPr>
          <w:sz w:val="20"/>
          <w:szCs w:val="20"/>
        </w:rPr>
        <w:t xml:space="preserve">Cizinci v bytech bydleli nejčastěji v nájemních bytech.  </w:t>
      </w:r>
    </w:p>
    <w:p w:rsidR="006E6536" w:rsidRDefault="006E6536" w:rsidP="00315C1E">
      <w:pPr>
        <w:pStyle w:val="Normln-web"/>
        <w:numPr>
          <w:ilvl w:val="1"/>
          <w:numId w:val="17"/>
        </w:numPr>
        <w:spacing w:before="0" w:after="120" w:line="276" w:lineRule="auto"/>
        <w:ind w:hanging="306"/>
        <w:rPr>
          <w:sz w:val="20"/>
          <w:szCs w:val="20"/>
        </w:rPr>
      </w:pPr>
      <w:r>
        <w:rPr>
          <w:sz w:val="20"/>
          <w:szCs w:val="20"/>
        </w:rPr>
        <w:t xml:space="preserve">Nejvyšší podíly osob bydlících v zařízeních byly u občanů Německa (32 % jejich počtu) a u občanů Ukrajiny (24 %). </w:t>
      </w:r>
    </w:p>
    <w:p w:rsidR="00B903FD" w:rsidRDefault="00B903FD" w:rsidP="00315C1E">
      <w:pPr>
        <w:suppressAutoHyphens w:val="0"/>
        <w:ind w:hanging="720"/>
        <w:rPr>
          <w:sz w:val="20"/>
        </w:rPr>
      </w:pPr>
    </w:p>
    <w:sectPr w:rsidR="00B903FD" w:rsidSect="002C669A">
      <w:headerReference w:type="default" r:id="rId36"/>
      <w:footerReference w:type="default" r:id="rId37"/>
      <w:pgSz w:w="11905" w:h="16837"/>
      <w:pgMar w:top="2269" w:right="851" w:bottom="1418" w:left="1588"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DC5" w:rsidRDefault="00547DC5">
      <w:r>
        <w:separator/>
      </w:r>
    </w:p>
  </w:endnote>
  <w:endnote w:type="continuationSeparator" w:id="0">
    <w:p w:rsidR="00547DC5" w:rsidRDefault="00547DC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default"/>
    <w:sig w:usb0="00000000" w:usb1="00000000" w:usb2="00000000" w:usb3="00000000" w:csb0="00000000" w:csb1="00000000"/>
  </w:font>
  <w:font w:name="Times">
    <w:panose1 w:val="02020603050405020304"/>
    <w:charset w:val="EE"/>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998" w:rsidRDefault="001F2998">
    <w:pPr>
      <w:pStyle w:val="Zpat"/>
      <w:jc w:val="center"/>
    </w:pPr>
    <w:r>
      <w:rPr>
        <w:rStyle w:val="slostrnky"/>
      </w:rPr>
      <w:fldChar w:fldCharType="begin"/>
    </w:r>
    <w:r>
      <w:rPr>
        <w:rStyle w:val="slostrnky"/>
      </w:rPr>
      <w:instrText xml:space="preserve"> PAGE </w:instrText>
    </w:r>
    <w:r>
      <w:rPr>
        <w:rStyle w:val="slostrnky"/>
      </w:rPr>
      <w:fldChar w:fldCharType="separate"/>
    </w:r>
    <w:r w:rsidR="00DD3F8E">
      <w:rPr>
        <w:rStyle w:val="slostrnky"/>
      </w:rPr>
      <w:t>41</w:t>
    </w:r>
    <w:r>
      <w:rPr>
        <w:rStyle w:val="slostrnk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DC5" w:rsidRDefault="00547DC5">
      <w:r>
        <w:separator/>
      </w:r>
    </w:p>
  </w:footnote>
  <w:footnote w:type="continuationSeparator" w:id="0">
    <w:p w:rsidR="00547DC5" w:rsidRDefault="00547DC5">
      <w:r>
        <w:continuationSeparator/>
      </w:r>
    </w:p>
  </w:footnote>
  <w:footnote w:id="1">
    <w:p w:rsidR="001F2998" w:rsidRDefault="001F2998">
      <w:pPr>
        <w:pStyle w:val="Textpoznpodarou"/>
      </w:pPr>
      <w:r>
        <w:rPr>
          <w:rStyle w:val="Znakapoznpodarou"/>
        </w:rPr>
        <w:footnoteRef/>
      </w:r>
      <w:r>
        <w:t xml:space="preserve"> Viz § 10 zákona č. 133/2000 Sb. o evidenci obyvatel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69" w:type="dxa"/>
      <w:tblInd w:w="108" w:type="dxa"/>
      <w:tblLayout w:type="fixed"/>
      <w:tblLook w:val="0000"/>
    </w:tblPr>
    <w:tblGrid>
      <w:gridCol w:w="2835"/>
      <w:gridCol w:w="3079"/>
      <w:gridCol w:w="3655"/>
    </w:tblGrid>
    <w:tr w:rsidR="001F2998" w:rsidTr="00220D4D">
      <w:tc>
        <w:tcPr>
          <w:tcW w:w="2835" w:type="dxa"/>
          <w:vAlign w:val="center"/>
        </w:tcPr>
        <w:p w:rsidR="001F2998" w:rsidRDefault="001F2998" w:rsidP="00375D96">
          <w:pPr>
            <w:pStyle w:val="Zhlav"/>
            <w:tabs>
              <w:tab w:val="right" w:pos="9072"/>
            </w:tabs>
            <w:snapToGrid w:val="0"/>
            <w:rPr>
              <w:sz w:val="20"/>
              <w:lang w:val="en-GB"/>
            </w:rPr>
          </w:pPr>
          <w:r>
            <w:rPr>
              <w:lang w:eastAsia="cs-CZ"/>
            </w:rPr>
            <w:drawing>
              <wp:anchor distT="0" distB="0" distL="0" distR="0" simplePos="0" relativeHeight="251660288" behindDoc="0" locked="0" layoutInCell="1" allowOverlap="1">
                <wp:simplePos x="0" y="0"/>
                <wp:positionH relativeFrom="column">
                  <wp:posOffset>-1270</wp:posOffset>
                </wp:positionH>
                <wp:positionV relativeFrom="paragraph">
                  <wp:posOffset>0</wp:posOffset>
                </wp:positionV>
                <wp:extent cx="1673860" cy="828040"/>
                <wp:effectExtent l="19050" t="0" r="2540" b="0"/>
                <wp:wrapTopAndBottom/>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73860" cy="828040"/>
                        </a:xfrm>
                        <a:prstGeom prst="rect">
                          <a:avLst/>
                        </a:prstGeom>
                        <a:solidFill>
                          <a:srgbClr val="FFFFFF"/>
                        </a:solidFill>
                        <a:ln w="9525">
                          <a:noFill/>
                          <a:miter lim="800000"/>
                          <a:headEnd/>
                          <a:tailEnd/>
                        </a:ln>
                      </pic:spPr>
                    </pic:pic>
                  </a:graphicData>
                </a:graphic>
              </wp:anchor>
            </w:drawing>
          </w:r>
        </w:p>
      </w:tc>
      <w:tc>
        <w:tcPr>
          <w:tcW w:w="3079" w:type="dxa"/>
          <w:vAlign w:val="center"/>
        </w:tcPr>
        <w:p w:rsidR="001F2998" w:rsidRDefault="001F2998" w:rsidP="00375D96">
          <w:pPr>
            <w:pStyle w:val="Zhlav"/>
            <w:tabs>
              <w:tab w:val="left" w:pos="709"/>
              <w:tab w:val="right" w:pos="9072"/>
            </w:tabs>
            <w:snapToGrid w:val="0"/>
            <w:jc w:val="center"/>
            <w:rPr>
              <w:b/>
              <w:sz w:val="28"/>
              <w:lang w:val="en-GB"/>
            </w:rPr>
          </w:pPr>
        </w:p>
      </w:tc>
      <w:tc>
        <w:tcPr>
          <w:tcW w:w="3655" w:type="dxa"/>
          <w:vAlign w:val="center"/>
        </w:tcPr>
        <w:p w:rsidR="001F2998" w:rsidRDefault="001F2998" w:rsidP="00375D96">
          <w:pPr>
            <w:pStyle w:val="Zhlav"/>
            <w:tabs>
              <w:tab w:val="left" w:pos="709"/>
              <w:tab w:val="right" w:pos="9072"/>
            </w:tabs>
            <w:snapToGrid w:val="0"/>
            <w:jc w:val="right"/>
            <w:rPr>
              <w:sz w:val="20"/>
              <w:lang w:val="en-GB"/>
            </w:rPr>
          </w:pPr>
          <w:r>
            <w:rPr>
              <w:sz w:val="20"/>
              <w:lang w:eastAsia="cs-CZ"/>
            </w:rPr>
            <w:drawing>
              <wp:anchor distT="0" distB="0" distL="114300" distR="114300" simplePos="0" relativeHeight="251661312" behindDoc="1" locked="0" layoutInCell="1" allowOverlap="1">
                <wp:simplePos x="0" y="0"/>
                <wp:positionH relativeFrom="page">
                  <wp:posOffset>466090</wp:posOffset>
                </wp:positionH>
                <wp:positionV relativeFrom="page">
                  <wp:posOffset>261620</wp:posOffset>
                </wp:positionV>
                <wp:extent cx="1741170" cy="450215"/>
                <wp:effectExtent l="19050" t="0" r="0" b="0"/>
                <wp:wrapNone/>
                <wp:docPr id="18"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2"/>
                        <a:srcRect r="61736"/>
                        <a:stretch>
                          <a:fillRect/>
                        </a:stretch>
                      </pic:blipFill>
                      <pic:spPr bwMode="auto">
                        <a:xfrm>
                          <a:off x="0" y="0"/>
                          <a:ext cx="1741170" cy="450215"/>
                        </a:xfrm>
                        <a:prstGeom prst="rect">
                          <a:avLst/>
                        </a:prstGeom>
                        <a:noFill/>
                        <a:ln w="9525">
                          <a:noFill/>
                          <a:miter lim="800000"/>
                          <a:headEnd/>
                          <a:tailEnd/>
                        </a:ln>
                      </pic:spPr>
                    </pic:pic>
                  </a:graphicData>
                </a:graphic>
              </wp:anchor>
            </w:drawing>
          </w:r>
        </w:p>
      </w:tc>
    </w:tr>
  </w:tbl>
  <w:p w:rsidR="001F2998" w:rsidRDefault="001F2998">
    <w:pPr>
      <w:pStyle w:val="Zhlav"/>
      <w:tabs>
        <w:tab w:val="left" w:pos="709"/>
        <w:tab w:val="right" w:pos="9072"/>
      </w:tabs>
      <w:rPr>
        <w:sz w:val="20"/>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2"/>
    <w:multiLevelType w:val="multilevel"/>
    <w:tmpl w:val="00000002"/>
    <w:name w:val="WW8Num33"/>
    <w:lvl w:ilvl="0">
      <w:start w:val="1"/>
      <w:numFmt w:val="decimal"/>
      <w:lvlText w:val="%1"/>
      <w:lvlJc w:val="left"/>
      <w:pPr>
        <w:tabs>
          <w:tab w:val="num" w:pos="0"/>
        </w:tabs>
        <w:ind w:left="360" w:hanging="360"/>
      </w:pPr>
      <w:rPr>
        <w:rFonts w:ascii="Arial" w:hAnsi="Arial"/>
        <w:b/>
        <w:i w:val="0"/>
        <w:sz w:val="19"/>
      </w:rPr>
    </w:lvl>
    <w:lvl w:ilvl="1">
      <w:start w:val="1"/>
      <w:numFmt w:val="decimal"/>
      <w:lvlText w:val="%1.%2"/>
      <w:lvlJc w:val="left"/>
      <w:pPr>
        <w:tabs>
          <w:tab w:val="num" w:pos="0"/>
        </w:tabs>
        <w:ind w:left="720" w:hanging="360"/>
      </w:pPr>
      <w:rPr>
        <w:rFonts w:ascii="Arial" w:hAnsi="Arial"/>
        <w:b w:val="0"/>
        <w:i w:val="0"/>
        <w:sz w:val="19"/>
      </w:rPr>
    </w:lvl>
    <w:lvl w:ilvl="2">
      <w:start w:val="1"/>
      <w:numFmt w:val="decimal"/>
      <w:lvlText w:val="%1.%2.%3"/>
      <w:lvlJc w:val="left"/>
      <w:pPr>
        <w:tabs>
          <w:tab w:val="num" w:pos="0"/>
        </w:tabs>
        <w:ind w:left="1080" w:hanging="360"/>
      </w:pPr>
      <w:rPr>
        <w:rFonts w:ascii="Arial" w:hAnsi="Arial"/>
        <w:b w:val="0"/>
        <w:i w:val="0"/>
        <w:sz w:val="19"/>
      </w:rPr>
    </w:lvl>
    <w:lvl w:ilvl="3">
      <w:start w:val="1"/>
      <w:numFmt w:val="decimal"/>
      <w:lvlText w:val="%1.%2.%3.%4"/>
      <w:lvlJc w:val="left"/>
      <w:pPr>
        <w:tabs>
          <w:tab w:val="num" w:pos="0"/>
        </w:tabs>
        <w:ind w:left="1440" w:hanging="360"/>
      </w:pPr>
      <w:rPr>
        <w:rFonts w:ascii="Arial" w:hAnsi="Arial"/>
        <w:b w:val="0"/>
        <w:i w:val="0"/>
        <w:sz w:val="19"/>
      </w:rPr>
    </w:lvl>
    <w:lvl w:ilvl="4">
      <w:start w:val="1"/>
      <w:numFmt w:val="none"/>
      <w:lvlText w:val=""/>
      <w:lvlJc w:val="left"/>
      <w:pPr>
        <w:tabs>
          <w:tab w:val="num" w:pos="0"/>
        </w:tabs>
        <w:ind w:left="1800" w:hanging="360"/>
      </w:pPr>
      <w:rPr>
        <w:rFonts w:ascii="Arial" w:hAnsi="Arial"/>
        <w:b w:val="0"/>
        <w:i/>
        <w:sz w:val="19"/>
      </w:rPr>
    </w:lvl>
    <w:lvl w:ilvl="5">
      <w:start w:val="1"/>
      <w:numFmt w:val="none"/>
      <w:lvlText w:val=""/>
      <w:lvlJc w:val="left"/>
      <w:pPr>
        <w:tabs>
          <w:tab w:val="num" w:pos="0"/>
        </w:tabs>
        <w:ind w:left="2160" w:hanging="360"/>
      </w:pPr>
      <w:rPr>
        <w:rFonts w:ascii="Arial" w:hAnsi="Arial"/>
        <w:b w:val="0"/>
        <w:i/>
        <w:sz w:val="19"/>
      </w:r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nsid w:val="07E21487"/>
    <w:multiLevelType w:val="hybridMultilevel"/>
    <w:tmpl w:val="A162A744"/>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1D280E"/>
    <w:multiLevelType w:val="hybridMultilevel"/>
    <w:tmpl w:val="7CEA95E4"/>
    <w:lvl w:ilvl="0" w:tplc="C21ADF7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6821C9E"/>
    <w:multiLevelType w:val="hybridMultilevel"/>
    <w:tmpl w:val="344227B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A8631BF"/>
    <w:multiLevelType w:val="hybridMultilevel"/>
    <w:tmpl w:val="9852FDFC"/>
    <w:lvl w:ilvl="0" w:tplc="55787480">
      <w:start w:val="1"/>
      <w:numFmt w:val="decimal"/>
      <w:lvlText w:val="%1."/>
      <w:lvlJc w:val="left"/>
      <w:pPr>
        <w:ind w:left="502" w:hanging="360"/>
      </w:pPr>
      <w:rPr>
        <w:rFonts w:ascii="Arial" w:eastAsia="Times New Roman" w:hAnsi="Arial" w:cs="Arial"/>
      </w:rPr>
    </w:lvl>
    <w:lvl w:ilvl="1" w:tplc="04050019">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6">
    <w:nsid w:val="1F082C05"/>
    <w:multiLevelType w:val="hybridMultilevel"/>
    <w:tmpl w:val="08DEAE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FEB372C"/>
    <w:multiLevelType w:val="hybridMultilevel"/>
    <w:tmpl w:val="C5C81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02110DD"/>
    <w:multiLevelType w:val="multilevel"/>
    <w:tmpl w:val="D3D41B5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1246C9F"/>
    <w:multiLevelType w:val="hybridMultilevel"/>
    <w:tmpl w:val="CBEA47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93D0BFB"/>
    <w:multiLevelType w:val="hybridMultilevel"/>
    <w:tmpl w:val="9378FAC4"/>
    <w:lvl w:ilvl="0" w:tplc="5888C54C">
      <w:start w:val="3"/>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4DC11A06"/>
    <w:multiLevelType w:val="hybridMultilevel"/>
    <w:tmpl w:val="943E9F4A"/>
    <w:lvl w:ilvl="0" w:tplc="22546BEC">
      <w:start w:val="1"/>
      <w:numFmt w:val="bullet"/>
      <w:lvlText w:val=""/>
      <w:lvlJc w:val="left"/>
      <w:pPr>
        <w:ind w:left="720" w:hanging="360"/>
      </w:pPr>
      <w:rPr>
        <w:rFonts w:ascii="Symbol" w:hAnsi="Symbol" w:hint="default"/>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E5D1782"/>
    <w:multiLevelType w:val="hybridMultilevel"/>
    <w:tmpl w:val="9DFC6328"/>
    <w:lvl w:ilvl="0" w:tplc="27B21D76">
      <w:start w:val="8"/>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6C264DA5"/>
    <w:multiLevelType w:val="hybridMultilevel"/>
    <w:tmpl w:val="F1D65D52"/>
    <w:lvl w:ilvl="0" w:tplc="22546BEC">
      <w:start w:val="1"/>
      <w:numFmt w:val="bullet"/>
      <w:lvlText w:val=""/>
      <w:lvlJc w:val="left"/>
      <w:pPr>
        <w:ind w:left="720" w:hanging="360"/>
      </w:pPr>
      <w:rPr>
        <w:rFonts w:ascii="Symbol" w:hAnsi="Symbol" w:hint="default"/>
        <w:sz w:val="32"/>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F090407"/>
    <w:multiLevelType w:val="hybridMultilevel"/>
    <w:tmpl w:val="715C4E9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9EB04C4"/>
    <w:multiLevelType w:val="hybridMultilevel"/>
    <w:tmpl w:val="A75A9E5A"/>
    <w:lvl w:ilvl="0" w:tplc="D62AC1FE">
      <w:start w:val="5"/>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nsid w:val="7D836F37"/>
    <w:multiLevelType w:val="hybridMultilevel"/>
    <w:tmpl w:val="E57E9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8"/>
  </w:num>
  <w:num w:numId="6">
    <w:abstractNumId w:val="14"/>
  </w:num>
  <w:num w:numId="7">
    <w:abstractNumId w:val="9"/>
  </w:num>
  <w:num w:numId="8">
    <w:abstractNumId w:val="16"/>
  </w:num>
  <w:num w:numId="9">
    <w:abstractNumId w:val="2"/>
  </w:num>
  <w:num w:numId="10">
    <w:abstractNumId w:val="15"/>
  </w:num>
  <w:num w:numId="11">
    <w:abstractNumId w:val="7"/>
  </w:num>
  <w:num w:numId="12">
    <w:abstractNumId w:val="10"/>
  </w:num>
  <w:num w:numId="13">
    <w:abstractNumId w:val="12"/>
  </w:num>
  <w:num w:numId="14">
    <w:abstractNumId w:val="6"/>
  </w:num>
  <w:num w:numId="15">
    <w:abstractNumId w:val="4"/>
  </w:num>
  <w:num w:numId="16">
    <w:abstractNumId w:val="1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cs-CZ" w:vendorID="7" w:dllVersion="514" w:checkStyle="1"/>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1858"/>
  </w:hdrShapeDefaults>
  <w:footnotePr>
    <w:footnote w:id="-1"/>
    <w:footnote w:id="0"/>
  </w:footnotePr>
  <w:endnotePr>
    <w:endnote w:id="-1"/>
    <w:endnote w:id="0"/>
  </w:endnotePr>
  <w:compat/>
  <w:rsids>
    <w:rsidRoot w:val="00A43350"/>
    <w:rsid w:val="000027BD"/>
    <w:rsid w:val="000061AF"/>
    <w:rsid w:val="0000699C"/>
    <w:rsid w:val="00013296"/>
    <w:rsid w:val="0001649E"/>
    <w:rsid w:val="00024FFB"/>
    <w:rsid w:val="00033EF7"/>
    <w:rsid w:val="00034AD1"/>
    <w:rsid w:val="0003647C"/>
    <w:rsid w:val="00037C67"/>
    <w:rsid w:val="00046889"/>
    <w:rsid w:val="0004727B"/>
    <w:rsid w:val="00047E82"/>
    <w:rsid w:val="0005747A"/>
    <w:rsid w:val="00061472"/>
    <w:rsid w:val="00061F3F"/>
    <w:rsid w:val="00067BCE"/>
    <w:rsid w:val="00072F99"/>
    <w:rsid w:val="00082788"/>
    <w:rsid w:val="00084B9C"/>
    <w:rsid w:val="0008568E"/>
    <w:rsid w:val="000867F7"/>
    <w:rsid w:val="00091E81"/>
    <w:rsid w:val="000933E8"/>
    <w:rsid w:val="000A2D41"/>
    <w:rsid w:val="000A7854"/>
    <w:rsid w:val="000B7DED"/>
    <w:rsid w:val="000C0495"/>
    <w:rsid w:val="000C0514"/>
    <w:rsid w:val="000C2170"/>
    <w:rsid w:val="000C4C22"/>
    <w:rsid w:val="000C6FA3"/>
    <w:rsid w:val="000D02C3"/>
    <w:rsid w:val="000D1E4D"/>
    <w:rsid w:val="000D2754"/>
    <w:rsid w:val="000D57B9"/>
    <w:rsid w:val="000E10FC"/>
    <w:rsid w:val="000E43EC"/>
    <w:rsid w:val="000E5F8B"/>
    <w:rsid w:val="000F3DA7"/>
    <w:rsid w:val="00100B0F"/>
    <w:rsid w:val="00100BD6"/>
    <w:rsid w:val="00100BE2"/>
    <w:rsid w:val="00112079"/>
    <w:rsid w:val="00112B68"/>
    <w:rsid w:val="001133B5"/>
    <w:rsid w:val="00123BB9"/>
    <w:rsid w:val="001361EF"/>
    <w:rsid w:val="00137CBE"/>
    <w:rsid w:val="00144135"/>
    <w:rsid w:val="00144A68"/>
    <w:rsid w:val="001475BB"/>
    <w:rsid w:val="00160035"/>
    <w:rsid w:val="00165156"/>
    <w:rsid w:val="00165DC3"/>
    <w:rsid w:val="00165E65"/>
    <w:rsid w:val="00171994"/>
    <w:rsid w:val="001770AA"/>
    <w:rsid w:val="00185204"/>
    <w:rsid w:val="00185D3A"/>
    <w:rsid w:val="001867B3"/>
    <w:rsid w:val="00190A4D"/>
    <w:rsid w:val="00192052"/>
    <w:rsid w:val="001929D6"/>
    <w:rsid w:val="00192BC1"/>
    <w:rsid w:val="001948FF"/>
    <w:rsid w:val="001A021A"/>
    <w:rsid w:val="001A35EA"/>
    <w:rsid w:val="001B3330"/>
    <w:rsid w:val="001B557E"/>
    <w:rsid w:val="001C15A1"/>
    <w:rsid w:val="001C2D10"/>
    <w:rsid w:val="001C4BD3"/>
    <w:rsid w:val="001C6ADC"/>
    <w:rsid w:val="001D5A67"/>
    <w:rsid w:val="001E4771"/>
    <w:rsid w:val="001E730D"/>
    <w:rsid w:val="001F2998"/>
    <w:rsid w:val="001F7B1F"/>
    <w:rsid w:val="00202DE1"/>
    <w:rsid w:val="00203689"/>
    <w:rsid w:val="00205C4C"/>
    <w:rsid w:val="002070C6"/>
    <w:rsid w:val="00217930"/>
    <w:rsid w:val="00220D4D"/>
    <w:rsid w:val="002262F3"/>
    <w:rsid w:val="002337AE"/>
    <w:rsid w:val="002371AD"/>
    <w:rsid w:val="00240500"/>
    <w:rsid w:val="002451DB"/>
    <w:rsid w:val="002460A4"/>
    <w:rsid w:val="002503A3"/>
    <w:rsid w:val="002521AC"/>
    <w:rsid w:val="00256B0A"/>
    <w:rsid w:val="00262417"/>
    <w:rsid w:val="00263C0C"/>
    <w:rsid w:val="0026488A"/>
    <w:rsid w:val="00264BF8"/>
    <w:rsid w:val="00266D4E"/>
    <w:rsid w:val="002714B1"/>
    <w:rsid w:val="00280C69"/>
    <w:rsid w:val="00282C4C"/>
    <w:rsid w:val="00286DC6"/>
    <w:rsid w:val="00290472"/>
    <w:rsid w:val="0029061A"/>
    <w:rsid w:val="002971B1"/>
    <w:rsid w:val="002A6808"/>
    <w:rsid w:val="002B2884"/>
    <w:rsid w:val="002B2E31"/>
    <w:rsid w:val="002C2385"/>
    <w:rsid w:val="002C36A9"/>
    <w:rsid w:val="002C669A"/>
    <w:rsid w:val="002C6AB4"/>
    <w:rsid w:val="002D2B6E"/>
    <w:rsid w:val="002D3629"/>
    <w:rsid w:val="002D74C1"/>
    <w:rsid w:val="002F1ECE"/>
    <w:rsid w:val="00300C83"/>
    <w:rsid w:val="003019C6"/>
    <w:rsid w:val="00301D97"/>
    <w:rsid w:val="003031C0"/>
    <w:rsid w:val="00305B4D"/>
    <w:rsid w:val="00306C5A"/>
    <w:rsid w:val="00315C1E"/>
    <w:rsid w:val="00331266"/>
    <w:rsid w:val="00333073"/>
    <w:rsid w:val="00333BE2"/>
    <w:rsid w:val="00336D49"/>
    <w:rsid w:val="00341839"/>
    <w:rsid w:val="00355BF6"/>
    <w:rsid w:val="0035684E"/>
    <w:rsid w:val="00360705"/>
    <w:rsid w:val="00360A03"/>
    <w:rsid w:val="00361FA5"/>
    <w:rsid w:val="003620C3"/>
    <w:rsid w:val="0036434D"/>
    <w:rsid w:val="00370F79"/>
    <w:rsid w:val="0037279D"/>
    <w:rsid w:val="003728C9"/>
    <w:rsid w:val="003730BB"/>
    <w:rsid w:val="00373752"/>
    <w:rsid w:val="00374029"/>
    <w:rsid w:val="00375D96"/>
    <w:rsid w:val="003774F2"/>
    <w:rsid w:val="00380306"/>
    <w:rsid w:val="00385D95"/>
    <w:rsid w:val="00386878"/>
    <w:rsid w:val="0039015A"/>
    <w:rsid w:val="0039282B"/>
    <w:rsid w:val="00394D79"/>
    <w:rsid w:val="00397E72"/>
    <w:rsid w:val="003A027D"/>
    <w:rsid w:val="003A060A"/>
    <w:rsid w:val="003A44FD"/>
    <w:rsid w:val="003B0EED"/>
    <w:rsid w:val="003B29E3"/>
    <w:rsid w:val="003B3622"/>
    <w:rsid w:val="003B68CB"/>
    <w:rsid w:val="003B794D"/>
    <w:rsid w:val="003C2331"/>
    <w:rsid w:val="003C3568"/>
    <w:rsid w:val="003C5019"/>
    <w:rsid w:val="003C5316"/>
    <w:rsid w:val="003D07B5"/>
    <w:rsid w:val="003E16DB"/>
    <w:rsid w:val="003E596D"/>
    <w:rsid w:val="003F0458"/>
    <w:rsid w:val="003F3012"/>
    <w:rsid w:val="003F465C"/>
    <w:rsid w:val="003F5EFE"/>
    <w:rsid w:val="003F5FFE"/>
    <w:rsid w:val="003F627B"/>
    <w:rsid w:val="003F67A8"/>
    <w:rsid w:val="004009D7"/>
    <w:rsid w:val="00402F28"/>
    <w:rsid w:val="00406B1F"/>
    <w:rsid w:val="00406B82"/>
    <w:rsid w:val="00407ED2"/>
    <w:rsid w:val="00413F59"/>
    <w:rsid w:val="00416794"/>
    <w:rsid w:val="0042539C"/>
    <w:rsid w:val="0042568C"/>
    <w:rsid w:val="00426029"/>
    <w:rsid w:val="00433AF9"/>
    <w:rsid w:val="0043470F"/>
    <w:rsid w:val="00434CB4"/>
    <w:rsid w:val="00437BD7"/>
    <w:rsid w:val="00441D06"/>
    <w:rsid w:val="00443222"/>
    <w:rsid w:val="00443FFA"/>
    <w:rsid w:val="00447F97"/>
    <w:rsid w:val="00450FD7"/>
    <w:rsid w:val="004532F5"/>
    <w:rsid w:val="00461252"/>
    <w:rsid w:val="0046418F"/>
    <w:rsid w:val="00464653"/>
    <w:rsid w:val="004675C1"/>
    <w:rsid w:val="004701CA"/>
    <w:rsid w:val="00471506"/>
    <w:rsid w:val="0047261A"/>
    <w:rsid w:val="00474198"/>
    <w:rsid w:val="004808AA"/>
    <w:rsid w:val="0048109A"/>
    <w:rsid w:val="00482E89"/>
    <w:rsid w:val="00492844"/>
    <w:rsid w:val="00493AEB"/>
    <w:rsid w:val="00494D30"/>
    <w:rsid w:val="004A16CC"/>
    <w:rsid w:val="004A5D14"/>
    <w:rsid w:val="004B12AB"/>
    <w:rsid w:val="004B2DC6"/>
    <w:rsid w:val="004C011D"/>
    <w:rsid w:val="004C0502"/>
    <w:rsid w:val="004C0C78"/>
    <w:rsid w:val="004C4847"/>
    <w:rsid w:val="004C5116"/>
    <w:rsid w:val="004D30D8"/>
    <w:rsid w:val="004D4B17"/>
    <w:rsid w:val="004D60B0"/>
    <w:rsid w:val="004D7FC2"/>
    <w:rsid w:val="004E1261"/>
    <w:rsid w:val="004E27E8"/>
    <w:rsid w:val="004F1145"/>
    <w:rsid w:val="004F1C91"/>
    <w:rsid w:val="004F4C67"/>
    <w:rsid w:val="004F71A1"/>
    <w:rsid w:val="004F756D"/>
    <w:rsid w:val="005039F6"/>
    <w:rsid w:val="005043DD"/>
    <w:rsid w:val="0051354C"/>
    <w:rsid w:val="00513E37"/>
    <w:rsid w:val="00515740"/>
    <w:rsid w:val="00520968"/>
    <w:rsid w:val="00531924"/>
    <w:rsid w:val="00533EBF"/>
    <w:rsid w:val="0053587E"/>
    <w:rsid w:val="00537191"/>
    <w:rsid w:val="00547DC5"/>
    <w:rsid w:val="00557239"/>
    <w:rsid w:val="00557D92"/>
    <w:rsid w:val="0056190C"/>
    <w:rsid w:val="00563BB4"/>
    <w:rsid w:val="00566545"/>
    <w:rsid w:val="0056725A"/>
    <w:rsid w:val="00572438"/>
    <w:rsid w:val="00572831"/>
    <w:rsid w:val="00572B3A"/>
    <w:rsid w:val="00576717"/>
    <w:rsid w:val="00576861"/>
    <w:rsid w:val="005776A2"/>
    <w:rsid w:val="00586100"/>
    <w:rsid w:val="00593406"/>
    <w:rsid w:val="00596D24"/>
    <w:rsid w:val="005A15AE"/>
    <w:rsid w:val="005A20B0"/>
    <w:rsid w:val="005A2BAA"/>
    <w:rsid w:val="005B7456"/>
    <w:rsid w:val="005C32F8"/>
    <w:rsid w:val="005D5808"/>
    <w:rsid w:val="005D66DF"/>
    <w:rsid w:val="005E1E43"/>
    <w:rsid w:val="005E5343"/>
    <w:rsid w:val="005F44BD"/>
    <w:rsid w:val="0060050E"/>
    <w:rsid w:val="0060534A"/>
    <w:rsid w:val="00611EA2"/>
    <w:rsid w:val="00613DCD"/>
    <w:rsid w:val="00627A32"/>
    <w:rsid w:val="00633C42"/>
    <w:rsid w:val="00634E58"/>
    <w:rsid w:val="00640086"/>
    <w:rsid w:val="00653754"/>
    <w:rsid w:val="006561DB"/>
    <w:rsid w:val="006563B4"/>
    <w:rsid w:val="00656EF6"/>
    <w:rsid w:val="00664601"/>
    <w:rsid w:val="00666CC7"/>
    <w:rsid w:val="00674E34"/>
    <w:rsid w:val="0068051B"/>
    <w:rsid w:val="00683BE4"/>
    <w:rsid w:val="0068496D"/>
    <w:rsid w:val="00690BB3"/>
    <w:rsid w:val="00692997"/>
    <w:rsid w:val="00694020"/>
    <w:rsid w:val="006A2980"/>
    <w:rsid w:val="006A31EB"/>
    <w:rsid w:val="006A54EA"/>
    <w:rsid w:val="006C1DC5"/>
    <w:rsid w:val="006C4926"/>
    <w:rsid w:val="006D33FE"/>
    <w:rsid w:val="006D7537"/>
    <w:rsid w:val="006E0203"/>
    <w:rsid w:val="006E41A1"/>
    <w:rsid w:val="006E4E84"/>
    <w:rsid w:val="006E6536"/>
    <w:rsid w:val="006E6AB4"/>
    <w:rsid w:val="006F3A7C"/>
    <w:rsid w:val="006F4A12"/>
    <w:rsid w:val="006F59C7"/>
    <w:rsid w:val="00712232"/>
    <w:rsid w:val="007156E9"/>
    <w:rsid w:val="00717C4E"/>
    <w:rsid w:val="00720280"/>
    <w:rsid w:val="007206C0"/>
    <w:rsid w:val="00721DF9"/>
    <w:rsid w:val="00725E0C"/>
    <w:rsid w:val="007315B5"/>
    <w:rsid w:val="007346C9"/>
    <w:rsid w:val="0073476F"/>
    <w:rsid w:val="00735BF0"/>
    <w:rsid w:val="00735FC8"/>
    <w:rsid w:val="00741BDA"/>
    <w:rsid w:val="00742168"/>
    <w:rsid w:val="0074450D"/>
    <w:rsid w:val="00746369"/>
    <w:rsid w:val="00754193"/>
    <w:rsid w:val="007560B0"/>
    <w:rsid w:val="007564B9"/>
    <w:rsid w:val="0075761B"/>
    <w:rsid w:val="007607E6"/>
    <w:rsid w:val="00760C72"/>
    <w:rsid w:val="00762FD9"/>
    <w:rsid w:val="00765C76"/>
    <w:rsid w:val="0076670A"/>
    <w:rsid w:val="0077255D"/>
    <w:rsid w:val="00774640"/>
    <w:rsid w:val="00775164"/>
    <w:rsid w:val="007757B8"/>
    <w:rsid w:val="00777A4C"/>
    <w:rsid w:val="00782C08"/>
    <w:rsid w:val="007962B8"/>
    <w:rsid w:val="00797948"/>
    <w:rsid w:val="00797BC3"/>
    <w:rsid w:val="007A34AA"/>
    <w:rsid w:val="007A44C6"/>
    <w:rsid w:val="007A5222"/>
    <w:rsid w:val="007B34CD"/>
    <w:rsid w:val="007B6288"/>
    <w:rsid w:val="007C022F"/>
    <w:rsid w:val="007C6437"/>
    <w:rsid w:val="007C6E1A"/>
    <w:rsid w:val="007D2C10"/>
    <w:rsid w:val="007D35A0"/>
    <w:rsid w:val="007E61AF"/>
    <w:rsid w:val="007E70B2"/>
    <w:rsid w:val="007F05D2"/>
    <w:rsid w:val="007F0C7C"/>
    <w:rsid w:val="007F2E8C"/>
    <w:rsid w:val="007F7617"/>
    <w:rsid w:val="007F78D3"/>
    <w:rsid w:val="0080236A"/>
    <w:rsid w:val="00802AFC"/>
    <w:rsid w:val="00807462"/>
    <w:rsid w:val="00807764"/>
    <w:rsid w:val="008103D6"/>
    <w:rsid w:val="008110EF"/>
    <w:rsid w:val="008115DB"/>
    <w:rsid w:val="00811CB1"/>
    <w:rsid w:val="00813644"/>
    <w:rsid w:val="00813743"/>
    <w:rsid w:val="008220BB"/>
    <w:rsid w:val="00825DC1"/>
    <w:rsid w:val="00826508"/>
    <w:rsid w:val="00830A13"/>
    <w:rsid w:val="00833EE1"/>
    <w:rsid w:val="00834423"/>
    <w:rsid w:val="00834432"/>
    <w:rsid w:val="00840075"/>
    <w:rsid w:val="00841A52"/>
    <w:rsid w:val="0084286F"/>
    <w:rsid w:val="00844633"/>
    <w:rsid w:val="0084560C"/>
    <w:rsid w:val="008463AC"/>
    <w:rsid w:val="00846713"/>
    <w:rsid w:val="00850952"/>
    <w:rsid w:val="00851E06"/>
    <w:rsid w:val="00852146"/>
    <w:rsid w:val="00864782"/>
    <w:rsid w:val="0087228E"/>
    <w:rsid w:val="008732F0"/>
    <w:rsid w:val="008749FF"/>
    <w:rsid w:val="00877E12"/>
    <w:rsid w:val="0088193B"/>
    <w:rsid w:val="00885A87"/>
    <w:rsid w:val="00890A66"/>
    <w:rsid w:val="00890DD9"/>
    <w:rsid w:val="00893EFF"/>
    <w:rsid w:val="008A0C74"/>
    <w:rsid w:val="008A11CE"/>
    <w:rsid w:val="008A2104"/>
    <w:rsid w:val="008A4180"/>
    <w:rsid w:val="008B0B49"/>
    <w:rsid w:val="008C4593"/>
    <w:rsid w:val="008C59E1"/>
    <w:rsid w:val="008D140A"/>
    <w:rsid w:val="008D1F14"/>
    <w:rsid w:val="008D44AD"/>
    <w:rsid w:val="008E478F"/>
    <w:rsid w:val="008F2C5C"/>
    <w:rsid w:val="009022A0"/>
    <w:rsid w:val="00904EA7"/>
    <w:rsid w:val="0091209F"/>
    <w:rsid w:val="0091696C"/>
    <w:rsid w:val="00920338"/>
    <w:rsid w:val="009227D1"/>
    <w:rsid w:val="00925CEF"/>
    <w:rsid w:val="00926496"/>
    <w:rsid w:val="009306A0"/>
    <w:rsid w:val="00930C18"/>
    <w:rsid w:val="0093417B"/>
    <w:rsid w:val="00956BAB"/>
    <w:rsid w:val="00957985"/>
    <w:rsid w:val="00960A32"/>
    <w:rsid w:val="009662F2"/>
    <w:rsid w:val="00971BE2"/>
    <w:rsid w:val="009725E2"/>
    <w:rsid w:val="00972D8E"/>
    <w:rsid w:val="00976CD1"/>
    <w:rsid w:val="0097751D"/>
    <w:rsid w:val="00980DFB"/>
    <w:rsid w:val="00981981"/>
    <w:rsid w:val="009829E6"/>
    <w:rsid w:val="00992EF3"/>
    <w:rsid w:val="00994BF3"/>
    <w:rsid w:val="009966B7"/>
    <w:rsid w:val="009A1D50"/>
    <w:rsid w:val="009A629E"/>
    <w:rsid w:val="009B266B"/>
    <w:rsid w:val="009B2919"/>
    <w:rsid w:val="009B32DE"/>
    <w:rsid w:val="009B5FC7"/>
    <w:rsid w:val="009C16DE"/>
    <w:rsid w:val="009D0018"/>
    <w:rsid w:val="009D3BBA"/>
    <w:rsid w:val="009E029E"/>
    <w:rsid w:val="009F0BD8"/>
    <w:rsid w:val="009F3141"/>
    <w:rsid w:val="00A0300C"/>
    <w:rsid w:val="00A06082"/>
    <w:rsid w:val="00A07130"/>
    <w:rsid w:val="00A13732"/>
    <w:rsid w:val="00A16FFB"/>
    <w:rsid w:val="00A21780"/>
    <w:rsid w:val="00A21966"/>
    <w:rsid w:val="00A27222"/>
    <w:rsid w:val="00A30C16"/>
    <w:rsid w:val="00A33915"/>
    <w:rsid w:val="00A3535B"/>
    <w:rsid w:val="00A40282"/>
    <w:rsid w:val="00A4116D"/>
    <w:rsid w:val="00A4183C"/>
    <w:rsid w:val="00A41999"/>
    <w:rsid w:val="00A43350"/>
    <w:rsid w:val="00A45B5A"/>
    <w:rsid w:val="00A4679E"/>
    <w:rsid w:val="00A50EC1"/>
    <w:rsid w:val="00A54910"/>
    <w:rsid w:val="00A576F4"/>
    <w:rsid w:val="00A57CF9"/>
    <w:rsid w:val="00A62C9C"/>
    <w:rsid w:val="00A66E34"/>
    <w:rsid w:val="00A6769D"/>
    <w:rsid w:val="00A710D8"/>
    <w:rsid w:val="00A84380"/>
    <w:rsid w:val="00A8515D"/>
    <w:rsid w:val="00A92FC8"/>
    <w:rsid w:val="00AA0854"/>
    <w:rsid w:val="00AA40D3"/>
    <w:rsid w:val="00AB094A"/>
    <w:rsid w:val="00AB0AC0"/>
    <w:rsid w:val="00AB2D60"/>
    <w:rsid w:val="00AB3F12"/>
    <w:rsid w:val="00AB46F5"/>
    <w:rsid w:val="00AB5F6A"/>
    <w:rsid w:val="00AC2069"/>
    <w:rsid w:val="00AC7DB3"/>
    <w:rsid w:val="00AD7182"/>
    <w:rsid w:val="00AE066F"/>
    <w:rsid w:val="00AE1338"/>
    <w:rsid w:val="00AE45C3"/>
    <w:rsid w:val="00AF38BD"/>
    <w:rsid w:val="00AF50AF"/>
    <w:rsid w:val="00AF73E8"/>
    <w:rsid w:val="00B00744"/>
    <w:rsid w:val="00B02A61"/>
    <w:rsid w:val="00B02F11"/>
    <w:rsid w:val="00B078AE"/>
    <w:rsid w:val="00B109CA"/>
    <w:rsid w:val="00B201EA"/>
    <w:rsid w:val="00B225CF"/>
    <w:rsid w:val="00B24D10"/>
    <w:rsid w:val="00B258EC"/>
    <w:rsid w:val="00B35AC2"/>
    <w:rsid w:val="00B36551"/>
    <w:rsid w:val="00B36AF5"/>
    <w:rsid w:val="00B4210F"/>
    <w:rsid w:val="00B452EA"/>
    <w:rsid w:val="00B516F4"/>
    <w:rsid w:val="00B61275"/>
    <w:rsid w:val="00B679F7"/>
    <w:rsid w:val="00B70887"/>
    <w:rsid w:val="00B8291A"/>
    <w:rsid w:val="00B82F65"/>
    <w:rsid w:val="00B86F81"/>
    <w:rsid w:val="00B903FD"/>
    <w:rsid w:val="00B93AE1"/>
    <w:rsid w:val="00BA0583"/>
    <w:rsid w:val="00BA2890"/>
    <w:rsid w:val="00BB125D"/>
    <w:rsid w:val="00BB400A"/>
    <w:rsid w:val="00BB5235"/>
    <w:rsid w:val="00BB5905"/>
    <w:rsid w:val="00BB7C6C"/>
    <w:rsid w:val="00BC65EB"/>
    <w:rsid w:val="00BD48D5"/>
    <w:rsid w:val="00BE0728"/>
    <w:rsid w:val="00BE54A1"/>
    <w:rsid w:val="00BE7A51"/>
    <w:rsid w:val="00BF5AFA"/>
    <w:rsid w:val="00BF70FF"/>
    <w:rsid w:val="00C042BD"/>
    <w:rsid w:val="00C0594D"/>
    <w:rsid w:val="00C117FF"/>
    <w:rsid w:val="00C12AF8"/>
    <w:rsid w:val="00C15BD5"/>
    <w:rsid w:val="00C16D7E"/>
    <w:rsid w:val="00C321C7"/>
    <w:rsid w:val="00C416D7"/>
    <w:rsid w:val="00C431EE"/>
    <w:rsid w:val="00C444D7"/>
    <w:rsid w:val="00C5001A"/>
    <w:rsid w:val="00C570F4"/>
    <w:rsid w:val="00C722E8"/>
    <w:rsid w:val="00C72651"/>
    <w:rsid w:val="00C72AD3"/>
    <w:rsid w:val="00C73231"/>
    <w:rsid w:val="00C74CC1"/>
    <w:rsid w:val="00C80A23"/>
    <w:rsid w:val="00C83D68"/>
    <w:rsid w:val="00C84A14"/>
    <w:rsid w:val="00C90F6F"/>
    <w:rsid w:val="00CA2329"/>
    <w:rsid w:val="00CA4012"/>
    <w:rsid w:val="00CA5B63"/>
    <w:rsid w:val="00CA7B27"/>
    <w:rsid w:val="00CC098F"/>
    <w:rsid w:val="00CC112B"/>
    <w:rsid w:val="00CD63ED"/>
    <w:rsid w:val="00CE0D0A"/>
    <w:rsid w:val="00CE1BB5"/>
    <w:rsid w:val="00CF1FE3"/>
    <w:rsid w:val="00D01658"/>
    <w:rsid w:val="00D04D1D"/>
    <w:rsid w:val="00D05629"/>
    <w:rsid w:val="00D17C88"/>
    <w:rsid w:val="00D20394"/>
    <w:rsid w:val="00D2062A"/>
    <w:rsid w:val="00D22D5F"/>
    <w:rsid w:val="00D24D92"/>
    <w:rsid w:val="00D25021"/>
    <w:rsid w:val="00D30AEB"/>
    <w:rsid w:val="00D4082A"/>
    <w:rsid w:val="00D44169"/>
    <w:rsid w:val="00D474BC"/>
    <w:rsid w:val="00D524B1"/>
    <w:rsid w:val="00D56645"/>
    <w:rsid w:val="00D57959"/>
    <w:rsid w:val="00D60D29"/>
    <w:rsid w:val="00D61129"/>
    <w:rsid w:val="00D61A51"/>
    <w:rsid w:val="00D71F47"/>
    <w:rsid w:val="00D72689"/>
    <w:rsid w:val="00D73197"/>
    <w:rsid w:val="00D75AB0"/>
    <w:rsid w:val="00D7658E"/>
    <w:rsid w:val="00D7770A"/>
    <w:rsid w:val="00D82095"/>
    <w:rsid w:val="00D85544"/>
    <w:rsid w:val="00D85825"/>
    <w:rsid w:val="00D903DC"/>
    <w:rsid w:val="00D90880"/>
    <w:rsid w:val="00D96332"/>
    <w:rsid w:val="00DA05FC"/>
    <w:rsid w:val="00DA23D4"/>
    <w:rsid w:val="00DA2841"/>
    <w:rsid w:val="00DA2C4F"/>
    <w:rsid w:val="00DB1E5E"/>
    <w:rsid w:val="00DB2238"/>
    <w:rsid w:val="00DB2853"/>
    <w:rsid w:val="00DB4DF6"/>
    <w:rsid w:val="00DB5F54"/>
    <w:rsid w:val="00DC0C7F"/>
    <w:rsid w:val="00DC1985"/>
    <w:rsid w:val="00DD0301"/>
    <w:rsid w:val="00DD1433"/>
    <w:rsid w:val="00DD1E2B"/>
    <w:rsid w:val="00DD3831"/>
    <w:rsid w:val="00DD3F8E"/>
    <w:rsid w:val="00DE0DFA"/>
    <w:rsid w:val="00DF2482"/>
    <w:rsid w:val="00DF2AF0"/>
    <w:rsid w:val="00DF3194"/>
    <w:rsid w:val="00DF4439"/>
    <w:rsid w:val="00DF5A71"/>
    <w:rsid w:val="00E00460"/>
    <w:rsid w:val="00E00C0E"/>
    <w:rsid w:val="00E02AC7"/>
    <w:rsid w:val="00E03350"/>
    <w:rsid w:val="00E049E3"/>
    <w:rsid w:val="00E06791"/>
    <w:rsid w:val="00E1165F"/>
    <w:rsid w:val="00E17DA6"/>
    <w:rsid w:val="00E20DE8"/>
    <w:rsid w:val="00E378ED"/>
    <w:rsid w:val="00E47793"/>
    <w:rsid w:val="00E60CED"/>
    <w:rsid w:val="00E736AC"/>
    <w:rsid w:val="00E73ED3"/>
    <w:rsid w:val="00E74AD7"/>
    <w:rsid w:val="00E74EC8"/>
    <w:rsid w:val="00E77465"/>
    <w:rsid w:val="00E77EDA"/>
    <w:rsid w:val="00E80801"/>
    <w:rsid w:val="00E93FC1"/>
    <w:rsid w:val="00E955B5"/>
    <w:rsid w:val="00E96922"/>
    <w:rsid w:val="00EA0259"/>
    <w:rsid w:val="00EA379A"/>
    <w:rsid w:val="00EA38CF"/>
    <w:rsid w:val="00EA54FF"/>
    <w:rsid w:val="00EB1EDB"/>
    <w:rsid w:val="00EB4C96"/>
    <w:rsid w:val="00EB7E47"/>
    <w:rsid w:val="00EC2575"/>
    <w:rsid w:val="00EC7146"/>
    <w:rsid w:val="00ED01C9"/>
    <w:rsid w:val="00ED078D"/>
    <w:rsid w:val="00ED3099"/>
    <w:rsid w:val="00ED36CE"/>
    <w:rsid w:val="00ED42A5"/>
    <w:rsid w:val="00EE0737"/>
    <w:rsid w:val="00EF568B"/>
    <w:rsid w:val="00EF5C39"/>
    <w:rsid w:val="00F03DB2"/>
    <w:rsid w:val="00F1401C"/>
    <w:rsid w:val="00F14651"/>
    <w:rsid w:val="00F245C4"/>
    <w:rsid w:val="00F27438"/>
    <w:rsid w:val="00F309E9"/>
    <w:rsid w:val="00F31F91"/>
    <w:rsid w:val="00F373FD"/>
    <w:rsid w:val="00F429CD"/>
    <w:rsid w:val="00F44CB0"/>
    <w:rsid w:val="00F5229C"/>
    <w:rsid w:val="00F63CFB"/>
    <w:rsid w:val="00F64BE1"/>
    <w:rsid w:val="00F672CB"/>
    <w:rsid w:val="00F70323"/>
    <w:rsid w:val="00F709AC"/>
    <w:rsid w:val="00F723B5"/>
    <w:rsid w:val="00F7485B"/>
    <w:rsid w:val="00F74D06"/>
    <w:rsid w:val="00F85C69"/>
    <w:rsid w:val="00F90CA1"/>
    <w:rsid w:val="00F91AFA"/>
    <w:rsid w:val="00F91F8B"/>
    <w:rsid w:val="00F92ADE"/>
    <w:rsid w:val="00F9328B"/>
    <w:rsid w:val="00FA1C09"/>
    <w:rsid w:val="00FA4F8D"/>
    <w:rsid w:val="00FB3970"/>
    <w:rsid w:val="00FB4116"/>
    <w:rsid w:val="00FC1331"/>
    <w:rsid w:val="00FC6C6D"/>
    <w:rsid w:val="00FC7DD2"/>
    <w:rsid w:val="00FD0A2B"/>
    <w:rsid w:val="00FD1E05"/>
    <w:rsid w:val="00FD35EB"/>
    <w:rsid w:val="00FD74EF"/>
    <w:rsid w:val="00FE1445"/>
    <w:rsid w:val="00FE2C46"/>
    <w:rsid w:val="00FE7D05"/>
    <w:rsid w:val="00FF054E"/>
    <w:rsid w:val="00FF5DA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808AA"/>
    <w:pPr>
      <w:suppressAutoHyphens/>
    </w:pPr>
    <w:rPr>
      <w:rFonts w:ascii="Arial" w:hAnsi="Arial"/>
      <w:noProof/>
      <w:sz w:val="19"/>
      <w:szCs w:val="24"/>
      <w:lang w:eastAsia="ar-SA"/>
    </w:rPr>
  </w:style>
  <w:style w:type="paragraph" w:styleId="Nadpis1">
    <w:name w:val="heading 1"/>
    <w:next w:val="Nadpis2"/>
    <w:qFormat/>
    <w:rsid w:val="004808AA"/>
    <w:pPr>
      <w:keepNext/>
      <w:pageBreakBefore/>
      <w:tabs>
        <w:tab w:val="num" w:pos="0"/>
      </w:tabs>
      <w:suppressAutoHyphens/>
      <w:spacing w:after="800"/>
      <w:ind w:left="851" w:hanging="851"/>
      <w:outlineLvl w:val="0"/>
    </w:pPr>
    <w:rPr>
      <w:rFonts w:ascii="Times New Roman Bold" w:eastAsia="Arial" w:hAnsi="Times New Roman Bold" w:cs="Arial"/>
      <w:bCs/>
      <w:color w:val="002776"/>
      <w:kern w:val="1"/>
      <w:sz w:val="60"/>
      <w:szCs w:val="32"/>
      <w:lang w:val="en-US" w:eastAsia="ar-SA"/>
    </w:rPr>
  </w:style>
  <w:style w:type="paragraph" w:styleId="Nadpis2">
    <w:name w:val="heading 2"/>
    <w:basedOn w:val="Nadpis1"/>
    <w:next w:val="Nadpis3"/>
    <w:qFormat/>
    <w:rsid w:val="004808AA"/>
    <w:pPr>
      <w:pageBreakBefore w:val="0"/>
      <w:tabs>
        <w:tab w:val="clear" w:pos="0"/>
      </w:tabs>
      <w:spacing w:before="240" w:after="240"/>
      <w:ind w:left="578" w:hanging="578"/>
      <w:outlineLvl w:val="1"/>
    </w:pPr>
    <w:rPr>
      <w:rFonts w:ascii="Arial" w:hAnsi="Arial"/>
      <w:b/>
      <w:bCs w:val="0"/>
      <w:iCs/>
      <w:color w:val="92D400"/>
      <w:sz w:val="24"/>
      <w:szCs w:val="24"/>
    </w:rPr>
  </w:style>
  <w:style w:type="paragraph" w:styleId="Nadpis3">
    <w:name w:val="heading 3"/>
    <w:basedOn w:val="Nadpis2"/>
    <w:next w:val="Normln"/>
    <w:qFormat/>
    <w:rsid w:val="004808AA"/>
    <w:pPr>
      <w:outlineLvl w:val="2"/>
    </w:pPr>
    <w:rPr>
      <w:bCs/>
      <w:color w:val="3C8A2E"/>
      <w:szCs w:val="26"/>
    </w:rPr>
  </w:style>
  <w:style w:type="paragraph" w:styleId="Nadpis4">
    <w:name w:val="heading 4"/>
    <w:basedOn w:val="Normln"/>
    <w:next w:val="Normln"/>
    <w:qFormat/>
    <w:rsid w:val="004808AA"/>
    <w:pPr>
      <w:keepNext/>
      <w:keepLines/>
      <w:tabs>
        <w:tab w:val="num" w:pos="0"/>
      </w:tabs>
      <w:spacing w:before="240" w:after="240"/>
      <w:ind w:left="864" w:hanging="864"/>
      <w:outlineLvl w:val="3"/>
    </w:pPr>
    <w:rPr>
      <w:b/>
      <w:bCs/>
      <w:iCs/>
      <w:sz w:val="24"/>
    </w:rPr>
  </w:style>
  <w:style w:type="paragraph" w:styleId="Nadpis5">
    <w:name w:val="heading 5"/>
    <w:basedOn w:val="Normln"/>
    <w:next w:val="Normln"/>
    <w:qFormat/>
    <w:rsid w:val="004808AA"/>
    <w:pPr>
      <w:keepNext/>
      <w:keepLines/>
      <w:tabs>
        <w:tab w:val="num" w:pos="0"/>
      </w:tabs>
      <w:spacing w:before="240" w:after="240"/>
      <w:ind w:left="1008" w:hanging="1008"/>
      <w:outlineLvl w:val="4"/>
    </w:pPr>
    <w:rPr>
      <w:b/>
      <w:i/>
      <w:color w:val="00133A"/>
      <w:sz w:val="24"/>
    </w:rPr>
  </w:style>
  <w:style w:type="paragraph" w:styleId="Nadpis6">
    <w:name w:val="heading 6"/>
    <w:basedOn w:val="Normln"/>
    <w:next w:val="Normln"/>
    <w:qFormat/>
    <w:rsid w:val="004808AA"/>
    <w:pPr>
      <w:keepNext/>
      <w:keepLines/>
      <w:tabs>
        <w:tab w:val="num" w:pos="0"/>
      </w:tabs>
      <w:spacing w:before="240" w:after="240"/>
      <w:ind w:left="1418" w:hanging="1418"/>
      <w:outlineLvl w:val="5"/>
    </w:pPr>
    <w:rPr>
      <w:i/>
      <w:iCs/>
      <w:color w:val="00133A"/>
      <w:sz w:val="24"/>
    </w:rPr>
  </w:style>
  <w:style w:type="paragraph" w:styleId="Nadpis7">
    <w:name w:val="heading 7"/>
    <w:basedOn w:val="Normln"/>
    <w:next w:val="Normln"/>
    <w:qFormat/>
    <w:rsid w:val="004808AA"/>
    <w:pPr>
      <w:keepNext/>
      <w:keepLines/>
      <w:tabs>
        <w:tab w:val="num" w:pos="0"/>
      </w:tabs>
      <w:spacing w:before="240" w:after="240"/>
      <w:ind w:left="1576" w:hanging="1576"/>
      <w:outlineLvl w:val="6"/>
    </w:pPr>
    <w:rPr>
      <w:i/>
      <w:iCs/>
      <w:color w:val="404040"/>
      <w:sz w:val="22"/>
    </w:rPr>
  </w:style>
  <w:style w:type="paragraph" w:styleId="Nadpis8">
    <w:name w:val="heading 8"/>
    <w:basedOn w:val="Normln"/>
    <w:next w:val="Normln"/>
    <w:qFormat/>
    <w:rsid w:val="004808AA"/>
    <w:pPr>
      <w:keepNext/>
      <w:keepLines/>
      <w:tabs>
        <w:tab w:val="num" w:pos="0"/>
      </w:tabs>
      <w:spacing w:before="240" w:after="240"/>
      <w:ind w:left="1701" w:hanging="1701"/>
      <w:outlineLvl w:val="7"/>
    </w:pPr>
    <w:rPr>
      <w:i/>
      <w:color w:val="404040"/>
      <w:sz w:val="20"/>
      <w:szCs w:val="20"/>
    </w:rPr>
  </w:style>
  <w:style w:type="paragraph" w:styleId="Nadpis9">
    <w:name w:val="heading 9"/>
    <w:basedOn w:val="Normln"/>
    <w:next w:val="Normln"/>
    <w:qFormat/>
    <w:rsid w:val="004808AA"/>
    <w:pPr>
      <w:keepNext/>
      <w:keepLines/>
      <w:tabs>
        <w:tab w:val="num" w:pos="0"/>
      </w:tabs>
      <w:spacing w:before="240" w:after="240"/>
      <w:ind w:left="1985" w:hanging="1985"/>
      <w:outlineLvl w:val="8"/>
    </w:pPr>
    <w:rPr>
      <w:i/>
      <w:iCs/>
      <w:color w:val="404040"/>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5z0">
    <w:name w:val="WW8Num5z0"/>
    <w:rsid w:val="004808AA"/>
    <w:rPr>
      <w:rFonts w:ascii="Symbol" w:hAnsi="Symbol"/>
    </w:rPr>
  </w:style>
  <w:style w:type="character" w:customStyle="1" w:styleId="WW8Num6z0">
    <w:name w:val="WW8Num6z0"/>
    <w:rsid w:val="004808AA"/>
    <w:rPr>
      <w:rFonts w:ascii="Symbol" w:hAnsi="Symbol"/>
    </w:rPr>
  </w:style>
  <w:style w:type="character" w:customStyle="1" w:styleId="WW8Num7z0">
    <w:name w:val="WW8Num7z0"/>
    <w:rsid w:val="004808AA"/>
    <w:rPr>
      <w:rFonts w:ascii="Symbol" w:hAnsi="Symbol"/>
    </w:rPr>
  </w:style>
  <w:style w:type="character" w:customStyle="1" w:styleId="WW8Num8z0">
    <w:name w:val="WW8Num8z0"/>
    <w:rsid w:val="004808AA"/>
    <w:rPr>
      <w:rFonts w:ascii="Symbol" w:hAnsi="Symbol"/>
      <w:b w:val="0"/>
      <w:i w:val="0"/>
      <w:sz w:val="19"/>
    </w:rPr>
  </w:style>
  <w:style w:type="character" w:customStyle="1" w:styleId="WW8Num10z0">
    <w:name w:val="WW8Num10z0"/>
    <w:rsid w:val="004808AA"/>
    <w:rPr>
      <w:rFonts w:ascii="Symbol" w:hAnsi="Symbol"/>
    </w:rPr>
  </w:style>
  <w:style w:type="character" w:customStyle="1" w:styleId="WW8Num11z0">
    <w:name w:val="WW8Num11z0"/>
    <w:rsid w:val="004808AA"/>
    <w:rPr>
      <w:b/>
    </w:rPr>
  </w:style>
  <w:style w:type="character" w:customStyle="1" w:styleId="WW8Num12z0">
    <w:name w:val="WW8Num12z0"/>
    <w:rsid w:val="004808AA"/>
    <w:rPr>
      <w:b/>
    </w:rPr>
  </w:style>
  <w:style w:type="character" w:customStyle="1" w:styleId="WW8Num13z0">
    <w:name w:val="WW8Num13z0"/>
    <w:rsid w:val="004808AA"/>
    <w:rPr>
      <w:rFonts w:ascii="Arial" w:hAnsi="Arial"/>
      <w:b/>
      <w:i w:val="0"/>
      <w:sz w:val="19"/>
    </w:rPr>
  </w:style>
  <w:style w:type="character" w:customStyle="1" w:styleId="WW8Num13z1">
    <w:name w:val="WW8Num13z1"/>
    <w:rsid w:val="004808AA"/>
    <w:rPr>
      <w:rFonts w:ascii="Arial" w:hAnsi="Arial"/>
      <w:b w:val="0"/>
      <w:i w:val="0"/>
      <w:sz w:val="19"/>
    </w:rPr>
  </w:style>
  <w:style w:type="character" w:customStyle="1" w:styleId="WW8Num13z4">
    <w:name w:val="WW8Num13z4"/>
    <w:rsid w:val="004808AA"/>
    <w:rPr>
      <w:rFonts w:ascii="Arial" w:hAnsi="Arial"/>
      <w:b w:val="0"/>
      <w:i/>
      <w:sz w:val="19"/>
    </w:rPr>
  </w:style>
  <w:style w:type="character" w:customStyle="1" w:styleId="WW8Num14z0">
    <w:name w:val="WW8Num14z0"/>
    <w:rsid w:val="004808AA"/>
    <w:rPr>
      <w:rFonts w:ascii="Symbol" w:hAnsi="Symbol"/>
    </w:rPr>
  </w:style>
  <w:style w:type="character" w:customStyle="1" w:styleId="WW8Num14z1">
    <w:name w:val="WW8Num14z1"/>
    <w:rsid w:val="004808AA"/>
    <w:rPr>
      <w:rFonts w:ascii="Courier New" w:hAnsi="Courier New" w:cs="Courier New"/>
    </w:rPr>
  </w:style>
  <w:style w:type="character" w:customStyle="1" w:styleId="WW8Num14z2">
    <w:name w:val="WW8Num14z2"/>
    <w:rsid w:val="004808AA"/>
    <w:rPr>
      <w:rFonts w:ascii="Wingdings" w:hAnsi="Wingdings"/>
    </w:rPr>
  </w:style>
  <w:style w:type="character" w:customStyle="1" w:styleId="WW8Num15z0">
    <w:name w:val="WW8Num15z0"/>
    <w:rsid w:val="004808AA"/>
    <w:rPr>
      <w:rFonts w:ascii="Wingdings" w:hAnsi="Wingdings"/>
      <w:color w:val="000080"/>
    </w:rPr>
  </w:style>
  <w:style w:type="character" w:customStyle="1" w:styleId="WW8Num15z1">
    <w:name w:val="WW8Num15z1"/>
    <w:rsid w:val="004808AA"/>
    <w:rPr>
      <w:rFonts w:ascii="Courier New" w:hAnsi="Courier New" w:cs="Courier New"/>
    </w:rPr>
  </w:style>
  <w:style w:type="character" w:customStyle="1" w:styleId="WW8Num15z2">
    <w:name w:val="WW8Num15z2"/>
    <w:rsid w:val="004808AA"/>
    <w:rPr>
      <w:rFonts w:ascii="Wingdings" w:hAnsi="Wingdings"/>
    </w:rPr>
  </w:style>
  <w:style w:type="character" w:customStyle="1" w:styleId="WW8Num15z3">
    <w:name w:val="WW8Num15z3"/>
    <w:rsid w:val="004808AA"/>
    <w:rPr>
      <w:rFonts w:ascii="Symbol" w:hAnsi="Symbol"/>
    </w:rPr>
  </w:style>
  <w:style w:type="character" w:customStyle="1" w:styleId="WW8Num16z0">
    <w:name w:val="WW8Num16z0"/>
    <w:rsid w:val="004808AA"/>
    <w:rPr>
      <w:rFonts w:ascii="Arial" w:hAnsi="Arial"/>
      <w:b/>
      <w:i w:val="0"/>
      <w:sz w:val="19"/>
    </w:rPr>
  </w:style>
  <w:style w:type="character" w:customStyle="1" w:styleId="WW8Num16z1">
    <w:name w:val="WW8Num16z1"/>
    <w:rsid w:val="004808AA"/>
    <w:rPr>
      <w:rFonts w:ascii="Arial" w:hAnsi="Arial"/>
      <w:b w:val="0"/>
      <w:i w:val="0"/>
      <w:sz w:val="19"/>
    </w:rPr>
  </w:style>
  <w:style w:type="character" w:customStyle="1" w:styleId="WW8Num16z4">
    <w:name w:val="WW8Num16z4"/>
    <w:rsid w:val="004808AA"/>
    <w:rPr>
      <w:rFonts w:ascii="Arial" w:hAnsi="Arial"/>
      <w:b w:val="0"/>
      <w:i/>
      <w:sz w:val="19"/>
    </w:rPr>
  </w:style>
  <w:style w:type="character" w:customStyle="1" w:styleId="WW8Num17z0">
    <w:name w:val="WW8Num17z0"/>
    <w:rsid w:val="004808AA"/>
    <w:rPr>
      <w:rFonts w:ascii="Arial" w:hAnsi="Arial"/>
      <w:b/>
      <w:i w:val="0"/>
      <w:sz w:val="19"/>
    </w:rPr>
  </w:style>
  <w:style w:type="character" w:customStyle="1" w:styleId="WW8Num17z1">
    <w:name w:val="WW8Num17z1"/>
    <w:rsid w:val="004808AA"/>
    <w:rPr>
      <w:rFonts w:ascii="Arial" w:hAnsi="Arial"/>
      <w:b w:val="0"/>
      <w:i w:val="0"/>
      <w:sz w:val="19"/>
    </w:rPr>
  </w:style>
  <w:style w:type="character" w:customStyle="1" w:styleId="WW8Num17z4">
    <w:name w:val="WW8Num17z4"/>
    <w:rsid w:val="004808AA"/>
    <w:rPr>
      <w:rFonts w:ascii="Arial" w:hAnsi="Arial"/>
      <w:b w:val="0"/>
      <w:i/>
      <w:sz w:val="19"/>
    </w:rPr>
  </w:style>
  <w:style w:type="character" w:customStyle="1" w:styleId="WW8Num19z0">
    <w:name w:val="WW8Num19z0"/>
    <w:rsid w:val="004808AA"/>
    <w:rPr>
      <w:rFonts w:ascii="Symbol" w:hAnsi="Symbol"/>
    </w:rPr>
  </w:style>
  <w:style w:type="character" w:customStyle="1" w:styleId="WW8Num19z1">
    <w:name w:val="WW8Num19z1"/>
    <w:rsid w:val="004808AA"/>
    <w:rPr>
      <w:rFonts w:ascii="Courier New" w:hAnsi="Courier New" w:cs="Courier New"/>
    </w:rPr>
  </w:style>
  <w:style w:type="character" w:customStyle="1" w:styleId="WW8Num19z2">
    <w:name w:val="WW8Num19z2"/>
    <w:rsid w:val="004808AA"/>
    <w:rPr>
      <w:rFonts w:ascii="Wingdings" w:hAnsi="Wingdings"/>
    </w:rPr>
  </w:style>
  <w:style w:type="character" w:customStyle="1" w:styleId="WW8Num21z0">
    <w:name w:val="WW8Num21z0"/>
    <w:rsid w:val="004808AA"/>
    <w:rPr>
      <w:rFonts w:ascii="Arial" w:hAnsi="Arial"/>
      <w:b/>
      <w:i w:val="0"/>
      <w:sz w:val="19"/>
    </w:rPr>
  </w:style>
  <w:style w:type="character" w:customStyle="1" w:styleId="WW8Num21z1">
    <w:name w:val="WW8Num21z1"/>
    <w:rsid w:val="004808AA"/>
    <w:rPr>
      <w:rFonts w:ascii="Arial" w:hAnsi="Arial"/>
      <w:b w:val="0"/>
      <w:i w:val="0"/>
      <w:sz w:val="19"/>
    </w:rPr>
  </w:style>
  <w:style w:type="character" w:customStyle="1" w:styleId="WW8Num21z4">
    <w:name w:val="WW8Num21z4"/>
    <w:rsid w:val="004808AA"/>
    <w:rPr>
      <w:rFonts w:ascii="Arial" w:hAnsi="Arial"/>
      <w:b w:val="0"/>
      <w:i/>
      <w:sz w:val="19"/>
    </w:rPr>
  </w:style>
  <w:style w:type="character" w:customStyle="1" w:styleId="WW8Num23z0">
    <w:name w:val="WW8Num23z0"/>
    <w:rsid w:val="004808AA"/>
    <w:rPr>
      <w:rFonts w:ascii="Arial" w:hAnsi="Arial"/>
      <w:b/>
      <w:i w:val="0"/>
      <w:sz w:val="19"/>
    </w:rPr>
  </w:style>
  <w:style w:type="character" w:customStyle="1" w:styleId="WW8Num23z1">
    <w:name w:val="WW8Num23z1"/>
    <w:rsid w:val="004808AA"/>
    <w:rPr>
      <w:rFonts w:ascii="Arial" w:hAnsi="Arial"/>
      <w:b w:val="0"/>
      <w:i w:val="0"/>
      <w:sz w:val="19"/>
    </w:rPr>
  </w:style>
  <w:style w:type="character" w:customStyle="1" w:styleId="WW8Num23z4">
    <w:name w:val="WW8Num23z4"/>
    <w:rsid w:val="004808AA"/>
    <w:rPr>
      <w:rFonts w:ascii="Arial" w:hAnsi="Arial"/>
      <w:b w:val="0"/>
      <w:i/>
      <w:sz w:val="19"/>
    </w:rPr>
  </w:style>
  <w:style w:type="character" w:customStyle="1" w:styleId="WW8Num24z0">
    <w:name w:val="WW8Num24z0"/>
    <w:rsid w:val="004808AA"/>
    <w:rPr>
      <w:rFonts w:ascii="Times New Roman" w:hAnsi="Times New Roman"/>
      <w:b w:val="0"/>
      <w:i w:val="0"/>
      <w:color w:val="002776"/>
      <w:sz w:val="60"/>
      <w:szCs w:val="32"/>
    </w:rPr>
  </w:style>
  <w:style w:type="character" w:customStyle="1" w:styleId="WW8Num24z1">
    <w:name w:val="WW8Num24z1"/>
    <w:rsid w:val="004808AA"/>
    <w:rPr>
      <w:rFonts w:ascii="Times New Roman Bold" w:hAnsi="Times New Roman Bold"/>
      <w:b/>
      <w:i w:val="0"/>
      <w:color w:val="000066"/>
      <w:sz w:val="24"/>
      <w:szCs w:val="24"/>
    </w:rPr>
  </w:style>
  <w:style w:type="character" w:customStyle="1" w:styleId="WW8Num25z0">
    <w:name w:val="WW8Num25z0"/>
    <w:rsid w:val="004808AA"/>
    <w:rPr>
      <w:rFonts w:ascii="Arial" w:hAnsi="Arial"/>
      <w:b/>
      <w:i w:val="0"/>
      <w:sz w:val="19"/>
    </w:rPr>
  </w:style>
  <w:style w:type="character" w:customStyle="1" w:styleId="WW8Num25z1">
    <w:name w:val="WW8Num25z1"/>
    <w:rsid w:val="004808AA"/>
    <w:rPr>
      <w:rFonts w:ascii="Arial" w:hAnsi="Arial"/>
      <w:b w:val="0"/>
      <w:i w:val="0"/>
      <w:sz w:val="19"/>
    </w:rPr>
  </w:style>
  <w:style w:type="character" w:customStyle="1" w:styleId="WW8Num25z4">
    <w:name w:val="WW8Num25z4"/>
    <w:rsid w:val="004808AA"/>
    <w:rPr>
      <w:rFonts w:ascii="Arial" w:hAnsi="Arial"/>
      <w:b w:val="0"/>
      <w:i/>
      <w:sz w:val="19"/>
    </w:rPr>
  </w:style>
  <w:style w:type="character" w:customStyle="1" w:styleId="WW8Num26z0">
    <w:name w:val="WW8Num26z0"/>
    <w:rsid w:val="004808AA"/>
    <w:rPr>
      <w:rFonts w:ascii="Arial" w:hAnsi="Arial"/>
      <w:b/>
      <w:i w:val="0"/>
      <w:sz w:val="19"/>
    </w:rPr>
  </w:style>
  <w:style w:type="character" w:customStyle="1" w:styleId="WW8Num26z1">
    <w:name w:val="WW8Num26z1"/>
    <w:rsid w:val="004808AA"/>
    <w:rPr>
      <w:rFonts w:ascii="Arial" w:hAnsi="Arial"/>
      <w:b w:val="0"/>
      <w:i w:val="0"/>
      <w:sz w:val="19"/>
    </w:rPr>
  </w:style>
  <w:style w:type="character" w:customStyle="1" w:styleId="WW8Num26z4">
    <w:name w:val="WW8Num26z4"/>
    <w:rsid w:val="004808AA"/>
    <w:rPr>
      <w:rFonts w:ascii="Arial" w:hAnsi="Arial"/>
      <w:b w:val="0"/>
      <w:i/>
      <w:sz w:val="19"/>
    </w:rPr>
  </w:style>
  <w:style w:type="character" w:customStyle="1" w:styleId="WW8Num27z0">
    <w:name w:val="WW8Num27z0"/>
    <w:rsid w:val="004808AA"/>
    <w:rPr>
      <w:rFonts w:ascii="Arial" w:hAnsi="Arial"/>
      <w:b/>
      <w:i w:val="0"/>
      <w:sz w:val="19"/>
    </w:rPr>
  </w:style>
  <w:style w:type="character" w:customStyle="1" w:styleId="WW8Num27z1">
    <w:name w:val="WW8Num27z1"/>
    <w:rsid w:val="004808AA"/>
    <w:rPr>
      <w:rFonts w:ascii="Arial" w:hAnsi="Arial"/>
      <w:b w:val="0"/>
      <w:i w:val="0"/>
      <w:sz w:val="19"/>
    </w:rPr>
  </w:style>
  <w:style w:type="character" w:customStyle="1" w:styleId="WW8Num27z4">
    <w:name w:val="WW8Num27z4"/>
    <w:rsid w:val="004808AA"/>
    <w:rPr>
      <w:rFonts w:ascii="Arial" w:hAnsi="Arial"/>
      <w:b w:val="0"/>
      <w:i/>
      <w:sz w:val="19"/>
    </w:rPr>
  </w:style>
  <w:style w:type="character" w:customStyle="1" w:styleId="WW8Num28z0">
    <w:name w:val="WW8Num28z0"/>
    <w:rsid w:val="004808AA"/>
    <w:rPr>
      <w:rFonts w:ascii="Times New Roman" w:hAnsi="Times New Roman"/>
      <w:b w:val="0"/>
      <w:i w:val="0"/>
      <w:color w:val="002776"/>
      <w:sz w:val="60"/>
    </w:rPr>
  </w:style>
  <w:style w:type="character" w:customStyle="1" w:styleId="WW8Num28z1">
    <w:name w:val="WW8Num28z1"/>
    <w:rsid w:val="004808AA"/>
    <w:rPr>
      <w:rFonts w:ascii="Arial" w:hAnsi="Arial"/>
      <w:b/>
      <w:i w:val="0"/>
      <w:color w:val="92D400"/>
      <w:sz w:val="24"/>
    </w:rPr>
  </w:style>
  <w:style w:type="character" w:customStyle="1" w:styleId="WW8Num28z2">
    <w:name w:val="WW8Num28z2"/>
    <w:rsid w:val="004808AA"/>
    <w:rPr>
      <w:rFonts w:ascii="Arial" w:hAnsi="Arial"/>
      <w:b/>
      <w:i w:val="0"/>
      <w:color w:val="3C8A2E"/>
      <w:sz w:val="24"/>
    </w:rPr>
  </w:style>
  <w:style w:type="character" w:customStyle="1" w:styleId="WW8Num28z3">
    <w:name w:val="WW8Num28z3"/>
    <w:rsid w:val="004808AA"/>
    <w:rPr>
      <w:rFonts w:ascii="Arial" w:hAnsi="Arial"/>
      <w:b/>
      <w:i w:val="0"/>
      <w:color w:val="auto"/>
      <w:sz w:val="24"/>
    </w:rPr>
  </w:style>
  <w:style w:type="character" w:customStyle="1" w:styleId="WW8Num28z4">
    <w:name w:val="WW8Num28z4"/>
    <w:rsid w:val="004808AA"/>
    <w:rPr>
      <w:rFonts w:ascii="Arial" w:hAnsi="Arial"/>
      <w:b/>
      <w:i/>
      <w:color w:val="000000"/>
      <w:sz w:val="24"/>
    </w:rPr>
  </w:style>
  <w:style w:type="character" w:customStyle="1" w:styleId="WW8Num28z5">
    <w:name w:val="WW8Num28z5"/>
    <w:rsid w:val="004808AA"/>
    <w:rPr>
      <w:rFonts w:ascii="Arial" w:hAnsi="Arial"/>
      <w:b w:val="0"/>
      <w:i/>
      <w:color w:val="auto"/>
      <w:sz w:val="24"/>
    </w:rPr>
  </w:style>
  <w:style w:type="character" w:customStyle="1" w:styleId="WW8Num29z0">
    <w:name w:val="WW8Num29z0"/>
    <w:rsid w:val="004808AA"/>
    <w:rPr>
      <w:rFonts w:ascii="Symbol" w:hAnsi="Symbol"/>
    </w:rPr>
  </w:style>
  <w:style w:type="character" w:customStyle="1" w:styleId="WW8Num29z1">
    <w:name w:val="WW8Num29z1"/>
    <w:rsid w:val="004808AA"/>
    <w:rPr>
      <w:rFonts w:ascii="Courier New" w:hAnsi="Courier New" w:cs="Courier New"/>
    </w:rPr>
  </w:style>
  <w:style w:type="character" w:customStyle="1" w:styleId="WW8Num29z2">
    <w:name w:val="WW8Num29z2"/>
    <w:rsid w:val="004808AA"/>
    <w:rPr>
      <w:rFonts w:ascii="Wingdings" w:hAnsi="Wingdings"/>
    </w:rPr>
  </w:style>
  <w:style w:type="character" w:customStyle="1" w:styleId="WW8Num30z0">
    <w:name w:val="WW8Num30z0"/>
    <w:rsid w:val="004808AA"/>
    <w:rPr>
      <w:rFonts w:ascii="Arial" w:hAnsi="Arial"/>
      <w:b/>
      <w:i w:val="0"/>
      <w:sz w:val="19"/>
    </w:rPr>
  </w:style>
  <w:style w:type="character" w:customStyle="1" w:styleId="WW8Num30z1">
    <w:name w:val="WW8Num30z1"/>
    <w:rsid w:val="004808AA"/>
    <w:rPr>
      <w:rFonts w:ascii="Arial" w:hAnsi="Arial"/>
      <w:b w:val="0"/>
      <w:i w:val="0"/>
      <w:sz w:val="19"/>
    </w:rPr>
  </w:style>
  <w:style w:type="character" w:customStyle="1" w:styleId="WW8Num30z4">
    <w:name w:val="WW8Num30z4"/>
    <w:rsid w:val="004808AA"/>
    <w:rPr>
      <w:rFonts w:ascii="Arial" w:hAnsi="Arial"/>
      <w:b w:val="0"/>
      <w:i/>
      <w:sz w:val="19"/>
    </w:rPr>
  </w:style>
  <w:style w:type="character" w:customStyle="1" w:styleId="WW8Num31z0">
    <w:name w:val="WW8Num31z0"/>
    <w:rsid w:val="004808AA"/>
    <w:rPr>
      <w:rFonts w:ascii="Arial" w:hAnsi="Arial"/>
      <w:b/>
      <w:i w:val="0"/>
      <w:sz w:val="19"/>
    </w:rPr>
  </w:style>
  <w:style w:type="character" w:customStyle="1" w:styleId="WW8Num31z1">
    <w:name w:val="WW8Num31z1"/>
    <w:rsid w:val="004808AA"/>
    <w:rPr>
      <w:rFonts w:ascii="Arial" w:hAnsi="Arial"/>
      <w:b w:val="0"/>
      <w:i w:val="0"/>
      <w:sz w:val="19"/>
    </w:rPr>
  </w:style>
  <w:style w:type="character" w:customStyle="1" w:styleId="WW8Num31z4">
    <w:name w:val="WW8Num31z4"/>
    <w:rsid w:val="004808AA"/>
    <w:rPr>
      <w:rFonts w:ascii="Arial" w:hAnsi="Arial"/>
      <w:b w:val="0"/>
      <w:i/>
      <w:sz w:val="19"/>
    </w:rPr>
  </w:style>
  <w:style w:type="character" w:customStyle="1" w:styleId="WW8Num32z0">
    <w:name w:val="WW8Num32z0"/>
    <w:rsid w:val="004808AA"/>
    <w:rPr>
      <w:rFonts w:ascii="Arial" w:hAnsi="Arial"/>
      <w:b/>
      <w:i w:val="0"/>
      <w:sz w:val="19"/>
    </w:rPr>
  </w:style>
  <w:style w:type="character" w:customStyle="1" w:styleId="WW8Num32z1">
    <w:name w:val="WW8Num32z1"/>
    <w:rsid w:val="004808AA"/>
    <w:rPr>
      <w:rFonts w:ascii="Arial" w:hAnsi="Arial"/>
      <w:b w:val="0"/>
      <w:i w:val="0"/>
      <w:sz w:val="19"/>
    </w:rPr>
  </w:style>
  <w:style w:type="character" w:customStyle="1" w:styleId="WW8Num32z4">
    <w:name w:val="WW8Num32z4"/>
    <w:rsid w:val="004808AA"/>
    <w:rPr>
      <w:rFonts w:ascii="Arial" w:hAnsi="Arial"/>
      <w:b w:val="0"/>
      <w:i/>
      <w:sz w:val="19"/>
    </w:rPr>
  </w:style>
  <w:style w:type="character" w:customStyle="1" w:styleId="WW8Num33z0">
    <w:name w:val="WW8Num33z0"/>
    <w:rsid w:val="004808AA"/>
    <w:rPr>
      <w:rFonts w:ascii="Arial" w:hAnsi="Arial"/>
      <w:b/>
      <w:i w:val="0"/>
      <w:sz w:val="19"/>
    </w:rPr>
  </w:style>
  <w:style w:type="character" w:customStyle="1" w:styleId="WW8Num33z1">
    <w:name w:val="WW8Num33z1"/>
    <w:rsid w:val="004808AA"/>
    <w:rPr>
      <w:rFonts w:ascii="Arial" w:hAnsi="Arial"/>
      <w:b w:val="0"/>
      <w:i w:val="0"/>
      <w:sz w:val="19"/>
    </w:rPr>
  </w:style>
  <w:style w:type="character" w:customStyle="1" w:styleId="WW8Num33z4">
    <w:name w:val="WW8Num33z4"/>
    <w:rsid w:val="004808AA"/>
    <w:rPr>
      <w:rFonts w:ascii="Arial" w:hAnsi="Arial"/>
      <w:b w:val="0"/>
      <w:i/>
      <w:sz w:val="19"/>
    </w:rPr>
  </w:style>
  <w:style w:type="character" w:customStyle="1" w:styleId="WW8Num34z0">
    <w:name w:val="WW8Num34z0"/>
    <w:rsid w:val="004808AA"/>
    <w:rPr>
      <w:rFonts w:ascii="Symbol" w:hAnsi="Symbol"/>
      <w:b w:val="0"/>
      <w:i w:val="0"/>
      <w:sz w:val="19"/>
    </w:rPr>
  </w:style>
  <w:style w:type="character" w:customStyle="1" w:styleId="WW8Num34z1">
    <w:name w:val="WW8Num34z1"/>
    <w:rsid w:val="004808AA"/>
    <w:rPr>
      <w:rFonts w:ascii="Courier New" w:hAnsi="Courier New" w:cs="Courier New"/>
    </w:rPr>
  </w:style>
  <w:style w:type="character" w:customStyle="1" w:styleId="WW8Num34z2">
    <w:name w:val="WW8Num34z2"/>
    <w:rsid w:val="004808AA"/>
    <w:rPr>
      <w:rFonts w:ascii="Wingdings" w:hAnsi="Wingdings"/>
    </w:rPr>
  </w:style>
  <w:style w:type="character" w:customStyle="1" w:styleId="WW8Num34z3">
    <w:name w:val="WW8Num34z3"/>
    <w:rsid w:val="004808AA"/>
    <w:rPr>
      <w:rFonts w:ascii="Symbol" w:hAnsi="Symbol"/>
    </w:rPr>
  </w:style>
  <w:style w:type="character" w:customStyle="1" w:styleId="WW8Num36z0">
    <w:name w:val="WW8Num36z0"/>
    <w:rsid w:val="004808AA"/>
    <w:rPr>
      <w:rFonts w:ascii="Arial" w:hAnsi="Arial"/>
      <w:b/>
      <w:i w:val="0"/>
      <w:sz w:val="19"/>
    </w:rPr>
  </w:style>
  <w:style w:type="character" w:customStyle="1" w:styleId="WW8Num36z1">
    <w:name w:val="WW8Num36z1"/>
    <w:rsid w:val="004808AA"/>
    <w:rPr>
      <w:rFonts w:ascii="Arial" w:hAnsi="Arial"/>
      <w:b w:val="0"/>
      <w:i w:val="0"/>
      <w:sz w:val="19"/>
    </w:rPr>
  </w:style>
  <w:style w:type="character" w:customStyle="1" w:styleId="WW8Num36z4">
    <w:name w:val="WW8Num36z4"/>
    <w:rsid w:val="004808AA"/>
    <w:rPr>
      <w:rFonts w:ascii="Arial" w:hAnsi="Arial"/>
      <w:b w:val="0"/>
      <w:i/>
      <w:sz w:val="19"/>
    </w:rPr>
  </w:style>
  <w:style w:type="character" w:styleId="slostrnky">
    <w:name w:val="page number"/>
    <w:semiHidden/>
    <w:rsid w:val="004808AA"/>
    <w:rPr>
      <w:rFonts w:ascii="Arial" w:hAnsi="Arial"/>
      <w:sz w:val="16"/>
    </w:rPr>
  </w:style>
  <w:style w:type="character" w:styleId="Hypertextovodkaz">
    <w:name w:val="Hyperlink"/>
    <w:semiHidden/>
    <w:rsid w:val="004808AA"/>
    <w:rPr>
      <w:rFonts w:ascii="Arial" w:hAnsi="Arial"/>
      <w:color w:val="00A1DE"/>
      <w:sz w:val="16"/>
      <w:u w:val="single"/>
    </w:rPr>
  </w:style>
  <w:style w:type="character" w:customStyle="1" w:styleId="HeaderChar">
    <w:name w:val="Header Char"/>
    <w:rsid w:val="004808AA"/>
    <w:rPr>
      <w:rFonts w:ascii="Arial" w:hAnsi="Arial"/>
      <w:sz w:val="16"/>
      <w:szCs w:val="24"/>
    </w:rPr>
  </w:style>
  <w:style w:type="character" w:customStyle="1" w:styleId="FooterChar">
    <w:name w:val="Footer Char"/>
    <w:rsid w:val="004808AA"/>
    <w:rPr>
      <w:sz w:val="24"/>
      <w:szCs w:val="24"/>
    </w:rPr>
  </w:style>
  <w:style w:type="character" w:customStyle="1" w:styleId="CaptionbodyChar">
    <w:name w:val="Caption body Char"/>
    <w:rsid w:val="004808AA"/>
    <w:rPr>
      <w:rFonts w:ascii="Arial" w:hAnsi="Arial"/>
      <w:color w:val="000000"/>
      <w:sz w:val="18"/>
      <w:lang w:val="en-US" w:eastAsia="ar-SA" w:bidi="ar-SA"/>
    </w:rPr>
  </w:style>
  <w:style w:type="character" w:customStyle="1" w:styleId="Bulletslevel1Char">
    <w:name w:val="Bullets level 1 Char"/>
    <w:rsid w:val="004808AA"/>
    <w:rPr>
      <w:rFonts w:ascii="Arial" w:eastAsia="Times" w:hAnsi="Arial"/>
      <w:color w:val="000000"/>
      <w:sz w:val="19"/>
      <w:lang w:val="en-GB"/>
    </w:rPr>
  </w:style>
  <w:style w:type="character" w:customStyle="1" w:styleId="Bulletslevel2Char">
    <w:name w:val="Bullets level 2 Char"/>
    <w:basedOn w:val="Bulletslevel1Char"/>
    <w:rsid w:val="004808AA"/>
  </w:style>
  <w:style w:type="character" w:customStyle="1" w:styleId="Heading4Char">
    <w:name w:val="Heading 4 Char"/>
    <w:rsid w:val="004808AA"/>
    <w:rPr>
      <w:rFonts w:ascii="Arial" w:eastAsia="Times New Roman" w:hAnsi="Arial" w:cs="Times New Roman"/>
      <w:b/>
      <w:bCs/>
      <w:iCs/>
      <w:sz w:val="24"/>
      <w:szCs w:val="24"/>
    </w:rPr>
  </w:style>
  <w:style w:type="character" w:customStyle="1" w:styleId="Heading5Char">
    <w:name w:val="Heading 5 Char"/>
    <w:rsid w:val="004808AA"/>
    <w:rPr>
      <w:rFonts w:ascii="Arial" w:eastAsia="Times New Roman" w:hAnsi="Arial" w:cs="Times New Roman"/>
      <w:b/>
      <w:i/>
      <w:color w:val="00133A"/>
      <w:sz w:val="24"/>
      <w:szCs w:val="24"/>
    </w:rPr>
  </w:style>
  <w:style w:type="character" w:customStyle="1" w:styleId="Heading6Char">
    <w:name w:val="Heading 6 Char"/>
    <w:rsid w:val="004808AA"/>
    <w:rPr>
      <w:rFonts w:ascii="Arial" w:eastAsia="Times New Roman" w:hAnsi="Arial" w:cs="Times New Roman"/>
      <w:i/>
      <w:iCs/>
      <w:color w:val="00133A"/>
      <w:sz w:val="24"/>
      <w:szCs w:val="24"/>
    </w:rPr>
  </w:style>
  <w:style w:type="character" w:customStyle="1" w:styleId="Heading7Char">
    <w:name w:val="Heading 7 Char"/>
    <w:rsid w:val="004808AA"/>
    <w:rPr>
      <w:rFonts w:ascii="Arial" w:eastAsia="Times New Roman" w:hAnsi="Arial" w:cs="Times New Roman"/>
      <w:i/>
      <w:iCs/>
      <w:color w:val="404040"/>
      <w:sz w:val="22"/>
      <w:szCs w:val="24"/>
    </w:rPr>
  </w:style>
  <w:style w:type="character" w:customStyle="1" w:styleId="Heading8Char">
    <w:name w:val="Heading 8 Char"/>
    <w:rsid w:val="004808AA"/>
    <w:rPr>
      <w:rFonts w:ascii="Arial" w:eastAsia="Times New Roman" w:hAnsi="Arial" w:cs="Times New Roman"/>
      <w:i/>
      <w:color w:val="404040"/>
    </w:rPr>
  </w:style>
  <w:style w:type="character" w:customStyle="1" w:styleId="Heading9Char">
    <w:name w:val="Heading 9 Char"/>
    <w:rsid w:val="004808AA"/>
    <w:rPr>
      <w:rFonts w:ascii="Arial" w:eastAsia="Times New Roman" w:hAnsi="Arial" w:cs="Times New Roman"/>
      <w:i/>
      <w:iCs/>
      <w:color w:val="404040"/>
      <w:sz w:val="18"/>
    </w:rPr>
  </w:style>
  <w:style w:type="character" w:customStyle="1" w:styleId="FootnoteCharacters">
    <w:name w:val="Footnote Characters"/>
    <w:rsid w:val="004808AA"/>
    <w:rPr>
      <w:rFonts w:ascii="Arial" w:hAnsi="Arial"/>
      <w:sz w:val="16"/>
      <w:vertAlign w:val="superscript"/>
    </w:rPr>
  </w:style>
  <w:style w:type="character" w:customStyle="1" w:styleId="FootnoteTextChar">
    <w:name w:val="Footnote Text Char"/>
    <w:rsid w:val="004808AA"/>
    <w:rPr>
      <w:rFonts w:ascii="Arial" w:hAnsi="Arial"/>
      <w:sz w:val="16"/>
    </w:rPr>
  </w:style>
  <w:style w:type="character" w:customStyle="1" w:styleId="BodyTextIndentChar">
    <w:name w:val="Body Text Indent Char"/>
    <w:rsid w:val="004808AA"/>
    <w:rPr>
      <w:rFonts w:ascii="Arial" w:hAnsi="Arial"/>
      <w:bCs/>
      <w:szCs w:val="24"/>
      <w:lang w:val="cs-CZ"/>
    </w:rPr>
  </w:style>
  <w:style w:type="character" w:styleId="Odkaznakoment">
    <w:name w:val="annotation reference"/>
    <w:uiPriority w:val="99"/>
    <w:semiHidden/>
    <w:rsid w:val="004808AA"/>
    <w:rPr>
      <w:sz w:val="16"/>
      <w:szCs w:val="16"/>
    </w:rPr>
  </w:style>
  <w:style w:type="character" w:customStyle="1" w:styleId="CommentTextChar">
    <w:name w:val="Comment Text Char"/>
    <w:rsid w:val="004808AA"/>
    <w:rPr>
      <w:rFonts w:ascii="Arial" w:hAnsi="Arial"/>
    </w:rPr>
  </w:style>
  <w:style w:type="character" w:customStyle="1" w:styleId="CommentSubjectChar">
    <w:name w:val="Comment Subject Char"/>
    <w:rsid w:val="004808AA"/>
    <w:rPr>
      <w:rFonts w:ascii="Arial" w:hAnsi="Arial"/>
      <w:b/>
      <w:bCs/>
    </w:rPr>
  </w:style>
  <w:style w:type="character" w:customStyle="1" w:styleId="PlainTextChar">
    <w:name w:val="Plain Text Char"/>
    <w:rsid w:val="004808AA"/>
    <w:rPr>
      <w:rFonts w:ascii="Arial" w:hAnsi="Arial"/>
      <w:color w:val="000000"/>
      <w:szCs w:val="21"/>
    </w:rPr>
  </w:style>
  <w:style w:type="paragraph" w:customStyle="1" w:styleId="Heading">
    <w:name w:val="Heading"/>
    <w:basedOn w:val="Normln"/>
    <w:next w:val="Zkladntext"/>
    <w:rsid w:val="004808AA"/>
    <w:pPr>
      <w:keepNext/>
      <w:spacing w:before="240" w:after="120"/>
    </w:pPr>
    <w:rPr>
      <w:rFonts w:eastAsia="Arial Unicode MS" w:cs="Tahoma"/>
      <w:sz w:val="28"/>
      <w:szCs w:val="28"/>
    </w:rPr>
  </w:style>
  <w:style w:type="paragraph" w:styleId="Zkladntext">
    <w:name w:val="Body Text"/>
    <w:basedOn w:val="Normln"/>
    <w:semiHidden/>
    <w:rsid w:val="004808AA"/>
    <w:pPr>
      <w:spacing w:after="120"/>
    </w:pPr>
  </w:style>
  <w:style w:type="paragraph" w:styleId="Seznam">
    <w:name w:val="List"/>
    <w:basedOn w:val="Zkladntext"/>
    <w:semiHidden/>
    <w:rsid w:val="004808AA"/>
    <w:rPr>
      <w:rFonts w:cs="Tahoma"/>
    </w:rPr>
  </w:style>
  <w:style w:type="paragraph" w:customStyle="1" w:styleId="Caption">
    <w:name w:val="Caption"/>
    <w:basedOn w:val="Normln"/>
    <w:rsid w:val="004808AA"/>
    <w:pPr>
      <w:suppressLineNumbers/>
      <w:spacing w:before="120" w:after="120"/>
    </w:pPr>
    <w:rPr>
      <w:rFonts w:cs="Tahoma"/>
      <w:i/>
      <w:iCs/>
      <w:sz w:val="24"/>
    </w:rPr>
  </w:style>
  <w:style w:type="paragraph" w:customStyle="1" w:styleId="Index">
    <w:name w:val="Index"/>
    <w:basedOn w:val="Normln"/>
    <w:rsid w:val="004808AA"/>
    <w:pPr>
      <w:suppressLineNumbers/>
    </w:pPr>
    <w:rPr>
      <w:rFonts w:cs="Tahoma"/>
    </w:rPr>
  </w:style>
  <w:style w:type="paragraph" w:styleId="Zhlav">
    <w:name w:val="header"/>
    <w:basedOn w:val="Normln"/>
    <w:semiHidden/>
    <w:rsid w:val="004808AA"/>
    <w:rPr>
      <w:sz w:val="16"/>
    </w:rPr>
  </w:style>
  <w:style w:type="paragraph" w:styleId="Zpat">
    <w:name w:val="footer"/>
    <w:basedOn w:val="Normln"/>
    <w:semiHidden/>
    <w:rsid w:val="004808AA"/>
  </w:style>
  <w:style w:type="paragraph" w:styleId="Obsah1">
    <w:name w:val="toc 1"/>
    <w:basedOn w:val="Normln"/>
    <w:next w:val="Normln"/>
    <w:semiHidden/>
    <w:rsid w:val="004808AA"/>
    <w:pPr>
      <w:spacing w:after="240"/>
    </w:pPr>
    <w:rPr>
      <w:sz w:val="24"/>
    </w:rPr>
  </w:style>
  <w:style w:type="paragraph" w:styleId="Obsah2">
    <w:name w:val="toc 2"/>
    <w:basedOn w:val="Normln"/>
    <w:next w:val="Normln"/>
    <w:semiHidden/>
    <w:rsid w:val="004808AA"/>
    <w:pPr>
      <w:spacing w:after="240"/>
      <w:ind w:left="238"/>
    </w:pPr>
    <w:rPr>
      <w:sz w:val="24"/>
    </w:rPr>
  </w:style>
  <w:style w:type="paragraph" w:styleId="Obsah3">
    <w:name w:val="toc 3"/>
    <w:basedOn w:val="Normln"/>
    <w:next w:val="Normln"/>
    <w:semiHidden/>
    <w:rsid w:val="004808AA"/>
    <w:pPr>
      <w:spacing w:after="240"/>
      <w:ind w:left="482"/>
    </w:pPr>
    <w:rPr>
      <w:sz w:val="24"/>
    </w:rPr>
  </w:style>
  <w:style w:type="paragraph" w:customStyle="1" w:styleId="Textbubliny1">
    <w:name w:val="Text bubliny1"/>
    <w:basedOn w:val="Normln"/>
    <w:rsid w:val="004808AA"/>
    <w:rPr>
      <w:rFonts w:ascii="Tahoma" w:hAnsi="Tahoma" w:cs="Tahoma"/>
      <w:sz w:val="16"/>
      <w:szCs w:val="16"/>
    </w:rPr>
  </w:style>
  <w:style w:type="paragraph" w:customStyle="1" w:styleId="Bodytext">
    <w:name w:val="Body text"/>
    <w:rsid w:val="004808AA"/>
    <w:pPr>
      <w:suppressAutoHyphens/>
    </w:pPr>
    <w:rPr>
      <w:rFonts w:ascii="Arial" w:eastAsia="Arial" w:hAnsi="Arial"/>
      <w:color w:val="000000"/>
      <w:sz w:val="19"/>
      <w:szCs w:val="48"/>
      <w:lang w:eastAsia="ar-SA"/>
    </w:rPr>
  </w:style>
  <w:style w:type="paragraph" w:customStyle="1" w:styleId="Legalentity">
    <w:name w:val="Legal entity"/>
    <w:basedOn w:val="Normln"/>
    <w:rsid w:val="004808AA"/>
    <w:pPr>
      <w:widowControl w:val="0"/>
      <w:autoSpaceDE w:val="0"/>
      <w:spacing w:after="90" w:line="180" w:lineRule="atLeast"/>
      <w:textAlignment w:val="center"/>
    </w:pPr>
    <w:rPr>
      <w:color w:val="000000"/>
      <w:sz w:val="15"/>
      <w:szCs w:val="20"/>
      <w:lang w:val="en-GB"/>
    </w:rPr>
  </w:style>
  <w:style w:type="paragraph" w:customStyle="1" w:styleId="smlouvaheading1">
    <w:name w:val="smlouva heading 1"/>
    <w:next w:val="Bodytext"/>
    <w:rsid w:val="004808AA"/>
    <w:pPr>
      <w:tabs>
        <w:tab w:val="num" w:pos="0"/>
        <w:tab w:val="left" w:pos="873"/>
      </w:tabs>
      <w:suppressAutoHyphens/>
      <w:spacing w:before="120" w:after="120"/>
      <w:ind w:left="360" w:hanging="360"/>
    </w:pPr>
    <w:rPr>
      <w:rFonts w:ascii="Arial" w:eastAsia="Arial" w:hAnsi="Arial"/>
      <w:b/>
      <w:color w:val="000000"/>
      <w:sz w:val="19"/>
      <w:szCs w:val="24"/>
      <w:lang w:eastAsia="ar-SA"/>
    </w:rPr>
  </w:style>
  <w:style w:type="paragraph" w:customStyle="1" w:styleId="CaptionIntroductionparagraph">
    <w:name w:val="Caption Introduction paragraph"/>
    <w:rsid w:val="004808AA"/>
    <w:pPr>
      <w:suppressAutoHyphens/>
    </w:pPr>
    <w:rPr>
      <w:rFonts w:ascii="Arial" w:eastAsia="Arial" w:hAnsi="Arial"/>
      <w:b/>
      <w:color w:val="00A1DE"/>
      <w:sz w:val="24"/>
      <w:szCs w:val="22"/>
      <w:lang w:eastAsia="ar-SA"/>
    </w:rPr>
  </w:style>
  <w:style w:type="paragraph" w:customStyle="1" w:styleId="smlouvaheading2">
    <w:name w:val="smlouva heading 2"/>
    <w:basedOn w:val="CaptionIntroductionparagraph"/>
    <w:next w:val="Bodytext"/>
    <w:rsid w:val="004808AA"/>
    <w:pPr>
      <w:tabs>
        <w:tab w:val="num" w:pos="0"/>
      </w:tabs>
      <w:ind w:left="360" w:hanging="360"/>
    </w:pPr>
    <w:rPr>
      <w:b w:val="0"/>
      <w:color w:val="000000"/>
      <w:sz w:val="19"/>
    </w:rPr>
  </w:style>
  <w:style w:type="paragraph" w:customStyle="1" w:styleId="smlouvaheading3">
    <w:name w:val="smlouva heading 3"/>
    <w:basedOn w:val="smlouvaheading2"/>
    <w:next w:val="Bodytext"/>
    <w:rsid w:val="004808AA"/>
  </w:style>
  <w:style w:type="paragraph" w:customStyle="1" w:styleId="smlouvaheading4">
    <w:name w:val="smlouva heading 4"/>
    <w:basedOn w:val="smlouvaheading3"/>
    <w:next w:val="Bodytext"/>
    <w:rsid w:val="004808AA"/>
    <w:rPr>
      <w:color w:val="auto"/>
    </w:rPr>
  </w:style>
  <w:style w:type="paragraph" w:customStyle="1" w:styleId="smlouvabodytextbold">
    <w:name w:val="smlouva body text bold"/>
    <w:basedOn w:val="smlouvaheading4"/>
    <w:next w:val="Bodytext"/>
    <w:rsid w:val="004808AA"/>
    <w:pPr>
      <w:tabs>
        <w:tab w:val="clear" w:pos="0"/>
      </w:tabs>
      <w:ind w:left="0" w:firstLine="0"/>
    </w:pPr>
    <w:rPr>
      <w:b/>
    </w:rPr>
  </w:style>
  <w:style w:type="paragraph" w:customStyle="1" w:styleId="Bodytextbold">
    <w:name w:val="Body text bold"/>
    <w:basedOn w:val="smlouvabodytextbold"/>
    <w:next w:val="Bodytext"/>
    <w:rsid w:val="004808AA"/>
    <w:rPr>
      <w:color w:val="000000"/>
    </w:rPr>
  </w:style>
  <w:style w:type="paragraph" w:customStyle="1" w:styleId="Captionbody">
    <w:name w:val="Caption body"/>
    <w:rsid w:val="004808AA"/>
    <w:pPr>
      <w:suppressAutoHyphens/>
    </w:pPr>
    <w:rPr>
      <w:rFonts w:ascii="Arial" w:eastAsia="Arial" w:hAnsi="Arial"/>
      <w:color w:val="000000"/>
      <w:sz w:val="18"/>
      <w:lang w:val="en-US" w:eastAsia="ar-SA"/>
    </w:rPr>
  </w:style>
  <w:style w:type="paragraph" w:customStyle="1" w:styleId="Captionheading">
    <w:name w:val="Caption heading"/>
    <w:basedOn w:val="Captionbody"/>
    <w:rsid w:val="004808AA"/>
    <w:rPr>
      <w:b/>
    </w:rPr>
  </w:style>
  <w:style w:type="paragraph" w:customStyle="1" w:styleId="smlouvabodytext">
    <w:name w:val="smlouva body text"/>
    <w:basedOn w:val="Normln"/>
    <w:rsid w:val="004808AA"/>
    <w:rPr>
      <w:rFonts w:eastAsia="Times"/>
    </w:rPr>
  </w:style>
  <w:style w:type="paragraph" w:customStyle="1" w:styleId="Bulletslevel1">
    <w:name w:val="Bullets level 1"/>
    <w:basedOn w:val="Normln"/>
    <w:rsid w:val="004808AA"/>
    <w:pPr>
      <w:spacing w:before="120"/>
      <w:ind w:left="360"/>
    </w:pPr>
    <w:rPr>
      <w:rFonts w:eastAsia="Times"/>
      <w:color w:val="000000"/>
      <w:szCs w:val="20"/>
      <w:lang w:val="en-GB"/>
    </w:rPr>
  </w:style>
  <w:style w:type="paragraph" w:customStyle="1" w:styleId="Bulletslevel2">
    <w:name w:val="Bullets level 2"/>
    <w:basedOn w:val="Normln"/>
    <w:rsid w:val="004808AA"/>
    <w:pPr>
      <w:spacing w:before="120"/>
    </w:pPr>
    <w:rPr>
      <w:rFonts w:eastAsia="Times"/>
      <w:color w:val="000000"/>
      <w:szCs w:val="20"/>
      <w:lang w:val="en-GB"/>
    </w:rPr>
  </w:style>
  <w:style w:type="paragraph" w:customStyle="1" w:styleId="PulloutQuote">
    <w:name w:val="Pullout Quote"/>
    <w:rsid w:val="004808AA"/>
    <w:pPr>
      <w:pBdr>
        <w:top w:val="single" w:sz="4" w:space="4" w:color="00FFFF"/>
      </w:pBdr>
      <w:suppressAutoHyphens/>
      <w:spacing w:line="320" w:lineRule="exact"/>
    </w:pPr>
    <w:rPr>
      <w:rFonts w:eastAsia="Times"/>
      <w:color w:val="00A1DE"/>
      <w:sz w:val="32"/>
      <w:lang w:val="en-GB" w:eastAsia="ar-SA"/>
    </w:rPr>
  </w:style>
  <w:style w:type="paragraph" w:customStyle="1" w:styleId="Highlight1">
    <w:name w:val="Highlight 1"/>
    <w:basedOn w:val="Normln"/>
    <w:rsid w:val="004808AA"/>
    <w:rPr>
      <w:b/>
      <w:color w:val="3C8A2E"/>
      <w:sz w:val="20"/>
      <w:szCs w:val="16"/>
    </w:rPr>
  </w:style>
  <w:style w:type="paragraph" w:customStyle="1" w:styleId="Highlight2">
    <w:name w:val="Highlight 2"/>
    <w:basedOn w:val="Highlight1"/>
    <w:rsid w:val="004808AA"/>
    <w:rPr>
      <w:color w:val="92D400"/>
    </w:rPr>
  </w:style>
  <w:style w:type="paragraph" w:styleId="Obsah4">
    <w:name w:val="toc 4"/>
    <w:basedOn w:val="Normln"/>
    <w:next w:val="Normln"/>
    <w:semiHidden/>
    <w:rsid w:val="004808AA"/>
    <w:pPr>
      <w:spacing w:after="240"/>
      <w:ind w:left="720"/>
    </w:pPr>
  </w:style>
  <w:style w:type="paragraph" w:styleId="Obsah5">
    <w:name w:val="toc 5"/>
    <w:basedOn w:val="Normln"/>
    <w:next w:val="Normln"/>
    <w:semiHidden/>
    <w:rsid w:val="004808AA"/>
    <w:pPr>
      <w:spacing w:after="100"/>
      <w:ind w:left="960"/>
    </w:pPr>
  </w:style>
  <w:style w:type="paragraph" w:styleId="Textpoznpodarou">
    <w:name w:val="footnote text"/>
    <w:basedOn w:val="Normln"/>
    <w:semiHidden/>
    <w:rsid w:val="004808AA"/>
    <w:rPr>
      <w:sz w:val="16"/>
      <w:szCs w:val="20"/>
    </w:rPr>
  </w:style>
  <w:style w:type="paragraph" w:customStyle="1" w:styleId="Highlight3">
    <w:name w:val="Highlight 3"/>
    <w:basedOn w:val="Highlight2"/>
    <w:rsid w:val="004808AA"/>
    <w:rPr>
      <w:color w:val="00A1DE"/>
    </w:rPr>
  </w:style>
  <w:style w:type="paragraph" w:customStyle="1" w:styleId="Nadpisobsahu1">
    <w:name w:val="Nadpis obsahu1"/>
    <w:basedOn w:val="Nadpis1"/>
    <w:next w:val="Normln"/>
    <w:rsid w:val="004808AA"/>
    <w:pPr>
      <w:keepLines/>
      <w:pageBreakBefore w:val="0"/>
      <w:tabs>
        <w:tab w:val="clear" w:pos="0"/>
      </w:tabs>
      <w:spacing w:before="480" w:after="0" w:line="276" w:lineRule="auto"/>
      <w:ind w:left="0" w:firstLine="0"/>
    </w:pPr>
    <w:rPr>
      <w:rFonts w:ascii="Arial" w:eastAsia="Times New Roman" w:hAnsi="Arial" w:cs="Times New Roman"/>
      <w:b/>
      <w:color w:val="001D58"/>
      <w:sz w:val="28"/>
      <w:szCs w:val="28"/>
    </w:rPr>
  </w:style>
  <w:style w:type="paragraph" w:styleId="Zkladntextodsazen">
    <w:name w:val="Body Text Indent"/>
    <w:basedOn w:val="Normln"/>
    <w:semiHidden/>
    <w:rsid w:val="004808AA"/>
    <w:pPr>
      <w:widowControl w:val="0"/>
      <w:spacing w:line="360" w:lineRule="atLeast"/>
      <w:ind w:left="1440"/>
      <w:jc w:val="both"/>
      <w:textAlignment w:val="baseline"/>
    </w:pPr>
    <w:rPr>
      <w:bCs/>
      <w:sz w:val="20"/>
    </w:rPr>
  </w:style>
  <w:style w:type="paragraph" w:styleId="Textkomente">
    <w:name w:val="annotation text"/>
    <w:basedOn w:val="Normln"/>
    <w:link w:val="TextkomenteChar"/>
    <w:uiPriority w:val="99"/>
    <w:semiHidden/>
    <w:rsid w:val="004808AA"/>
    <w:rPr>
      <w:sz w:val="20"/>
      <w:szCs w:val="20"/>
    </w:rPr>
  </w:style>
  <w:style w:type="paragraph" w:customStyle="1" w:styleId="CommentSubject">
    <w:name w:val="Comment Subject"/>
    <w:basedOn w:val="Textkomente"/>
    <w:next w:val="Textkomente"/>
    <w:rsid w:val="004808AA"/>
    <w:rPr>
      <w:b/>
      <w:bCs/>
    </w:rPr>
  </w:style>
  <w:style w:type="paragraph" w:styleId="Prosttext">
    <w:name w:val="Plain Text"/>
    <w:basedOn w:val="Normln"/>
    <w:semiHidden/>
    <w:rsid w:val="004808AA"/>
    <w:rPr>
      <w:color w:val="000000"/>
      <w:sz w:val="20"/>
      <w:szCs w:val="21"/>
    </w:rPr>
  </w:style>
  <w:style w:type="paragraph" w:customStyle="1" w:styleId="TableContents">
    <w:name w:val="Table Contents"/>
    <w:basedOn w:val="Normln"/>
    <w:rsid w:val="004808AA"/>
    <w:pPr>
      <w:suppressLineNumbers/>
    </w:pPr>
  </w:style>
  <w:style w:type="paragraph" w:customStyle="1" w:styleId="TableHeading">
    <w:name w:val="Table Heading"/>
    <w:basedOn w:val="TableContents"/>
    <w:rsid w:val="004808AA"/>
    <w:pPr>
      <w:jc w:val="center"/>
    </w:pPr>
    <w:rPr>
      <w:b/>
      <w:bCs/>
    </w:rPr>
  </w:style>
  <w:style w:type="paragraph" w:customStyle="1" w:styleId="Normln-web">
    <w:name w:val="Normální-web"/>
    <w:basedOn w:val="Normln"/>
    <w:rsid w:val="0051354C"/>
    <w:pPr>
      <w:suppressAutoHyphens w:val="0"/>
      <w:spacing w:before="120"/>
      <w:jc w:val="both"/>
    </w:pPr>
    <w:rPr>
      <w:sz w:val="24"/>
      <w:lang w:eastAsia="cs-CZ"/>
    </w:rPr>
  </w:style>
  <w:style w:type="paragraph" w:customStyle="1" w:styleId="Nadpis1a">
    <w:name w:val="Nadpis 1a"/>
    <w:basedOn w:val="Nadpis1"/>
    <w:next w:val="Normln-web"/>
    <w:rsid w:val="0051354C"/>
    <w:pPr>
      <w:pageBreakBefore w:val="0"/>
      <w:tabs>
        <w:tab w:val="clear" w:pos="0"/>
      </w:tabs>
      <w:suppressAutoHyphens w:val="0"/>
      <w:spacing w:before="240" w:after="120"/>
      <w:ind w:left="0" w:firstLine="0"/>
      <w:jc w:val="both"/>
    </w:pPr>
    <w:rPr>
      <w:rFonts w:ascii="Arial" w:eastAsia="Times New Roman" w:hAnsi="Arial"/>
      <w:b/>
      <w:i/>
      <w:color w:val="auto"/>
      <w:kern w:val="32"/>
      <w:sz w:val="32"/>
      <w:lang w:val="cs-CZ" w:eastAsia="cs-CZ"/>
    </w:rPr>
  </w:style>
  <w:style w:type="paragraph" w:customStyle="1" w:styleId="Textodstavce">
    <w:name w:val="Text odstavce"/>
    <w:basedOn w:val="Normln"/>
    <w:rsid w:val="0051354C"/>
    <w:pPr>
      <w:tabs>
        <w:tab w:val="num" w:pos="720"/>
        <w:tab w:val="left" w:pos="851"/>
      </w:tabs>
      <w:suppressAutoHyphens w:val="0"/>
      <w:spacing w:before="120" w:after="120"/>
      <w:ind w:left="720" w:hanging="720"/>
      <w:jc w:val="both"/>
      <w:outlineLvl w:val="6"/>
    </w:pPr>
    <w:rPr>
      <w:rFonts w:ascii="Times New Roman" w:hAnsi="Times New Roman"/>
      <w:sz w:val="24"/>
      <w:szCs w:val="20"/>
      <w:lang w:eastAsia="cs-CZ"/>
    </w:rPr>
  </w:style>
  <w:style w:type="character" w:customStyle="1" w:styleId="TextkomenteChar">
    <w:name w:val="Text komentáře Char"/>
    <w:basedOn w:val="Standardnpsmoodstavce"/>
    <w:link w:val="Textkomente"/>
    <w:uiPriority w:val="99"/>
    <w:semiHidden/>
    <w:rsid w:val="0051354C"/>
    <w:rPr>
      <w:rFonts w:ascii="Arial" w:hAnsi="Arial"/>
      <w:lang w:val="en-US" w:eastAsia="ar-SA"/>
    </w:rPr>
  </w:style>
  <w:style w:type="paragraph" w:styleId="Textbubliny">
    <w:name w:val="Balloon Text"/>
    <w:basedOn w:val="Normln"/>
    <w:link w:val="TextbublinyChar"/>
    <w:uiPriority w:val="99"/>
    <w:semiHidden/>
    <w:unhideWhenUsed/>
    <w:rsid w:val="0051354C"/>
    <w:rPr>
      <w:rFonts w:ascii="Tahoma" w:hAnsi="Tahoma" w:cs="Tahoma"/>
      <w:sz w:val="16"/>
      <w:szCs w:val="16"/>
    </w:rPr>
  </w:style>
  <w:style w:type="character" w:customStyle="1" w:styleId="TextbublinyChar">
    <w:name w:val="Text bubliny Char"/>
    <w:basedOn w:val="Standardnpsmoodstavce"/>
    <w:link w:val="Textbubliny"/>
    <w:uiPriority w:val="99"/>
    <w:semiHidden/>
    <w:rsid w:val="0051354C"/>
    <w:rPr>
      <w:rFonts w:ascii="Tahoma" w:hAnsi="Tahoma" w:cs="Tahoma"/>
      <w:sz w:val="16"/>
      <w:szCs w:val="16"/>
      <w:lang w:val="en-US" w:eastAsia="ar-SA"/>
    </w:rPr>
  </w:style>
  <w:style w:type="paragraph" w:styleId="Pedmtkomente">
    <w:name w:val="annotation subject"/>
    <w:basedOn w:val="Textkomente"/>
    <w:next w:val="Textkomente"/>
    <w:link w:val="PedmtkomenteChar"/>
    <w:uiPriority w:val="99"/>
    <w:semiHidden/>
    <w:unhideWhenUsed/>
    <w:rsid w:val="00994BF3"/>
    <w:rPr>
      <w:b/>
      <w:bCs/>
    </w:rPr>
  </w:style>
  <w:style w:type="character" w:customStyle="1" w:styleId="PedmtkomenteChar">
    <w:name w:val="Předmět komentáře Char"/>
    <w:basedOn w:val="TextkomenteChar"/>
    <w:link w:val="Pedmtkomente"/>
    <w:uiPriority w:val="99"/>
    <w:semiHidden/>
    <w:rsid w:val="00994BF3"/>
    <w:rPr>
      <w:b/>
      <w:bCs/>
      <w:noProof/>
    </w:rPr>
  </w:style>
  <w:style w:type="paragraph" w:styleId="Textvysvtlivek">
    <w:name w:val="endnote text"/>
    <w:basedOn w:val="Normln"/>
    <w:link w:val="TextvysvtlivekChar"/>
    <w:uiPriority w:val="99"/>
    <w:semiHidden/>
    <w:unhideWhenUsed/>
    <w:rsid w:val="00373752"/>
    <w:rPr>
      <w:sz w:val="20"/>
      <w:szCs w:val="20"/>
    </w:rPr>
  </w:style>
  <w:style w:type="character" w:customStyle="1" w:styleId="TextvysvtlivekChar">
    <w:name w:val="Text vysvětlivek Char"/>
    <w:basedOn w:val="Standardnpsmoodstavce"/>
    <w:link w:val="Textvysvtlivek"/>
    <w:uiPriority w:val="99"/>
    <w:semiHidden/>
    <w:rsid w:val="00373752"/>
    <w:rPr>
      <w:rFonts w:ascii="Arial" w:hAnsi="Arial"/>
      <w:noProof/>
      <w:lang w:eastAsia="ar-SA"/>
    </w:rPr>
  </w:style>
  <w:style w:type="character" w:styleId="Odkaznavysvtlivky">
    <w:name w:val="endnote reference"/>
    <w:basedOn w:val="Standardnpsmoodstavce"/>
    <w:uiPriority w:val="99"/>
    <w:semiHidden/>
    <w:unhideWhenUsed/>
    <w:rsid w:val="00373752"/>
    <w:rPr>
      <w:vertAlign w:val="superscript"/>
    </w:rPr>
  </w:style>
  <w:style w:type="character" w:styleId="Znakapoznpodarou">
    <w:name w:val="footnote reference"/>
    <w:basedOn w:val="Standardnpsmoodstavce"/>
    <w:uiPriority w:val="99"/>
    <w:semiHidden/>
    <w:unhideWhenUsed/>
    <w:rsid w:val="00373752"/>
    <w:rPr>
      <w:vertAlign w:val="superscript"/>
    </w:rPr>
  </w:style>
  <w:style w:type="paragraph" w:styleId="Rozvrendokumentu">
    <w:name w:val="Document Map"/>
    <w:basedOn w:val="Normln"/>
    <w:link w:val="RozvrendokumentuChar"/>
    <w:uiPriority w:val="99"/>
    <w:semiHidden/>
    <w:unhideWhenUsed/>
    <w:rsid w:val="005B7456"/>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5B7456"/>
    <w:rPr>
      <w:rFonts w:ascii="Tahoma" w:hAnsi="Tahoma" w:cs="Tahoma"/>
      <w:noProof/>
      <w:sz w:val="16"/>
      <w:szCs w:val="16"/>
      <w:lang w:eastAsia="ar-SA"/>
    </w:rPr>
  </w:style>
  <w:style w:type="paragraph" w:styleId="Odstavecseseznamem">
    <w:name w:val="List Paragraph"/>
    <w:basedOn w:val="Normln"/>
    <w:uiPriority w:val="34"/>
    <w:qFormat/>
    <w:rsid w:val="00341839"/>
    <w:pPr>
      <w:ind w:left="720"/>
      <w:contextualSpacing/>
    </w:pPr>
  </w:style>
  <w:style w:type="paragraph" w:styleId="Normlnweb">
    <w:name w:val="Normal (Web)"/>
    <w:basedOn w:val="Normln"/>
    <w:uiPriority w:val="99"/>
    <w:semiHidden/>
    <w:unhideWhenUsed/>
    <w:rsid w:val="0001649E"/>
    <w:pPr>
      <w:suppressAutoHyphens w:val="0"/>
      <w:spacing w:before="100" w:beforeAutospacing="1" w:after="100" w:afterAutospacing="1"/>
    </w:pPr>
    <w:rPr>
      <w:rFonts w:ascii="Times New Roman" w:hAnsi="Times New Roman"/>
      <w:noProof w:val="0"/>
      <w:sz w:val="24"/>
      <w:lang w:eastAsia="cs-CZ"/>
    </w:rPr>
  </w:style>
</w:styles>
</file>

<file path=word/webSettings.xml><?xml version="1.0" encoding="utf-8"?>
<w:webSettings xmlns:r="http://schemas.openxmlformats.org/officeDocument/2006/relationships" xmlns:w="http://schemas.openxmlformats.org/wordprocessingml/2006/main">
  <w:divs>
    <w:div w:id="63455422">
      <w:bodyDiv w:val="1"/>
      <w:marLeft w:val="0"/>
      <w:marRight w:val="0"/>
      <w:marTop w:val="0"/>
      <w:marBottom w:val="0"/>
      <w:divBdr>
        <w:top w:val="none" w:sz="0" w:space="0" w:color="auto"/>
        <w:left w:val="none" w:sz="0" w:space="0" w:color="auto"/>
        <w:bottom w:val="none" w:sz="0" w:space="0" w:color="auto"/>
        <w:right w:val="none" w:sz="0" w:space="0" w:color="auto"/>
      </w:divBdr>
    </w:div>
    <w:div w:id="117533277">
      <w:bodyDiv w:val="1"/>
      <w:marLeft w:val="0"/>
      <w:marRight w:val="0"/>
      <w:marTop w:val="0"/>
      <w:marBottom w:val="0"/>
      <w:divBdr>
        <w:top w:val="none" w:sz="0" w:space="0" w:color="auto"/>
        <w:left w:val="none" w:sz="0" w:space="0" w:color="auto"/>
        <w:bottom w:val="none" w:sz="0" w:space="0" w:color="auto"/>
        <w:right w:val="none" w:sz="0" w:space="0" w:color="auto"/>
      </w:divBdr>
    </w:div>
    <w:div w:id="152382486">
      <w:bodyDiv w:val="1"/>
      <w:marLeft w:val="0"/>
      <w:marRight w:val="0"/>
      <w:marTop w:val="0"/>
      <w:marBottom w:val="0"/>
      <w:divBdr>
        <w:top w:val="none" w:sz="0" w:space="0" w:color="auto"/>
        <w:left w:val="none" w:sz="0" w:space="0" w:color="auto"/>
        <w:bottom w:val="none" w:sz="0" w:space="0" w:color="auto"/>
        <w:right w:val="none" w:sz="0" w:space="0" w:color="auto"/>
      </w:divBdr>
    </w:div>
    <w:div w:id="170489252">
      <w:bodyDiv w:val="1"/>
      <w:marLeft w:val="0"/>
      <w:marRight w:val="0"/>
      <w:marTop w:val="0"/>
      <w:marBottom w:val="0"/>
      <w:divBdr>
        <w:top w:val="none" w:sz="0" w:space="0" w:color="auto"/>
        <w:left w:val="none" w:sz="0" w:space="0" w:color="auto"/>
        <w:bottom w:val="none" w:sz="0" w:space="0" w:color="auto"/>
        <w:right w:val="none" w:sz="0" w:space="0" w:color="auto"/>
      </w:divBdr>
      <w:divsChild>
        <w:div w:id="249973289">
          <w:marLeft w:val="0"/>
          <w:marRight w:val="0"/>
          <w:marTop w:val="0"/>
          <w:marBottom w:val="0"/>
          <w:divBdr>
            <w:top w:val="none" w:sz="0" w:space="0" w:color="auto"/>
            <w:left w:val="none" w:sz="0" w:space="0" w:color="auto"/>
            <w:bottom w:val="none" w:sz="0" w:space="0" w:color="auto"/>
            <w:right w:val="none" w:sz="0" w:space="0" w:color="auto"/>
          </w:divBdr>
        </w:div>
        <w:div w:id="684677213">
          <w:marLeft w:val="0"/>
          <w:marRight w:val="0"/>
          <w:marTop w:val="0"/>
          <w:marBottom w:val="0"/>
          <w:divBdr>
            <w:top w:val="none" w:sz="0" w:space="0" w:color="auto"/>
            <w:left w:val="none" w:sz="0" w:space="0" w:color="auto"/>
            <w:bottom w:val="none" w:sz="0" w:space="0" w:color="auto"/>
            <w:right w:val="none" w:sz="0" w:space="0" w:color="auto"/>
          </w:divBdr>
        </w:div>
        <w:div w:id="2033794975">
          <w:marLeft w:val="0"/>
          <w:marRight w:val="0"/>
          <w:marTop w:val="0"/>
          <w:marBottom w:val="0"/>
          <w:divBdr>
            <w:top w:val="none" w:sz="0" w:space="0" w:color="auto"/>
            <w:left w:val="none" w:sz="0" w:space="0" w:color="auto"/>
            <w:bottom w:val="none" w:sz="0" w:space="0" w:color="auto"/>
            <w:right w:val="none" w:sz="0" w:space="0" w:color="auto"/>
          </w:divBdr>
        </w:div>
        <w:div w:id="1535852555">
          <w:marLeft w:val="0"/>
          <w:marRight w:val="0"/>
          <w:marTop w:val="0"/>
          <w:marBottom w:val="0"/>
          <w:divBdr>
            <w:top w:val="none" w:sz="0" w:space="0" w:color="auto"/>
            <w:left w:val="none" w:sz="0" w:space="0" w:color="auto"/>
            <w:bottom w:val="none" w:sz="0" w:space="0" w:color="auto"/>
            <w:right w:val="none" w:sz="0" w:space="0" w:color="auto"/>
          </w:divBdr>
        </w:div>
        <w:div w:id="314727195">
          <w:marLeft w:val="0"/>
          <w:marRight w:val="0"/>
          <w:marTop w:val="0"/>
          <w:marBottom w:val="0"/>
          <w:divBdr>
            <w:top w:val="none" w:sz="0" w:space="0" w:color="auto"/>
            <w:left w:val="none" w:sz="0" w:space="0" w:color="auto"/>
            <w:bottom w:val="none" w:sz="0" w:space="0" w:color="auto"/>
            <w:right w:val="none" w:sz="0" w:space="0" w:color="auto"/>
          </w:divBdr>
        </w:div>
        <w:div w:id="1128400571">
          <w:marLeft w:val="0"/>
          <w:marRight w:val="0"/>
          <w:marTop w:val="0"/>
          <w:marBottom w:val="0"/>
          <w:divBdr>
            <w:top w:val="none" w:sz="0" w:space="0" w:color="auto"/>
            <w:left w:val="none" w:sz="0" w:space="0" w:color="auto"/>
            <w:bottom w:val="none" w:sz="0" w:space="0" w:color="auto"/>
            <w:right w:val="none" w:sz="0" w:space="0" w:color="auto"/>
          </w:divBdr>
        </w:div>
        <w:div w:id="1330061919">
          <w:marLeft w:val="0"/>
          <w:marRight w:val="0"/>
          <w:marTop w:val="0"/>
          <w:marBottom w:val="0"/>
          <w:divBdr>
            <w:top w:val="none" w:sz="0" w:space="0" w:color="auto"/>
            <w:left w:val="none" w:sz="0" w:space="0" w:color="auto"/>
            <w:bottom w:val="none" w:sz="0" w:space="0" w:color="auto"/>
            <w:right w:val="none" w:sz="0" w:space="0" w:color="auto"/>
          </w:divBdr>
        </w:div>
        <w:div w:id="496845294">
          <w:marLeft w:val="0"/>
          <w:marRight w:val="0"/>
          <w:marTop w:val="0"/>
          <w:marBottom w:val="0"/>
          <w:divBdr>
            <w:top w:val="none" w:sz="0" w:space="0" w:color="auto"/>
            <w:left w:val="none" w:sz="0" w:space="0" w:color="auto"/>
            <w:bottom w:val="none" w:sz="0" w:space="0" w:color="auto"/>
            <w:right w:val="none" w:sz="0" w:space="0" w:color="auto"/>
          </w:divBdr>
        </w:div>
        <w:div w:id="1970084002">
          <w:marLeft w:val="0"/>
          <w:marRight w:val="0"/>
          <w:marTop w:val="0"/>
          <w:marBottom w:val="0"/>
          <w:divBdr>
            <w:top w:val="none" w:sz="0" w:space="0" w:color="auto"/>
            <w:left w:val="none" w:sz="0" w:space="0" w:color="auto"/>
            <w:bottom w:val="none" w:sz="0" w:space="0" w:color="auto"/>
            <w:right w:val="none" w:sz="0" w:space="0" w:color="auto"/>
          </w:divBdr>
        </w:div>
      </w:divsChild>
    </w:div>
    <w:div w:id="176043733">
      <w:bodyDiv w:val="1"/>
      <w:marLeft w:val="0"/>
      <w:marRight w:val="0"/>
      <w:marTop w:val="0"/>
      <w:marBottom w:val="0"/>
      <w:divBdr>
        <w:top w:val="none" w:sz="0" w:space="0" w:color="auto"/>
        <w:left w:val="none" w:sz="0" w:space="0" w:color="auto"/>
        <w:bottom w:val="none" w:sz="0" w:space="0" w:color="auto"/>
        <w:right w:val="none" w:sz="0" w:space="0" w:color="auto"/>
      </w:divBdr>
    </w:div>
    <w:div w:id="222453620">
      <w:bodyDiv w:val="1"/>
      <w:marLeft w:val="0"/>
      <w:marRight w:val="0"/>
      <w:marTop w:val="0"/>
      <w:marBottom w:val="0"/>
      <w:divBdr>
        <w:top w:val="none" w:sz="0" w:space="0" w:color="auto"/>
        <w:left w:val="none" w:sz="0" w:space="0" w:color="auto"/>
        <w:bottom w:val="none" w:sz="0" w:space="0" w:color="auto"/>
        <w:right w:val="none" w:sz="0" w:space="0" w:color="auto"/>
      </w:divBdr>
    </w:div>
    <w:div w:id="236985678">
      <w:bodyDiv w:val="1"/>
      <w:marLeft w:val="0"/>
      <w:marRight w:val="0"/>
      <w:marTop w:val="0"/>
      <w:marBottom w:val="0"/>
      <w:divBdr>
        <w:top w:val="none" w:sz="0" w:space="0" w:color="auto"/>
        <w:left w:val="none" w:sz="0" w:space="0" w:color="auto"/>
        <w:bottom w:val="none" w:sz="0" w:space="0" w:color="auto"/>
        <w:right w:val="none" w:sz="0" w:space="0" w:color="auto"/>
      </w:divBdr>
    </w:div>
    <w:div w:id="365375293">
      <w:bodyDiv w:val="1"/>
      <w:marLeft w:val="0"/>
      <w:marRight w:val="0"/>
      <w:marTop w:val="0"/>
      <w:marBottom w:val="0"/>
      <w:divBdr>
        <w:top w:val="none" w:sz="0" w:space="0" w:color="auto"/>
        <w:left w:val="none" w:sz="0" w:space="0" w:color="auto"/>
        <w:bottom w:val="none" w:sz="0" w:space="0" w:color="auto"/>
        <w:right w:val="none" w:sz="0" w:space="0" w:color="auto"/>
      </w:divBdr>
    </w:div>
    <w:div w:id="371226267">
      <w:bodyDiv w:val="1"/>
      <w:marLeft w:val="0"/>
      <w:marRight w:val="0"/>
      <w:marTop w:val="0"/>
      <w:marBottom w:val="0"/>
      <w:divBdr>
        <w:top w:val="none" w:sz="0" w:space="0" w:color="auto"/>
        <w:left w:val="none" w:sz="0" w:space="0" w:color="auto"/>
        <w:bottom w:val="none" w:sz="0" w:space="0" w:color="auto"/>
        <w:right w:val="none" w:sz="0" w:space="0" w:color="auto"/>
      </w:divBdr>
    </w:div>
    <w:div w:id="457532930">
      <w:bodyDiv w:val="1"/>
      <w:marLeft w:val="0"/>
      <w:marRight w:val="0"/>
      <w:marTop w:val="0"/>
      <w:marBottom w:val="0"/>
      <w:divBdr>
        <w:top w:val="none" w:sz="0" w:space="0" w:color="auto"/>
        <w:left w:val="none" w:sz="0" w:space="0" w:color="auto"/>
        <w:bottom w:val="none" w:sz="0" w:space="0" w:color="auto"/>
        <w:right w:val="none" w:sz="0" w:space="0" w:color="auto"/>
      </w:divBdr>
    </w:div>
    <w:div w:id="492721602">
      <w:bodyDiv w:val="1"/>
      <w:marLeft w:val="0"/>
      <w:marRight w:val="0"/>
      <w:marTop w:val="0"/>
      <w:marBottom w:val="0"/>
      <w:divBdr>
        <w:top w:val="none" w:sz="0" w:space="0" w:color="auto"/>
        <w:left w:val="none" w:sz="0" w:space="0" w:color="auto"/>
        <w:bottom w:val="none" w:sz="0" w:space="0" w:color="auto"/>
        <w:right w:val="none" w:sz="0" w:space="0" w:color="auto"/>
      </w:divBdr>
    </w:div>
    <w:div w:id="506948766">
      <w:bodyDiv w:val="1"/>
      <w:marLeft w:val="0"/>
      <w:marRight w:val="0"/>
      <w:marTop w:val="0"/>
      <w:marBottom w:val="0"/>
      <w:divBdr>
        <w:top w:val="none" w:sz="0" w:space="0" w:color="auto"/>
        <w:left w:val="none" w:sz="0" w:space="0" w:color="auto"/>
        <w:bottom w:val="none" w:sz="0" w:space="0" w:color="auto"/>
        <w:right w:val="none" w:sz="0" w:space="0" w:color="auto"/>
      </w:divBdr>
    </w:div>
    <w:div w:id="529605464">
      <w:bodyDiv w:val="1"/>
      <w:marLeft w:val="0"/>
      <w:marRight w:val="0"/>
      <w:marTop w:val="0"/>
      <w:marBottom w:val="0"/>
      <w:divBdr>
        <w:top w:val="none" w:sz="0" w:space="0" w:color="auto"/>
        <w:left w:val="none" w:sz="0" w:space="0" w:color="auto"/>
        <w:bottom w:val="none" w:sz="0" w:space="0" w:color="auto"/>
        <w:right w:val="none" w:sz="0" w:space="0" w:color="auto"/>
      </w:divBdr>
    </w:div>
    <w:div w:id="659694332">
      <w:bodyDiv w:val="1"/>
      <w:marLeft w:val="0"/>
      <w:marRight w:val="0"/>
      <w:marTop w:val="0"/>
      <w:marBottom w:val="0"/>
      <w:divBdr>
        <w:top w:val="none" w:sz="0" w:space="0" w:color="auto"/>
        <w:left w:val="none" w:sz="0" w:space="0" w:color="auto"/>
        <w:bottom w:val="none" w:sz="0" w:space="0" w:color="auto"/>
        <w:right w:val="none" w:sz="0" w:space="0" w:color="auto"/>
      </w:divBdr>
    </w:div>
    <w:div w:id="678310809">
      <w:bodyDiv w:val="1"/>
      <w:marLeft w:val="0"/>
      <w:marRight w:val="0"/>
      <w:marTop w:val="0"/>
      <w:marBottom w:val="0"/>
      <w:divBdr>
        <w:top w:val="none" w:sz="0" w:space="0" w:color="auto"/>
        <w:left w:val="none" w:sz="0" w:space="0" w:color="auto"/>
        <w:bottom w:val="none" w:sz="0" w:space="0" w:color="auto"/>
        <w:right w:val="none" w:sz="0" w:space="0" w:color="auto"/>
      </w:divBdr>
    </w:div>
    <w:div w:id="850753617">
      <w:bodyDiv w:val="1"/>
      <w:marLeft w:val="0"/>
      <w:marRight w:val="0"/>
      <w:marTop w:val="0"/>
      <w:marBottom w:val="0"/>
      <w:divBdr>
        <w:top w:val="none" w:sz="0" w:space="0" w:color="auto"/>
        <w:left w:val="none" w:sz="0" w:space="0" w:color="auto"/>
        <w:bottom w:val="none" w:sz="0" w:space="0" w:color="auto"/>
        <w:right w:val="none" w:sz="0" w:space="0" w:color="auto"/>
      </w:divBdr>
    </w:div>
    <w:div w:id="853612964">
      <w:bodyDiv w:val="1"/>
      <w:marLeft w:val="0"/>
      <w:marRight w:val="0"/>
      <w:marTop w:val="0"/>
      <w:marBottom w:val="0"/>
      <w:divBdr>
        <w:top w:val="none" w:sz="0" w:space="0" w:color="auto"/>
        <w:left w:val="none" w:sz="0" w:space="0" w:color="auto"/>
        <w:bottom w:val="none" w:sz="0" w:space="0" w:color="auto"/>
        <w:right w:val="none" w:sz="0" w:space="0" w:color="auto"/>
      </w:divBdr>
    </w:div>
    <w:div w:id="867790022">
      <w:bodyDiv w:val="1"/>
      <w:marLeft w:val="0"/>
      <w:marRight w:val="0"/>
      <w:marTop w:val="0"/>
      <w:marBottom w:val="0"/>
      <w:divBdr>
        <w:top w:val="none" w:sz="0" w:space="0" w:color="auto"/>
        <w:left w:val="none" w:sz="0" w:space="0" w:color="auto"/>
        <w:bottom w:val="none" w:sz="0" w:space="0" w:color="auto"/>
        <w:right w:val="none" w:sz="0" w:space="0" w:color="auto"/>
      </w:divBdr>
    </w:div>
    <w:div w:id="903368309">
      <w:bodyDiv w:val="1"/>
      <w:marLeft w:val="0"/>
      <w:marRight w:val="0"/>
      <w:marTop w:val="0"/>
      <w:marBottom w:val="0"/>
      <w:divBdr>
        <w:top w:val="none" w:sz="0" w:space="0" w:color="auto"/>
        <w:left w:val="none" w:sz="0" w:space="0" w:color="auto"/>
        <w:bottom w:val="none" w:sz="0" w:space="0" w:color="auto"/>
        <w:right w:val="none" w:sz="0" w:space="0" w:color="auto"/>
      </w:divBdr>
    </w:div>
    <w:div w:id="903836305">
      <w:bodyDiv w:val="1"/>
      <w:marLeft w:val="0"/>
      <w:marRight w:val="0"/>
      <w:marTop w:val="0"/>
      <w:marBottom w:val="0"/>
      <w:divBdr>
        <w:top w:val="none" w:sz="0" w:space="0" w:color="auto"/>
        <w:left w:val="none" w:sz="0" w:space="0" w:color="auto"/>
        <w:bottom w:val="none" w:sz="0" w:space="0" w:color="auto"/>
        <w:right w:val="none" w:sz="0" w:space="0" w:color="auto"/>
      </w:divBdr>
    </w:div>
    <w:div w:id="907300638">
      <w:bodyDiv w:val="1"/>
      <w:marLeft w:val="0"/>
      <w:marRight w:val="0"/>
      <w:marTop w:val="0"/>
      <w:marBottom w:val="0"/>
      <w:divBdr>
        <w:top w:val="none" w:sz="0" w:space="0" w:color="auto"/>
        <w:left w:val="none" w:sz="0" w:space="0" w:color="auto"/>
        <w:bottom w:val="none" w:sz="0" w:space="0" w:color="auto"/>
        <w:right w:val="none" w:sz="0" w:space="0" w:color="auto"/>
      </w:divBdr>
    </w:div>
    <w:div w:id="968360908">
      <w:bodyDiv w:val="1"/>
      <w:marLeft w:val="0"/>
      <w:marRight w:val="0"/>
      <w:marTop w:val="0"/>
      <w:marBottom w:val="0"/>
      <w:divBdr>
        <w:top w:val="none" w:sz="0" w:space="0" w:color="auto"/>
        <w:left w:val="none" w:sz="0" w:space="0" w:color="auto"/>
        <w:bottom w:val="none" w:sz="0" w:space="0" w:color="auto"/>
        <w:right w:val="none" w:sz="0" w:space="0" w:color="auto"/>
      </w:divBdr>
    </w:div>
    <w:div w:id="1073703005">
      <w:bodyDiv w:val="1"/>
      <w:marLeft w:val="0"/>
      <w:marRight w:val="0"/>
      <w:marTop w:val="0"/>
      <w:marBottom w:val="0"/>
      <w:divBdr>
        <w:top w:val="none" w:sz="0" w:space="0" w:color="auto"/>
        <w:left w:val="none" w:sz="0" w:space="0" w:color="auto"/>
        <w:bottom w:val="none" w:sz="0" w:space="0" w:color="auto"/>
        <w:right w:val="none" w:sz="0" w:space="0" w:color="auto"/>
      </w:divBdr>
    </w:div>
    <w:div w:id="1162770943">
      <w:bodyDiv w:val="1"/>
      <w:marLeft w:val="0"/>
      <w:marRight w:val="0"/>
      <w:marTop w:val="0"/>
      <w:marBottom w:val="0"/>
      <w:divBdr>
        <w:top w:val="none" w:sz="0" w:space="0" w:color="auto"/>
        <w:left w:val="none" w:sz="0" w:space="0" w:color="auto"/>
        <w:bottom w:val="none" w:sz="0" w:space="0" w:color="auto"/>
        <w:right w:val="none" w:sz="0" w:space="0" w:color="auto"/>
      </w:divBdr>
    </w:div>
    <w:div w:id="1162937525">
      <w:bodyDiv w:val="1"/>
      <w:marLeft w:val="0"/>
      <w:marRight w:val="0"/>
      <w:marTop w:val="0"/>
      <w:marBottom w:val="0"/>
      <w:divBdr>
        <w:top w:val="none" w:sz="0" w:space="0" w:color="auto"/>
        <w:left w:val="none" w:sz="0" w:space="0" w:color="auto"/>
        <w:bottom w:val="none" w:sz="0" w:space="0" w:color="auto"/>
        <w:right w:val="none" w:sz="0" w:space="0" w:color="auto"/>
      </w:divBdr>
    </w:div>
    <w:div w:id="1188331396">
      <w:bodyDiv w:val="1"/>
      <w:marLeft w:val="0"/>
      <w:marRight w:val="0"/>
      <w:marTop w:val="0"/>
      <w:marBottom w:val="0"/>
      <w:divBdr>
        <w:top w:val="none" w:sz="0" w:space="0" w:color="auto"/>
        <w:left w:val="none" w:sz="0" w:space="0" w:color="auto"/>
        <w:bottom w:val="none" w:sz="0" w:space="0" w:color="auto"/>
        <w:right w:val="none" w:sz="0" w:space="0" w:color="auto"/>
      </w:divBdr>
    </w:div>
    <w:div w:id="1244410987">
      <w:bodyDiv w:val="1"/>
      <w:marLeft w:val="0"/>
      <w:marRight w:val="0"/>
      <w:marTop w:val="0"/>
      <w:marBottom w:val="0"/>
      <w:divBdr>
        <w:top w:val="none" w:sz="0" w:space="0" w:color="auto"/>
        <w:left w:val="none" w:sz="0" w:space="0" w:color="auto"/>
        <w:bottom w:val="none" w:sz="0" w:space="0" w:color="auto"/>
        <w:right w:val="none" w:sz="0" w:space="0" w:color="auto"/>
      </w:divBdr>
    </w:div>
    <w:div w:id="1284772335">
      <w:bodyDiv w:val="1"/>
      <w:marLeft w:val="0"/>
      <w:marRight w:val="0"/>
      <w:marTop w:val="0"/>
      <w:marBottom w:val="0"/>
      <w:divBdr>
        <w:top w:val="none" w:sz="0" w:space="0" w:color="auto"/>
        <w:left w:val="none" w:sz="0" w:space="0" w:color="auto"/>
        <w:bottom w:val="none" w:sz="0" w:space="0" w:color="auto"/>
        <w:right w:val="none" w:sz="0" w:space="0" w:color="auto"/>
      </w:divBdr>
    </w:div>
    <w:div w:id="1349136102">
      <w:bodyDiv w:val="1"/>
      <w:marLeft w:val="0"/>
      <w:marRight w:val="0"/>
      <w:marTop w:val="0"/>
      <w:marBottom w:val="0"/>
      <w:divBdr>
        <w:top w:val="none" w:sz="0" w:space="0" w:color="auto"/>
        <w:left w:val="none" w:sz="0" w:space="0" w:color="auto"/>
        <w:bottom w:val="none" w:sz="0" w:space="0" w:color="auto"/>
        <w:right w:val="none" w:sz="0" w:space="0" w:color="auto"/>
      </w:divBdr>
    </w:div>
    <w:div w:id="1379476639">
      <w:bodyDiv w:val="1"/>
      <w:marLeft w:val="0"/>
      <w:marRight w:val="0"/>
      <w:marTop w:val="0"/>
      <w:marBottom w:val="0"/>
      <w:divBdr>
        <w:top w:val="none" w:sz="0" w:space="0" w:color="auto"/>
        <w:left w:val="none" w:sz="0" w:space="0" w:color="auto"/>
        <w:bottom w:val="none" w:sz="0" w:space="0" w:color="auto"/>
        <w:right w:val="none" w:sz="0" w:space="0" w:color="auto"/>
      </w:divBdr>
    </w:div>
    <w:div w:id="1395348643">
      <w:bodyDiv w:val="1"/>
      <w:marLeft w:val="0"/>
      <w:marRight w:val="0"/>
      <w:marTop w:val="0"/>
      <w:marBottom w:val="0"/>
      <w:divBdr>
        <w:top w:val="none" w:sz="0" w:space="0" w:color="auto"/>
        <w:left w:val="none" w:sz="0" w:space="0" w:color="auto"/>
        <w:bottom w:val="none" w:sz="0" w:space="0" w:color="auto"/>
        <w:right w:val="none" w:sz="0" w:space="0" w:color="auto"/>
      </w:divBdr>
    </w:div>
    <w:div w:id="1475100329">
      <w:bodyDiv w:val="1"/>
      <w:marLeft w:val="0"/>
      <w:marRight w:val="0"/>
      <w:marTop w:val="0"/>
      <w:marBottom w:val="0"/>
      <w:divBdr>
        <w:top w:val="none" w:sz="0" w:space="0" w:color="auto"/>
        <w:left w:val="none" w:sz="0" w:space="0" w:color="auto"/>
        <w:bottom w:val="none" w:sz="0" w:space="0" w:color="auto"/>
        <w:right w:val="none" w:sz="0" w:space="0" w:color="auto"/>
      </w:divBdr>
    </w:div>
    <w:div w:id="1542743145">
      <w:bodyDiv w:val="1"/>
      <w:marLeft w:val="0"/>
      <w:marRight w:val="0"/>
      <w:marTop w:val="0"/>
      <w:marBottom w:val="0"/>
      <w:divBdr>
        <w:top w:val="none" w:sz="0" w:space="0" w:color="auto"/>
        <w:left w:val="none" w:sz="0" w:space="0" w:color="auto"/>
        <w:bottom w:val="none" w:sz="0" w:space="0" w:color="auto"/>
        <w:right w:val="none" w:sz="0" w:space="0" w:color="auto"/>
      </w:divBdr>
    </w:div>
    <w:div w:id="1685014028">
      <w:bodyDiv w:val="1"/>
      <w:marLeft w:val="0"/>
      <w:marRight w:val="0"/>
      <w:marTop w:val="0"/>
      <w:marBottom w:val="0"/>
      <w:divBdr>
        <w:top w:val="none" w:sz="0" w:space="0" w:color="auto"/>
        <w:left w:val="none" w:sz="0" w:space="0" w:color="auto"/>
        <w:bottom w:val="none" w:sz="0" w:space="0" w:color="auto"/>
        <w:right w:val="none" w:sz="0" w:space="0" w:color="auto"/>
      </w:divBdr>
    </w:div>
    <w:div w:id="1699160106">
      <w:bodyDiv w:val="1"/>
      <w:marLeft w:val="0"/>
      <w:marRight w:val="0"/>
      <w:marTop w:val="0"/>
      <w:marBottom w:val="0"/>
      <w:divBdr>
        <w:top w:val="none" w:sz="0" w:space="0" w:color="auto"/>
        <w:left w:val="none" w:sz="0" w:space="0" w:color="auto"/>
        <w:bottom w:val="none" w:sz="0" w:space="0" w:color="auto"/>
        <w:right w:val="none" w:sz="0" w:space="0" w:color="auto"/>
      </w:divBdr>
    </w:div>
    <w:div w:id="1713965797">
      <w:bodyDiv w:val="1"/>
      <w:marLeft w:val="0"/>
      <w:marRight w:val="0"/>
      <w:marTop w:val="0"/>
      <w:marBottom w:val="0"/>
      <w:divBdr>
        <w:top w:val="none" w:sz="0" w:space="0" w:color="auto"/>
        <w:left w:val="none" w:sz="0" w:space="0" w:color="auto"/>
        <w:bottom w:val="none" w:sz="0" w:space="0" w:color="auto"/>
        <w:right w:val="none" w:sz="0" w:space="0" w:color="auto"/>
      </w:divBdr>
    </w:div>
    <w:div w:id="1722050514">
      <w:bodyDiv w:val="1"/>
      <w:marLeft w:val="0"/>
      <w:marRight w:val="0"/>
      <w:marTop w:val="0"/>
      <w:marBottom w:val="0"/>
      <w:divBdr>
        <w:top w:val="none" w:sz="0" w:space="0" w:color="auto"/>
        <w:left w:val="none" w:sz="0" w:space="0" w:color="auto"/>
        <w:bottom w:val="none" w:sz="0" w:space="0" w:color="auto"/>
        <w:right w:val="none" w:sz="0" w:space="0" w:color="auto"/>
      </w:divBdr>
    </w:div>
    <w:div w:id="1794397468">
      <w:bodyDiv w:val="1"/>
      <w:marLeft w:val="0"/>
      <w:marRight w:val="0"/>
      <w:marTop w:val="0"/>
      <w:marBottom w:val="0"/>
      <w:divBdr>
        <w:top w:val="none" w:sz="0" w:space="0" w:color="auto"/>
        <w:left w:val="none" w:sz="0" w:space="0" w:color="auto"/>
        <w:bottom w:val="none" w:sz="0" w:space="0" w:color="auto"/>
        <w:right w:val="none" w:sz="0" w:space="0" w:color="auto"/>
      </w:divBdr>
    </w:div>
    <w:div w:id="1801803285">
      <w:bodyDiv w:val="1"/>
      <w:marLeft w:val="0"/>
      <w:marRight w:val="0"/>
      <w:marTop w:val="0"/>
      <w:marBottom w:val="0"/>
      <w:divBdr>
        <w:top w:val="none" w:sz="0" w:space="0" w:color="auto"/>
        <w:left w:val="none" w:sz="0" w:space="0" w:color="auto"/>
        <w:bottom w:val="none" w:sz="0" w:space="0" w:color="auto"/>
        <w:right w:val="none" w:sz="0" w:space="0" w:color="auto"/>
      </w:divBdr>
    </w:div>
    <w:div w:id="1871723495">
      <w:bodyDiv w:val="1"/>
      <w:marLeft w:val="0"/>
      <w:marRight w:val="0"/>
      <w:marTop w:val="0"/>
      <w:marBottom w:val="0"/>
      <w:divBdr>
        <w:top w:val="none" w:sz="0" w:space="0" w:color="auto"/>
        <w:left w:val="none" w:sz="0" w:space="0" w:color="auto"/>
        <w:bottom w:val="none" w:sz="0" w:space="0" w:color="auto"/>
        <w:right w:val="none" w:sz="0" w:space="0" w:color="auto"/>
      </w:divBdr>
    </w:div>
    <w:div w:id="1940481410">
      <w:bodyDiv w:val="1"/>
      <w:marLeft w:val="0"/>
      <w:marRight w:val="0"/>
      <w:marTop w:val="0"/>
      <w:marBottom w:val="0"/>
      <w:divBdr>
        <w:top w:val="none" w:sz="0" w:space="0" w:color="auto"/>
        <w:left w:val="none" w:sz="0" w:space="0" w:color="auto"/>
        <w:bottom w:val="none" w:sz="0" w:space="0" w:color="auto"/>
        <w:right w:val="none" w:sz="0" w:space="0" w:color="auto"/>
      </w:divBdr>
    </w:div>
    <w:div w:id="2008168421">
      <w:bodyDiv w:val="1"/>
      <w:marLeft w:val="0"/>
      <w:marRight w:val="0"/>
      <w:marTop w:val="0"/>
      <w:marBottom w:val="0"/>
      <w:divBdr>
        <w:top w:val="none" w:sz="0" w:space="0" w:color="auto"/>
        <w:left w:val="none" w:sz="0" w:space="0" w:color="auto"/>
        <w:bottom w:val="none" w:sz="0" w:space="0" w:color="auto"/>
        <w:right w:val="none" w:sz="0" w:space="0" w:color="auto"/>
      </w:divBdr>
    </w:div>
    <w:div w:id="2038651879">
      <w:bodyDiv w:val="1"/>
      <w:marLeft w:val="0"/>
      <w:marRight w:val="0"/>
      <w:marTop w:val="0"/>
      <w:marBottom w:val="0"/>
      <w:divBdr>
        <w:top w:val="none" w:sz="0" w:space="0" w:color="auto"/>
        <w:left w:val="none" w:sz="0" w:space="0" w:color="auto"/>
        <w:bottom w:val="none" w:sz="0" w:space="0" w:color="auto"/>
        <w:right w:val="none" w:sz="0" w:space="0" w:color="auto"/>
      </w:divBdr>
    </w:div>
    <w:div w:id="2053535965">
      <w:bodyDiv w:val="1"/>
      <w:marLeft w:val="0"/>
      <w:marRight w:val="0"/>
      <w:marTop w:val="0"/>
      <w:marBottom w:val="0"/>
      <w:divBdr>
        <w:top w:val="none" w:sz="0" w:space="0" w:color="auto"/>
        <w:left w:val="none" w:sz="0" w:space="0" w:color="auto"/>
        <w:bottom w:val="none" w:sz="0" w:space="0" w:color="auto"/>
        <w:right w:val="none" w:sz="0" w:space="0" w:color="auto"/>
      </w:divBdr>
    </w:div>
    <w:div w:id="214619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anka.moravkova@czso.cz" TargetMode="External"/><Relationship Id="rId13" Type="http://schemas.openxmlformats.org/officeDocument/2006/relationships/image" Target="media/image1.jpeg"/><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8.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chart" Target="charts/chart19.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oravkova5238\Desktop\ANALYZA%20ZPUSOB%20BYDLEN&#205;\osoby%20z%20df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oravkova5238\Plocha\ANALYZA%20ZPUSOB%20BYDLEN&#205;\TABULKY%20PRILOHA\STOBC_DRUHDO_TYPHD_POH&#366;_KRAJ.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oravkova5238\Plocha\ANALYZA%20ZPUSOB%20BYDLEN&#205;\TABULKY%20PRILOHA\STOBC_DRUHDO_TYPHD_POH&#366;_KRAJ.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oravkova5238\Desktop\ANALYZA%20ZPUSOB%20BYDLEN&#205;\mimo%20byt\osoby_mimo_byt_druhdom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oravkova5238\Desktop\ANALYZA%20ZPUSOB%20BYDLEN&#205;\TABULKY%20PRILOHA\bezdom_MS_TP_kraj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oravkova5238\Desktop\ANALYZA%20ZPUSOB%20BYDLEN&#205;\bezdomovci\grafy%20bez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oravkova5238\Desktop\ANALYZA%20ZPUSOB%20BYDLEN&#205;\bezdomovci\grafy%20bez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oravkova5238\Desktop\ANALYZA%20ZPUSOB%20BYDLEN&#205;\TABULKY%20PRILOHA\NARODNOST_MATERJAZ.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oravkova5238\Desktop\ANALYZA%20ZPUSOB%20BYDLEN&#205;\TABULKY%20PRILOHA\NARODNOST_MATERJAZ.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ANALYZA%20ZPUSOB%20BYDLEN&#205;\bydlen&#237;cizinc&#367;\GRAF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oravkova5238\Desktop\ANALYZA%20ZPUSOB%20BYDLEN&#205;\bydlen&#237;cizinc&#367;\cizinci%20dle%20se&#269;teni%20souhr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oravkova5238\Desktop\ANALYZA%20ZPUSOB%20BYDLEN&#205;\bydlen&#237;cizinc&#367;\STOBC_DRUHDO_VZDE_E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352;t&#283;p&#225;nka\Desktop\ANALYZA%20ZPUSOB%20BYDLEN&#205;\bydlen&#237;cizinc&#367;\STOBC_bytduvod_TYPHD_bytosob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ravkova5238\Desktop\ANALYZA%20ZPUSOB%20BYDLEN&#205;\BYDLENI%20V%20BYTECH\pduvod%20bytu%20gra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ravkova5238\Desktop\ANALYZA%20ZPUSOB%20BYDLEN&#205;\BYDLENI%20V%20BYTECH\pduvod%20bytu%20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ravkova5238\Desktop\ANALYZA%20ZPUSOB%20BYDLEN&#205;\BYDLENI%20V%20BYTECH\&#269;asov&#225;%20&#345;ada_by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oravkova5238\Desktop\ANALYZA%20ZPUSOB%20BYDLEN&#205;\za&#345;&#237;zen&#237;\domy%20pro%20seniory%20gra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oravkova5238\Desktop\ANALYZA%20ZPUSOB%20BYDLEN&#205;\TABULKY%20PRILOHA\EA_POHLAV_VEK_DRUHDOM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ravkova5238\Desktop\ANALYZA%20ZPUSOB%20BYDLEN&#205;\TABULKY%20PRILOHA\EA_POHLAV_VEK_DRUHDOM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oravkova5238\Plocha\ANALYZA%20ZPUSOB%20BYDLEN&#205;\TABULKY%20PRILOHA\EA_POHLAV_VEK_DRUHDOM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6.8852302553089939E-2"/>
          <c:y val="7.9868969867138928E-2"/>
          <c:w val="0.61465133619661305"/>
          <c:h val="0.8385940710899511"/>
        </c:manualLayout>
      </c:layout>
      <c:pieChart>
        <c:varyColors val="1"/>
        <c:ser>
          <c:idx val="0"/>
          <c:order val="0"/>
          <c:explosion val="13"/>
          <c:dPt>
            <c:idx val="2"/>
            <c:explosion val="22"/>
          </c:dPt>
          <c:dPt>
            <c:idx val="3"/>
            <c:explosion val="4"/>
          </c:dPt>
          <c:dLbls>
            <c:dLbl>
              <c:idx val="0"/>
              <c:layout>
                <c:manualLayout>
                  <c:x val="-6.8801181102362233E-2"/>
                  <c:y val="0.26189924176144647"/>
                </c:manualLayout>
              </c:layout>
              <c:dLblPos val="bestFit"/>
              <c:showPercent val="1"/>
            </c:dLbl>
            <c:dLbl>
              <c:idx val="1"/>
              <c:layout>
                <c:manualLayout>
                  <c:x val="7.2653105861767309E-3"/>
                  <c:y val="1.478638086905798E-2"/>
                </c:manualLayout>
              </c:layout>
              <c:dLblPos val="bestFit"/>
              <c:showPercent val="1"/>
            </c:dLbl>
            <c:dLbl>
              <c:idx val="2"/>
              <c:layout>
                <c:manualLayout>
                  <c:x val="2.4175415573053438E-3"/>
                  <c:y val="-4.6340769903762007E-2"/>
                </c:manualLayout>
              </c:layout>
              <c:dLblPos val="bestFit"/>
              <c:showPercent val="1"/>
            </c:dLbl>
            <c:dLbl>
              <c:idx val="3"/>
              <c:layout>
                <c:manualLayout>
                  <c:x val="7.6100174978127877E-3"/>
                  <c:y val="-2.1470545348498116E-2"/>
                </c:manualLayout>
              </c:layout>
              <c:dLblPos val="bestFit"/>
              <c:showPercent val="1"/>
            </c:dLbl>
            <c:dLblPos val="ctr"/>
            <c:showPercent val="1"/>
            <c:showLeaderLines val="1"/>
          </c:dLbls>
          <c:cat>
            <c:strRef>
              <c:f>List2!$H$5:$H$8</c:f>
              <c:strCache>
                <c:ptCount val="4"/>
                <c:pt idx="0">
                  <c:v>BYT</c:v>
                </c:pt>
                <c:pt idx="1">
                  <c:v>NOUZOVÉ BYDLENÍ</c:v>
                </c:pt>
                <c:pt idx="2">
                  <c:v>REKR CHATA</c:v>
                </c:pt>
                <c:pt idx="3">
                  <c:v>UBYTOVACÍ ZAŘÍZENÍ</c:v>
                </c:pt>
              </c:strCache>
            </c:strRef>
          </c:cat>
          <c:val>
            <c:numRef>
              <c:f>List2!$I$5:$I$8</c:f>
              <c:numCache>
                <c:formatCode>General</c:formatCode>
                <c:ptCount val="4"/>
                <c:pt idx="0">
                  <c:v>303350</c:v>
                </c:pt>
                <c:pt idx="1">
                  <c:v>6981</c:v>
                </c:pt>
                <c:pt idx="2">
                  <c:v>2355</c:v>
                </c:pt>
                <c:pt idx="3">
                  <c:v>41625</c:v>
                </c:pt>
              </c:numCache>
            </c:numRef>
          </c:val>
        </c:ser>
        <c:dLbls>
          <c:showVal val="1"/>
        </c:dLbls>
        <c:firstSliceAng val="294"/>
      </c:pieChart>
    </c:plotArea>
    <c:legend>
      <c:legendPos val="r"/>
      <c:layout>
        <c:manualLayout>
          <c:xMode val="edge"/>
          <c:yMode val="edge"/>
          <c:x val="0.70626521116678664"/>
          <c:y val="0.2624753301186189"/>
          <c:w val="0.28817913385826782"/>
          <c:h val="0.49163034853201476"/>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Osoby celkem </a:t>
            </a:r>
          </a:p>
        </c:rich>
      </c:tx>
      <c:layout>
        <c:manualLayout>
          <c:xMode val="edge"/>
          <c:yMode val="edge"/>
          <c:x val="2.3894197691308003E-2"/>
          <c:y val="3.2786734991459399E-2"/>
        </c:manualLayout>
      </c:layout>
    </c:title>
    <c:plotArea>
      <c:layout>
        <c:manualLayout>
          <c:layoutTarget val="inner"/>
          <c:xMode val="edge"/>
          <c:yMode val="edge"/>
          <c:x val="6.9437097061897213E-2"/>
          <c:y val="0.25333806634826644"/>
          <c:w val="0.57156032748012797"/>
          <c:h val="0.69845637695499252"/>
        </c:manualLayout>
      </c:layout>
      <c:pieChart>
        <c:varyColors val="1"/>
        <c:ser>
          <c:idx val="0"/>
          <c:order val="0"/>
          <c:dPt>
            <c:idx val="4"/>
            <c:spPr>
              <a:solidFill>
                <a:srgbClr val="F79646">
                  <a:lumMod val="60000"/>
                  <a:lumOff val="40000"/>
                </a:srgbClr>
              </a:solidFill>
            </c:spPr>
          </c:dPt>
          <c:cat>
            <c:strRef>
              <c:f>List2!$E$44:$E$48</c:f>
              <c:strCache>
                <c:ptCount val="5"/>
                <c:pt idx="0">
                  <c:v>jednotlivec</c:v>
                </c:pt>
                <c:pt idx="1">
                  <c:v>úplná rodina</c:v>
                </c:pt>
                <c:pt idx="2">
                  <c:v>neúplná rodina </c:v>
                </c:pt>
                <c:pt idx="3">
                  <c:v>nerodinné domácnosti</c:v>
                </c:pt>
                <c:pt idx="4">
                  <c:v>ostatní</c:v>
                </c:pt>
              </c:strCache>
            </c:strRef>
          </c:cat>
          <c:val>
            <c:numRef>
              <c:f>List2!$F$44:$F$48</c:f>
              <c:numCache>
                <c:formatCode>General</c:formatCode>
                <c:ptCount val="5"/>
                <c:pt idx="0">
                  <c:v>13.9</c:v>
                </c:pt>
                <c:pt idx="1">
                  <c:v>62.5</c:v>
                </c:pt>
                <c:pt idx="2">
                  <c:v>14.6</c:v>
                </c:pt>
                <c:pt idx="3">
                  <c:v>5.4</c:v>
                </c:pt>
                <c:pt idx="4">
                  <c:v>3.5999999999999943</c:v>
                </c:pt>
              </c:numCache>
            </c:numRef>
          </c:val>
        </c:ser>
        <c:firstSliceAng val="0"/>
      </c:pieChart>
    </c:plotArea>
    <c:legend>
      <c:legendPos val="r"/>
      <c:layout>
        <c:manualLayout>
          <c:xMode val="edge"/>
          <c:yMode val="edge"/>
          <c:x val="0.70046674398258357"/>
          <c:y val="0.36655293088363988"/>
          <c:w val="0.27886142139209696"/>
          <c:h val="0.58254228638086858"/>
        </c:manualLayout>
      </c:layout>
    </c:legend>
    <c:plotVisOnly val="1"/>
  </c:chart>
  <c:spPr>
    <a:ln>
      <a:solidFill>
        <a:sysClr val="windowText" lastClr="00000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Osoby  v rekreačních objektech</a:t>
            </a:r>
          </a:p>
        </c:rich>
      </c:tx>
      <c:layout>
        <c:manualLayout>
          <c:xMode val="edge"/>
          <c:yMode val="edge"/>
          <c:x val="1.6050955414012778E-2"/>
          <c:y val="3.2308985092278482E-2"/>
        </c:manualLayout>
      </c:layout>
    </c:title>
    <c:plotArea>
      <c:layout>
        <c:manualLayout>
          <c:layoutTarget val="inner"/>
          <c:xMode val="edge"/>
          <c:yMode val="edge"/>
          <c:x val="3.9641307860119504E-2"/>
          <c:y val="0.24476195683873017"/>
          <c:w val="0.5807979828589892"/>
          <c:h val="0.72109105422012421"/>
        </c:manualLayout>
      </c:layout>
      <c:pieChart>
        <c:varyColors val="1"/>
        <c:ser>
          <c:idx val="0"/>
          <c:order val="0"/>
          <c:dPt>
            <c:idx val="0"/>
            <c:spPr>
              <a:solidFill>
                <a:schemeClr val="accent1"/>
              </a:solidFill>
            </c:spPr>
          </c:dPt>
          <c:dPt>
            <c:idx val="4"/>
            <c:spPr>
              <a:solidFill>
                <a:srgbClr val="F79646">
                  <a:lumMod val="60000"/>
                  <a:lumOff val="40000"/>
                </a:srgbClr>
              </a:solidFill>
            </c:spPr>
          </c:dPt>
          <c:cat>
            <c:strRef>
              <c:f>List2!$A$44:$A$48</c:f>
              <c:strCache>
                <c:ptCount val="5"/>
                <c:pt idx="0">
                  <c:v>jednotlivec</c:v>
                </c:pt>
                <c:pt idx="1">
                  <c:v>úplná rodina</c:v>
                </c:pt>
                <c:pt idx="2">
                  <c:v>neúplná rodina </c:v>
                </c:pt>
                <c:pt idx="3">
                  <c:v>nerodinné domácnosti</c:v>
                </c:pt>
                <c:pt idx="4">
                  <c:v>ostatní</c:v>
                </c:pt>
              </c:strCache>
            </c:strRef>
          </c:cat>
          <c:val>
            <c:numRef>
              <c:f>List2!$B$44:$B$48</c:f>
              <c:numCache>
                <c:formatCode>General</c:formatCode>
                <c:ptCount val="5"/>
                <c:pt idx="0">
                  <c:v>25.4</c:v>
                </c:pt>
                <c:pt idx="1">
                  <c:v>49.7</c:v>
                </c:pt>
                <c:pt idx="2">
                  <c:v>14.5</c:v>
                </c:pt>
                <c:pt idx="3">
                  <c:v>9.3000000000000007</c:v>
                </c:pt>
                <c:pt idx="4">
                  <c:v>1.0999999999999774</c:v>
                </c:pt>
              </c:numCache>
            </c:numRef>
          </c:val>
        </c:ser>
        <c:firstSliceAng val="0"/>
      </c:pieChart>
    </c:plotArea>
    <c:legend>
      <c:legendPos val="r"/>
      <c:layout>
        <c:manualLayout>
          <c:xMode val="edge"/>
          <c:yMode val="edge"/>
          <c:x val="0.68428506946185852"/>
          <c:y val="0.34554625335865008"/>
          <c:w val="0.29248808867045067"/>
          <c:h val="0.58099115080970609"/>
        </c:manualLayout>
      </c:layout>
    </c:legend>
    <c:plotVisOnly val="1"/>
  </c:chart>
  <c:spPr>
    <a:ln>
      <a:solidFill>
        <a:sysClr val="windowText" lastClr="000000"/>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7.4125546806649178E-2"/>
          <c:y val="0.10185185185185186"/>
          <c:w val="0.53888888888888964"/>
          <c:h val="0.89814814814814814"/>
        </c:manualLayout>
      </c:layout>
      <c:pieChart>
        <c:varyColors val="1"/>
        <c:ser>
          <c:idx val="0"/>
          <c:order val="0"/>
          <c:explosion val="5"/>
          <c:dPt>
            <c:idx val="3"/>
            <c:explosion val="13"/>
          </c:dPt>
          <c:dPt>
            <c:idx val="5"/>
            <c:explosion val="13"/>
          </c:dPt>
          <c:dLbls>
            <c:dLbl>
              <c:idx val="0"/>
              <c:layout>
                <c:manualLayout>
                  <c:x val="-1.863451443569554E-2"/>
                  <c:y val="3.4394613716763681E-2"/>
                </c:manualLayout>
              </c:layout>
              <c:showPercent val="1"/>
            </c:dLbl>
            <c:dLbl>
              <c:idx val="1"/>
              <c:layout>
                <c:manualLayout>
                  <c:x val="-2.5467410323709611E-2"/>
                  <c:y val="4.8054645343245161E-2"/>
                </c:manualLayout>
              </c:layout>
              <c:showPercent val="1"/>
            </c:dLbl>
            <c:dLbl>
              <c:idx val="2"/>
              <c:layout>
                <c:manualLayout>
                  <c:x val="3.2751312335958002E-2"/>
                  <c:y val="2.1508289724653996E-2"/>
                </c:manualLayout>
              </c:layout>
              <c:showPercent val="1"/>
            </c:dLbl>
            <c:dLbl>
              <c:idx val="3"/>
              <c:layout>
                <c:manualLayout>
                  <c:x val="2.4694444444444439E-2"/>
                  <c:y val="5.2393668182781857E-2"/>
                </c:manualLayout>
              </c:layout>
              <c:showPercent val="1"/>
            </c:dLbl>
            <c:dLbl>
              <c:idx val="4"/>
              <c:layout>
                <c:manualLayout>
                  <c:x val="1.7753062117235346E-2"/>
                  <c:y val="5.3758497579107023E-3"/>
                </c:manualLayout>
              </c:layout>
              <c:showPercent val="1"/>
            </c:dLbl>
            <c:dLbl>
              <c:idx val="5"/>
              <c:layout>
                <c:manualLayout>
                  <c:x val="2.7812554680665048E-2"/>
                  <c:y val="-4.8450465430951569E-3"/>
                </c:manualLayout>
              </c:layout>
              <c:showPercent val="1"/>
            </c:dLbl>
            <c:showPercent val="1"/>
            <c:showLeaderLines val="1"/>
          </c:dLbls>
          <c:cat>
            <c:strRef>
              <c:f>List2!$L$40:$L$45</c:f>
              <c:strCache>
                <c:ptCount val="6"/>
                <c:pt idx="0">
                  <c:v>obytné domy</c:v>
                </c:pt>
                <c:pt idx="1">
                  <c:v>provozní budovy</c:v>
                </c:pt>
                <c:pt idx="2">
                  <c:v>obecní úřady</c:v>
                </c:pt>
                <c:pt idx="3">
                  <c:v>ubytovny</c:v>
                </c:pt>
                <c:pt idx="4">
                  <c:v>hotely, motely</c:v>
                </c:pt>
                <c:pt idx="5">
                  <c:v>ostatní</c:v>
                </c:pt>
              </c:strCache>
            </c:strRef>
          </c:cat>
          <c:val>
            <c:numRef>
              <c:f>List2!$M$40:$M$45</c:f>
              <c:numCache>
                <c:formatCode>0.0</c:formatCode>
                <c:ptCount val="6"/>
                <c:pt idx="0">
                  <c:v>14.906813132559863</c:v>
                </c:pt>
                <c:pt idx="1">
                  <c:v>60.7</c:v>
                </c:pt>
                <c:pt idx="2" formatCode="General">
                  <c:v>8.1</c:v>
                </c:pt>
                <c:pt idx="3" formatCode="General">
                  <c:v>6.4</c:v>
                </c:pt>
                <c:pt idx="4" formatCode="General">
                  <c:v>5.6</c:v>
                </c:pt>
                <c:pt idx="5" formatCode="General">
                  <c:v>4.3</c:v>
                </c:pt>
              </c:numCache>
            </c:numRef>
          </c:val>
        </c:ser>
        <c:firstSliceAng val="312"/>
      </c:pie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12"/>
  <c:chart>
    <c:autoTitleDeleted val="1"/>
    <c:plotArea>
      <c:layout>
        <c:manualLayout>
          <c:layoutTarget val="inner"/>
          <c:xMode val="edge"/>
          <c:yMode val="edge"/>
          <c:x val="0.26134566477085386"/>
          <c:y val="4.2202186840590898E-2"/>
          <c:w val="0.59857989790400168"/>
          <c:h val="0.86168558011391871"/>
        </c:manualLayout>
      </c:layout>
      <c:barChart>
        <c:barDir val="bar"/>
        <c:grouping val="percentStacked"/>
        <c:ser>
          <c:idx val="0"/>
          <c:order val="0"/>
          <c:tx>
            <c:strRef>
              <c:f>List1!$AK$7</c:f>
              <c:strCache>
                <c:ptCount val="1"/>
                <c:pt idx="0">
                  <c:v>shoda</c:v>
                </c:pt>
              </c:strCache>
            </c:strRef>
          </c:tx>
          <c:cat>
            <c:strRef>
              <c:f>List1!$AJ$8:$AJ$21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 město Praha</c:v>
                </c:pt>
              </c:strCache>
            </c:strRef>
          </c:cat>
          <c:val>
            <c:numRef>
              <c:f>List1!$AK$8:$AK$21</c:f>
              <c:numCache>
                <c:formatCode>0.0</c:formatCode>
                <c:ptCount val="14"/>
                <c:pt idx="0">
                  <c:v>95.571095571095569</c:v>
                </c:pt>
                <c:pt idx="1">
                  <c:v>90.356671070013178</c:v>
                </c:pt>
                <c:pt idx="2">
                  <c:v>92.449177153920559</c:v>
                </c:pt>
                <c:pt idx="3">
                  <c:v>92.214532871972324</c:v>
                </c:pt>
                <c:pt idx="4">
                  <c:v>85.558583106267008</c:v>
                </c:pt>
                <c:pt idx="5">
                  <c:v>92.364990689013212</c:v>
                </c:pt>
                <c:pt idx="6">
                  <c:v>85.438972162740754</c:v>
                </c:pt>
                <c:pt idx="7">
                  <c:v>87.022900763358749</c:v>
                </c:pt>
                <c:pt idx="8">
                  <c:v>89.405940594059388</c:v>
                </c:pt>
                <c:pt idx="9">
                  <c:v>91.406250000000099</c:v>
                </c:pt>
                <c:pt idx="10">
                  <c:v>78.529411764705884</c:v>
                </c:pt>
                <c:pt idx="11">
                  <c:v>94.328922495274099</c:v>
                </c:pt>
                <c:pt idx="12">
                  <c:v>88.364779874213838</c:v>
                </c:pt>
                <c:pt idx="13">
                  <c:v>62.679425837320579</c:v>
                </c:pt>
              </c:numCache>
            </c:numRef>
          </c:val>
        </c:ser>
        <c:ser>
          <c:idx val="1"/>
          <c:order val="1"/>
          <c:tx>
            <c:strRef>
              <c:f>List1!$AL$7</c:f>
              <c:strCache>
                <c:ptCount val="1"/>
                <c:pt idx="0">
                  <c:v>neshoda</c:v>
                </c:pt>
              </c:strCache>
            </c:strRef>
          </c:tx>
          <c:cat>
            <c:strRef>
              <c:f>List1!$AJ$8:$AJ$21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 město Praha</c:v>
                </c:pt>
              </c:strCache>
            </c:strRef>
          </c:cat>
          <c:val>
            <c:numRef>
              <c:f>List1!$AL$8:$AL$21</c:f>
              <c:numCache>
                <c:formatCode>0.0</c:formatCode>
                <c:ptCount val="14"/>
                <c:pt idx="0">
                  <c:v>4.4289044289044295</c:v>
                </c:pt>
                <c:pt idx="1">
                  <c:v>9.6433289299867919</c:v>
                </c:pt>
                <c:pt idx="2">
                  <c:v>7.5508228460793845</c:v>
                </c:pt>
                <c:pt idx="3">
                  <c:v>7.7854671280276824</c:v>
                </c:pt>
                <c:pt idx="4">
                  <c:v>14.441416893732979</c:v>
                </c:pt>
                <c:pt idx="5">
                  <c:v>7.6350093109869555</c:v>
                </c:pt>
                <c:pt idx="6">
                  <c:v>14.561027837259104</c:v>
                </c:pt>
                <c:pt idx="7">
                  <c:v>12.97709923664125</c:v>
                </c:pt>
                <c:pt idx="8">
                  <c:v>10.594059405940598</c:v>
                </c:pt>
                <c:pt idx="9">
                  <c:v>8.59375</c:v>
                </c:pt>
                <c:pt idx="10">
                  <c:v>21.470588235294116</c:v>
                </c:pt>
                <c:pt idx="11">
                  <c:v>5.6710775047259006</c:v>
                </c:pt>
                <c:pt idx="12">
                  <c:v>11.63522012578615</c:v>
                </c:pt>
                <c:pt idx="13">
                  <c:v>37.320574162679421</c:v>
                </c:pt>
              </c:numCache>
            </c:numRef>
          </c:val>
        </c:ser>
        <c:gapWidth val="50"/>
        <c:overlap val="100"/>
        <c:axId val="106231296"/>
        <c:axId val="106233216"/>
      </c:barChart>
      <c:catAx>
        <c:axId val="106231296"/>
        <c:scaling>
          <c:orientation val="minMax"/>
        </c:scaling>
        <c:axPos val="l"/>
        <c:title>
          <c:tx>
            <c:rich>
              <a:bodyPr rot="-5400000" vert="horz"/>
              <a:lstStyle/>
              <a:p>
                <a:pPr>
                  <a:defRPr/>
                </a:pPr>
                <a:r>
                  <a:rPr lang="en-US" b="0"/>
                  <a:t>Kraj obvyklého</a:t>
                </a:r>
                <a:r>
                  <a:rPr lang="cs-CZ" b="0"/>
                  <a:t> a</a:t>
                </a:r>
                <a:r>
                  <a:rPr lang="en-US" b="0"/>
                  <a:t> trvalého pobytu</a:t>
                </a:r>
              </a:p>
            </c:rich>
          </c:tx>
        </c:title>
        <c:tickLblPos val="nextTo"/>
        <c:crossAx val="106233216"/>
        <c:crosses val="autoZero"/>
        <c:auto val="1"/>
        <c:lblAlgn val="ctr"/>
        <c:lblOffset val="100"/>
      </c:catAx>
      <c:valAx>
        <c:axId val="106233216"/>
        <c:scaling>
          <c:orientation val="minMax"/>
        </c:scaling>
        <c:axPos val="b"/>
        <c:majorGridlines/>
        <c:numFmt formatCode="0%" sourceLinked="1"/>
        <c:tickLblPos val="nextTo"/>
        <c:crossAx val="106231296"/>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9.2328587866344639E-2"/>
          <c:y val="9.4235688893318709E-2"/>
          <c:w val="0.61014095460289974"/>
          <c:h val="0.85801071741032375"/>
        </c:manualLayout>
      </c:layout>
      <c:pieChart>
        <c:varyColors val="1"/>
        <c:ser>
          <c:idx val="0"/>
          <c:order val="0"/>
          <c:dPt>
            <c:idx val="0"/>
            <c:explosion val="6"/>
          </c:dPt>
          <c:dPt>
            <c:idx val="1"/>
            <c:spPr>
              <a:solidFill>
                <a:schemeClr val="tx2">
                  <a:lumMod val="20000"/>
                  <a:lumOff val="80000"/>
                </a:schemeClr>
              </a:solidFill>
            </c:spPr>
          </c:dPt>
          <c:dPt>
            <c:idx val="2"/>
            <c:explosion val="3"/>
          </c:dPt>
          <c:dPt>
            <c:idx val="3"/>
            <c:spPr>
              <a:solidFill>
                <a:schemeClr val="accent3">
                  <a:lumMod val="40000"/>
                  <a:lumOff val="60000"/>
                </a:schemeClr>
              </a:solidFill>
            </c:spPr>
          </c:dPt>
          <c:dPt>
            <c:idx val="4"/>
            <c:explosion val="3"/>
            <c:spPr>
              <a:solidFill>
                <a:schemeClr val="accent2">
                  <a:lumMod val="75000"/>
                </a:schemeClr>
              </a:solidFill>
            </c:spPr>
          </c:dPt>
          <c:dPt>
            <c:idx val="5"/>
            <c:explosion val="13"/>
            <c:spPr>
              <a:solidFill>
                <a:schemeClr val="accent2">
                  <a:lumMod val="40000"/>
                  <a:lumOff val="60000"/>
                </a:schemeClr>
              </a:solidFill>
            </c:spPr>
          </c:dPt>
          <c:dLbls>
            <c:dLbl>
              <c:idx val="0"/>
              <c:layout>
                <c:manualLayout>
                  <c:x val="4.903789605095938E-2"/>
                  <c:y val="1.1575135386557734E-3"/>
                </c:manualLayout>
              </c:layout>
              <c:showPercent val="1"/>
            </c:dLbl>
            <c:dLbl>
              <c:idx val="1"/>
              <c:layout>
                <c:manualLayout>
                  <c:x val="-1.9217782962314897E-2"/>
                  <c:y val="3.2170457859434239E-2"/>
                </c:manualLayout>
              </c:layout>
              <c:showPercent val="1"/>
            </c:dLbl>
            <c:dLbl>
              <c:idx val="2"/>
              <c:layout>
                <c:manualLayout>
                  <c:x val="-3.7514273678753277E-2"/>
                  <c:y val="2.4924905220180808E-2"/>
                </c:manualLayout>
              </c:layout>
              <c:showPercent val="1"/>
            </c:dLbl>
            <c:dLbl>
              <c:idx val="3"/>
              <c:layout>
                <c:manualLayout>
                  <c:x val="4.6419753086419753E-3"/>
                  <c:y val="-2.2287109944590291E-2"/>
                </c:manualLayout>
              </c:layout>
              <c:showPercent val="1"/>
            </c:dLbl>
            <c:dLbl>
              <c:idx val="4"/>
              <c:layout>
                <c:manualLayout>
                  <c:x val="2.9908039272868669E-2"/>
                  <c:y val="-2.5300379119276812E-2"/>
                </c:manualLayout>
              </c:layout>
              <c:showPercent val="1"/>
            </c:dLbl>
            <c:dLbl>
              <c:idx val="5"/>
              <c:layout>
                <c:manualLayout>
                  <c:x val="-4.8445481351868103E-2"/>
                  <c:y val="4.6296296296296476E-3"/>
                </c:manualLayout>
              </c:layout>
              <c:showPercent val="1"/>
            </c:dLbl>
            <c:showPercent val="1"/>
            <c:showLeaderLines val="1"/>
          </c:dLbls>
          <c:cat>
            <c:strRef>
              <c:f>věk!$G$3:$G$8</c:f>
              <c:strCache>
                <c:ptCount val="6"/>
                <c:pt idx="0">
                  <c:v>0-14</c:v>
                </c:pt>
                <c:pt idx="1">
                  <c:v>15-29</c:v>
                </c:pt>
                <c:pt idx="2">
                  <c:v>30-39</c:v>
                </c:pt>
                <c:pt idx="3">
                  <c:v>40-49</c:v>
                </c:pt>
                <c:pt idx="4">
                  <c:v>50-64</c:v>
                </c:pt>
                <c:pt idx="5">
                  <c:v>65 a více</c:v>
                </c:pt>
              </c:strCache>
            </c:strRef>
          </c:cat>
          <c:val>
            <c:numRef>
              <c:f>věk!$H$3:$H$8</c:f>
              <c:numCache>
                <c:formatCode>General</c:formatCode>
                <c:ptCount val="6"/>
                <c:pt idx="0">
                  <c:v>397</c:v>
                </c:pt>
                <c:pt idx="1">
                  <c:v>2428</c:v>
                </c:pt>
                <c:pt idx="2">
                  <c:v>2500</c:v>
                </c:pt>
                <c:pt idx="3">
                  <c:v>2558</c:v>
                </c:pt>
                <c:pt idx="4">
                  <c:v>3111</c:v>
                </c:pt>
                <c:pt idx="5">
                  <c:v>502</c:v>
                </c:pt>
              </c:numCache>
            </c:numRef>
          </c:val>
        </c:ser>
        <c:firstSliceAng val="0"/>
      </c:pieChart>
    </c:plotArea>
    <c:legend>
      <c:legendPos val="r"/>
      <c:layout>
        <c:manualLayout>
          <c:xMode val="edge"/>
          <c:yMode val="edge"/>
          <c:x val="0.79664871520689773"/>
          <c:y val="0.16082704851766946"/>
          <c:w val="0.17267334175820614"/>
          <c:h val="0.73296432882598539"/>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3.2000699912510942E-2"/>
          <c:y val="0.10212962962962972"/>
          <c:w val="0.54204444444444599"/>
          <c:h val="0.84694444444444661"/>
        </c:manualLayout>
      </c:layout>
      <c:pieChart>
        <c:varyColors val="1"/>
        <c:ser>
          <c:idx val="0"/>
          <c:order val="0"/>
          <c:dPt>
            <c:idx val="2"/>
            <c:explosion val="8"/>
          </c:dPt>
          <c:dPt>
            <c:idx val="3"/>
            <c:explosion val="8"/>
          </c:dPt>
          <c:dLbls>
            <c:dLbl>
              <c:idx val="0"/>
              <c:layout>
                <c:manualLayout>
                  <c:x val="-1.9897177801228457E-2"/>
                  <c:y val="-5.5824515148276153E-2"/>
                </c:manualLayout>
              </c:layout>
              <c:showPercent val="1"/>
            </c:dLbl>
            <c:dLbl>
              <c:idx val="1"/>
              <c:layout>
                <c:manualLayout>
                  <c:x val="-2.2846280812836545E-2"/>
                  <c:y val="-4.2540112350209616E-2"/>
                </c:manualLayout>
              </c:layout>
              <c:showPercent val="1"/>
            </c:dLbl>
            <c:dLbl>
              <c:idx val="2"/>
              <c:layout>
                <c:manualLayout>
                  <c:x val="2.7567220764071259E-3"/>
                  <c:y val="2.444225721784779E-2"/>
                </c:manualLayout>
              </c:layout>
              <c:showPercent val="1"/>
            </c:dLbl>
            <c:dLbl>
              <c:idx val="3"/>
              <c:layout>
                <c:manualLayout>
                  <c:x val="-5.9815461211678456E-3"/>
                  <c:y val="2.0907115117397659E-3"/>
                </c:manualLayout>
              </c:layout>
              <c:showPercent val="1"/>
            </c:dLbl>
            <c:showPercent val="1"/>
            <c:showLeaderLines val="1"/>
          </c:dLbls>
          <c:cat>
            <c:strRef>
              <c:f>List1!$F$26:$F$29</c:f>
              <c:strCache>
                <c:ptCount val="4"/>
                <c:pt idx="0">
                  <c:v>zákl., neukonč. a bez vzd.</c:v>
                </c:pt>
                <c:pt idx="1">
                  <c:v>střední</c:v>
                </c:pt>
                <c:pt idx="2">
                  <c:v>úplné střední</c:v>
                </c:pt>
                <c:pt idx="3">
                  <c:v>vysokoškolské</c:v>
                </c:pt>
              </c:strCache>
            </c:strRef>
          </c:cat>
          <c:val>
            <c:numRef>
              <c:f>List1!$G$26:$G$29</c:f>
              <c:numCache>
                <c:formatCode>#,##0</c:formatCode>
                <c:ptCount val="4"/>
                <c:pt idx="0">
                  <c:v>3412</c:v>
                </c:pt>
                <c:pt idx="1">
                  <c:v>5239</c:v>
                </c:pt>
                <c:pt idx="2">
                  <c:v>1781</c:v>
                </c:pt>
                <c:pt idx="3" formatCode="General">
                  <c:v>287</c:v>
                </c:pt>
              </c:numCache>
            </c:numRef>
          </c:val>
        </c:ser>
        <c:firstSliceAng val="0"/>
      </c:pieChart>
    </c:plotArea>
    <c:legend>
      <c:legendPos val="r"/>
      <c:layout>
        <c:manualLayout>
          <c:xMode val="edge"/>
          <c:yMode val="edge"/>
          <c:x val="0.61493473315835701"/>
          <c:y val="0.22068678915135609"/>
          <c:w val="0.38210230387868327"/>
          <c:h val="0.60016721891663949"/>
        </c:manualLayout>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600"/>
              <a:t>Mateřský jazyk</a:t>
            </a:r>
          </a:p>
        </c:rich>
      </c:tx>
      <c:layout>
        <c:manualLayout>
          <c:xMode val="edge"/>
          <c:yMode val="edge"/>
          <c:x val="0.5236990703264911"/>
          <c:y val="8.3799479816154174E-4"/>
        </c:manualLayout>
      </c:layout>
    </c:title>
    <c:plotArea>
      <c:layout>
        <c:manualLayout>
          <c:layoutTarget val="inner"/>
          <c:xMode val="edge"/>
          <c:yMode val="edge"/>
          <c:x val="4.9395094269932875E-2"/>
          <c:y val="5.800925925925926E-2"/>
          <c:w val="0.56591105216325699"/>
          <c:h val="0.92157042869641292"/>
        </c:manualLayout>
      </c:layout>
      <c:pieChart>
        <c:varyColors val="1"/>
        <c:ser>
          <c:idx val="0"/>
          <c:order val="0"/>
          <c:explosion val="25"/>
          <c:dPt>
            <c:idx val="0"/>
            <c:explosion val="16"/>
          </c:dPt>
          <c:dPt>
            <c:idx val="1"/>
            <c:explosion val="2"/>
          </c:dPt>
          <c:dPt>
            <c:idx val="2"/>
            <c:explosion val="16"/>
            <c:spPr>
              <a:solidFill>
                <a:srgbClr val="92D050"/>
              </a:solidFill>
            </c:spPr>
          </c:dPt>
          <c:dPt>
            <c:idx val="3"/>
            <c:spPr>
              <a:solidFill>
                <a:srgbClr val="7030A0"/>
              </a:solidFill>
            </c:spPr>
          </c:dPt>
          <c:dPt>
            <c:idx val="4"/>
            <c:explosion val="36"/>
            <c:spPr>
              <a:solidFill>
                <a:schemeClr val="accent6">
                  <a:lumMod val="75000"/>
                </a:schemeClr>
              </a:solidFill>
            </c:spPr>
          </c:dPt>
          <c:dLbls>
            <c:dLbl>
              <c:idx val="0"/>
              <c:layout>
                <c:manualLayout>
                  <c:x val="-1.5538057742782189E-2"/>
                  <c:y val="-1.283537474482359E-3"/>
                </c:manualLayout>
              </c:layout>
              <c:showPercent val="1"/>
            </c:dLbl>
            <c:dLbl>
              <c:idx val="2"/>
              <c:layout>
                <c:manualLayout>
                  <c:x val="-5.6537335818097481E-3"/>
                  <c:y val="-6.634587343248761E-4"/>
                </c:manualLayout>
              </c:layout>
              <c:showPercent val="1"/>
            </c:dLbl>
            <c:dLbl>
              <c:idx val="3"/>
              <c:layout>
                <c:manualLayout>
                  <c:x val="1.4794867059528007E-2"/>
                  <c:y val="1.2262321376494604E-2"/>
                </c:manualLayout>
              </c:layout>
              <c:showPercent val="1"/>
            </c:dLbl>
            <c:dLbl>
              <c:idx val="4"/>
              <c:layout>
                <c:manualLayout>
                  <c:x val="-3.3945010605017723E-3"/>
                  <c:y val="4.3910032079323424E-2"/>
                </c:manualLayout>
              </c:layout>
              <c:showPercent val="1"/>
            </c:dLbl>
            <c:showPercent val="1"/>
            <c:showLeaderLines val="1"/>
          </c:dLbls>
          <c:cat>
            <c:strRef>
              <c:f>'MATER JAZ'!$E$21:$E$25</c:f>
              <c:strCache>
                <c:ptCount val="5"/>
                <c:pt idx="0">
                  <c:v>ČESKÝ</c:v>
                </c:pt>
                <c:pt idx="1">
                  <c:v>SLOVENSKÝ</c:v>
                </c:pt>
                <c:pt idx="2">
                  <c:v>JINÝ</c:v>
                </c:pt>
                <c:pt idx="3">
                  <c:v>DVOJÍ CELKEM</c:v>
                </c:pt>
                <c:pt idx="4">
                  <c:v>NEZJIŠTĚNO</c:v>
                </c:pt>
              </c:strCache>
            </c:strRef>
          </c:cat>
          <c:val>
            <c:numRef>
              <c:f>'MATER JAZ'!$F$21:$F$25</c:f>
              <c:numCache>
                <c:formatCode>General</c:formatCode>
                <c:ptCount val="5"/>
                <c:pt idx="0">
                  <c:v>10264</c:v>
                </c:pt>
                <c:pt idx="1">
                  <c:v>299</c:v>
                </c:pt>
                <c:pt idx="2">
                  <c:v>189</c:v>
                </c:pt>
                <c:pt idx="3">
                  <c:v>503</c:v>
                </c:pt>
                <c:pt idx="4">
                  <c:v>241</c:v>
                </c:pt>
              </c:numCache>
            </c:numRef>
          </c:val>
        </c:ser>
        <c:firstSliceAng val="320"/>
      </c:pieChart>
    </c:plotArea>
    <c:legend>
      <c:legendPos val="r"/>
      <c:layout>
        <c:manualLayout>
          <c:xMode val="edge"/>
          <c:yMode val="edge"/>
          <c:x val="0.6740610484913887"/>
          <c:y val="0.31200247027945149"/>
          <c:w val="0.32365146307176051"/>
          <c:h val="0.49400078383867263"/>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600" baseline="0"/>
              <a:t>Národnost</a:t>
            </a:r>
            <a:endParaRPr lang="cs-CZ" sz="1600"/>
          </a:p>
        </c:rich>
      </c:tx>
      <c:layout>
        <c:manualLayout>
          <c:xMode val="edge"/>
          <c:yMode val="edge"/>
          <c:x val="0.59928895251729908"/>
          <c:y val="5.4673934988895799E-3"/>
        </c:manualLayout>
      </c:layout>
    </c:title>
    <c:plotArea>
      <c:layout>
        <c:manualLayout>
          <c:layoutTarget val="inner"/>
          <c:xMode val="edge"/>
          <c:yMode val="edge"/>
          <c:x val="0.10693846871912359"/>
          <c:y val="0.13208333333333341"/>
          <c:w val="0.57219351045322564"/>
          <c:h val="0.8602770487022442"/>
        </c:manualLayout>
      </c:layout>
      <c:pieChart>
        <c:varyColors val="1"/>
        <c:ser>
          <c:idx val="0"/>
          <c:order val="0"/>
          <c:explosion val="22"/>
          <c:dPt>
            <c:idx val="0"/>
            <c:explosion val="9"/>
          </c:dPt>
          <c:dPt>
            <c:idx val="1"/>
            <c:explosion val="10"/>
            <c:spPr>
              <a:solidFill>
                <a:schemeClr val="accent5">
                  <a:lumMod val="60000"/>
                  <a:lumOff val="40000"/>
                </a:schemeClr>
              </a:solidFill>
            </c:spPr>
          </c:dPt>
          <c:dPt>
            <c:idx val="2"/>
            <c:spPr>
              <a:solidFill>
                <a:schemeClr val="accent2">
                  <a:lumMod val="75000"/>
                </a:schemeClr>
              </a:solidFill>
            </c:spPr>
          </c:dPt>
          <c:dPt>
            <c:idx val="3"/>
            <c:explosion val="34"/>
            <c:spPr>
              <a:solidFill>
                <a:srgbClr val="92D050"/>
              </a:solidFill>
            </c:spPr>
          </c:dPt>
          <c:dPt>
            <c:idx val="4"/>
            <c:explosion val="49"/>
            <c:spPr>
              <a:solidFill>
                <a:srgbClr val="7030A0"/>
              </a:solidFill>
            </c:spPr>
          </c:dPt>
          <c:dPt>
            <c:idx val="5"/>
            <c:explosion val="7"/>
            <c:spPr>
              <a:solidFill>
                <a:schemeClr val="accent6">
                  <a:lumMod val="75000"/>
                </a:schemeClr>
              </a:solidFill>
            </c:spPr>
          </c:dPt>
          <c:dLbls>
            <c:dLbl>
              <c:idx val="0"/>
              <c:layout>
                <c:manualLayout>
                  <c:x val="-2.1778594072969552E-2"/>
                  <c:y val="4.8567366579177606E-3"/>
                </c:manualLayout>
              </c:layout>
              <c:showPercent val="1"/>
            </c:dLbl>
            <c:dLbl>
              <c:idx val="1"/>
              <c:layout>
                <c:manualLayout>
                  <c:x val="1.203481781867336E-2"/>
                  <c:y val="1.7834645669291337E-2"/>
                </c:manualLayout>
              </c:layout>
              <c:showPercent val="1"/>
            </c:dLbl>
            <c:dLbl>
              <c:idx val="3"/>
              <c:layout>
                <c:manualLayout>
                  <c:x val="-1.6006013105174782E-2"/>
                  <c:y val="-5.5023330417031443E-3"/>
                </c:manualLayout>
              </c:layout>
              <c:showPercent val="1"/>
            </c:dLbl>
            <c:dLbl>
              <c:idx val="5"/>
              <c:layout>
                <c:manualLayout>
                  <c:x val="1.7291314336285342E-2"/>
                  <c:y val="1.7790901137357831E-2"/>
                </c:manualLayout>
              </c:layout>
              <c:showPercent val="1"/>
            </c:dLbl>
            <c:showPercent val="1"/>
            <c:showLeaderLines val="1"/>
          </c:dLbls>
          <c:cat>
            <c:strRef>
              <c:f>NARODNOST!$E$21:$E$26</c:f>
              <c:strCache>
                <c:ptCount val="6"/>
                <c:pt idx="0">
                  <c:v>ČESKÁ</c:v>
                </c:pt>
                <c:pt idx="1">
                  <c:v>MORAVSKÁ</c:v>
                </c:pt>
                <c:pt idx="2">
                  <c:v>SLOVENSKÁ</c:v>
                </c:pt>
                <c:pt idx="3">
                  <c:v>JINÁ</c:v>
                </c:pt>
                <c:pt idx="4">
                  <c:v>DVOJÍ</c:v>
                </c:pt>
                <c:pt idx="5">
                  <c:v>NEUVEDENO</c:v>
                </c:pt>
              </c:strCache>
            </c:strRef>
          </c:cat>
          <c:val>
            <c:numRef>
              <c:f>NARODNOST!$F$21:$F$26</c:f>
              <c:numCache>
                <c:formatCode>General</c:formatCode>
                <c:ptCount val="6"/>
                <c:pt idx="0">
                  <c:v>7685</c:v>
                </c:pt>
                <c:pt idx="1">
                  <c:v>397</c:v>
                </c:pt>
                <c:pt idx="2">
                  <c:v>364</c:v>
                </c:pt>
                <c:pt idx="3">
                  <c:v>215</c:v>
                </c:pt>
                <c:pt idx="4">
                  <c:v>198</c:v>
                </c:pt>
                <c:pt idx="5">
                  <c:v>2637</c:v>
                </c:pt>
              </c:numCache>
            </c:numRef>
          </c:val>
        </c:ser>
        <c:firstSliceAng val="24"/>
      </c:pieChart>
    </c:plotArea>
    <c:legend>
      <c:legendPos val="r"/>
      <c:layout>
        <c:manualLayout>
          <c:xMode val="edge"/>
          <c:yMode val="edge"/>
          <c:x val="0.70812551912023669"/>
          <c:y val="0.28472393439507848"/>
          <c:w val="0.28529917937473032"/>
          <c:h val="0.50230314960629729"/>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600"/>
              <a:t>POPULACE CELKEM </a:t>
            </a:r>
            <a:endParaRPr lang="cs-CZ" sz="1600"/>
          </a:p>
        </c:rich>
      </c:tx>
      <c:layout>
        <c:manualLayout>
          <c:xMode val="edge"/>
          <c:yMode val="edge"/>
          <c:x val="0.33193650793650886"/>
          <c:y val="4.0598514929223811E-2"/>
        </c:manualLayout>
      </c:layout>
    </c:title>
    <c:plotArea>
      <c:layout>
        <c:manualLayout>
          <c:layoutTarget val="inner"/>
          <c:xMode val="edge"/>
          <c:yMode val="edge"/>
          <c:x val="1.2698412698412705E-2"/>
          <c:y val="0.10533458958655822"/>
          <c:w val="0.647196767070784"/>
          <c:h val="0.87122641721066962"/>
        </c:manualLayout>
      </c:layout>
      <c:pieChart>
        <c:varyColors val="1"/>
        <c:ser>
          <c:idx val="0"/>
          <c:order val="0"/>
          <c:tx>
            <c:v>POPULACE CELKEM PODLE ZPŮSOBU BYDLENÍ</c:v>
          </c:tx>
          <c:explosion val="25"/>
          <c:dLbls>
            <c:dLbl>
              <c:idx val="0"/>
              <c:layout>
                <c:manualLayout>
                  <c:x val="-4.6119901678956798E-2"/>
                  <c:y val="4.9788007268322367E-2"/>
                </c:manualLayout>
              </c:layout>
              <c:showPercent val="1"/>
            </c:dLbl>
            <c:dLbl>
              <c:idx val="2"/>
              <c:layout>
                <c:manualLayout>
                  <c:x val="3.5560936238902344E-2"/>
                  <c:y val="-1.1759623797025383E-2"/>
                </c:manualLayout>
              </c:layout>
              <c:showPercent val="1"/>
            </c:dLbl>
            <c:showPercent val="1"/>
            <c:showLeaderLines val="1"/>
          </c:dLbls>
          <c:cat>
            <c:strRef>
              <c:f>List1!$C$8:$E$9</c:f>
              <c:strCache>
                <c:ptCount val="3"/>
                <c:pt idx="0">
                  <c:v>byt </c:v>
                </c:pt>
                <c:pt idx="1">
                  <c:v>nouzové  (vč. chat)</c:v>
                </c:pt>
                <c:pt idx="2">
                  <c:v>ubytovací zařízení</c:v>
                </c:pt>
              </c:strCache>
            </c:strRef>
          </c:cat>
          <c:val>
            <c:numRef>
              <c:f>List1!$C$10:$E$10</c:f>
              <c:numCache>
                <c:formatCode>General</c:formatCode>
                <c:ptCount val="3"/>
                <c:pt idx="0">
                  <c:v>10144961</c:v>
                </c:pt>
                <c:pt idx="1">
                  <c:v>85647</c:v>
                </c:pt>
                <c:pt idx="2">
                  <c:v>194456</c:v>
                </c:pt>
              </c:numCache>
            </c:numRef>
          </c:val>
        </c:ser>
        <c:firstSliceAng val="311"/>
      </c:pieChart>
    </c:plotArea>
    <c:legend>
      <c:legendPos val="r"/>
      <c:txPr>
        <a:bodyPr/>
        <a:lstStyle/>
        <a:p>
          <a:pPr rtl="0">
            <a:defRPr/>
          </a:pPr>
          <a:endParaRPr lang="cs-CZ"/>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600"/>
              <a:t>CIZINCI </a:t>
            </a:r>
          </a:p>
        </c:rich>
      </c:tx>
      <c:layout>
        <c:manualLayout>
          <c:xMode val="edge"/>
          <c:yMode val="edge"/>
          <c:x val="0.395930097345428"/>
          <c:y val="3.8541400273683746E-2"/>
        </c:manualLayout>
      </c:layout>
    </c:title>
    <c:plotArea>
      <c:layout>
        <c:manualLayout>
          <c:layoutTarget val="inner"/>
          <c:xMode val="edge"/>
          <c:yMode val="edge"/>
          <c:x val="3.6722814711452209E-2"/>
          <c:y val="0.17243912219305921"/>
          <c:w val="0.57759726236752063"/>
          <c:h val="0.78000314063306153"/>
        </c:manualLayout>
      </c:layout>
      <c:pieChart>
        <c:varyColors val="1"/>
        <c:ser>
          <c:idx val="0"/>
          <c:order val="0"/>
          <c:tx>
            <c:v>Cizinci</c:v>
          </c:tx>
          <c:explosion val="8"/>
          <c:dPt>
            <c:idx val="1"/>
            <c:explosion val="17"/>
          </c:dPt>
          <c:dPt>
            <c:idx val="2"/>
            <c:explosion val="0"/>
          </c:dPt>
          <c:dLbls>
            <c:dLbl>
              <c:idx val="0"/>
              <c:layout>
                <c:manualLayout>
                  <c:x val="2.1331146106736656E-2"/>
                  <c:y val="-5.1134076990376233E-2"/>
                </c:manualLayout>
              </c:layout>
              <c:showPercent val="1"/>
            </c:dLbl>
            <c:dLbl>
              <c:idx val="1"/>
              <c:layout>
                <c:manualLayout>
                  <c:x val="-1.5467847769028887E-2"/>
                  <c:y val="0.10260024788568223"/>
                </c:manualLayout>
              </c:layout>
              <c:showPercent val="1"/>
            </c:dLbl>
            <c:dLbl>
              <c:idx val="2"/>
              <c:layout>
                <c:manualLayout>
                  <c:x val="-2.8332895888014253E-2"/>
                  <c:y val="6.3384004082822978E-2"/>
                </c:manualLayout>
              </c:layout>
              <c:showPercent val="1"/>
            </c:dLbl>
            <c:showPercent val="1"/>
            <c:showLeaderLines val="1"/>
          </c:dLbls>
          <c:cat>
            <c:strRef>
              <c:f>List1!$C$8:$E$9</c:f>
              <c:strCache>
                <c:ptCount val="3"/>
                <c:pt idx="0">
                  <c:v>byt </c:v>
                </c:pt>
                <c:pt idx="1">
                  <c:v>nouzové  (vč. chat)</c:v>
                </c:pt>
                <c:pt idx="2">
                  <c:v>ubytovací zařízení</c:v>
                </c:pt>
              </c:strCache>
            </c:strRef>
          </c:cat>
          <c:val>
            <c:numRef>
              <c:f>List1!$C$11:$E$11</c:f>
              <c:numCache>
                <c:formatCode>General</c:formatCode>
                <c:ptCount val="3"/>
                <c:pt idx="0" formatCode="#,##0">
                  <c:v>342269</c:v>
                </c:pt>
                <c:pt idx="1">
                  <c:v>13032</c:v>
                </c:pt>
                <c:pt idx="2" formatCode="#,##0">
                  <c:v>66749</c:v>
                </c:pt>
              </c:numCache>
            </c:numRef>
          </c:val>
        </c:ser>
        <c:firstSliceAng val="0"/>
      </c:pieChart>
    </c:plotArea>
    <c:legend>
      <c:legendPos val="r"/>
      <c:txPr>
        <a:bodyPr/>
        <a:lstStyle/>
        <a:p>
          <a:pPr rtl="0">
            <a:defRPr/>
          </a:pPr>
          <a:endParaRPr lang="cs-CZ"/>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420322459692539"/>
          <c:y val="0.10866394306966673"/>
          <c:w val="0.60574182772609086"/>
          <c:h val="0.75948028549358593"/>
        </c:manualLayout>
      </c:layout>
      <c:lineChart>
        <c:grouping val="standard"/>
        <c:ser>
          <c:idx val="1"/>
          <c:order val="0"/>
          <c:tx>
            <c:strRef>
              <c:f>List1!$A$8</c:f>
              <c:strCache>
                <c:ptCount val="1"/>
                <c:pt idx="0">
                  <c:v>rodinné domy</c:v>
                </c:pt>
              </c:strCache>
            </c:strRef>
          </c:tx>
          <c:marker>
            <c:symbol val="none"/>
          </c:marker>
          <c:cat>
            <c:numRef>
              <c:f>List1!$B$6:$D$6</c:f>
              <c:numCache>
                <c:formatCode>General</c:formatCode>
                <c:ptCount val="3"/>
                <c:pt idx="0">
                  <c:v>1991</c:v>
                </c:pt>
                <c:pt idx="1">
                  <c:v>2001</c:v>
                </c:pt>
                <c:pt idx="2">
                  <c:v>2011</c:v>
                </c:pt>
              </c:numCache>
            </c:numRef>
          </c:cat>
          <c:val>
            <c:numRef>
              <c:f>List1!$B$8:$D$8</c:f>
              <c:numCache>
                <c:formatCode>General</c:formatCode>
                <c:ptCount val="3"/>
                <c:pt idx="0">
                  <c:v>2.92</c:v>
                </c:pt>
                <c:pt idx="1">
                  <c:v>2.86</c:v>
                </c:pt>
                <c:pt idx="2" formatCode="0.00">
                  <c:v>2.8</c:v>
                </c:pt>
              </c:numCache>
            </c:numRef>
          </c:val>
        </c:ser>
        <c:ser>
          <c:idx val="2"/>
          <c:order val="1"/>
          <c:tx>
            <c:strRef>
              <c:f>List1!$A$9</c:f>
              <c:strCache>
                <c:ptCount val="1"/>
                <c:pt idx="0">
                  <c:v>bytové domy</c:v>
                </c:pt>
              </c:strCache>
            </c:strRef>
          </c:tx>
          <c:marker>
            <c:symbol val="none"/>
          </c:marker>
          <c:cat>
            <c:numRef>
              <c:f>List1!$B$6:$D$6</c:f>
              <c:numCache>
                <c:formatCode>General</c:formatCode>
                <c:ptCount val="3"/>
                <c:pt idx="0">
                  <c:v>1991</c:v>
                </c:pt>
                <c:pt idx="1">
                  <c:v>2001</c:v>
                </c:pt>
                <c:pt idx="2">
                  <c:v>2011</c:v>
                </c:pt>
              </c:numCache>
            </c:numRef>
          </c:cat>
          <c:val>
            <c:numRef>
              <c:f>List1!$B$9:$D$9</c:f>
              <c:numCache>
                <c:formatCode>General</c:formatCode>
                <c:ptCount val="3"/>
                <c:pt idx="0">
                  <c:v>2.66</c:v>
                </c:pt>
                <c:pt idx="1">
                  <c:v>2.4699999999999998</c:v>
                </c:pt>
                <c:pt idx="2" formatCode="0.00">
                  <c:v>2.21</c:v>
                </c:pt>
              </c:numCache>
            </c:numRef>
          </c:val>
        </c:ser>
        <c:marker val="1"/>
        <c:axId val="92198784"/>
        <c:axId val="92681728"/>
      </c:lineChart>
      <c:catAx>
        <c:axId val="92198784"/>
        <c:scaling>
          <c:orientation val="minMax"/>
        </c:scaling>
        <c:axPos val="b"/>
        <c:numFmt formatCode="General" sourceLinked="1"/>
        <c:tickLblPos val="nextTo"/>
        <c:crossAx val="92681728"/>
        <c:crosses val="autoZero"/>
        <c:auto val="1"/>
        <c:lblAlgn val="ctr"/>
        <c:lblOffset val="100"/>
      </c:catAx>
      <c:valAx>
        <c:axId val="92681728"/>
        <c:scaling>
          <c:orientation val="minMax"/>
          <c:max val="3"/>
          <c:min val="2.1"/>
        </c:scaling>
        <c:axPos val="l"/>
        <c:majorGridlines/>
        <c:title>
          <c:tx>
            <c:rich>
              <a:bodyPr rot="-5400000" vert="horz"/>
              <a:lstStyle/>
              <a:p>
                <a:pPr>
                  <a:defRPr/>
                </a:pPr>
                <a:r>
                  <a:rPr lang="cs-CZ" sz="900" b="0"/>
                  <a:t>Průměrný počet osob na 1 byt</a:t>
                </a:r>
              </a:p>
            </c:rich>
          </c:tx>
        </c:title>
        <c:numFmt formatCode="General" sourceLinked="1"/>
        <c:tickLblPos val="nextTo"/>
        <c:crossAx val="92198784"/>
        <c:crosses val="autoZero"/>
        <c:crossBetween val="between"/>
      </c:valAx>
    </c:plotArea>
    <c:legend>
      <c:legendPos val="r"/>
      <c:layout>
        <c:manualLayout>
          <c:xMode val="edge"/>
          <c:yMode val="edge"/>
          <c:x val="0.77075392848621183"/>
          <c:y val="0.50234762321376492"/>
          <c:w val="0.22703690593566792"/>
          <c:h val="0.30494604373330642"/>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6409951881014873"/>
          <c:y val="6.9524676467464686E-2"/>
          <c:w val="0.60182545931758757"/>
          <c:h val="0.78936021725608063"/>
        </c:manualLayout>
      </c:layout>
      <c:barChart>
        <c:barDir val="bar"/>
        <c:grouping val="percentStacked"/>
        <c:ser>
          <c:idx val="0"/>
          <c:order val="0"/>
          <c:tx>
            <c:strRef>
              <c:f>List1!$L$32</c:f>
              <c:strCache>
                <c:ptCount val="1"/>
                <c:pt idx="0">
                  <c:v>byt</c:v>
                </c:pt>
              </c:strCache>
            </c:strRef>
          </c:tx>
          <c:spPr>
            <a:solidFill>
              <a:schemeClr val="accent1"/>
            </a:solidFill>
          </c:spPr>
          <c:cat>
            <c:strRef>
              <c:f>List1!$K$33:$K$36</c:f>
              <c:strCache>
                <c:ptCount val="4"/>
                <c:pt idx="0">
                  <c:v>cizinci 
sečteni</c:v>
                </c:pt>
                <c:pt idx="1">
                  <c:v>cizinci 
z ISEO</c:v>
                </c:pt>
                <c:pt idx="2">
                  <c:v>CIZINCI 
CELKEM</c:v>
                </c:pt>
                <c:pt idx="3">
                  <c:v>POPULACE
 CELKEM</c:v>
                </c:pt>
              </c:strCache>
            </c:strRef>
          </c:cat>
          <c:val>
            <c:numRef>
              <c:f>List1!$L$33:$L$36</c:f>
              <c:numCache>
                <c:formatCode>0.00</c:formatCode>
                <c:ptCount val="4"/>
                <c:pt idx="0">
                  <c:v>86.744957774465973</c:v>
                </c:pt>
                <c:pt idx="1">
                  <c:v>72.661162255128886</c:v>
                </c:pt>
                <c:pt idx="2">
                  <c:v>81.053386884407288</c:v>
                </c:pt>
                <c:pt idx="3">
                  <c:v>97.205985497136979</c:v>
                </c:pt>
              </c:numCache>
            </c:numRef>
          </c:val>
        </c:ser>
        <c:ser>
          <c:idx val="1"/>
          <c:order val="1"/>
          <c:tx>
            <c:strRef>
              <c:f>List1!$M$32</c:f>
              <c:strCache>
                <c:ptCount val="1"/>
                <c:pt idx="0">
                  <c:v>nouzové ubyt. vč. chat</c:v>
                </c:pt>
              </c:strCache>
            </c:strRef>
          </c:tx>
          <c:cat>
            <c:strRef>
              <c:f>List1!$K$33:$K$36</c:f>
              <c:strCache>
                <c:ptCount val="4"/>
                <c:pt idx="0">
                  <c:v>cizinci 
sečteni</c:v>
                </c:pt>
                <c:pt idx="1">
                  <c:v>cizinci 
z ISEO</c:v>
                </c:pt>
                <c:pt idx="2">
                  <c:v>CIZINCI 
CELKEM</c:v>
                </c:pt>
                <c:pt idx="3">
                  <c:v>POPULACE
 CELKEM</c:v>
                </c:pt>
              </c:strCache>
            </c:strRef>
          </c:cat>
          <c:val>
            <c:numRef>
              <c:f>List1!$M$33:$M$36</c:f>
              <c:numCache>
                <c:formatCode>0.00</c:formatCode>
                <c:ptCount val="4"/>
                <c:pt idx="0">
                  <c:v>2.5049180327868847</c:v>
                </c:pt>
                <c:pt idx="1">
                  <c:v>3.9431354050078817</c:v>
                </c:pt>
                <c:pt idx="2">
                  <c:v>3.0861332398715571</c:v>
                </c:pt>
                <c:pt idx="3">
                  <c:v>0.8</c:v>
                </c:pt>
              </c:numCache>
            </c:numRef>
          </c:val>
        </c:ser>
        <c:ser>
          <c:idx val="2"/>
          <c:order val="2"/>
          <c:tx>
            <c:strRef>
              <c:f>List1!$N$32</c:f>
              <c:strCache>
                <c:ptCount val="1"/>
                <c:pt idx="0">
                  <c:v>ubytovací 
zařízení</c:v>
                </c:pt>
              </c:strCache>
            </c:strRef>
          </c:tx>
          <c:cat>
            <c:strRef>
              <c:f>List1!$K$33:$K$36</c:f>
              <c:strCache>
                <c:ptCount val="4"/>
                <c:pt idx="0">
                  <c:v>cizinci 
sečteni</c:v>
                </c:pt>
                <c:pt idx="1">
                  <c:v>cizinci 
z ISEO</c:v>
                </c:pt>
                <c:pt idx="2">
                  <c:v>CIZINCI 
CELKEM</c:v>
                </c:pt>
                <c:pt idx="3">
                  <c:v>POPULACE
 CELKEM</c:v>
                </c:pt>
              </c:strCache>
            </c:strRef>
          </c:cat>
          <c:val>
            <c:numRef>
              <c:f>List1!$N$33:$N$36</c:f>
              <c:numCache>
                <c:formatCode>0.00</c:formatCode>
                <c:ptCount val="4"/>
                <c:pt idx="0">
                  <c:v>10.660307998012916</c:v>
                </c:pt>
                <c:pt idx="1">
                  <c:v>23.395702339863163</c:v>
                </c:pt>
                <c:pt idx="2">
                  <c:v>15.806960376625726</c:v>
                </c:pt>
                <c:pt idx="3">
                  <c:v>1.8</c:v>
                </c:pt>
              </c:numCache>
            </c:numRef>
          </c:val>
        </c:ser>
        <c:gapWidth val="45"/>
        <c:overlap val="100"/>
        <c:axId val="106494592"/>
        <c:axId val="106537344"/>
      </c:barChart>
      <c:catAx>
        <c:axId val="106494592"/>
        <c:scaling>
          <c:orientation val="minMax"/>
        </c:scaling>
        <c:axPos val="l"/>
        <c:tickLblPos val="nextTo"/>
        <c:crossAx val="106537344"/>
        <c:crosses val="autoZero"/>
        <c:auto val="1"/>
        <c:lblAlgn val="ctr"/>
        <c:lblOffset val="100"/>
      </c:catAx>
      <c:valAx>
        <c:axId val="106537344"/>
        <c:scaling>
          <c:orientation val="minMax"/>
        </c:scaling>
        <c:axPos val="b"/>
        <c:majorGridlines/>
        <c:numFmt formatCode="0%" sourceLinked="1"/>
        <c:tickLblPos val="nextTo"/>
        <c:crossAx val="106494592"/>
        <c:crosses val="autoZero"/>
        <c:crossBetween val="between"/>
      </c:valAx>
    </c:plotArea>
    <c:legend>
      <c:legendPos val="r"/>
      <c:layout>
        <c:manualLayout>
          <c:xMode val="edge"/>
          <c:yMode val="edge"/>
          <c:x val="0.79980686789151367"/>
          <c:y val="0.40533278715883136"/>
          <c:w val="0.20019313210848644"/>
          <c:h val="0.34805789449729191"/>
        </c:manualLayout>
      </c:layou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cs-CZ"/>
  <c:chart>
    <c:autoTitleDeleted val="1"/>
    <c:plotArea>
      <c:layout>
        <c:manualLayout>
          <c:layoutTarget val="inner"/>
          <c:xMode val="edge"/>
          <c:yMode val="edge"/>
          <c:x val="0.17901618547681594"/>
          <c:y val="0.10236002398809969"/>
          <c:w val="0.60914763779527714"/>
          <c:h val="0.78166000763257848"/>
        </c:manualLayout>
      </c:layout>
      <c:barChart>
        <c:barDir val="bar"/>
        <c:grouping val="percentStacked"/>
        <c:ser>
          <c:idx val="0"/>
          <c:order val="0"/>
          <c:tx>
            <c:strRef>
              <c:f>List1!$C$12</c:f>
              <c:strCache>
                <c:ptCount val="1"/>
                <c:pt idx="0">
                  <c:v>obytné domy</c:v>
                </c:pt>
              </c:strCache>
            </c:strRef>
          </c:tx>
          <c:cat>
            <c:strRef>
              <c:f>List1!$B$13:$B$19</c:f>
              <c:strCache>
                <c:ptCount val="7"/>
                <c:pt idx="0">
                  <c:v>NĚMECKO</c:v>
                </c:pt>
                <c:pt idx="1">
                  <c:v>POLSKO</c:v>
                </c:pt>
                <c:pt idx="2">
                  <c:v>RUSKO</c:v>
                </c:pt>
                <c:pt idx="3">
                  <c:v>VIETNAM</c:v>
                </c:pt>
                <c:pt idx="4">
                  <c:v>SLOVENSKO</c:v>
                </c:pt>
                <c:pt idx="5">
                  <c:v>UKRAJINA</c:v>
                </c:pt>
                <c:pt idx="6">
                  <c:v>CIZINCI CELKEM</c:v>
                </c:pt>
              </c:strCache>
            </c:strRef>
          </c:cat>
          <c:val>
            <c:numRef>
              <c:f>List1!$C$13:$C$19</c:f>
              <c:numCache>
                <c:formatCode>0.0</c:formatCode>
                <c:ptCount val="7"/>
                <c:pt idx="0">
                  <c:v>49.563409563409515</c:v>
                </c:pt>
                <c:pt idx="1">
                  <c:v>6.4961292494109726</c:v>
                </c:pt>
                <c:pt idx="2">
                  <c:v>11.474730737365382</c:v>
                </c:pt>
                <c:pt idx="3">
                  <c:v>19.755600814663904</c:v>
                </c:pt>
                <c:pt idx="4">
                  <c:v>10.685483870967765</c:v>
                </c:pt>
                <c:pt idx="5">
                  <c:v>56.464911964857961</c:v>
                </c:pt>
                <c:pt idx="6">
                  <c:v>34.490404350626974</c:v>
                </c:pt>
              </c:numCache>
            </c:numRef>
          </c:val>
        </c:ser>
        <c:ser>
          <c:idx val="1"/>
          <c:order val="1"/>
          <c:tx>
            <c:strRef>
              <c:f>List1!$D$12</c:f>
              <c:strCache>
                <c:ptCount val="1"/>
                <c:pt idx="0">
                  <c:v>ubytovny</c:v>
                </c:pt>
              </c:strCache>
            </c:strRef>
          </c:tx>
          <c:cat>
            <c:strRef>
              <c:f>List1!$B$13:$B$19</c:f>
              <c:strCache>
                <c:ptCount val="7"/>
                <c:pt idx="0">
                  <c:v>NĚMECKO</c:v>
                </c:pt>
                <c:pt idx="1">
                  <c:v>POLSKO</c:v>
                </c:pt>
                <c:pt idx="2">
                  <c:v>RUSKO</c:v>
                </c:pt>
                <c:pt idx="3">
                  <c:v>VIETNAM</c:v>
                </c:pt>
                <c:pt idx="4">
                  <c:v>SLOVENSKO</c:v>
                </c:pt>
                <c:pt idx="5">
                  <c:v>UKRAJINA</c:v>
                </c:pt>
                <c:pt idx="6">
                  <c:v>CIZINCI CELKEM</c:v>
                </c:pt>
              </c:strCache>
            </c:strRef>
          </c:cat>
          <c:val>
            <c:numRef>
              <c:f>List1!$D$13:$D$19</c:f>
              <c:numCache>
                <c:formatCode>0.0</c:formatCode>
                <c:ptCount val="7"/>
                <c:pt idx="0">
                  <c:v>4.9480249480249485</c:v>
                </c:pt>
                <c:pt idx="1">
                  <c:v>44.05923931336244</c:v>
                </c:pt>
                <c:pt idx="2">
                  <c:v>11.723280861640431</c:v>
                </c:pt>
                <c:pt idx="3">
                  <c:v>31.500339443312946</c:v>
                </c:pt>
                <c:pt idx="4">
                  <c:v>26.958525345622096</c:v>
                </c:pt>
                <c:pt idx="5">
                  <c:v>30.137183595578438</c:v>
                </c:pt>
                <c:pt idx="6">
                  <c:v>24.884267929107551</c:v>
                </c:pt>
              </c:numCache>
            </c:numRef>
          </c:val>
        </c:ser>
        <c:ser>
          <c:idx val="2"/>
          <c:order val="2"/>
          <c:tx>
            <c:strRef>
              <c:f>List1!$E$12</c:f>
              <c:strCache>
                <c:ptCount val="1"/>
                <c:pt idx="0">
                  <c:v>koleje</c:v>
                </c:pt>
              </c:strCache>
            </c:strRef>
          </c:tx>
          <c:cat>
            <c:strRef>
              <c:f>List1!$B$13:$B$19</c:f>
              <c:strCache>
                <c:ptCount val="7"/>
                <c:pt idx="0">
                  <c:v>NĚMECKO</c:v>
                </c:pt>
                <c:pt idx="1">
                  <c:v>POLSKO</c:v>
                </c:pt>
                <c:pt idx="2">
                  <c:v>RUSKO</c:v>
                </c:pt>
                <c:pt idx="3">
                  <c:v>VIETNAM</c:v>
                </c:pt>
                <c:pt idx="4">
                  <c:v>SLOVENSKO</c:v>
                </c:pt>
                <c:pt idx="5">
                  <c:v>UKRAJINA</c:v>
                </c:pt>
                <c:pt idx="6">
                  <c:v>CIZINCI CELKEM</c:v>
                </c:pt>
              </c:strCache>
            </c:strRef>
          </c:cat>
          <c:val>
            <c:numRef>
              <c:f>List1!$E$13:$E$19</c:f>
              <c:numCache>
                <c:formatCode>0.0</c:formatCode>
                <c:ptCount val="7"/>
                <c:pt idx="0">
                  <c:v>1.2058212058212043</c:v>
                </c:pt>
                <c:pt idx="1">
                  <c:v>3.9044092898014142</c:v>
                </c:pt>
                <c:pt idx="2">
                  <c:v>24.275062137531034</c:v>
                </c:pt>
                <c:pt idx="3">
                  <c:v>7.2980312287847875</c:v>
                </c:pt>
                <c:pt idx="4">
                  <c:v>30.923579109062956</c:v>
                </c:pt>
                <c:pt idx="5">
                  <c:v>1.0333777409714471</c:v>
                </c:pt>
                <c:pt idx="6">
                  <c:v>12.121529910560458</c:v>
                </c:pt>
              </c:numCache>
            </c:numRef>
          </c:val>
        </c:ser>
        <c:ser>
          <c:idx val="3"/>
          <c:order val="3"/>
          <c:tx>
            <c:strRef>
              <c:f>List1!$F$12</c:f>
              <c:strCache>
                <c:ptCount val="1"/>
                <c:pt idx="0">
                  <c:v>zařízení pro krátk. ubyt.</c:v>
                </c:pt>
              </c:strCache>
            </c:strRef>
          </c:tx>
          <c:cat>
            <c:strRef>
              <c:f>List1!$B$13:$B$19</c:f>
              <c:strCache>
                <c:ptCount val="7"/>
                <c:pt idx="0">
                  <c:v>NĚMECKO</c:v>
                </c:pt>
                <c:pt idx="1">
                  <c:v>POLSKO</c:v>
                </c:pt>
                <c:pt idx="2">
                  <c:v>RUSKO</c:v>
                </c:pt>
                <c:pt idx="3">
                  <c:v>VIETNAM</c:v>
                </c:pt>
                <c:pt idx="4">
                  <c:v>SLOVENSKO</c:v>
                </c:pt>
                <c:pt idx="5">
                  <c:v>UKRAJINA</c:v>
                </c:pt>
                <c:pt idx="6">
                  <c:v>CIZINCI CELKEM</c:v>
                </c:pt>
              </c:strCache>
            </c:strRef>
          </c:cat>
          <c:val>
            <c:numRef>
              <c:f>List1!$F$13:$F$19</c:f>
              <c:numCache>
                <c:formatCode>0.0</c:formatCode>
                <c:ptCount val="7"/>
                <c:pt idx="0">
                  <c:v>14.282744282744304</c:v>
                </c:pt>
                <c:pt idx="1">
                  <c:v>10.905419050824664</c:v>
                </c:pt>
                <c:pt idx="2">
                  <c:v>34.962717481358737</c:v>
                </c:pt>
                <c:pt idx="3">
                  <c:v>5.4310930074677533</c:v>
                </c:pt>
                <c:pt idx="4">
                  <c:v>10.224654377880183</c:v>
                </c:pt>
                <c:pt idx="5">
                  <c:v>2.5204335145645049</c:v>
                </c:pt>
                <c:pt idx="6">
                  <c:v>9.7993977437864199</c:v>
                </c:pt>
              </c:numCache>
            </c:numRef>
          </c:val>
        </c:ser>
        <c:ser>
          <c:idx val="4"/>
          <c:order val="4"/>
          <c:tx>
            <c:strRef>
              <c:f>List1!$G$12</c:f>
              <c:strCache>
                <c:ptCount val="1"/>
                <c:pt idx="0">
                  <c:v>obydlí mimo byt. fond</c:v>
                </c:pt>
              </c:strCache>
            </c:strRef>
          </c:tx>
          <c:cat>
            <c:strRef>
              <c:f>List1!$B$13:$B$19</c:f>
              <c:strCache>
                <c:ptCount val="7"/>
                <c:pt idx="0">
                  <c:v>NĚMECKO</c:v>
                </c:pt>
                <c:pt idx="1">
                  <c:v>POLSKO</c:v>
                </c:pt>
                <c:pt idx="2">
                  <c:v>RUSKO</c:v>
                </c:pt>
                <c:pt idx="3">
                  <c:v>VIETNAM</c:v>
                </c:pt>
                <c:pt idx="4">
                  <c:v>SLOVENSKO</c:v>
                </c:pt>
                <c:pt idx="5">
                  <c:v>UKRAJINA</c:v>
                </c:pt>
                <c:pt idx="6">
                  <c:v>CIZINCI CELKEM</c:v>
                </c:pt>
              </c:strCache>
            </c:strRef>
          </c:cat>
          <c:val>
            <c:numRef>
              <c:f>List1!$G$13:$G$19</c:f>
              <c:numCache>
                <c:formatCode>0.0</c:formatCode>
                <c:ptCount val="7"/>
                <c:pt idx="0">
                  <c:v>16.61122661122663</c:v>
                </c:pt>
                <c:pt idx="1">
                  <c:v>30.360148098283407</c:v>
                </c:pt>
                <c:pt idx="2">
                  <c:v>9.9420049710024863</c:v>
                </c:pt>
                <c:pt idx="3">
                  <c:v>22.063815342837746</c:v>
                </c:pt>
                <c:pt idx="4">
                  <c:v>12.298387096774182</c:v>
                </c:pt>
                <c:pt idx="5">
                  <c:v>6.3190868829438704</c:v>
                </c:pt>
                <c:pt idx="6">
                  <c:v>11.257097484606511</c:v>
                </c:pt>
              </c:numCache>
            </c:numRef>
          </c:val>
        </c:ser>
        <c:ser>
          <c:idx val="5"/>
          <c:order val="5"/>
          <c:tx>
            <c:strRef>
              <c:f>List1!$H$12</c:f>
              <c:strCache>
                <c:ptCount val="1"/>
                <c:pt idx="0">
                  <c:v>jiné</c:v>
                </c:pt>
              </c:strCache>
            </c:strRef>
          </c:tx>
          <c:cat>
            <c:strRef>
              <c:f>List1!$B$13:$B$19</c:f>
              <c:strCache>
                <c:ptCount val="7"/>
                <c:pt idx="0">
                  <c:v>NĚMECKO</c:v>
                </c:pt>
                <c:pt idx="1">
                  <c:v>POLSKO</c:v>
                </c:pt>
                <c:pt idx="2">
                  <c:v>RUSKO</c:v>
                </c:pt>
                <c:pt idx="3">
                  <c:v>VIETNAM</c:v>
                </c:pt>
                <c:pt idx="4">
                  <c:v>SLOVENSKO</c:v>
                </c:pt>
                <c:pt idx="5">
                  <c:v>UKRAJINA</c:v>
                </c:pt>
                <c:pt idx="6">
                  <c:v>CIZINCI CELKEM</c:v>
                </c:pt>
              </c:strCache>
            </c:strRef>
          </c:cat>
          <c:val>
            <c:numRef>
              <c:f>List1!$H$13:$H$19</c:f>
              <c:numCache>
                <c:formatCode>0.0</c:formatCode>
                <c:ptCount val="7"/>
                <c:pt idx="0">
                  <c:v>13.388773388773368</c:v>
                </c:pt>
                <c:pt idx="1">
                  <c:v>4.2746549983170654</c:v>
                </c:pt>
                <c:pt idx="2">
                  <c:v>7.622203811101909</c:v>
                </c:pt>
                <c:pt idx="3">
                  <c:v>13.95112016293278</c:v>
                </c:pt>
                <c:pt idx="4">
                  <c:v>8.9093701996927699</c:v>
                </c:pt>
                <c:pt idx="5">
                  <c:v>3.5250063010837867</c:v>
                </c:pt>
                <c:pt idx="6">
                  <c:v>7.4473025813120834</c:v>
                </c:pt>
              </c:numCache>
            </c:numRef>
          </c:val>
        </c:ser>
        <c:gapWidth val="28"/>
        <c:overlap val="100"/>
        <c:axId val="107995904"/>
        <c:axId val="107997440"/>
      </c:barChart>
      <c:catAx>
        <c:axId val="107995904"/>
        <c:scaling>
          <c:orientation val="minMax"/>
        </c:scaling>
        <c:axPos val="l"/>
        <c:numFmt formatCode="General" sourceLinked="1"/>
        <c:tickLblPos val="nextTo"/>
        <c:crossAx val="107997440"/>
        <c:crosses val="autoZero"/>
        <c:auto val="1"/>
        <c:lblAlgn val="ctr"/>
        <c:lblOffset val="100"/>
      </c:catAx>
      <c:valAx>
        <c:axId val="107997440"/>
        <c:scaling>
          <c:orientation val="minMax"/>
        </c:scaling>
        <c:axPos val="b"/>
        <c:majorGridlines/>
        <c:numFmt formatCode="0%" sourceLinked="1"/>
        <c:tickLblPos val="nextTo"/>
        <c:crossAx val="107995904"/>
        <c:crosses val="autoZero"/>
        <c:crossBetween val="between"/>
      </c:valAx>
    </c:plotArea>
    <c:legend>
      <c:legendPos val="r"/>
      <c:layout>
        <c:manualLayout>
          <c:xMode val="edge"/>
          <c:yMode val="edge"/>
          <c:x val="0.80326531058617801"/>
          <c:y val="0.24977032173648941"/>
          <c:w val="0.18562357830271217"/>
          <c:h val="0.55711363972678496"/>
        </c:manualLayout>
      </c:layout>
      <c:txPr>
        <a:bodyPr/>
        <a:lstStyle/>
        <a:p>
          <a:pPr>
            <a:defRPr sz="800"/>
          </a:pPr>
          <a:endParaRPr lang="cs-CZ"/>
        </a:p>
      </c:txP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1967191601049871"/>
          <c:y val="5.6943952116686507E-2"/>
          <c:w val="0.64093764141551401"/>
          <c:h val="0.81583016145122056"/>
        </c:manualLayout>
      </c:layout>
      <c:barChart>
        <c:barDir val="bar"/>
        <c:grouping val="percentStacked"/>
        <c:ser>
          <c:idx val="0"/>
          <c:order val="0"/>
          <c:tx>
            <c:strRef>
              <c:f>List3!$B$79</c:f>
              <c:strCache>
                <c:ptCount val="1"/>
                <c:pt idx="0">
                  <c:v>1</c:v>
                </c:pt>
              </c:strCache>
            </c:strRef>
          </c:tx>
          <c:cat>
            <c:strRef>
              <c:f>List3!$A$80:$A$86</c:f>
              <c:strCache>
                <c:ptCount val="7"/>
                <c:pt idx="0">
                  <c:v>NĚMECKO</c:v>
                </c:pt>
                <c:pt idx="1">
                  <c:v>POLSKO</c:v>
                </c:pt>
                <c:pt idx="2">
                  <c:v>RUSKO</c:v>
                </c:pt>
                <c:pt idx="3">
                  <c:v>VIETNAM</c:v>
                </c:pt>
                <c:pt idx="4">
                  <c:v>SLOVENSKO</c:v>
                </c:pt>
                <c:pt idx="5">
                  <c:v>UKRAJINA</c:v>
                </c:pt>
                <c:pt idx="6">
                  <c:v>CIZINCI CELKEM</c:v>
                </c:pt>
              </c:strCache>
            </c:strRef>
          </c:cat>
          <c:val>
            <c:numRef>
              <c:f>List3!$B$80:$B$86</c:f>
              <c:numCache>
                <c:formatCode>0.0</c:formatCode>
                <c:ptCount val="7"/>
                <c:pt idx="0">
                  <c:v>21.75925925925926</c:v>
                </c:pt>
                <c:pt idx="1">
                  <c:v>17.714455769660141</c:v>
                </c:pt>
                <c:pt idx="2">
                  <c:v>13.318784977649555</c:v>
                </c:pt>
                <c:pt idx="3">
                  <c:v>6.4240275315465381</c:v>
                </c:pt>
                <c:pt idx="4">
                  <c:v>14.722504399582284</c:v>
                </c:pt>
                <c:pt idx="5">
                  <c:v>10.386105893820879</c:v>
                </c:pt>
                <c:pt idx="6">
                  <c:v>12.843698961927609</c:v>
                </c:pt>
              </c:numCache>
            </c:numRef>
          </c:val>
        </c:ser>
        <c:ser>
          <c:idx val="1"/>
          <c:order val="1"/>
          <c:tx>
            <c:strRef>
              <c:f>List3!$C$79</c:f>
              <c:strCache>
                <c:ptCount val="1"/>
                <c:pt idx="0">
                  <c:v> 2-4</c:v>
                </c:pt>
              </c:strCache>
            </c:strRef>
          </c:tx>
          <c:cat>
            <c:strRef>
              <c:f>List3!$A$80:$A$86</c:f>
              <c:strCache>
                <c:ptCount val="7"/>
                <c:pt idx="0">
                  <c:v>NĚMECKO</c:v>
                </c:pt>
                <c:pt idx="1">
                  <c:v>POLSKO</c:v>
                </c:pt>
                <c:pt idx="2">
                  <c:v>RUSKO</c:v>
                </c:pt>
                <c:pt idx="3">
                  <c:v>VIETNAM</c:v>
                </c:pt>
                <c:pt idx="4">
                  <c:v>SLOVENSKO</c:v>
                </c:pt>
                <c:pt idx="5">
                  <c:v>UKRAJINA</c:v>
                </c:pt>
                <c:pt idx="6">
                  <c:v>CIZINCI CELKEM</c:v>
                </c:pt>
              </c:strCache>
            </c:strRef>
          </c:cat>
          <c:val>
            <c:numRef>
              <c:f>List3!$C$80:$C$86</c:f>
              <c:numCache>
                <c:formatCode>0.0</c:formatCode>
                <c:ptCount val="7"/>
                <c:pt idx="0">
                  <c:v>54.103535353535413</c:v>
                </c:pt>
                <c:pt idx="1">
                  <c:v>65.776355925898372</c:v>
                </c:pt>
                <c:pt idx="2">
                  <c:v>60.388581887296844</c:v>
                </c:pt>
                <c:pt idx="3">
                  <c:v>35.549066638857028</c:v>
                </c:pt>
                <c:pt idx="4">
                  <c:v>65.860672742620238</c:v>
                </c:pt>
                <c:pt idx="5">
                  <c:v>53.657782744109973</c:v>
                </c:pt>
                <c:pt idx="6">
                  <c:v>55.400868907204334</c:v>
                </c:pt>
              </c:numCache>
            </c:numRef>
          </c:val>
        </c:ser>
        <c:ser>
          <c:idx val="2"/>
          <c:order val="2"/>
          <c:tx>
            <c:strRef>
              <c:f>List3!$D$79</c:f>
              <c:strCache>
                <c:ptCount val="1"/>
                <c:pt idx="0">
                  <c:v> 5-9</c:v>
                </c:pt>
              </c:strCache>
            </c:strRef>
          </c:tx>
          <c:cat>
            <c:strRef>
              <c:f>List3!$A$80:$A$86</c:f>
              <c:strCache>
                <c:ptCount val="7"/>
                <c:pt idx="0">
                  <c:v>NĚMECKO</c:v>
                </c:pt>
                <c:pt idx="1">
                  <c:v>POLSKO</c:v>
                </c:pt>
                <c:pt idx="2">
                  <c:v>RUSKO</c:v>
                </c:pt>
                <c:pt idx="3">
                  <c:v>VIETNAM</c:v>
                </c:pt>
                <c:pt idx="4">
                  <c:v>SLOVENSKO</c:v>
                </c:pt>
                <c:pt idx="5">
                  <c:v>UKRAJINA</c:v>
                </c:pt>
                <c:pt idx="6">
                  <c:v>CIZINCI CELKEM</c:v>
                </c:pt>
              </c:strCache>
            </c:strRef>
          </c:cat>
          <c:val>
            <c:numRef>
              <c:f>List3!$D$80:$D$86</c:f>
              <c:numCache>
                <c:formatCode>0.0</c:formatCode>
                <c:ptCount val="7"/>
                <c:pt idx="0">
                  <c:v>22.180134680134682</c:v>
                </c:pt>
                <c:pt idx="1">
                  <c:v>14.634327802990772</c:v>
                </c:pt>
                <c:pt idx="2">
                  <c:v>21.878849741297383</c:v>
                </c:pt>
                <c:pt idx="3">
                  <c:v>36.172697882990931</c:v>
                </c:pt>
                <c:pt idx="4">
                  <c:v>17.073240524802188</c:v>
                </c:pt>
                <c:pt idx="5">
                  <c:v>27.781079860203029</c:v>
                </c:pt>
                <c:pt idx="6">
                  <c:v>24.661012244754829</c:v>
                </c:pt>
              </c:numCache>
            </c:numRef>
          </c:val>
        </c:ser>
        <c:ser>
          <c:idx val="3"/>
          <c:order val="3"/>
          <c:tx>
            <c:strRef>
              <c:f>List3!$E$79</c:f>
              <c:strCache>
                <c:ptCount val="1"/>
                <c:pt idx="0">
                  <c:v>10 a více</c:v>
                </c:pt>
              </c:strCache>
            </c:strRef>
          </c:tx>
          <c:cat>
            <c:strRef>
              <c:f>List3!$A$80:$A$86</c:f>
              <c:strCache>
                <c:ptCount val="7"/>
                <c:pt idx="0">
                  <c:v>NĚMECKO</c:v>
                </c:pt>
                <c:pt idx="1">
                  <c:v>POLSKO</c:v>
                </c:pt>
                <c:pt idx="2">
                  <c:v>RUSKO</c:v>
                </c:pt>
                <c:pt idx="3">
                  <c:v>VIETNAM</c:v>
                </c:pt>
                <c:pt idx="4">
                  <c:v>SLOVENSKO</c:v>
                </c:pt>
                <c:pt idx="5">
                  <c:v>UKRAJINA</c:v>
                </c:pt>
                <c:pt idx="6">
                  <c:v>CIZINCI CELKEM</c:v>
                </c:pt>
              </c:strCache>
            </c:strRef>
          </c:cat>
          <c:val>
            <c:numRef>
              <c:f>List3!$E$80:$E$86</c:f>
              <c:numCache>
                <c:formatCode>0.0</c:formatCode>
                <c:ptCount val="7"/>
                <c:pt idx="0">
                  <c:v>1.9570707070707081</c:v>
                </c:pt>
                <c:pt idx="1">
                  <c:v>1.8748605014507911</c:v>
                </c:pt>
                <c:pt idx="2">
                  <c:v>4.4137833937559394</c:v>
                </c:pt>
                <c:pt idx="3">
                  <c:v>21.854207946605491</c:v>
                </c:pt>
                <c:pt idx="4">
                  <c:v>2.3435823329947207</c:v>
                </c:pt>
                <c:pt idx="5">
                  <c:v>8.1750315018663748</c:v>
                </c:pt>
                <c:pt idx="6">
                  <c:v>7.0944198861129655</c:v>
                </c:pt>
              </c:numCache>
            </c:numRef>
          </c:val>
        </c:ser>
        <c:gapWidth val="31"/>
        <c:overlap val="100"/>
        <c:axId val="154868352"/>
        <c:axId val="154907008"/>
      </c:barChart>
      <c:catAx>
        <c:axId val="154868352"/>
        <c:scaling>
          <c:orientation val="minMax"/>
        </c:scaling>
        <c:axPos val="l"/>
        <c:tickLblPos val="nextTo"/>
        <c:crossAx val="154907008"/>
        <c:crosses val="autoZero"/>
        <c:auto val="1"/>
        <c:lblAlgn val="ctr"/>
        <c:lblOffset val="100"/>
      </c:catAx>
      <c:valAx>
        <c:axId val="154907008"/>
        <c:scaling>
          <c:orientation val="minMax"/>
        </c:scaling>
        <c:axPos val="b"/>
        <c:majorGridlines/>
        <c:numFmt formatCode="0%" sourceLinked="1"/>
        <c:tickLblPos val="nextTo"/>
        <c:crossAx val="154868352"/>
        <c:crosses val="autoZero"/>
        <c:crossBetween val="between"/>
      </c:valAx>
    </c:plotArea>
    <c:legend>
      <c:legendPos val="r"/>
      <c:layout>
        <c:manualLayout>
          <c:xMode val="edge"/>
          <c:yMode val="edge"/>
          <c:x val="0.86580120372884528"/>
          <c:y val="0.38477496585989601"/>
          <c:w val="0.13419879627115577"/>
          <c:h val="0.46278990033994893"/>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0154396325459318"/>
          <c:y val="0.11601851851851851"/>
          <c:w val="0.58770056867891518"/>
          <c:h val="0.75675524934383398"/>
        </c:manualLayout>
      </c:layout>
      <c:barChart>
        <c:barDir val="bar"/>
        <c:grouping val="percentStacked"/>
        <c:ser>
          <c:idx val="0"/>
          <c:order val="0"/>
          <c:tx>
            <c:strRef>
              <c:f>List1!$A$9</c:f>
              <c:strCache>
                <c:ptCount val="1"/>
                <c:pt idx="0">
                  <c:v>ve vlastním domě</c:v>
                </c:pt>
              </c:strCache>
            </c:strRef>
          </c:tx>
          <c:spPr>
            <a:solidFill>
              <a:schemeClr val="accent4">
                <a:lumMod val="75000"/>
              </a:schemeClr>
            </a:solidFill>
          </c:spPr>
          <c:cat>
            <c:numRef>
              <c:f>List1!$B$8:$D$8</c:f>
              <c:numCache>
                <c:formatCode>General</c:formatCode>
                <c:ptCount val="3"/>
                <c:pt idx="0">
                  <c:v>1991</c:v>
                </c:pt>
                <c:pt idx="1">
                  <c:v>2001</c:v>
                </c:pt>
                <c:pt idx="2">
                  <c:v>2011</c:v>
                </c:pt>
              </c:numCache>
            </c:numRef>
          </c:cat>
          <c:val>
            <c:numRef>
              <c:f>List1!$B$9:$D$9</c:f>
              <c:numCache>
                <c:formatCode>General</c:formatCode>
                <c:ptCount val="3"/>
                <c:pt idx="0">
                  <c:v>4043236</c:v>
                </c:pt>
                <c:pt idx="1">
                  <c:v>4045619</c:v>
                </c:pt>
                <c:pt idx="2">
                  <c:v>4290789</c:v>
                </c:pt>
              </c:numCache>
            </c:numRef>
          </c:val>
        </c:ser>
        <c:ser>
          <c:idx val="1"/>
          <c:order val="1"/>
          <c:tx>
            <c:strRef>
              <c:f>List1!$A$10</c:f>
              <c:strCache>
                <c:ptCount val="1"/>
                <c:pt idx="0">
                  <c:v>os. vlastnictví</c:v>
                </c:pt>
              </c:strCache>
            </c:strRef>
          </c:tx>
          <c:spPr>
            <a:solidFill>
              <a:srgbClr val="92D050"/>
            </a:solidFill>
          </c:spPr>
          <c:cat>
            <c:numRef>
              <c:f>List1!$B$8:$D$8</c:f>
              <c:numCache>
                <c:formatCode>General</c:formatCode>
                <c:ptCount val="3"/>
                <c:pt idx="0">
                  <c:v>1991</c:v>
                </c:pt>
                <c:pt idx="1">
                  <c:v>2001</c:v>
                </c:pt>
                <c:pt idx="2">
                  <c:v>2011</c:v>
                </c:pt>
              </c:numCache>
            </c:numRef>
          </c:cat>
          <c:val>
            <c:numRef>
              <c:f>List1!$B$10:$D$10</c:f>
              <c:numCache>
                <c:formatCode>General</c:formatCode>
                <c:ptCount val="3"/>
                <c:pt idx="0">
                  <c:v>83227</c:v>
                </c:pt>
                <c:pt idx="1">
                  <c:v>1015240</c:v>
                </c:pt>
                <c:pt idx="2">
                  <c:v>1835602</c:v>
                </c:pt>
              </c:numCache>
            </c:numRef>
          </c:val>
        </c:ser>
        <c:ser>
          <c:idx val="2"/>
          <c:order val="2"/>
          <c:tx>
            <c:strRef>
              <c:f>List1!#REF!</c:f>
              <c:strCache>
                <c:ptCount val="1"/>
                <c:pt idx="0">
                  <c:v>#REF!</c:v>
                </c:pt>
              </c:strCache>
            </c:strRef>
          </c:tx>
          <c:cat>
            <c:numRef>
              <c:f>List1!$B$8:$D$8</c:f>
              <c:numCache>
                <c:formatCode>General</c:formatCode>
                <c:ptCount val="3"/>
                <c:pt idx="0">
                  <c:v>1991</c:v>
                </c:pt>
                <c:pt idx="1">
                  <c:v>2001</c:v>
                </c:pt>
                <c:pt idx="2">
                  <c:v>2011</c:v>
                </c:pt>
              </c:numCache>
            </c:numRef>
          </c:cat>
          <c:val>
            <c:numRef>
              <c:f>List1!#REF!</c:f>
              <c:numCache>
                <c:formatCode>General</c:formatCode>
                <c:ptCount val="1"/>
                <c:pt idx="0">
                  <c:v>1</c:v>
                </c:pt>
              </c:numCache>
            </c:numRef>
          </c:val>
        </c:ser>
        <c:ser>
          <c:idx val="3"/>
          <c:order val="3"/>
          <c:tx>
            <c:strRef>
              <c:f>List1!$A$11</c:f>
              <c:strCache>
                <c:ptCount val="1"/>
                <c:pt idx="0">
                  <c:v>nájemní</c:v>
                </c:pt>
              </c:strCache>
            </c:strRef>
          </c:tx>
          <c:spPr>
            <a:solidFill>
              <a:schemeClr val="accent2">
                <a:lumMod val="75000"/>
              </a:schemeClr>
            </a:solidFill>
          </c:spPr>
          <c:cat>
            <c:numRef>
              <c:f>List1!$B$8:$D$8</c:f>
              <c:numCache>
                <c:formatCode>General</c:formatCode>
                <c:ptCount val="3"/>
                <c:pt idx="0">
                  <c:v>1991</c:v>
                </c:pt>
                <c:pt idx="1">
                  <c:v>2001</c:v>
                </c:pt>
                <c:pt idx="2">
                  <c:v>2011</c:v>
                </c:pt>
              </c:numCache>
            </c:numRef>
          </c:cat>
          <c:val>
            <c:numRef>
              <c:f>List1!$B$11:$D$11</c:f>
              <c:numCache>
                <c:formatCode>General</c:formatCode>
                <c:ptCount val="3"/>
                <c:pt idx="0">
                  <c:v>3812759</c:v>
                </c:pt>
                <c:pt idx="1">
                  <c:v>2698360</c:v>
                </c:pt>
                <c:pt idx="2">
                  <c:v>2071519</c:v>
                </c:pt>
              </c:numCache>
            </c:numRef>
          </c:val>
        </c:ser>
        <c:ser>
          <c:idx val="4"/>
          <c:order val="4"/>
          <c:tx>
            <c:strRef>
              <c:f>List1!$A$12</c:f>
              <c:strCache>
                <c:ptCount val="1"/>
                <c:pt idx="0">
                  <c:v>družstevní </c:v>
                </c:pt>
              </c:strCache>
            </c:strRef>
          </c:tx>
          <c:spPr>
            <a:solidFill>
              <a:schemeClr val="accent5">
                <a:lumMod val="60000"/>
                <a:lumOff val="40000"/>
              </a:schemeClr>
            </a:solidFill>
          </c:spPr>
          <c:cat>
            <c:numRef>
              <c:f>List1!$B$8:$D$8</c:f>
              <c:numCache>
                <c:formatCode>General</c:formatCode>
                <c:ptCount val="3"/>
                <c:pt idx="0">
                  <c:v>1991</c:v>
                </c:pt>
                <c:pt idx="1">
                  <c:v>2001</c:v>
                </c:pt>
                <c:pt idx="2">
                  <c:v>2011</c:v>
                </c:pt>
              </c:numCache>
            </c:numRef>
          </c:cat>
          <c:val>
            <c:numRef>
              <c:f>List1!$B$12:$D$12</c:f>
              <c:numCache>
                <c:formatCode>General</c:formatCode>
                <c:ptCount val="3"/>
                <c:pt idx="0">
                  <c:v>1947456</c:v>
                </c:pt>
                <c:pt idx="1">
                  <c:v>1435959</c:v>
                </c:pt>
                <c:pt idx="2">
                  <c:v>893811</c:v>
                </c:pt>
              </c:numCache>
            </c:numRef>
          </c:val>
        </c:ser>
        <c:ser>
          <c:idx val="5"/>
          <c:order val="5"/>
          <c:tx>
            <c:strRef>
              <c:f>List1!$A$13</c:f>
              <c:strCache>
                <c:ptCount val="1"/>
                <c:pt idx="0">
                  <c:v>jiný důvod vč. nezjištěno</c:v>
                </c:pt>
              </c:strCache>
            </c:strRef>
          </c:tx>
          <c:spPr>
            <a:solidFill>
              <a:schemeClr val="bg1">
                <a:lumMod val="75000"/>
              </a:schemeClr>
            </a:solidFill>
          </c:spPr>
          <c:cat>
            <c:numRef>
              <c:f>List1!$B$8:$D$8</c:f>
              <c:numCache>
                <c:formatCode>General</c:formatCode>
                <c:ptCount val="3"/>
                <c:pt idx="0">
                  <c:v>1991</c:v>
                </c:pt>
                <c:pt idx="1">
                  <c:v>2001</c:v>
                </c:pt>
                <c:pt idx="2">
                  <c:v>2011</c:v>
                </c:pt>
              </c:numCache>
            </c:numRef>
          </c:cat>
          <c:val>
            <c:numRef>
              <c:f>List1!$B$13:$D$13</c:f>
              <c:numCache>
                <c:formatCode>General</c:formatCode>
                <c:ptCount val="3"/>
                <c:pt idx="0">
                  <c:v>351379</c:v>
                </c:pt>
                <c:pt idx="1">
                  <c:v>906124</c:v>
                </c:pt>
                <c:pt idx="2">
                  <c:v>1053240</c:v>
                </c:pt>
              </c:numCache>
            </c:numRef>
          </c:val>
        </c:ser>
        <c:gapWidth val="35"/>
        <c:overlap val="100"/>
        <c:axId val="95537792"/>
        <c:axId val="103752832"/>
      </c:barChart>
      <c:catAx>
        <c:axId val="95537792"/>
        <c:scaling>
          <c:orientation val="minMax"/>
        </c:scaling>
        <c:axPos val="l"/>
        <c:numFmt formatCode="General" sourceLinked="1"/>
        <c:tickLblPos val="nextTo"/>
        <c:crossAx val="103752832"/>
        <c:crosses val="autoZero"/>
        <c:auto val="1"/>
        <c:lblAlgn val="ctr"/>
        <c:lblOffset val="100"/>
      </c:catAx>
      <c:valAx>
        <c:axId val="103752832"/>
        <c:scaling>
          <c:orientation val="minMax"/>
        </c:scaling>
        <c:axPos val="b"/>
        <c:majorGridlines/>
        <c:numFmt formatCode="0%" sourceLinked="1"/>
        <c:tickLblPos val="nextTo"/>
        <c:crossAx val="95537792"/>
        <c:crosses val="autoZero"/>
        <c:crossBetween val="between"/>
      </c:valAx>
    </c:plotArea>
    <c:legend>
      <c:legendPos val="r"/>
      <c:legendEntry>
        <c:idx val="2"/>
        <c:delete val="1"/>
      </c:legendEntry>
      <c:layout>
        <c:manualLayout>
          <c:xMode val="edge"/>
          <c:yMode val="edge"/>
          <c:x val="0.72862642169728864"/>
          <c:y val="0.24917906095071438"/>
          <c:w val="0.26859580052493426"/>
          <c:h val="0.57599336541265567"/>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autoTitleDeleted val="1"/>
    <c:plotArea>
      <c:layout>
        <c:manualLayout>
          <c:layoutTarget val="inner"/>
          <c:xMode val="edge"/>
          <c:yMode val="edge"/>
          <c:x val="0.2501958959301559"/>
          <c:y val="6.9026958734494354E-2"/>
          <c:w val="0.52683187271164444"/>
          <c:h val="0.83375189303589115"/>
        </c:manualLayout>
      </c:layout>
      <c:barChart>
        <c:barDir val="bar"/>
        <c:grouping val="percentStacked"/>
        <c:ser>
          <c:idx val="1"/>
          <c:order val="0"/>
          <c:tx>
            <c:strRef>
              <c:f>KRAJE!$E$57</c:f>
              <c:strCache>
                <c:ptCount val="1"/>
                <c:pt idx="0">
                  <c:v>ve vlastním domě</c:v>
                </c:pt>
              </c:strCache>
            </c:strRef>
          </c:tx>
          <c:spPr>
            <a:solidFill>
              <a:schemeClr val="accent4">
                <a:lumMod val="75000"/>
              </a:schemeClr>
            </a:solidFill>
          </c:spPr>
          <c:cat>
            <c:strRef>
              <c:f>KRAJE!$A$58:$A$71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Hlavní město Praha</c:v>
                </c:pt>
              </c:strCache>
            </c:strRef>
          </c:cat>
          <c:val>
            <c:numRef>
              <c:f>KRAJE!$E$58:$E$71</c:f>
              <c:numCache>
                <c:formatCode>0.0</c:formatCode>
                <c:ptCount val="14"/>
                <c:pt idx="0">
                  <c:v>36.543924259326154</c:v>
                </c:pt>
                <c:pt idx="1">
                  <c:v>55.853676107541204</c:v>
                </c:pt>
                <c:pt idx="2">
                  <c:v>47.684643679808595</c:v>
                </c:pt>
                <c:pt idx="3">
                  <c:v>50.114720061934754</c:v>
                </c:pt>
                <c:pt idx="4">
                  <c:v>56.38008995042842</c:v>
                </c:pt>
                <c:pt idx="5">
                  <c:v>51.615160513531023</c:v>
                </c:pt>
                <c:pt idx="6">
                  <c:v>48.363830364747571</c:v>
                </c:pt>
                <c:pt idx="7">
                  <c:v>40.175132180835348</c:v>
                </c:pt>
                <c:pt idx="8">
                  <c:v>30.584610363866062</c:v>
                </c:pt>
                <c:pt idx="9">
                  <c:v>27.251557437887158</c:v>
                </c:pt>
                <c:pt idx="10">
                  <c:v>43.424867815111654</c:v>
                </c:pt>
                <c:pt idx="11">
                  <c:v>46.601820107748459</c:v>
                </c:pt>
                <c:pt idx="12">
                  <c:v>55.667277002559565</c:v>
                </c:pt>
                <c:pt idx="13">
                  <c:v>14.590571169238931</c:v>
                </c:pt>
              </c:numCache>
            </c:numRef>
          </c:val>
        </c:ser>
        <c:ser>
          <c:idx val="0"/>
          <c:order val="1"/>
          <c:tx>
            <c:strRef>
              <c:f>KRAJE!$D$57</c:f>
              <c:strCache>
                <c:ptCount val="1"/>
                <c:pt idx="0">
                  <c:v>os. vlastnictví</c:v>
                </c:pt>
              </c:strCache>
            </c:strRef>
          </c:tx>
          <c:spPr>
            <a:solidFill>
              <a:srgbClr val="92D050"/>
            </a:solidFill>
          </c:spPr>
          <c:cat>
            <c:strRef>
              <c:f>KRAJE!$A$58:$A$71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Hlavní město Praha</c:v>
                </c:pt>
              </c:strCache>
            </c:strRef>
          </c:cat>
          <c:val>
            <c:numRef>
              <c:f>KRAJE!$D$58:$D$71</c:f>
              <c:numCache>
                <c:formatCode>0.0</c:formatCode>
                <c:ptCount val="14"/>
                <c:pt idx="0">
                  <c:v>12.14698186794622</c:v>
                </c:pt>
                <c:pt idx="1">
                  <c:v>16.172659241180689</c:v>
                </c:pt>
                <c:pt idx="2">
                  <c:v>18.23548768607721</c:v>
                </c:pt>
                <c:pt idx="3">
                  <c:v>14.389274026111131</c:v>
                </c:pt>
                <c:pt idx="4">
                  <c:v>15.439541498757183</c:v>
                </c:pt>
                <c:pt idx="5">
                  <c:v>15.8366132456997</c:v>
                </c:pt>
                <c:pt idx="6">
                  <c:v>17.333046302449436</c:v>
                </c:pt>
                <c:pt idx="7">
                  <c:v>16.529436226459929</c:v>
                </c:pt>
                <c:pt idx="8">
                  <c:v>19.981209453404162</c:v>
                </c:pt>
                <c:pt idx="9">
                  <c:v>32.462950390634617</c:v>
                </c:pt>
                <c:pt idx="10">
                  <c:v>23.286314101052032</c:v>
                </c:pt>
                <c:pt idx="11">
                  <c:v>17.599202055390766</c:v>
                </c:pt>
                <c:pt idx="12">
                  <c:v>14.690173805621761</c:v>
                </c:pt>
                <c:pt idx="13">
                  <c:v>27.859511442987678</c:v>
                </c:pt>
              </c:numCache>
            </c:numRef>
          </c:val>
        </c:ser>
        <c:ser>
          <c:idx val="2"/>
          <c:order val="2"/>
          <c:tx>
            <c:strRef>
              <c:f>KRAJE!$C$57</c:f>
              <c:strCache>
                <c:ptCount val="1"/>
                <c:pt idx="0">
                  <c:v>nájemní</c:v>
                </c:pt>
              </c:strCache>
            </c:strRef>
          </c:tx>
          <c:spPr>
            <a:solidFill>
              <a:schemeClr val="accent2">
                <a:lumMod val="75000"/>
              </a:schemeClr>
            </a:solidFill>
          </c:spPr>
          <c:cat>
            <c:strRef>
              <c:f>KRAJE!$A$58:$A$71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Hlavní město Praha</c:v>
                </c:pt>
              </c:strCache>
            </c:strRef>
          </c:cat>
          <c:val>
            <c:numRef>
              <c:f>KRAJE!$C$58:$C$71</c:f>
              <c:numCache>
                <c:formatCode>0.0</c:formatCode>
                <c:ptCount val="14"/>
                <c:pt idx="0">
                  <c:v>26.598546243613672</c:v>
                </c:pt>
                <c:pt idx="1">
                  <c:v>12.468701734780478</c:v>
                </c:pt>
                <c:pt idx="2">
                  <c:v>16.405422752493212</c:v>
                </c:pt>
                <c:pt idx="3">
                  <c:v>19.043178379139214</c:v>
                </c:pt>
                <c:pt idx="4">
                  <c:v>12.623500406208246</c:v>
                </c:pt>
                <c:pt idx="5">
                  <c:v>16.113709866604644</c:v>
                </c:pt>
                <c:pt idx="6">
                  <c:v>17.248996171881579</c:v>
                </c:pt>
                <c:pt idx="7">
                  <c:v>22.427612427968846</c:v>
                </c:pt>
                <c:pt idx="8">
                  <c:v>23.732434854551705</c:v>
                </c:pt>
                <c:pt idx="9">
                  <c:v>24.015322867163082</c:v>
                </c:pt>
                <c:pt idx="10">
                  <c:v>19.157101331465633</c:v>
                </c:pt>
                <c:pt idx="11">
                  <c:v>18.933774177119624</c:v>
                </c:pt>
                <c:pt idx="12">
                  <c:v>13.467313670750068</c:v>
                </c:pt>
                <c:pt idx="13">
                  <c:v>32.615027023999545</c:v>
                </c:pt>
              </c:numCache>
            </c:numRef>
          </c:val>
        </c:ser>
        <c:ser>
          <c:idx val="3"/>
          <c:order val="3"/>
          <c:tx>
            <c:strRef>
              <c:f>KRAJE!$B$57</c:f>
              <c:strCache>
                <c:ptCount val="1"/>
                <c:pt idx="0">
                  <c:v>družstevní</c:v>
                </c:pt>
              </c:strCache>
            </c:strRef>
          </c:tx>
          <c:spPr>
            <a:solidFill>
              <a:schemeClr val="tx2">
                <a:lumMod val="40000"/>
                <a:lumOff val="60000"/>
              </a:schemeClr>
            </a:solidFill>
          </c:spPr>
          <c:cat>
            <c:strRef>
              <c:f>KRAJE!$A$58:$A$71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Hlavní město Praha</c:v>
                </c:pt>
              </c:strCache>
            </c:strRef>
          </c:cat>
          <c:val>
            <c:numRef>
              <c:f>KRAJE!$B$58:$B$71</c:f>
              <c:numCache>
                <c:formatCode>0.0</c:formatCode>
                <c:ptCount val="14"/>
                <c:pt idx="0">
                  <c:v>15.050674327667402</c:v>
                </c:pt>
                <c:pt idx="1">
                  <c:v>6.5421940149809945</c:v>
                </c:pt>
                <c:pt idx="2">
                  <c:v>8.0578896096491555</c:v>
                </c:pt>
                <c:pt idx="3">
                  <c:v>7.0325861280219515</c:v>
                </c:pt>
                <c:pt idx="4">
                  <c:v>6.6610086462883791</c:v>
                </c:pt>
                <c:pt idx="5">
                  <c:v>6.6479128529122118</c:v>
                </c:pt>
                <c:pt idx="6">
                  <c:v>6.7462865379395556</c:v>
                </c:pt>
                <c:pt idx="7">
                  <c:v>9.6481910532881656</c:v>
                </c:pt>
                <c:pt idx="8">
                  <c:v>14.434556248621636</c:v>
                </c:pt>
                <c:pt idx="9">
                  <c:v>4.2640908115561675</c:v>
                </c:pt>
                <c:pt idx="10">
                  <c:v>3.6333153094959014</c:v>
                </c:pt>
                <c:pt idx="11">
                  <c:v>7.3881470079517859</c:v>
                </c:pt>
                <c:pt idx="12">
                  <c:v>5.0646136749933364</c:v>
                </c:pt>
                <c:pt idx="13">
                  <c:v>12.602853457605844</c:v>
                </c:pt>
              </c:numCache>
            </c:numRef>
          </c:val>
        </c:ser>
        <c:ser>
          <c:idx val="4"/>
          <c:order val="4"/>
          <c:tx>
            <c:strRef>
              <c:f>KRAJE!$F$57</c:f>
              <c:strCache>
                <c:ptCount val="1"/>
                <c:pt idx="0">
                  <c:v>jiný důvod užívání</c:v>
                </c:pt>
              </c:strCache>
            </c:strRef>
          </c:tx>
          <c:spPr>
            <a:solidFill>
              <a:srgbClr val="F2FD5F"/>
            </a:solidFill>
          </c:spPr>
          <c:cat>
            <c:strRef>
              <c:f>KRAJE!$A$58:$A$71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Hlavní město Praha</c:v>
                </c:pt>
              </c:strCache>
            </c:strRef>
          </c:cat>
          <c:val>
            <c:numRef>
              <c:f>KRAJE!$F$58:$F$71</c:f>
              <c:numCache>
                <c:formatCode>0.0</c:formatCode>
                <c:ptCount val="14"/>
                <c:pt idx="0">
                  <c:v>4.2925035274222045</c:v>
                </c:pt>
                <c:pt idx="1">
                  <c:v>3.9562764333067961</c:v>
                </c:pt>
                <c:pt idx="2">
                  <c:v>4.4779085716892064</c:v>
                </c:pt>
                <c:pt idx="3">
                  <c:v>3.2114579301122528</c:v>
                </c:pt>
                <c:pt idx="4">
                  <c:v>4.5196965634582043</c:v>
                </c:pt>
                <c:pt idx="5">
                  <c:v>4.7555554664426225</c:v>
                </c:pt>
                <c:pt idx="6">
                  <c:v>4.8683557810203908</c:v>
                </c:pt>
                <c:pt idx="7">
                  <c:v>4.3269767718172645</c:v>
                </c:pt>
                <c:pt idx="8">
                  <c:v>3.1399589769477947</c:v>
                </c:pt>
                <c:pt idx="9">
                  <c:v>2.9685416893848067</c:v>
                </c:pt>
                <c:pt idx="10">
                  <c:v>4.3656395498637375</c:v>
                </c:pt>
                <c:pt idx="11">
                  <c:v>4.1107815268663668</c:v>
                </c:pt>
                <c:pt idx="12">
                  <c:v>4.1612791914423859</c:v>
                </c:pt>
                <c:pt idx="13">
                  <c:v>2.0153100305904061</c:v>
                </c:pt>
              </c:numCache>
            </c:numRef>
          </c:val>
        </c:ser>
        <c:ser>
          <c:idx val="5"/>
          <c:order val="5"/>
          <c:tx>
            <c:strRef>
              <c:f>KRAJE!$G$57</c:f>
              <c:strCache>
                <c:ptCount val="1"/>
                <c:pt idx="0">
                  <c:v>nezjištěno</c:v>
                </c:pt>
              </c:strCache>
            </c:strRef>
          </c:tx>
          <c:cat>
            <c:strRef>
              <c:f>KRAJE!$A$58:$A$71</c:f>
              <c:strCache>
                <c:ptCount val="14"/>
                <c:pt idx="0">
                  <c:v>Moravskoslezský kraj</c:v>
                </c:pt>
                <c:pt idx="1">
                  <c:v>Zlínský kraj</c:v>
                </c:pt>
                <c:pt idx="2">
                  <c:v>Olomoucký kraj</c:v>
                </c:pt>
                <c:pt idx="3">
                  <c:v>Jihomoravský kraj</c:v>
                </c:pt>
                <c:pt idx="4">
                  <c:v>Kraj Vysočina</c:v>
                </c:pt>
                <c:pt idx="5">
                  <c:v>Pardubický kraj</c:v>
                </c:pt>
                <c:pt idx="6">
                  <c:v>Královéhradecký kraj</c:v>
                </c:pt>
                <c:pt idx="7">
                  <c:v>Liberecký kraj</c:v>
                </c:pt>
                <c:pt idx="8">
                  <c:v>Ústecký kraj</c:v>
                </c:pt>
                <c:pt idx="9">
                  <c:v>Karlovarský kraj</c:v>
                </c:pt>
                <c:pt idx="10">
                  <c:v>Plzeňský kraj</c:v>
                </c:pt>
                <c:pt idx="11">
                  <c:v>Jihočeský kraj</c:v>
                </c:pt>
                <c:pt idx="12">
                  <c:v>Středočeský kraj</c:v>
                </c:pt>
                <c:pt idx="13">
                  <c:v>Hlavní město Praha</c:v>
                </c:pt>
              </c:strCache>
            </c:strRef>
          </c:cat>
          <c:val>
            <c:numRef>
              <c:f>KRAJE!$G$58:$G$71</c:f>
              <c:numCache>
                <c:formatCode>0.0</c:formatCode>
                <c:ptCount val="14"/>
                <c:pt idx="0">
                  <c:v>5.3673697740242501</c:v>
                </c:pt>
                <c:pt idx="1">
                  <c:v>5.006492468209748</c:v>
                </c:pt>
                <c:pt idx="2">
                  <c:v>5.1386477002824815</c:v>
                </c:pt>
                <c:pt idx="3">
                  <c:v>6.2087834746806534</c:v>
                </c:pt>
                <c:pt idx="4">
                  <c:v>4.3761629348595283</c:v>
                </c:pt>
                <c:pt idx="5">
                  <c:v>5.0310480548097924</c:v>
                </c:pt>
                <c:pt idx="6">
                  <c:v>5.4394848419614155</c:v>
                </c:pt>
                <c:pt idx="7">
                  <c:v>6.8926513396304845</c:v>
                </c:pt>
                <c:pt idx="8">
                  <c:v>8.1272301026086229</c:v>
                </c:pt>
                <c:pt idx="9">
                  <c:v>9.0375368033741257</c:v>
                </c:pt>
                <c:pt idx="10">
                  <c:v>6.1327618930109864</c:v>
                </c:pt>
                <c:pt idx="11">
                  <c:v>5.3662751249229164</c:v>
                </c:pt>
                <c:pt idx="12">
                  <c:v>6.9493426546328942</c:v>
                </c:pt>
                <c:pt idx="13">
                  <c:v>10.316726875577586</c:v>
                </c:pt>
              </c:numCache>
            </c:numRef>
          </c:val>
        </c:ser>
        <c:gapWidth val="25"/>
        <c:overlap val="100"/>
        <c:axId val="108000768"/>
        <c:axId val="108002304"/>
      </c:barChart>
      <c:catAx>
        <c:axId val="108000768"/>
        <c:scaling>
          <c:orientation val="minMax"/>
        </c:scaling>
        <c:axPos val="l"/>
        <c:tickLblPos val="nextTo"/>
        <c:crossAx val="108002304"/>
        <c:crosses val="autoZero"/>
        <c:auto val="1"/>
        <c:lblAlgn val="ctr"/>
        <c:lblOffset val="100"/>
        <c:tickLblSkip val="1"/>
      </c:catAx>
      <c:valAx>
        <c:axId val="108002304"/>
        <c:scaling>
          <c:orientation val="minMax"/>
        </c:scaling>
        <c:axPos val="b"/>
        <c:majorGridlines/>
        <c:numFmt formatCode="0%" sourceLinked="1"/>
        <c:tickLblPos val="nextTo"/>
        <c:crossAx val="108000768"/>
        <c:crosses val="autoZero"/>
        <c:crossBetween val="between"/>
      </c:valAx>
    </c:plotArea>
    <c:legend>
      <c:legendPos val="r"/>
      <c:layout>
        <c:manualLayout>
          <c:xMode val="edge"/>
          <c:yMode val="edge"/>
          <c:x val="0.78694673596817377"/>
          <c:y val="0.29509440494134431"/>
          <c:w val="0.21305326403182775"/>
          <c:h val="0.4098111901173118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percentStacked"/>
        <c:ser>
          <c:idx val="0"/>
          <c:order val="0"/>
          <c:tx>
            <c:strRef>
              <c:f>List2!$A$44</c:f>
              <c:strCache>
                <c:ptCount val="1"/>
                <c:pt idx="0">
                  <c:v>bydlení
 v bytech</c:v>
                </c:pt>
              </c:strCache>
            </c:strRef>
          </c:tx>
          <c:spPr>
            <a:solidFill>
              <a:schemeClr val="accent2">
                <a:lumMod val="75000"/>
              </a:schemeClr>
            </a:solidFill>
          </c:spPr>
          <c:cat>
            <c:numRef>
              <c:f>List2!$B$43:$D$43</c:f>
              <c:numCache>
                <c:formatCode>General</c:formatCode>
                <c:ptCount val="3"/>
                <c:pt idx="0">
                  <c:v>1991</c:v>
                </c:pt>
                <c:pt idx="1">
                  <c:v>2001</c:v>
                </c:pt>
                <c:pt idx="2">
                  <c:v>2011</c:v>
                </c:pt>
              </c:numCache>
            </c:numRef>
          </c:cat>
          <c:val>
            <c:numRef>
              <c:f>List2!$B$44:$D$44</c:f>
              <c:numCache>
                <c:formatCode>#,##0</c:formatCode>
                <c:ptCount val="3"/>
                <c:pt idx="0">
                  <c:v>1620</c:v>
                </c:pt>
                <c:pt idx="1">
                  <c:v>2678</c:v>
                </c:pt>
                <c:pt idx="2">
                  <c:v>12907</c:v>
                </c:pt>
              </c:numCache>
            </c:numRef>
          </c:val>
        </c:ser>
        <c:ser>
          <c:idx val="1"/>
          <c:order val="1"/>
          <c:tx>
            <c:strRef>
              <c:f>List2!$A$45</c:f>
              <c:strCache>
                <c:ptCount val="1"/>
                <c:pt idx="0">
                  <c:v>hromadně
 bydlící
 osoby</c:v>
                </c:pt>
              </c:strCache>
            </c:strRef>
          </c:tx>
          <c:spPr>
            <a:solidFill>
              <a:schemeClr val="accent2">
                <a:lumMod val="60000"/>
                <a:lumOff val="40000"/>
              </a:schemeClr>
            </a:solidFill>
          </c:spPr>
          <c:cat>
            <c:numRef>
              <c:f>List2!$B$43:$D$43</c:f>
              <c:numCache>
                <c:formatCode>General</c:formatCode>
                <c:ptCount val="3"/>
                <c:pt idx="0">
                  <c:v>1991</c:v>
                </c:pt>
                <c:pt idx="1">
                  <c:v>2001</c:v>
                </c:pt>
                <c:pt idx="2">
                  <c:v>2011</c:v>
                </c:pt>
              </c:numCache>
            </c:numRef>
          </c:cat>
          <c:val>
            <c:numRef>
              <c:f>List2!$B$45:$D$45</c:f>
              <c:numCache>
                <c:formatCode>#,##0</c:formatCode>
                <c:ptCount val="3"/>
                <c:pt idx="0">
                  <c:v>30886</c:v>
                </c:pt>
                <c:pt idx="1">
                  <c:v>32688</c:v>
                </c:pt>
                <c:pt idx="2">
                  <c:v>35010</c:v>
                </c:pt>
              </c:numCache>
            </c:numRef>
          </c:val>
        </c:ser>
        <c:gapWidth val="32"/>
        <c:overlap val="100"/>
        <c:axId val="157033216"/>
        <c:axId val="157034752"/>
      </c:barChart>
      <c:catAx>
        <c:axId val="157033216"/>
        <c:scaling>
          <c:orientation val="minMax"/>
        </c:scaling>
        <c:axPos val="l"/>
        <c:numFmt formatCode="General" sourceLinked="1"/>
        <c:tickLblPos val="nextTo"/>
        <c:crossAx val="157034752"/>
        <c:crosses val="autoZero"/>
        <c:auto val="1"/>
        <c:lblAlgn val="ctr"/>
        <c:lblOffset val="100"/>
      </c:catAx>
      <c:valAx>
        <c:axId val="157034752"/>
        <c:scaling>
          <c:orientation val="minMax"/>
        </c:scaling>
        <c:axPos val="b"/>
        <c:majorGridlines/>
        <c:numFmt formatCode="0%" sourceLinked="1"/>
        <c:tickLblPos val="nextTo"/>
        <c:crossAx val="157033216"/>
        <c:crosses val="autoZero"/>
        <c:crossBetween val="between"/>
      </c:valAx>
    </c:plotArea>
    <c:legend>
      <c:legendPos val="r"/>
      <c:layout>
        <c:manualLayout>
          <c:xMode val="edge"/>
          <c:yMode val="edge"/>
          <c:x val="0.78840419947506557"/>
          <c:y val="0.39776428988043361"/>
          <c:w val="0.18381802274715711"/>
          <c:h val="0.37113808690580474"/>
        </c:manualLayout>
      </c:layout>
    </c:legend>
    <c:plotVisOnly val="1"/>
  </c:chart>
  <c:spPr>
    <a:ln>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chart>
    <c:autoTitleDeleted val="1"/>
    <c:plotArea>
      <c:layout>
        <c:manualLayout>
          <c:layoutTarget val="inner"/>
          <c:xMode val="edge"/>
          <c:yMode val="edge"/>
          <c:x val="4.1003570205898204E-3"/>
          <c:y val="0.11044519908945032"/>
          <c:w val="0.58024779511256552"/>
          <c:h val="0.88549663519548205"/>
        </c:manualLayout>
      </c:layout>
      <c:pieChart>
        <c:varyColors val="1"/>
        <c:ser>
          <c:idx val="0"/>
          <c:order val="0"/>
          <c:explosion val="25"/>
          <c:dPt>
            <c:idx val="0"/>
            <c:spPr>
              <a:solidFill>
                <a:srgbClr val="FFC000"/>
              </a:solidFill>
            </c:spPr>
          </c:dPt>
          <c:dPt>
            <c:idx val="1"/>
            <c:explosion val="6"/>
          </c:dPt>
          <c:dPt>
            <c:idx val="2"/>
            <c:explosion val="13"/>
          </c:dPt>
          <c:dPt>
            <c:idx val="3"/>
            <c:explosion val="4"/>
          </c:dPt>
          <c:dPt>
            <c:idx val="4"/>
            <c:explosion val="1"/>
          </c:dPt>
          <c:dLbls>
            <c:dLbl>
              <c:idx val="1"/>
              <c:layout>
                <c:manualLayout>
                  <c:x val="-2.4189705815309173E-2"/>
                  <c:y val="-9.4732429279674023E-3"/>
                </c:manualLayout>
              </c:layout>
              <c:showPercent val="1"/>
            </c:dLbl>
            <c:dLbl>
              <c:idx val="3"/>
              <c:layout>
                <c:manualLayout>
                  <c:x val="1.598669731500954E-2"/>
                  <c:y val="-5.931609259743012E-2"/>
                </c:manualLayout>
              </c:layout>
              <c:showPercent val="1"/>
            </c:dLbl>
            <c:dLbl>
              <c:idx val="4"/>
              <c:layout>
                <c:manualLayout>
                  <c:x val="-2.893261171137728E-2"/>
                  <c:y val="3.6484762321376644E-2"/>
                </c:manualLayout>
              </c:layout>
              <c:showPercent val="1"/>
            </c:dLbl>
            <c:showPercent val="1"/>
            <c:showLeaderLines val="1"/>
          </c:dLbls>
          <c:cat>
            <c:strRef>
              <c:f>List1!$B$24:$B$28</c:f>
              <c:strCache>
                <c:ptCount val="5"/>
                <c:pt idx="0">
                  <c:v>Fyzická osoba</c:v>
                </c:pt>
                <c:pt idx="1">
                  <c:v>Jiná právnická osoba</c:v>
                </c:pt>
                <c:pt idx="2">
                  <c:v>Nezjištěno</c:v>
                </c:pt>
                <c:pt idx="3">
                  <c:v>Obec</c:v>
                </c:pt>
                <c:pt idx="4">
                  <c:v>Stát</c:v>
                </c:pt>
              </c:strCache>
            </c:strRef>
          </c:cat>
          <c:val>
            <c:numRef>
              <c:f>List1!$C$24:$C$28</c:f>
              <c:numCache>
                <c:formatCode>General</c:formatCode>
                <c:ptCount val="5"/>
                <c:pt idx="0">
                  <c:v>5</c:v>
                </c:pt>
                <c:pt idx="1">
                  <c:v>103</c:v>
                </c:pt>
                <c:pt idx="2">
                  <c:v>11</c:v>
                </c:pt>
                <c:pt idx="3">
                  <c:v>200</c:v>
                </c:pt>
                <c:pt idx="4">
                  <c:v>72</c:v>
                </c:pt>
              </c:numCache>
            </c:numRef>
          </c:val>
        </c:ser>
        <c:firstSliceAng val="306"/>
      </c:pieChart>
    </c:plotArea>
    <c:legend>
      <c:legendPos val="b"/>
      <c:layout>
        <c:manualLayout>
          <c:xMode val="edge"/>
          <c:yMode val="edge"/>
          <c:x val="0.5840599272916972"/>
          <c:y val="0.10427336393377369"/>
          <c:w val="0.41159029034414196"/>
          <c:h val="0.41547387145327241"/>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1.68409886264217E-2"/>
          <c:y val="4.8611111111111112E-2"/>
          <c:w val="0.56944444444444464"/>
          <c:h val="0.94907407407407662"/>
        </c:manualLayout>
      </c:layout>
      <c:pieChart>
        <c:varyColors val="1"/>
        <c:ser>
          <c:idx val="0"/>
          <c:order val="0"/>
          <c:dPt>
            <c:idx val="1"/>
            <c:spPr>
              <a:solidFill>
                <a:schemeClr val="accent1">
                  <a:lumMod val="40000"/>
                  <a:lumOff val="60000"/>
                </a:schemeClr>
              </a:solidFill>
            </c:spPr>
          </c:dPt>
          <c:dPt>
            <c:idx val="3"/>
            <c:spPr>
              <a:solidFill>
                <a:schemeClr val="accent3">
                  <a:lumMod val="40000"/>
                  <a:lumOff val="60000"/>
                </a:schemeClr>
              </a:solidFill>
            </c:spPr>
          </c:dPt>
          <c:dPt>
            <c:idx val="4"/>
            <c:spPr>
              <a:solidFill>
                <a:schemeClr val="accent6">
                  <a:lumMod val="50000"/>
                </a:schemeClr>
              </a:solidFill>
            </c:spPr>
          </c:dPt>
          <c:dPt>
            <c:idx val="6"/>
            <c:explosion val="8"/>
            <c:spPr>
              <a:solidFill>
                <a:schemeClr val="accent1">
                  <a:lumMod val="75000"/>
                </a:schemeClr>
              </a:solidFill>
            </c:spPr>
          </c:dPt>
          <c:dLbls>
            <c:dLbl>
              <c:idx val="0"/>
              <c:layout>
                <c:manualLayout>
                  <c:x val="-8.4289151356080547E-3"/>
                  <c:y val="2.3148148148148147E-3"/>
                </c:manualLayout>
              </c:layout>
              <c:showPercent val="1"/>
            </c:dLbl>
            <c:dLbl>
              <c:idx val="1"/>
              <c:layout>
                <c:manualLayout>
                  <c:x val="-5.1025809273840756E-3"/>
                  <c:y val="4.2362933799941997E-3"/>
                </c:manualLayout>
              </c:layout>
              <c:showPercent val="1"/>
            </c:dLbl>
            <c:dLbl>
              <c:idx val="2"/>
              <c:layout>
                <c:manualLayout>
                  <c:x val="-2.6061898512686012E-2"/>
                  <c:y val="8.106226305045235E-3"/>
                </c:manualLayout>
              </c:layout>
              <c:showPercent val="1"/>
            </c:dLbl>
            <c:dLbl>
              <c:idx val="3"/>
              <c:layout>
                <c:manualLayout>
                  <c:x val="-1.0024960115279704E-2"/>
                  <c:y val="-9.9301433474661867E-3"/>
                </c:manualLayout>
              </c:layout>
              <c:showPercent val="1"/>
            </c:dLbl>
            <c:dLbl>
              <c:idx val="4"/>
              <c:layout>
                <c:manualLayout>
                  <c:x val="1.4680922237661475E-2"/>
                  <c:y val="-2.7581667676155892E-2"/>
                </c:manualLayout>
              </c:layout>
              <c:showPercent val="1"/>
            </c:dLbl>
            <c:dLbl>
              <c:idx val="5"/>
              <c:layout>
                <c:manualLayout>
                  <c:x val="1.016108280582574E-2"/>
                  <c:y val="-4.1910357359176281E-2"/>
                </c:manualLayout>
              </c:layout>
              <c:showPercent val="1"/>
            </c:dLbl>
            <c:dLbl>
              <c:idx val="6"/>
              <c:layout>
                <c:manualLayout>
                  <c:x val="-3.8472029231640162E-3"/>
                  <c:y val="1.6030688471633367E-4"/>
                </c:manualLayout>
              </c:layout>
              <c:showPercent val="1"/>
            </c:dLbl>
            <c:showPercent val="1"/>
            <c:showLeaderLines val="1"/>
          </c:dLbls>
          <c:cat>
            <c:strRef>
              <c:f>'ubytovny vek'!$E$3:$E$9</c:f>
              <c:strCache>
                <c:ptCount val="7"/>
                <c:pt idx="0">
                  <c:v>Věk</c:v>
                </c:pt>
                <c:pt idx="1">
                  <c:v> 0-19</c:v>
                </c:pt>
                <c:pt idx="2">
                  <c:v>20-29</c:v>
                </c:pt>
                <c:pt idx="3">
                  <c:v>30-39</c:v>
                </c:pt>
                <c:pt idx="4">
                  <c:v>40-49</c:v>
                </c:pt>
                <c:pt idx="5">
                  <c:v>50-64</c:v>
                </c:pt>
                <c:pt idx="6">
                  <c:v>65 a více (vč. nezj.)</c:v>
                </c:pt>
              </c:strCache>
            </c:strRef>
          </c:cat>
          <c:val>
            <c:numRef>
              <c:f>'ubytovny vek'!$F$3:$F$9</c:f>
              <c:numCache>
                <c:formatCode>General</c:formatCode>
                <c:ptCount val="7"/>
                <c:pt idx="1">
                  <c:v>1804</c:v>
                </c:pt>
                <c:pt idx="2">
                  <c:v>6961</c:v>
                </c:pt>
                <c:pt idx="3">
                  <c:v>6833</c:v>
                </c:pt>
                <c:pt idx="4">
                  <c:v>6346</c:v>
                </c:pt>
                <c:pt idx="5">
                  <c:v>5414</c:v>
                </c:pt>
                <c:pt idx="6">
                  <c:v>785</c:v>
                </c:pt>
              </c:numCache>
            </c:numRef>
          </c:val>
        </c:ser>
        <c:firstSliceAng val="342"/>
      </c:pieChart>
    </c:plotArea>
    <c:legend>
      <c:legendPos val="r"/>
      <c:legendEntry>
        <c:idx val="0"/>
        <c:delete val="1"/>
      </c:legendEntry>
      <c:layout>
        <c:manualLayout>
          <c:xMode val="edge"/>
          <c:yMode val="edge"/>
          <c:x val="0.68711337553394058"/>
          <c:y val="0.16166888754290373"/>
          <c:w val="0.29621995779939281"/>
          <c:h val="0.65429759741570914"/>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9.8936927362607521E-2"/>
          <c:y val="0.10325058604315694"/>
          <c:w val="0.62623426672892879"/>
          <c:h val="0.74637494740638444"/>
        </c:manualLayout>
      </c:layout>
      <c:barChart>
        <c:barDir val="bar"/>
        <c:grouping val="percentStacked"/>
        <c:ser>
          <c:idx val="0"/>
          <c:order val="0"/>
          <c:tx>
            <c:strRef>
              <c:f>'graf ubytovny sečtení'!$A$8</c:f>
              <c:strCache>
                <c:ptCount val="1"/>
                <c:pt idx="0">
                  <c:v>zaměstnaní</c:v>
                </c:pt>
              </c:strCache>
            </c:strRef>
          </c:tx>
          <c:cat>
            <c:strRef>
              <c:f>'graf ubytovny sečtení'!$B$7:$C$7</c:f>
              <c:strCache>
                <c:ptCount val="2"/>
                <c:pt idx="0">
                  <c:v>populace
 celkem</c:v>
                </c:pt>
                <c:pt idx="1">
                  <c:v>osoby 
v ubytovnách</c:v>
                </c:pt>
              </c:strCache>
            </c:strRef>
          </c:cat>
          <c:val>
            <c:numRef>
              <c:f>'graf ubytovny sečtení'!$B$8:$C$8</c:f>
              <c:numCache>
                <c:formatCode>General</c:formatCode>
                <c:ptCount val="2"/>
                <c:pt idx="0">
                  <c:v>43.9</c:v>
                </c:pt>
                <c:pt idx="1">
                  <c:v>46.7</c:v>
                </c:pt>
              </c:numCache>
            </c:numRef>
          </c:val>
        </c:ser>
        <c:ser>
          <c:idx val="1"/>
          <c:order val="1"/>
          <c:tx>
            <c:strRef>
              <c:f>'graf ubytovny sečtení'!$A$9</c:f>
              <c:strCache>
                <c:ptCount val="1"/>
                <c:pt idx="0">
                  <c:v>nezaměstnaní </c:v>
                </c:pt>
              </c:strCache>
            </c:strRef>
          </c:tx>
          <c:cat>
            <c:strRef>
              <c:f>'graf ubytovny sečtení'!$B$7:$C$7</c:f>
              <c:strCache>
                <c:ptCount val="2"/>
                <c:pt idx="0">
                  <c:v>populace
 celkem</c:v>
                </c:pt>
                <c:pt idx="1">
                  <c:v>osoby 
v ubytovnách</c:v>
                </c:pt>
              </c:strCache>
            </c:strRef>
          </c:cat>
          <c:val>
            <c:numRef>
              <c:f>'graf ubytovny sečtení'!$B$9:$C$9</c:f>
              <c:numCache>
                <c:formatCode>General</c:formatCode>
                <c:ptCount val="2"/>
                <c:pt idx="0">
                  <c:v>4.8</c:v>
                </c:pt>
                <c:pt idx="1">
                  <c:v>14.7</c:v>
                </c:pt>
              </c:numCache>
            </c:numRef>
          </c:val>
        </c:ser>
        <c:ser>
          <c:idx val="2"/>
          <c:order val="2"/>
          <c:tx>
            <c:strRef>
              <c:f>'graf ubytovny sečtení'!$A$10</c:f>
              <c:strCache>
                <c:ptCount val="1"/>
                <c:pt idx="0">
                  <c:v>ekonomicky neakt.</c:v>
                </c:pt>
              </c:strCache>
            </c:strRef>
          </c:tx>
          <c:cat>
            <c:strRef>
              <c:f>'graf ubytovny sečtení'!$B$7:$C$7</c:f>
              <c:strCache>
                <c:ptCount val="2"/>
                <c:pt idx="0">
                  <c:v>populace
 celkem</c:v>
                </c:pt>
                <c:pt idx="1">
                  <c:v>osoby 
v ubytovnách</c:v>
                </c:pt>
              </c:strCache>
            </c:strRef>
          </c:cat>
          <c:val>
            <c:numRef>
              <c:f>'graf ubytovny sečtení'!$B$10:$C$10</c:f>
              <c:numCache>
                <c:formatCode>General</c:formatCode>
                <c:ptCount val="2"/>
                <c:pt idx="0">
                  <c:v>45.8</c:v>
                </c:pt>
                <c:pt idx="1">
                  <c:v>26</c:v>
                </c:pt>
              </c:numCache>
            </c:numRef>
          </c:val>
        </c:ser>
        <c:ser>
          <c:idx val="3"/>
          <c:order val="3"/>
          <c:tx>
            <c:strRef>
              <c:f>'graf ubytovny sečtení'!$A$11</c:f>
              <c:strCache>
                <c:ptCount val="1"/>
                <c:pt idx="0">
                  <c:v>nezj. ek. aktivita</c:v>
                </c:pt>
              </c:strCache>
            </c:strRef>
          </c:tx>
          <c:cat>
            <c:strRef>
              <c:f>'graf ubytovny sečtení'!$B$7:$C$7</c:f>
              <c:strCache>
                <c:ptCount val="2"/>
                <c:pt idx="0">
                  <c:v>populace
 celkem</c:v>
                </c:pt>
                <c:pt idx="1">
                  <c:v>osoby 
v ubytovnách</c:v>
                </c:pt>
              </c:strCache>
            </c:strRef>
          </c:cat>
          <c:val>
            <c:numRef>
              <c:f>'graf ubytovny sečtení'!$B$11:$C$11</c:f>
              <c:numCache>
                <c:formatCode>General</c:formatCode>
                <c:ptCount val="2"/>
                <c:pt idx="0">
                  <c:v>5.5</c:v>
                </c:pt>
                <c:pt idx="1">
                  <c:v>12.6</c:v>
                </c:pt>
              </c:numCache>
            </c:numRef>
          </c:val>
        </c:ser>
        <c:gapWidth val="30"/>
        <c:overlap val="100"/>
        <c:axId val="164070144"/>
        <c:axId val="164095104"/>
      </c:barChart>
      <c:catAx>
        <c:axId val="164070144"/>
        <c:scaling>
          <c:orientation val="minMax"/>
        </c:scaling>
        <c:axPos val="l"/>
        <c:tickLblPos val="nextTo"/>
        <c:txPr>
          <a:bodyPr rot="-5400000" vert="horz"/>
          <a:lstStyle/>
          <a:p>
            <a:pPr>
              <a:defRPr/>
            </a:pPr>
            <a:endParaRPr lang="cs-CZ"/>
          </a:p>
        </c:txPr>
        <c:crossAx val="164095104"/>
        <c:crosses val="autoZero"/>
        <c:auto val="1"/>
        <c:lblAlgn val="ctr"/>
        <c:lblOffset val="100"/>
      </c:catAx>
      <c:valAx>
        <c:axId val="164095104"/>
        <c:scaling>
          <c:orientation val="minMax"/>
        </c:scaling>
        <c:axPos val="b"/>
        <c:majorGridlines/>
        <c:numFmt formatCode="0%" sourceLinked="1"/>
        <c:tickLblPos val="nextTo"/>
        <c:crossAx val="164070144"/>
        <c:crosses val="autoZero"/>
        <c:crossBetween val="between"/>
      </c:valAx>
    </c:plotArea>
    <c:legend>
      <c:legendPos val="r"/>
      <c:layout>
        <c:manualLayout>
          <c:xMode val="edge"/>
          <c:yMode val="edge"/>
          <c:x val="0.75904889189464864"/>
          <c:y val="0.27475867043337143"/>
          <c:w val="0.23817335716471025"/>
          <c:h val="0.49262968083188124"/>
        </c:manualLayout>
      </c:layout>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0646767745581211"/>
          <c:y val="6.9444444444444503E-2"/>
          <c:w val="0.64959351911996921"/>
          <c:h val="0.7801811752697575"/>
        </c:manualLayout>
      </c:layout>
      <c:barChart>
        <c:barDir val="bar"/>
        <c:grouping val="percentStacked"/>
        <c:ser>
          <c:idx val="0"/>
          <c:order val="0"/>
          <c:tx>
            <c:strRef>
              <c:f>'graf ubytovny sečtení'!$E$8</c:f>
              <c:strCache>
                <c:ptCount val="1"/>
                <c:pt idx="0">
                  <c:v>zaměstnaní</c:v>
                </c:pt>
              </c:strCache>
            </c:strRef>
          </c:tx>
          <c:cat>
            <c:strRef>
              <c:f>'graf ubytovny sečtení'!$F$7:$G$7</c:f>
              <c:strCache>
                <c:ptCount val="2"/>
                <c:pt idx="0">
                  <c:v>cizinci</c:v>
                </c:pt>
                <c:pt idx="1">
                  <c:v>občané ČR 
vč. nezj. obč.</c:v>
                </c:pt>
              </c:strCache>
            </c:strRef>
          </c:cat>
          <c:val>
            <c:numRef>
              <c:f>'graf ubytovny sečtení'!$F$8:$G$8</c:f>
              <c:numCache>
                <c:formatCode>0.0</c:formatCode>
                <c:ptCount val="2"/>
                <c:pt idx="0" formatCode="General">
                  <c:v>69.099999999999994</c:v>
                </c:pt>
                <c:pt idx="1">
                  <c:v>35.969005899445278</c:v>
                </c:pt>
              </c:numCache>
            </c:numRef>
          </c:val>
        </c:ser>
        <c:ser>
          <c:idx val="1"/>
          <c:order val="1"/>
          <c:tx>
            <c:strRef>
              <c:f>'graf ubytovny sečtení'!$E$9</c:f>
              <c:strCache>
                <c:ptCount val="1"/>
                <c:pt idx="0">
                  <c:v>nezaměstnaní </c:v>
                </c:pt>
              </c:strCache>
            </c:strRef>
          </c:tx>
          <c:cat>
            <c:strRef>
              <c:f>'graf ubytovny sečtení'!$F$7:$G$7</c:f>
              <c:strCache>
                <c:ptCount val="2"/>
                <c:pt idx="0">
                  <c:v>cizinci</c:v>
                </c:pt>
                <c:pt idx="1">
                  <c:v>občané ČR 
vč. nezj. obč.</c:v>
                </c:pt>
              </c:strCache>
            </c:strRef>
          </c:cat>
          <c:val>
            <c:numRef>
              <c:f>'graf ubytovny sečtení'!$F$9:$G$9</c:f>
              <c:numCache>
                <c:formatCode>0.0</c:formatCode>
                <c:ptCount val="2"/>
                <c:pt idx="0" formatCode="General">
                  <c:v>3.5</c:v>
                </c:pt>
                <c:pt idx="1">
                  <c:v>20.00528308532153</c:v>
                </c:pt>
              </c:numCache>
            </c:numRef>
          </c:val>
        </c:ser>
        <c:ser>
          <c:idx val="2"/>
          <c:order val="2"/>
          <c:tx>
            <c:strRef>
              <c:f>'graf ubytovny sečtení'!$E$10</c:f>
              <c:strCache>
                <c:ptCount val="1"/>
                <c:pt idx="0">
                  <c:v>ekonomicky neakt.</c:v>
                </c:pt>
              </c:strCache>
            </c:strRef>
          </c:tx>
          <c:cat>
            <c:strRef>
              <c:f>'graf ubytovny sečtení'!$F$7:$G$7</c:f>
              <c:strCache>
                <c:ptCount val="2"/>
                <c:pt idx="0">
                  <c:v>cizinci</c:v>
                </c:pt>
                <c:pt idx="1">
                  <c:v>občané ČR 
vč. nezj. obč.</c:v>
                </c:pt>
              </c:strCache>
            </c:strRef>
          </c:cat>
          <c:val>
            <c:numRef>
              <c:f>'graf ubytovny sečtení'!$F$10:$G$10</c:f>
              <c:numCache>
                <c:formatCode>0.0</c:formatCode>
                <c:ptCount val="2"/>
                <c:pt idx="0" formatCode="General">
                  <c:v>8.1</c:v>
                </c:pt>
                <c:pt idx="1">
                  <c:v>34.604208857973056</c:v>
                </c:pt>
              </c:numCache>
            </c:numRef>
          </c:val>
        </c:ser>
        <c:ser>
          <c:idx val="3"/>
          <c:order val="3"/>
          <c:tx>
            <c:strRef>
              <c:f>'graf ubytovny sečtení'!$E$11</c:f>
              <c:strCache>
                <c:ptCount val="1"/>
                <c:pt idx="0">
                  <c:v>nezj. ek. aktivita</c:v>
                </c:pt>
              </c:strCache>
            </c:strRef>
          </c:tx>
          <c:cat>
            <c:strRef>
              <c:f>'graf ubytovny sečtení'!$F$7:$G$7</c:f>
              <c:strCache>
                <c:ptCount val="2"/>
                <c:pt idx="0">
                  <c:v>cizinci</c:v>
                </c:pt>
                <c:pt idx="1">
                  <c:v>občané ČR 
vč. nezj. obč.</c:v>
                </c:pt>
              </c:strCache>
            </c:strRef>
          </c:cat>
          <c:val>
            <c:numRef>
              <c:f>'graf ubytovny sečtení'!$F$11:$G$11</c:f>
              <c:numCache>
                <c:formatCode>0.0</c:formatCode>
                <c:ptCount val="2"/>
                <c:pt idx="0" formatCode="General">
                  <c:v>19.3</c:v>
                </c:pt>
                <c:pt idx="1">
                  <c:v>9.4215021572598392</c:v>
                </c:pt>
              </c:numCache>
            </c:numRef>
          </c:val>
        </c:ser>
        <c:gapWidth val="32"/>
        <c:overlap val="100"/>
        <c:axId val="166852480"/>
        <c:axId val="166854016"/>
      </c:barChart>
      <c:catAx>
        <c:axId val="166852480"/>
        <c:scaling>
          <c:orientation val="minMax"/>
        </c:scaling>
        <c:axPos val="l"/>
        <c:tickLblPos val="nextTo"/>
        <c:txPr>
          <a:bodyPr rot="-5400000" vert="horz"/>
          <a:lstStyle/>
          <a:p>
            <a:pPr>
              <a:defRPr/>
            </a:pPr>
            <a:endParaRPr lang="cs-CZ"/>
          </a:p>
        </c:txPr>
        <c:crossAx val="166854016"/>
        <c:crosses val="autoZero"/>
        <c:auto val="1"/>
        <c:lblAlgn val="ctr"/>
        <c:lblOffset val="100"/>
      </c:catAx>
      <c:valAx>
        <c:axId val="166854016"/>
        <c:scaling>
          <c:orientation val="minMax"/>
        </c:scaling>
        <c:axPos val="b"/>
        <c:majorGridlines/>
        <c:numFmt formatCode="0%" sourceLinked="1"/>
        <c:tickLblPos val="nextTo"/>
        <c:crossAx val="166852480"/>
        <c:crosses val="autoZero"/>
        <c:crossBetween val="between"/>
      </c:valAx>
    </c:plotArea>
    <c:legend>
      <c:legendPos val="r"/>
      <c:layout>
        <c:manualLayout>
          <c:xMode val="edge"/>
          <c:yMode val="edge"/>
          <c:x val="0.76682604815243172"/>
          <c:y val="0.27701006124234612"/>
          <c:w val="0.22992104860131921"/>
          <c:h val="0.48764654418197728"/>
        </c:manualLayout>
      </c:layout>
    </c:legend>
    <c:plotVisOnly val="1"/>
  </c:chart>
  <c:spPr>
    <a:ln>
      <a:noFill/>
    </a:ln>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59DA8-3E92-4ECA-B29D-7BC325A3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41</Pages>
  <Words>13265</Words>
  <Characters>78268</Characters>
  <Application>Microsoft Office Word</Application>
  <DocSecurity>0</DocSecurity>
  <Lines>652</Lines>
  <Paragraphs>182</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91351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šm</dc:creator>
  <cp:lastModifiedBy>Štěpánka Morávková</cp:lastModifiedBy>
  <cp:revision>3</cp:revision>
  <cp:lastPrinted>2014-04-11T09:15:00Z</cp:lastPrinted>
  <dcterms:created xsi:type="dcterms:W3CDTF">2014-04-15T12:26:00Z</dcterms:created>
  <dcterms:modified xsi:type="dcterms:W3CDTF">2014-04-15T12:49:00Z</dcterms:modified>
</cp:coreProperties>
</file>