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82" w:rsidRPr="00360DE3" w:rsidRDefault="00E212C9" w:rsidP="00141782">
      <w:pPr>
        <w:pStyle w:val="Nadpis1"/>
        <w:rPr>
          <w:lang w:eastAsia="en-US"/>
        </w:rPr>
      </w:pPr>
      <w:bookmarkStart w:id="0" w:name="_Toc527639481"/>
      <w:r w:rsidRPr="00360DE3">
        <w:rPr>
          <w:lang w:eastAsia="en-US"/>
        </w:rPr>
        <w:t>V</w:t>
      </w:r>
      <w:r w:rsidR="00141782" w:rsidRPr="00360DE3">
        <w:rPr>
          <w:lang w:eastAsia="en-US"/>
        </w:rPr>
        <w:t>ybraná odvětví ekonomiky</w:t>
      </w:r>
      <w:bookmarkEnd w:id="0"/>
    </w:p>
    <w:p w:rsidR="00C466D2" w:rsidRPr="00360DE3" w:rsidRDefault="00141782" w:rsidP="00141782">
      <w:pPr>
        <w:pStyle w:val="Nadpis1"/>
        <w:rPr>
          <w:lang w:eastAsia="en-US"/>
        </w:rPr>
      </w:pPr>
      <w:bookmarkStart w:id="1" w:name="_Toc527639482"/>
      <w:r w:rsidRPr="00360DE3">
        <w:rPr>
          <w:lang w:eastAsia="en-US"/>
        </w:rPr>
        <w:t>1</w:t>
      </w:r>
      <w:r w:rsidR="00E212C9" w:rsidRPr="00360DE3">
        <w:rPr>
          <w:lang w:eastAsia="en-US"/>
        </w:rPr>
        <w:t>0</w:t>
      </w:r>
      <w:r w:rsidRPr="00360DE3">
        <w:rPr>
          <w:lang w:eastAsia="en-US"/>
        </w:rPr>
        <w:t>. Zemědělství, lesnictví a rybářství</w:t>
      </w:r>
      <w:bookmarkEnd w:id="1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6"/>
        <w:gridCol w:w="277"/>
        <w:gridCol w:w="7391"/>
      </w:tblGrid>
      <w:tr w:rsidR="004C5FBF" w:rsidRPr="00360DE3" w:rsidTr="004C5FBF">
        <w:trPr>
          <w:trHeight w:val="145"/>
        </w:trPr>
        <w:tc>
          <w:tcPr>
            <w:tcW w:w="1976" w:type="dxa"/>
          </w:tcPr>
          <w:p w:rsidR="004C5FBF" w:rsidRPr="00360DE3" w:rsidRDefault="004C5FBF" w:rsidP="001A0D6B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Růst hrubé přidané hodnoty v odvětví zemědělství, lesnictví a rybářství se vloni zastavil. Souviselo to především se slabšími výsledky rostlinné produkce.</w:t>
            </w:r>
          </w:p>
        </w:tc>
        <w:tc>
          <w:tcPr>
            <w:tcW w:w="277" w:type="dxa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1A0D6B">
            <w:r w:rsidRPr="00360DE3">
              <w:t>Svižný růst výkonu primárního sektoru</w:t>
            </w:r>
            <w:r w:rsidRPr="00360DE3">
              <w:rPr>
                <w:rStyle w:val="Znakapoznpodarou"/>
              </w:rPr>
              <w:footnoteReference w:id="1"/>
            </w:r>
            <w:r w:rsidRPr="00360DE3">
              <w:t xml:space="preserve"> tažený v letech 2014 až 2016 především velmi dobrou úrodou základních plodin se vloni již neopakoval. Hrubá přidaná hodnota (HPH)</w:t>
            </w:r>
            <w:r w:rsidRPr="00360DE3">
              <w:rPr>
                <w:rStyle w:val="Znakapoznpodarou"/>
              </w:rPr>
              <w:footnoteReference w:id="2"/>
            </w:r>
            <w:r w:rsidRPr="00360DE3">
              <w:t xml:space="preserve"> se meziročně snížila o rovná 3 %, nejvíce po roce 2010. K tomuto výsledku přispěly všechny dílčí odvětví primárního sektoru vyjma lesnictví a těžby dřeva, kde naopak výkony vzrostly. Slabší loňská úroda spolu se sílícími mzdovými náklady napříč celým sektorem se odrazily v ziskovosti podniků. Podíl hrubého provozního přebytku nefinančních podniků v zemědělství, lesnictví a rybářství na jimi vytvořené HPH se meziročně snížil o 4 p. </w:t>
            </w:r>
            <w:proofErr w:type="spellStart"/>
            <w:r w:rsidRPr="00360DE3">
              <w:t>b</w:t>
            </w:r>
            <w:proofErr w:type="spellEnd"/>
            <w:r w:rsidRPr="00360DE3">
              <w:t>. (na 75 %)</w:t>
            </w:r>
            <w:r w:rsidRPr="00360DE3">
              <w:rPr>
                <w:rStyle w:val="Znakapoznpodarou"/>
              </w:rPr>
              <w:footnoteReference w:id="3"/>
            </w:r>
            <w:r w:rsidRPr="00360DE3">
              <w:t xml:space="preserve">. I tak šlo ale o třetí nejlepší výsledek v novodobé historii. </w:t>
            </w:r>
          </w:p>
        </w:tc>
      </w:tr>
      <w:tr w:rsidR="001A0D6B" w:rsidRPr="00360DE3" w:rsidTr="004C5FBF">
        <w:trPr>
          <w:trHeight w:val="145"/>
        </w:trPr>
        <w:tc>
          <w:tcPr>
            <w:tcW w:w="1976" w:type="dxa"/>
          </w:tcPr>
          <w:p w:rsidR="001A0D6B" w:rsidRPr="00360DE3" w:rsidRDefault="001A0D6B" w:rsidP="001A0D6B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 xml:space="preserve">Míra </w:t>
            </w:r>
            <w:r>
              <w:rPr>
                <w:spacing w:val="0"/>
              </w:rPr>
              <w:t>investice</w:t>
            </w:r>
            <w:r w:rsidRPr="00360DE3">
              <w:rPr>
                <w:spacing w:val="0"/>
              </w:rPr>
              <w:t xml:space="preserve"> podniků v primárním sektoru </w:t>
            </w:r>
            <w:r>
              <w:rPr>
                <w:spacing w:val="0"/>
              </w:rPr>
              <w:t>stagnovala</w:t>
            </w:r>
            <w:r w:rsidRPr="00360DE3">
              <w:rPr>
                <w:spacing w:val="0"/>
              </w:rPr>
              <w:t xml:space="preserve">, nadále ale zůstávala </w:t>
            </w:r>
            <w:r>
              <w:rPr>
                <w:spacing w:val="0"/>
              </w:rPr>
              <w:t>nad průměrem národního hospodářství</w:t>
            </w:r>
            <w:r w:rsidRPr="00360DE3">
              <w:rPr>
                <w:spacing w:val="0"/>
              </w:rPr>
              <w:t>.</w:t>
            </w:r>
          </w:p>
          <w:p w:rsidR="001A0D6B" w:rsidRPr="00360DE3" w:rsidRDefault="001A0D6B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1A0D6B" w:rsidRPr="00360DE3" w:rsidRDefault="001A0D6B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1A0D6B" w:rsidRPr="00360DE3" w:rsidRDefault="001A0D6B" w:rsidP="004C5FBF">
            <w:r w:rsidRPr="00360DE3">
              <w:t>Míra investic v primárním sektoru ve srovnání s rokem 2016 stagnovala. Podíl tvorby hrubého fixního kapitálu (THFK) na HPH činil 40 % (v celém národním hospodářství 28 %). Míra investiční aktivity má na rozdíl od většiny ostatních odvětví ekonomiky dlouhodobě spíše rostoucí trend</w:t>
            </w:r>
            <w:r w:rsidRPr="00360DE3">
              <w:rPr>
                <w:rStyle w:val="Znakapoznpodarou"/>
              </w:rPr>
              <w:footnoteReference w:id="4"/>
            </w:r>
            <w:r w:rsidRPr="00360DE3">
              <w:t>. Více než dvě třetiny nových investic směřovalo loni do strojů a zařízení, necelá čtvrtina do budov a staveb. Ve srovnání s celou ekonomikou se ve struktuře investic primárního sektoru více uplatňují dopravní prostředky, ostatní stoje a zařízení (kromě prostředků na ICT) a vzhledem k charakteru výrobního procesu logicky i pěstované biologické zdroje (hospodářská zvířata, stromy, ostatní plodiny). Negativně vyznívá dlouhodobě nízký podíl investic orientovaných na produkty duševního vlastnictví (v roce 2017 šlo jen o 1,6 % z THFK)</w:t>
            </w:r>
            <w:r w:rsidRPr="00360DE3">
              <w:rPr>
                <w:rStyle w:val="Znakapoznpodarou"/>
              </w:rPr>
              <w:footnoteReference w:id="5"/>
            </w:r>
            <w:r w:rsidRPr="00360DE3">
              <w:t>.</w:t>
            </w:r>
          </w:p>
        </w:tc>
      </w:tr>
      <w:tr w:rsidR="004C5FBF" w:rsidRPr="00360DE3" w:rsidTr="004C5FBF">
        <w:trPr>
          <w:trHeight w:val="145"/>
        </w:trPr>
        <w:tc>
          <w:tcPr>
            <w:tcW w:w="1976" w:type="dxa"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Míra investic v primárním sektoru převyšovala v Česku úroveň EU o více než čtvrtinu.</w:t>
            </w:r>
          </w:p>
        </w:tc>
        <w:tc>
          <w:tcPr>
            <w:tcW w:w="277" w:type="dxa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4C5FBF">
            <w:pPr>
              <w:spacing w:after="200"/>
            </w:pPr>
            <w:r w:rsidRPr="00360DE3">
              <w:t xml:space="preserve">Míra investic v primárním sektoru dlouhodobě zůstává, podobně jako ve většině ostatních segmentů ekonomiky, v Česku nad úrovní EU (kde v roce činila 31 %). Relativně nejvíce bylo investováno v některých starších členských státech se silným zastoupením zemědělské živočišné produkce a významnou dotační podporou (např. v Dánsku, Belgii, Velké Británii, Německu či Rakousku). </w:t>
            </w:r>
          </w:p>
        </w:tc>
      </w:tr>
      <w:tr w:rsidR="004C5FBF" w:rsidRPr="00360DE3" w:rsidTr="004C5FBF">
        <w:trPr>
          <w:trHeight w:val="145"/>
        </w:trPr>
        <w:tc>
          <w:tcPr>
            <w:tcW w:w="1976" w:type="dxa"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Zaměstnanost v primárním sektoru zůstala stabilizovaná. Výše průměrných výdělků i produktivita práce setrvaly výrazněji pod úrovní celé ekonomiky.</w:t>
            </w:r>
          </w:p>
        </w:tc>
        <w:tc>
          <w:tcPr>
            <w:tcW w:w="277" w:type="dxa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4C5FBF">
            <w:r w:rsidRPr="00360DE3">
              <w:t>Celková zaměstnanost</w:t>
            </w:r>
            <w:r w:rsidRPr="00360DE3">
              <w:rPr>
                <w:rStyle w:val="Znakapoznpodarou"/>
              </w:rPr>
              <w:footnoteReference w:id="6"/>
            </w:r>
            <w:r w:rsidRPr="00360DE3">
              <w:t xml:space="preserve"> v zemědělství, lesnictví a rybářství je po roce 2010 stabilizovaná. Meziročně loni pracovníků mírně přibylo (o 0,6 %) zásluhou vyššího počtu </w:t>
            </w:r>
            <w:proofErr w:type="spellStart"/>
            <w:r w:rsidRPr="00360DE3">
              <w:t>sebezaměstnaných</w:t>
            </w:r>
            <w:proofErr w:type="spellEnd"/>
            <w:r w:rsidRPr="00360DE3">
              <w:t xml:space="preserve"> v zemědělství i nárůstu četnosti zaměstnanců v lesnictví a těžbě dřeva. Spíše než celková četnost pracovníků zůstává problémem jejich věkové složení</w:t>
            </w:r>
            <w:r w:rsidRPr="00360DE3">
              <w:rPr>
                <w:rStyle w:val="Znakapoznpodarou"/>
              </w:rPr>
              <w:footnoteReference w:id="7"/>
            </w:r>
            <w:r w:rsidRPr="00360DE3">
              <w:t>. Průměrné hrubé výdělky</w:t>
            </w:r>
            <w:r w:rsidRPr="00360DE3">
              <w:rPr>
                <w:rStyle w:val="Znakapoznpodarou"/>
              </w:rPr>
              <w:footnoteReference w:id="8"/>
            </w:r>
            <w:r w:rsidRPr="00360DE3">
              <w:t xml:space="preserve"> vzrostly o 5,0 % (a již třetím rokem v řadě za tempem v celé ekonomice zaostaly). Jejich loňská měsíční výše (23,5 tis. korun) byla o pětinu pod úrovní národního hospodářství. V rámci celého odvětví dosáhli mírně příznivějšího postavení zaměstnanci </w:t>
            </w:r>
            <w:r w:rsidR="00093E53">
              <w:t>v lesnictví a těžbě dřeva (27,3</w:t>
            </w:r>
            <w:r w:rsidR="00093E53" w:rsidRPr="00360DE3">
              <w:rPr>
                <w:color w:val="0D0D0D" w:themeColor="text1" w:themeTint="F2"/>
              </w:rPr>
              <w:t> </w:t>
            </w:r>
            <w:r w:rsidRPr="00360DE3">
              <w:t xml:space="preserve">tis. korun). Toto dílčí odvětví také jako jediné z primárního sektoru </w:t>
            </w:r>
            <w:r w:rsidRPr="00360DE3">
              <w:lastRenderedPageBreak/>
              <w:t>dlouhodobě vykazuje vyšší hodinovou produktivitu práce – v roce 2017 o čtvrtinu nad úrovní celé ekonomiky</w:t>
            </w:r>
            <w:r w:rsidRPr="00360DE3">
              <w:rPr>
                <w:rStyle w:val="Znakapoznpodarou"/>
              </w:rPr>
              <w:footnoteReference w:id="9"/>
            </w:r>
            <w:r w:rsidRPr="00360DE3">
              <w:t>.</w:t>
            </w:r>
          </w:p>
        </w:tc>
      </w:tr>
      <w:tr w:rsidR="004C5FBF" w:rsidRPr="00360DE3" w:rsidTr="004C5FBF">
        <w:tc>
          <w:tcPr>
            <w:tcW w:w="1976" w:type="dxa"/>
            <w:vMerge w:val="restart"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4C5FBF">
            <w:pPr>
              <w:spacing w:after="0"/>
              <w:rPr>
                <w:b/>
              </w:rPr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 xml:space="preserve">10.1  </w:t>
            </w:r>
            <w:r w:rsidRPr="00360DE3">
              <w:rPr>
                <w:b/>
                <w:bCs/>
              </w:rPr>
              <w:t>Základní</w:t>
            </w:r>
            <w:proofErr w:type="gramEnd"/>
            <w:r w:rsidRPr="00360DE3">
              <w:rPr>
                <w:b/>
                <w:bCs/>
              </w:rPr>
              <w:t xml:space="preserve"> ukazatele odvětví zemědělství, lesnictví a rybářství</w:t>
            </w:r>
          </w:p>
          <w:p w:rsidR="004C5FBF" w:rsidRPr="00360DE3" w:rsidRDefault="004C5FBF" w:rsidP="004C5FBF">
            <w:pPr>
              <w:spacing w:after="0"/>
              <w:rPr>
                <w:b/>
              </w:rPr>
            </w:pPr>
            <w:r w:rsidRPr="00360DE3">
              <w:rPr>
                <w:b/>
                <w:noProof/>
              </w:rPr>
              <w:drawing>
                <wp:inline distT="0" distB="0" distL="0" distR="0">
                  <wp:extent cx="4641576" cy="3553200"/>
                  <wp:effectExtent l="19050" t="0" r="6624" b="0"/>
                  <wp:docPr id="9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4C5FBF" w:rsidRPr="00360DE3" w:rsidTr="004C5FBF">
        <w:trPr>
          <w:trHeight w:val="284"/>
        </w:trPr>
        <w:tc>
          <w:tcPr>
            <w:tcW w:w="1976" w:type="dxa"/>
            <w:vMerge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1A0D6B">
            <w:pPr>
              <w:pStyle w:val="Zhlav"/>
              <w:spacing w:before="40" w:after="24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 xml:space="preserve">*Do reálného vyjádření převedeno deflátorem výdajů na konečnou spotřebu domácností.      Zdroj: ČSÚ (národní účty) </w:t>
            </w:r>
          </w:p>
        </w:tc>
      </w:tr>
      <w:tr w:rsidR="004C5FBF" w:rsidRPr="00360DE3" w:rsidTr="004C5FBF">
        <w:trPr>
          <w:trHeight w:val="170"/>
        </w:trPr>
        <w:tc>
          <w:tcPr>
            <w:tcW w:w="1976" w:type="dxa"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Podíl primárního sektoru na celkové zaměstnanosti byl v Česku v rámci skupiny novějších členských států EU druhý nejnižší</w:t>
            </w:r>
          </w:p>
        </w:tc>
        <w:tc>
          <w:tcPr>
            <w:tcW w:w="277" w:type="dxa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4C5FBF">
            <w:pPr>
              <w:spacing w:after="200"/>
              <w:rPr>
                <w:color w:val="0D0D0D"/>
              </w:rPr>
            </w:pPr>
            <w:r w:rsidRPr="00360DE3">
              <w:rPr>
                <w:color w:val="0D0D0D"/>
              </w:rPr>
              <w:t>Role primárního sektoru v celé ekonomice optikou zaměstnanosti i HPH se ve starších i</w:t>
            </w:r>
            <w:r w:rsidRPr="00360DE3">
              <w:t> </w:t>
            </w:r>
            <w:r w:rsidRPr="00360DE3">
              <w:rPr>
                <w:color w:val="0D0D0D"/>
              </w:rPr>
              <w:t>novějších členských zemích EU dlouhodobě snižuje. V ČR (stejně jako na Slovensku) zaměstnával v roce 2017 jen 3,0 % všech pracovníků, šlo po Maltě (1,5 %) o druhý nejnižší podíl mezi novějšími členskými státy EU a také desátý nejnižší v celé Unii (již vévodilo Rumunsko s 24 % a</w:t>
            </w:r>
            <w:r w:rsidRPr="00360DE3">
              <w:t> </w:t>
            </w:r>
            <w:r w:rsidRPr="00360DE3">
              <w:rPr>
                <w:color w:val="0D0D0D"/>
              </w:rPr>
              <w:t>Bulharsko s 19 % a</w:t>
            </w:r>
            <w:r w:rsidR="00093E53" w:rsidRPr="00360DE3">
              <w:rPr>
                <w:color w:val="0D0D0D" w:themeColor="text1" w:themeTint="F2"/>
              </w:rPr>
              <w:t> </w:t>
            </w:r>
            <w:r w:rsidRPr="00360DE3">
              <w:rPr>
                <w:color w:val="0D0D0D"/>
              </w:rPr>
              <w:t>s odstupem Řecko s 11 %). Na HPH se v roce 2017 primární sektor v Česku podílel 2,3 %, podobně jako v Polsku (kde ale zaměstnával plnou desetinu všech pracovníků). Vyšší podíl na přidané hodnotě nežli na zaměstnanosti byl (ze zemí EU a ESVO) zaznamenán jen na Islandu a Slovensku.</w:t>
            </w:r>
          </w:p>
        </w:tc>
      </w:tr>
      <w:tr w:rsidR="004C5FBF" w:rsidRPr="00360DE3" w:rsidTr="004C5FBF">
        <w:trPr>
          <w:trHeight w:val="170"/>
        </w:trPr>
        <w:tc>
          <w:tcPr>
            <w:tcW w:w="1976" w:type="dxa"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V Česku dlouhodobě posiluje váhově dominantní rostlinné produkce nad živočišnou výrobou.</w:t>
            </w:r>
          </w:p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</w:p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</w:p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Produkce celého zemědělského odvětví meziročně klesla. Slabší úroda se prolínala drtivou většinou oblastí rostlinné produkce.</w:t>
            </w:r>
          </w:p>
        </w:tc>
        <w:tc>
          <w:tcPr>
            <w:tcW w:w="277" w:type="dxa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4C5FBF">
            <w:r w:rsidRPr="00360DE3">
              <w:t>Detailnější strukturální pohled na vývoj výkonů v rozhodující částí primárního sektoru ekonomiky poskytuje souhrnný zemědělský účet</w:t>
            </w:r>
            <w:r w:rsidRPr="00360DE3">
              <w:rPr>
                <w:rStyle w:val="Znakapoznpodarou"/>
              </w:rPr>
              <w:footnoteReference w:id="10"/>
            </w:r>
            <w:r w:rsidRPr="00360DE3">
              <w:t>. Z něj plyne, že počínaje rokem 2004, kdy Česko vstoupilo do EU, převažuje rostlinná produkce nad živočišnou</w:t>
            </w:r>
            <w:r w:rsidRPr="00360DE3">
              <w:rPr>
                <w:rStyle w:val="Znakapoznpodarou"/>
              </w:rPr>
              <w:footnoteReference w:id="11"/>
            </w:r>
            <w:r w:rsidRPr="00360DE3">
              <w:t xml:space="preserve"> a tento trend spíše posiluje. Nejvyšší váhy (60 %) dosáhla rostlinná produkce v roce 2016, když se projevil vliv velmi</w:t>
            </w:r>
            <w:r w:rsidR="00093E53">
              <w:t xml:space="preserve"> dobré úrody (hlavně obilovin i</w:t>
            </w:r>
            <w:r w:rsidR="00093E53" w:rsidRPr="00360DE3">
              <w:rPr>
                <w:color w:val="0D0D0D" w:themeColor="text1" w:themeTint="F2"/>
              </w:rPr>
              <w:t> </w:t>
            </w:r>
            <w:r w:rsidRPr="00360DE3">
              <w:t xml:space="preserve">technických plodin). Loni podíl rostlinné produkce na výkonu celého zemědělského odvětví klesl na 55,6 %. </w:t>
            </w:r>
            <w:r w:rsidR="00007BEF">
              <w:rPr>
                <w:rFonts w:cs="Arial"/>
                <w:szCs w:val="20"/>
              </w:rPr>
              <w:t>P</w:t>
            </w:r>
            <w:r w:rsidRPr="00360DE3">
              <w:rPr>
                <w:rFonts w:cs="Arial"/>
                <w:szCs w:val="20"/>
              </w:rPr>
              <w:t>rodukce celého zemědělského odvětví (</w:t>
            </w:r>
            <w:r w:rsidRPr="00360DE3">
              <w:rPr>
                <w:szCs w:val="20"/>
              </w:rPr>
              <w:t>v</w:t>
            </w:r>
            <w:r w:rsidR="00007BEF">
              <w:rPr>
                <w:rFonts w:cs="Arial"/>
                <w:szCs w:val="20"/>
              </w:rPr>
              <w:t>yjádřená</w:t>
            </w:r>
            <w:r w:rsidRPr="00360DE3">
              <w:rPr>
                <w:rFonts w:cs="Arial"/>
                <w:szCs w:val="20"/>
              </w:rPr>
              <w:t xml:space="preserve"> ve stálých cenách roku 2000) se loni nacházel</w:t>
            </w:r>
            <w:r w:rsidR="00007BEF">
              <w:rPr>
                <w:rFonts w:cs="Arial"/>
                <w:szCs w:val="20"/>
              </w:rPr>
              <w:t>a</w:t>
            </w:r>
            <w:r w:rsidRPr="00360DE3">
              <w:rPr>
                <w:rFonts w:cs="Arial"/>
                <w:szCs w:val="20"/>
              </w:rPr>
              <w:t xml:space="preserve"> fakticky na úrovni roku 2015, ve srovnání s rokem 2016 se ale o téměř 6 % snížil</w:t>
            </w:r>
            <w:r w:rsidR="00007BEF">
              <w:rPr>
                <w:rFonts w:cs="Arial"/>
                <w:szCs w:val="20"/>
              </w:rPr>
              <w:t>a (z</w:t>
            </w:r>
            <w:r w:rsidRPr="00360DE3">
              <w:rPr>
                <w:rFonts w:cs="Arial"/>
                <w:szCs w:val="20"/>
              </w:rPr>
              <w:t xml:space="preserve"> toho v samotné rostlinné produkci o desetinu). Stála za tím nižší produkce ve váhově dominantní </w:t>
            </w:r>
            <w:r w:rsidRPr="00360DE3">
              <w:rPr>
                <w:rFonts w:cs="Arial"/>
                <w:szCs w:val="20"/>
              </w:rPr>
              <w:lastRenderedPageBreak/>
              <w:t xml:space="preserve">skupině obilovin (meziročně o bezmála sedminu), s poklesem se ale potýkaly téměř všechny hlavní skupiny rostlinné produkce. Slabší sklizeň byla loni výsledkem hlavně nižších hektarových výnosů, neboť z významnějších plodin klesla citelněji produkční plocha jen u jednoletých </w:t>
            </w:r>
            <w:r w:rsidR="00007BEF">
              <w:rPr>
                <w:rFonts w:cs="Arial"/>
                <w:szCs w:val="20"/>
              </w:rPr>
              <w:t>pícnin, triticale a máku (mezi 8</w:t>
            </w:r>
            <w:r w:rsidRPr="00360DE3">
              <w:t> </w:t>
            </w:r>
            <w:r w:rsidRPr="00360DE3">
              <w:rPr>
                <w:rFonts w:cs="Arial"/>
                <w:szCs w:val="20"/>
              </w:rPr>
              <w:t>a</w:t>
            </w:r>
            <w:r w:rsidRPr="00360DE3">
              <w:t> </w:t>
            </w:r>
            <w:r w:rsidR="00007BEF">
              <w:rPr>
                <w:rFonts w:cs="Arial"/>
                <w:szCs w:val="20"/>
              </w:rPr>
              <w:t>9</w:t>
            </w:r>
            <w:r w:rsidRPr="00360DE3">
              <w:t> </w:t>
            </w:r>
            <w:r w:rsidRPr="00360DE3">
              <w:rPr>
                <w:rFonts w:cs="Arial"/>
                <w:szCs w:val="20"/>
              </w:rPr>
              <w:t>%). Meziroční srovnání úrody je ale ovlivněno výjimečně příznivým rokem 2016</w:t>
            </w:r>
            <w:r w:rsidRPr="00360DE3">
              <w:rPr>
                <w:rStyle w:val="Znakapoznpodarou"/>
                <w:rFonts w:cs="Arial"/>
                <w:szCs w:val="20"/>
              </w:rPr>
              <w:footnoteReference w:id="12"/>
            </w:r>
            <w:r w:rsidRPr="00360DE3">
              <w:rPr>
                <w:rFonts w:cs="Arial"/>
                <w:szCs w:val="20"/>
              </w:rPr>
              <w:t>. Nicméně i ve srovnání s desetiletým průměrem (za období 2008 až 2017) loňská sklizeň zaostala, a to zejména u obilovin (o 5,0 %)</w:t>
            </w:r>
            <w:r w:rsidRPr="00360DE3">
              <w:rPr>
                <w:rStyle w:val="Znakapoznpodarou"/>
                <w:rFonts w:cs="Arial"/>
                <w:szCs w:val="20"/>
              </w:rPr>
              <w:footnoteReference w:id="13"/>
            </w:r>
            <w:r w:rsidRPr="00360DE3">
              <w:rPr>
                <w:rFonts w:cs="Arial"/>
                <w:szCs w:val="20"/>
              </w:rPr>
              <w:t xml:space="preserve"> a olejnin (4,6 %). Zatímco u obilovin byl pokles sklizní proti dlouhodobému průměru ovlivněn výhradně nižší produkční plochou, u olejnin naopak snížením výnosů (při mírném růstu produkční plochy o 1,1 %)</w:t>
            </w:r>
            <w:r w:rsidRPr="00360DE3">
              <w:rPr>
                <w:rStyle w:val="Znakapoznpodarou"/>
                <w:rFonts w:cs="Arial"/>
                <w:szCs w:val="20"/>
              </w:rPr>
              <w:footnoteReference w:id="14"/>
            </w:r>
            <w:r w:rsidRPr="00360DE3">
              <w:rPr>
                <w:rFonts w:cs="Arial"/>
                <w:szCs w:val="20"/>
              </w:rPr>
              <w:t xml:space="preserve">. </w:t>
            </w:r>
            <w:r w:rsidRPr="00360DE3">
              <w:t xml:space="preserve"> </w:t>
            </w:r>
          </w:p>
        </w:tc>
      </w:tr>
      <w:tr w:rsidR="004C5FBF" w:rsidRPr="00360DE3" w:rsidTr="004C5FBF">
        <w:tc>
          <w:tcPr>
            <w:tcW w:w="1976" w:type="dxa"/>
            <w:vMerge w:val="restart"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4C5FBF">
            <w:pPr>
              <w:spacing w:after="0" w:line="240" w:lineRule="auto"/>
              <w:rPr>
                <w:b/>
              </w:rPr>
            </w:pPr>
            <w:r w:rsidRPr="00360DE3">
              <w:rPr>
                <w:b/>
              </w:rPr>
              <w:t>Graf 10.2  Produkce v </w:t>
            </w:r>
            <w:proofErr w:type="gramStart"/>
            <w:r w:rsidRPr="00360DE3">
              <w:rPr>
                <w:b/>
              </w:rPr>
              <w:t>zemědělského</w:t>
            </w:r>
            <w:proofErr w:type="gramEnd"/>
            <w:r w:rsidRPr="00360DE3">
              <w:rPr>
                <w:b/>
              </w:rPr>
              <w:t xml:space="preserve"> odvětví</w:t>
            </w:r>
          </w:p>
          <w:p w:rsidR="004C5FBF" w:rsidRPr="00360DE3" w:rsidRDefault="004C5FBF" w:rsidP="004C5FBF">
            <w:pPr>
              <w:spacing w:after="0"/>
              <w:rPr>
                <w:b/>
              </w:rPr>
            </w:pPr>
            <w:r w:rsidRPr="00360DE3">
              <w:t>(objemový index, úroveň roku 2000=100)*</w:t>
            </w:r>
          </w:p>
          <w:p w:rsidR="004C5FBF" w:rsidRPr="00360DE3" w:rsidRDefault="004C5FBF" w:rsidP="004C5FBF">
            <w:pPr>
              <w:spacing w:after="0"/>
              <w:rPr>
                <w:b/>
              </w:rPr>
            </w:pPr>
            <w:r w:rsidRPr="00360DE3">
              <w:rPr>
                <w:b/>
                <w:noProof/>
              </w:rPr>
              <w:drawing>
                <wp:inline distT="0" distB="0" distL="0" distR="0">
                  <wp:extent cx="4641499" cy="3357349"/>
                  <wp:effectExtent l="19050" t="0" r="6701" b="0"/>
                  <wp:docPr id="3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4C5FBF" w:rsidRPr="00360DE3" w:rsidTr="004C5FBF">
        <w:trPr>
          <w:trHeight w:val="284"/>
        </w:trPr>
        <w:tc>
          <w:tcPr>
            <w:tcW w:w="1976" w:type="dxa"/>
            <w:vMerge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C5FBF" w:rsidRPr="00360DE3" w:rsidRDefault="004C5FBF" w:rsidP="004C5FBF">
            <w:pPr>
              <w:pStyle w:val="Zhlav"/>
              <w:spacing w:before="4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>*Údaje ve stálých cenách roku 2000, Data za rok 2017 jsou předběžná.</w:t>
            </w:r>
          </w:p>
          <w:p w:rsidR="004C5FBF" w:rsidRPr="00360DE3" w:rsidRDefault="004C5FBF" w:rsidP="004C5FBF">
            <w:pPr>
              <w:pStyle w:val="Zhlav"/>
              <w:spacing w:before="40" w:after="24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>Zdroj: ČSÚ (souhrnný zemědělský účet)</w:t>
            </w:r>
          </w:p>
        </w:tc>
      </w:tr>
      <w:tr w:rsidR="004C5FBF" w:rsidRPr="00360DE3" w:rsidTr="004C5FBF">
        <w:tc>
          <w:tcPr>
            <w:tcW w:w="1976" w:type="dxa"/>
          </w:tcPr>
          <w:p w:rsidR="004C5FBF" w:rsidRPr="00360DE3" w:rsidRDefault="004C5FBF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 xml:space="preserve">Úrodu ovoce loni poznamenaly opakované jarní mrazy. Objem produkce zeleniny se meziročně výrazně nezměnil. </w:t>
            </w:r>
          </w:p>
        </w:tc>
        <w:tc>
          <w:tcPr>
            <w:tcW w:w="277" w:type="dxa"/>
          </w:tcPr>
          <w:p w:rsidR="004C5FBF" w:rsidRPr="00360DE3" w:rsidRDefault="004C5FBF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666D91" w:rsidRDefault="004C5FBF" w:rsidP="00C6152B">
            <w:pPr>
              <w:spacing w:after="220"/>
              <w:rPr>
                <w:spacing w:val="-2"/>
              </w:rPr>
            </w:pPr>
            <w:r w:rsidRPr="00666D91">
              <w:rPr>
                <w:rFonts w:cs="Arial"/>
                <w:spacing w:val="-2"/>
                <w:szCs w:val="20"/>
              </w:rPr>
              <w:t>Výrazněji se nedařilo ovocnářství, kde loňskou sklizeň poznamenaly opakované mrazy v jarním období (duben, květen). Meziroční propad sklizní měl plošný charakter, lepší úrody dosáhli jen pěstitelé broskví a meruněk (jejich sklizeň v roce 2016 byla ale vůbec nejslabší v novodobé historii). Ve výrazně dominantním segmentu ovocnářství – produkci jablek – se loni sk</w:t>
            </w:r>
            <w:r w:rsidR="00093E53" w:rsidRPr="00666D91">
              <w:rPr>
                <w:rFonts w:cs="Arial"/>
                <w:spacing w:val="-2"/>
                <w:szCs w:val="20"/>
              </w:rPr>
              <w:t>lizeň snížila proti roku 2016 o</w:t>
            </w:r>
            <w:r w:rsidR="004225C6" w:rsidRPr="00666D91">
              <w:rPr>
                <w:rFonts w:cs="Arial"/>
                <w:spacing w:val="-2"/>
                <w:szCs w:val="20"/>
              </w:rPr>
              <w:t> </w:t>
            </w:r>
            <w:r w:rsidR="00666D91">
              <w:rPr>
                <w:rFonts w:cs="Arial"/>
                <w:spacing w:val="-2"/>
                <w:szCs w:val="20"/>
              </w:rPr>
              <w:t>16</w:t>
            </w:r>
            <w:r w:rsidR="00666D91" w:rsidRPr="00666D91">
              <w:rPr>
                <w:rFonts w:cs="Arial"/>
                <w:spacing w:val="-2"/>
                <w:szCs w:val="20"/>
              </w:rPr>
              <w:t> </w:t>
            </w:r>
            <w:r w:rsidRPr="00666D91">
              <w:rPr>
                <w:rFonts w:cs="Arial"/>
                <w:spacing w:val="-2"/>
                <w:szCs w:val="20"/>
              </w:rPr>
              <w:t xml:space="preserve">%, proti desetiletému průmětu o 15 %. Hluboký pokles úrody proti dlouhodobému průměru byl u některých ostatních produktů ovlivněn rovněž klesajícími počty pěstovaných stromů či keřů (broskve, višně, rybíz). </w:t>
            </w:r>
            <w:r w:rsidRPr="00666D91">
              <w:rPr>
                <w:spacing w:val="-2"/>
              </w:rPr>
              <w:t>Podstatně lépe na tom loni byli producenti čerstvé zeleniny</w:t>
            </w:r>
            <w:r w:rsidRPr="00666D91">
              <w:rPr>
                <w:rStyle w:val="Znakapoznpodarou"/>
                <w:spacing w:val="-2"/>
              </w:rPr>
              <w:footnoteReference w:id="15"/>
            </w:r>
            <w:r w:rsidRPr="00666D91">
              <w:rPr>
                <w:spacing w:val="-2"/>
              </w:rPr>
              <w:t xml:space="preserve">. Dařilo se produkci mrkve, květáku či </w:t>
            </w:r>
            <w:r w:rsidRPr="00666D91">
              <w:rPr>
                <w:spacing w:val="-2"/>
              </w:rPr>
              <w:lastRenderedPageBreak/>
              <w:t xml:space="preserve">kedluben, naopak o dvě třetiny propadla meziročně sklizeň rajčat. Vedle tržní produkce ovoce, zeleniny či brambor </w:t>
            </w:r>
            <w:r w:rsidR="00007BEF" w:rsidRPr="00666D91">
              <w:rPr>
                <w:spacing w:val="-2"/>
              </w:rPr>
              <w:t xml:space="preserve">se sklizeň </w:t>
            </w:r>
            <w:r w:rsidRPr="00666D91">
              <w:rPr>
                <w:spacing w:val="-2"/>
              </w:rPr>
              <w:t>z nezanedbatelné části tradičně odehrává také u</w:t>
            </w:r>
            <w:r w:rsidRPr="00666D91">
              <w:rPr>
                <w:rFonts w:cs="Arial"/>
                <w:spacing w:val="-2"/>
                <w:szCs w:val="20"/>
              </w:rPr>
              <w:t> </w:t>
            </w:r>
            <w:r w:rsidRPr="00666D91">
              <w:rPr>
                <w:spacing w:val="-2"/>
              </w:rPr>
              <w:t>drobných pěstitelů v sektoru domácností (tj., mimo zemědělský sektor)</w:t>
            </w:r>
            <w:r w:rsidRPr="00666D91">
              <w:rPr>
                <w:rStyle w:val="Znakapoznpodarou"/>
                <w:spacing w:val="-2"/>
              </w:rPr>
              <w:footnoteReference w:id="16"/>
            </w:r>
            <w:r w:rsidRPr="00666D91">
              <w:rPr>
                <w:spacing w:val="-2"/>
              </w:rPr>
              <w:t>.</w:t>
            </w:r>
          </w:p>
        </w:tc>
      </w:tr>
      <w:tr w:rsidR="003F3890" w:rsidRPr="00360DE3" w:rsidTr="004C5FBF">
        <w:tc>
          <w:tcPr>
            <w:tcW w:w="1976" w:type="dxa"/>
          </w:tcPr>
          <w:p w:rsidR="003F3890" w:rsidRPr="00360DE3" w:rsidRDefault="003F3890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Dařilo se producentům cukrové řepy, luskovin, chmele i vinných hroznů.</w:t>
            </w:r>
          </w:p>
        </w:tc>
        <w:tc>
          <w:tcPr>
            <w:tcW w:w="277" w:type="dxa"/>
          </w:tcPr>
          <w:p w:rsidR="003F3890" w:rsidRPr="00360DE3" w:rsidRDefault="003F3890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666D91" w:rsidRDefault="003F3890" w:rsidP="00C6152B">
            <w:pPr>
              <w:spacing w:after="220"/>
              <w:rPr>
                <w:spacing w:val="-2"/>
              </w:rPr>
            </w:pPr>
            <w:r w:rsidRPr="00666D91">
              <w:rPr>
                <w:spacing w:val="-2"/>
              </w:rPr>
              <w:t>Příznivá byla loni úroda cukrové řepy (4,4 mil. tun,</w:t>
            </w:r>
            <w:r w:rsidR="00600079" w:rsidRPr="00666D91">
              <w:rPr>
                <w:spacing w:val="-2"/>
              </w:rPr>
              <w:t xml:space="preserve"> druhá nejvyšší od roku 1990) i </w:t>
            </w:r>
            <w:r w:rsidRPr="00666D91">
              <w:rPr>
                <w:spacing w:val="-2"/>
              </w:rPr>
              <w:t xml:space="preserve">luskovin. Produkce těchto plodin </w:t>
            </w:r>
            <w:r w:rsidR="00600079" w:rsidRPr="00666D91">
              <w:rPr>
                <w:spacing w:val="-2"/>
              </w:rPr>
              <w:t xml:space="preserve">v posledních třech letech </w:t>
            </w:r>
            <w:r w:rsidRPr="00666D91">
              <w:rPr>
                <w:spacing w:val="-2"/>
              </w:rPr>
              <w:t>těží z rozšiřujících se osevních ploch. Sklizeň brambo</w:t>
            </w:r>
            <w:r w:rsidR="00600079" w:rsidRPr="00666D91">
              <w:rPr>
                <w:spacing w:val="-2"/>
              </w:rPr>
              <w:t>r se meziročně prakticky</w:t>
            </w:r>
            <w:r w:rsidRPr="00666D91">
              <w:rPr>
                <w:spacing w:val="-2"/>
              </w:rPr>
              <w:t xml:space="preserve"> nezměnila a </w:t>
            </w:r>
            <w:r w:rsidR="00600079" w:rsidRPr="00666D91">
              <w:rPr>
                <w:spacing w:val="-2"/>
              </w:rPr>
              <w:t>zároveň se ani výrazněji neodchýlila od desetiletého průměru</w:t>
            </w:r>
            <w:r w:rsidRPr="00666D91">
              <w:rPr>
                <w:spacing w:val="-2"/>
              </w:rPr>
              <w:t>. Slunný, velmi teplý a srážkově normální loňský rok svědčil produkci vinných hroznů (meziročně +5 %, proti 10letému průměru +7 %). Sklizeň chmele, tradiční exportní komodity tuzemského zemědělství, dosáhla i přes meziroční pokles (o 12 %) třetí nejlepší výsledek po roce 2005.</w:t>
            </w:r>
          </w:p>
        </w:tc>
      </w:tr>
      <w:tr w:rsidR="003F3890" w:rsidRPr="00360DE3" w:rsidTr="004C5FBF">
        <w:tc>
          <w:tcPr>
            <w:tcW w:w="1976" w:type="dxa"/>
            <w:vMerge w:val="restart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4C5FBF">
            <w:pPr>
              <w:spacing w:after="0"/>
              <w:jc w:val="left"/>
              <w:rPr>
                <w:b/>
              </w:rPr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>10.3  Sklizeň</w:t>
            </w:r>
            <w:proofErr w:type="gramEnd"/>
            <w:r w:rsidRPr="00360DE3">
              <w:rPr>
                <w:b/>
              </w:rPr>
              <w:t xml:space="preserve">, produkční plocha a hektarové výnosy* hl. zemědělských plodin v roce 2017 </w:t>
            </w:r>
            <w:r w:rsidRPr="00360DE3">
              <w:t>(změny v % - meziročně, resp. proti dlouhodobému průměru)</w:t>
            </w:r>
          </w:p>
          <w:p w:rsidR="003F3890" w:rsidRPr="00360DE3" w:rsidRDefault="003F3890" w:rsidP="004C5FBF">
            <w:pPr>
              <w:spacing w:after="0"/>
              <w:rPr>
                <w:b/>
              </w:rPr>
            </w:pPr>
            <w:r w:rsidRPr="00360DE3">
              <w:rPr>
                <w:b/>
                <w:noProof/>
              </w:rPr>
              <w:drawing>
                <wp:inline distT="0" distB="0" distL="0" distR="0">
                  <wp:extent cx="4650537" cy="3881993"/>
                  <wp:effectExtent l="0" t="0" r="0" b="0"/>
                  <wp:docPr id="4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F3890" w:rsidRPr="00360DE3" w:rsidTr="004C5FBF">
        <w:trPr>
          <w:trHeight w:val="284"/>
        </w:trPr>
        <w:tc>
          <w:tcPr>
            <w:tcW w:w="1976" w:type="dxa"/>
            <w:vMerge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4C5FBF">
            <w:pPr>
              <w:pStyle w:val="Zhlav"/>
              <w:spacing w:before="40" w:after="20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 xml:space="preserve">*U jablek a hrušek výnos na jeden strom.                                                                                                          Zdroj: ČSÚ </w:t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Slabší výsledky výroby masa byly vykompenzovány dlouhodobě příznivějším vývojem i produkce mléka a vajec.</w:t>
            </w: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1A0D6B" w:rsidRPr="00360DE3" w:rsidRDefault="001A0D6B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 xml:space="preserve">K nižší produkci masa přispěl nejvíce segment vepřového. Růst výroby drůbežího masa naopak </w:t>
            </w:r>
            <w:r w:rsidRPr="00360DE3">
              <w:rPr>
                <w:spacing w:val="0"/>
              </w:rPr>
              <w:lastRenderedPageBreak/>
              <w:t>pokračoval.</w:t>
            </w: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Nižší rentabilita chovů se odrazila ve stavech chovaných prasat. Ty byly loni nejnižší v historii.</w:t>
            </w: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C6152B">
            <w:pPr>
              <w:spacing w:after="220"/>
              <w:rPr>
                <w:color w:val="0D0D0D" w:themeColor="text1" w:themeTint="F2"/>
              </w:rPr>
            </w:pPr>
            <w:r w:rsidRPr="00360DE3">
              <w:rPr>
                <w:color w:val="0D0D0D" w:themeColor="text1" w:themeTint="F2"/>
              </w:rPr>
              <w:t>Situace v živočišné produkci zůstává po odeznění významnějších turbulencí v období 2009 až 2012 (způsobených propadem produkce vepřového, zčásti i drůbežího ma</w:t>
            </w:r>
            <w:r w:rsidR="00093E53">
              <w:rPr>
                <w:color w:val="0D0D0D" w:themeColor="text1" w:themeTint="F2"/>
              </w:rPr>
              <w:t>sa) stabilizovaná. Celková živočišná</w:t>
            </w:r>
            <w:r w:rsidRPr="00360DE3">
              <w:rPr>
                <w:color w:val="0D0D0D" w:themeColor="text1" w:themeTint="F2"/>
              </w:rPr>
              <w:t xml:space="preserve"> produkce </w:t>
            </w:r>
            <w:r w:rsidR="00093E53">
              <w:rPr>
                <w:color w:val="0D0D0D" w:themeColor="text1" w:themeTint="F2"/>
              </w:rPr>
              <w:t xml:space="preserve">(ve stálých cenách roku 2000) </w:t>
            </w:r>
            <w:r w:rsidRPr="00360DE3">
              <w:rPr>
                <w:color w:val="0D0D0D" w:themeColor="text1" w:themeTint="F2"/>
              </w:rPr>
              <w:t>v roce 2017 meziročně stagnoval</w:t>
            </w:r>
            <w:r w:rsidR="00093E53">
              <w:rPr>
                <w:color w:val="0D0D0D" w:themeColor="text1" w:themeTint="F2"/>
              </w:rPr>
              <w:t>a</w:t>
            </w:r>
            <w:r w:rsidRPr="00360DE3">
              <w:rPr>
                <w:color w:val="0D0D0D" w:themeColor="text1" w:themeTint="F2"/>
              </w:rPr>
              <w:t xml:space="preserve"> (podobně jako v předešlém roce), když slabší výsledky producentů masa byly prakticky vykompenzovány dlouhodobě rostoucími výkony u ostatních živočišných produ</w:t>
            </w:r>
            <w:r w:rsidR="00093E53">
              <w:rPr>
                <w:color w:val="0D0D0D" w:themeColor="text1" w:themeTint="F2"/>
              </w:rPr>
              <w:t>ktů. Výroba jatečných zvířat (v</w:t>
            </w:r>
            <w:r w:rsidR="00093E53" w:rsidRPr="00360DE3">
              <w:rPr>
                <w:color w:val="0D0D0D" w:themeColor="text1" w:themeTint="F2"/>
              </w:rPr>
              <w:t> </w:t>
            </w:r>
            <w:r w:rsidRPr="00360DE3">
              <w:rPr>
                <w:color w:val="0D0D0D" w:themeColor="text1" w:themeTint="F2"/>
              </w:rPr>
              <w:t>tunách živé hmotnosti) se po stagnaci v roce 20</w:t>
            </w:r>
            <w:r w:rsidR="00093E53">
              <w:rPr>
                <w:color w:val="0D0D0D" w:themeColor="text1" w:themeTint="F2"/>
              </w:rPr>
              <w:t>16 loni meziročně snížila o</w:t>
            </w:r>
            <w:r w:rsidR="00093E53" w:rsidRPr="00360DE3">
              <w:rPr>
                <w:color w:val="0D0D0D" w:themeColor="text1" w:themeTint="F2"/>
              </w:rPr>
              <w:t> </w:t>
            </w:r>
            <w:r w:rsidR="00093E53">
              <w:rPr>
                <w:color w:val="0D0D0D" w:themeColor="text1" w:themeTint="F2"/>
              </w:rPr>
              <w:t>1,3</w:t>
            </w:r>
            <w:r w:rsidR="00093E53" w:rsidRPr="00360DE3">
              <w:rPr>
                <w:color w:val="0D0D0D" w:themeColor="text1" w:themeTint="F2"/>
              </w:rPr>
              <w:t> </w:t>
            </w:r>
            <w:r w:rsidRPr="00360DE3">
              <w:rPr>
                <w:color w:val="0D0D0D" w:themeColor="text1" w:themeTint="F2"/>
              </w:rPr>
              <w:t>%. V pozadí stál hlubší propad produkce prasat, z menší části i skotu. Vzhledem k rozvoji vývozu živých zvířat byl vývoj produkce masa v tuze</w:t>
            </w:r>
            <w:r w:rsidR="00093E53">
              <w:rPr>
                <w:color w:val="0D0D0D" w:themeColor="text1" w:themeTint="F2"/>
              </w:rPr>
              <w:t>msku loni ještě méně příznivá</w:t>
            </w:r>
            <w:r w:rsidRPr="00360DE3">
              <w:rPr>
                <w:color w:val="0D0D0D" w:themeColor="text1" w:themeTint="F2"/>
              </w:rPr>
              <w:t xml:space="preserve">. Ta se snížila o 2,5 %, nejvíce za posledních pět let. Ve váhově dominantní kategorii vepřového masa došlo k poklesu o 4,2 % (produkce </w:t>
            </w:r>
            <w:r w:rsidRPr="00360DE3">
              <w:rPr>
                <w:color w:val="0D0D0D" w:themeColor="text1" w:themeTint="F2"/>
              </w:rPr>
              <w:lastRenderedPageBreak/>
              <w:t>se snižovala již třetím rokem v řadě). Naopak na růst v předešlých třech letech nenavázalo hovězí a telecí maso, v úhrnu zde loni výroba poklesla o téměř 6 % (projevily se snížené stavy býků ve výkrmu během roku 2016). Dařilo se naopak pro</w:t>
            </w:r>
            <w:r w:rsidR="00093E53">
              <w:rPr>
                <w:color w:val="0D0D0D" w:themeColor="text1" w:themeTint="F2"/>
              </w:rPr>
              <w:t>du</w:t>
            </w:r>
            <w:r w:rsidRPr="00360DE3">
              <w:rPr>
                <w:color w:val="0D0D0D" w:themeColor="text1" w:themeTint="F2"/>
              </w:rPr>
              <w:t>centům drůbežího masa, kde mírný růst (odrážející i pozvolné posilování tuzemské poptávky) přetrvával již čtvrtým rokem v řadě. Nižší ceny zemědělských výrobců jatečných prasat (v roce 2015 klesly meziročně o osminu, v následujícím roce v průměru spíše stagnovaly) ovlivnily rentabilitu chovů a promítly se do stavu hospodářských zvířat. V loňském roce klesl počet chovaných prasat o meziročně 7,4 % (na 1,49 mi</w:t>
            </w:r>
            <w:r w:rsidR="003B4331">
              <w:rPr>
                <w:color w:val="0D0D0D" w:themeColor="text1" w:themeTint="F2"/>
              </w:rPr>
              <w:t>l</w:t>
            </w:r>
            <w:r w:rsidRPr="00360DE3">
              <w:rPr>
                <w:color w:val="0D0D0D" w:themeColor="text1" w:themeTint="F2"/>
              </w:rPr>
              <w:t>. kusů – nejméně ve stoleté historii). V roce 2017 se výkupní ceny z pohledu prvovýrobců vepřového vyvíjely již mnohem příznivěji a postupně došlo i k dílčí korekci ve stavech hospodářských zvířat</w:t>
            </w:r>
            <w:r w:rsidRPr="00360DE3">
              <w:rPr>
                <w:rStyle w:val="Znakapoznpodarou"/>
                <w:color w:val="0D0D0D" w:themeColor="text1" w:themeTint="F2"/>
              </w:rPr>
              <w:footnoteReference w:id="17"/>
            </w:r>
            <w:r w:rsidRPr="00360DE3">
              <w:rPr>
                <w:color w:val="0D0D0D" w:themeColor="text1" w:themeTint="F2"/>
              </w:rPr>
              <w:t xml:space="preserve">. Klesající produkce masa (především vepřového) nekorespondovala s trendy v tuzemské spotřebě. Logickým důsledkem bylo další snížení soběstačnosti ČR doprovázené rostoucími dovozy, jež dále prohloubily negativní saldo agrárního obchodu ČR. </w:t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4C5FBF">
            <w:pPr>
              <w:spacing w:after="0"/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>10.4  Základní</w:t>
            </w:r>
            <w:proofErr w:type="gramEnd"/>
            <w:r w:rsidRPr="00360DE3">
              <w:rPr>
                <w:b/>
              </w:rPr>
              <w:t xml:space="preserve"> ukazatele živočišné produkce</w:t>
            </w:r>
            <w:r w:rsidRPr="00360DE3">
              <w:t xml:space="preserve"> (úroveň roku 2010=100)</w:t>
            </w:r>
          </w:p>
          <w:p w:rsidR="003F3890" w:rsidRPr="00360DE3" w:rsidRDefault="003F3890" w:rsidP="004C5FBF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661757" cy="3612721"/>
                  <wp:effectExtent l="0" t="0" r="5493" b="0"/>
                  <wp:docPr id="4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4C5FBF">
            <w:pPr>
              <w:spacing w:after="0"/>
              <w:rPr>
                <w:rFonts w:cs="Arial"/>
                <w:color w:val="0D0D0D" w:themeColor="text1" w:themeTint="F2"/>
                <w:sz w:val="14"/>
                <w:szCs w:val="14"/>
              </w:rPr>
            </w:pPr>
            <w:r w:rsidRPr="00360DE3">
              <w:rPr>
                <w:rFonts w:cs="Arial"/>
                <w:color w:val="0D0D0D" w:themeColor="text1" w:themeTint="F2"/>
                <w:sz w:val="14"/>
                <w:szCs w:val="14"/>
              </w:rPr>
              <w:t>Poznámka. Výroba jatečných zvířat, mléka a snáška vajec je uváděna v rozsahu zemědělského sektoru a domácností.</w:t>
            </w:r>
          </w:p>
          <w:p w:rsidR="003F3890" w:rsidRPr="00360DE3" w:rsidRDefault="003F3890" w:rsidP="004C5FBF">
            <w:pPr>
              <w:spacing w:after="0"/>
              <w:rPr>
                <w:rFonts w:cs="Arial"/>
                <w:color w:val="0D0D0D" w:themeColor="text1" w:themeTint="F2"/>
                <w:sz w:val="14"/>
                <w:szCs w:val="14"/>
              </w:rPr>
            </w:pPr>
            <w:r w:rsidRPr="00360DE3">
              <w:rPr>
                <w:rFonts w:cs="Arial"/>
                <w:color w:val="0D0D0D" w:themeColor="text1" w:themeTint="F2"/>
                <w:sz w:val="14"/>
                <w:szCs w:val="14"/>
              </w:rPr>
              <w:t>*Uveden bez telat.     **Od roku 2010 pouze konzumní vejce, tj. bez násadových.</w:t>
            </w:r>
          </w:p>
          <w:p w:rsidR="003F3890" w:rsidRPr="00360DE3" w:rsidRDefault="003F3890" w:rsidP="00C6152B">
            <w:pPr>
              <w:spacing w:after="220"/>
              <w:rPr>
                <w:rFonts w:cs="Arial"/>
                <w:sz w:val="14"/>
                <w:szCs w:val="14"/>
              </w:rPr>
            </w:pPr>
            <w:r w:rsidRPr="00360DE3">
              <w:rPr>
                <w:rFonts w:cs="Arial"/>
                <w:color w:val="0D0D0D" w:themeColor="text1" w:themeTint="F2"/>
                <w:sz w:val="14"/>
                <w:szCs w:val="14"/>
              </w:rPr>
              <w:t>***Produkce jatečných zvířat je uvedena v tunách živé hmotnosti.                                                                 Zdroj: ČSÚ</w:t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Produkce mléka i vajec se navyšovala. Přispěla k tomu i rostoucí užitkovost chovů.</w:t>
            </w: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847931">
            <w:pPr>
              <w:spacing w:after="0"/>
            </w:pPr>
            <w:r w:rsidRPr="00360DE3">
              <w:t>Dařilo se naopak ostatním segm</w:t>
            </w:r>
            <w:r w:rsidR="00847931">
              <w:t>entům živočišné výroby. Výroba</w:t>
            </w:r>
            <w:r w:rsidRPr="00360DE3">
              <w:t xml:space="preserve"> mléka rostla již sedmým rokem v řadě, byť loni byl meziroční růst (+0,5 %) za celé období nejslabší. Celému oboru pomohlo i výrazné navý</w:t>
            </w:r>
            <w:r w:rsidR="00274037">
              <w:t>šení výkupní ceny mléka (o</w:t>
            </w:r>
            <w:r w:rsidR="00274037" w:rsidRPr="00360DE3">
              <w:t> </w:t>
            </w:r>
            <w:r w:rsidR="00274037">
              <w:t>25,8</w:t>
            </w:r>
            <w:r w:rsidR="00274037" w:rsidRPr="00360DE3">
              <w:t> </w:t>
            </w:r>
            <w:r w:rsidRPr="00360DE3">
              <w:t>% meziročně). Ta se tak po propadu v roce 2016 vrátila na dlouhodobě obvyklou úroveň</w:t>
            </w:r>
            <w:r w:rsidRPr="00360DE3">
              <w:rPr>
                <w:rStyle w:val="Znakapoznpodarou"/>
              </w:rPr>
              <w:footnoteReference w:id="18"/>
            </w:r>
            <w:r w:rsidRPr="00360DE3">
              <w:t>. Pokračoval dlouhodobý růst užitkovosti chovů</w:t>
            </w:r>
            <w:r w:rsidRPr="00360DE3">
              <w:rPr>
                <w:rStyle w:val="Znakapoznpodarou"/>
              </w:rPr>
              <w:footnoteReference w:id="19"/>
            </w:r>
            <w:r w:rsidR="00274037">
              <w:t>. To platilo také</w:t>
            </w:r>
            <w:r w:rsidRPr="00360DE3">
              <w:t xml:space="preserve"> </w:t>
            </w:r>
            <w:r w:rsidR="00274037">
              <w:t>o</w:t>
            </w:r>
            <w:r w:rsidR="00274037" w:rsidRPr="00360DE3">
              <w:t> </w:t>
            </w:r>
            <w:r w:rsidRPr="00360DE3">
              <w:t xml:space="preserve">produkci vajec. Snáška vajec meziročně vzrostla o </w:t>
            </w:r>
            <w:r w:rsidR="00847931">
              <w:t>11,8 %</w:t>
            </w:r>
            <w:r w:rsidR="00C6152B">
              <w:rPr>
                <w:rStyle w:val="Znakapoznpodarou"/>
              </w:rPr>
              <w:footnoteReference w:id="20"/>
            </w:r>
            <w:r w:rsidR="00847931">
              <w:t>.</w:t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Nominální hodnota produkce zemědělství meziročně stagnovala. Pozitivně ji ovlivnily rostoucí ceny výrobců v rostlinné a zejména živočišné výrobě.</w:t>
            </w: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Zisk zemědělského odvětví meziročně mírně klesl, přesto zůstává nad úrovní průměru za posledních pět let.</w:t>
            </w: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847931">
            <w:pPr>
              <w:spacing w:after="200"/>
              <w:rPr>
                <w:color w:val="0D0D0D" w:themeColor="text1" w:themeTint="F2"/>
              </w:rPr>
            </w:pPr>
            <w:r w:rsidRPr="00360DE3">
              <w:rPr>
                <w:color w:val="0D0D0D" w:themeColor="text1" w:themeTint="F2"/>
              </w:rPr>
              <w:t xml:space="preserve">Celková produkce zemědělského odvětví dosáhla loni v běžných cenách 133,5 mld. korun a meziročně fakticky stagnovala. Slabší úroda byla částečně kompenzována vyšším růstem výrobních cen (zejména u obilovin, olejnin či ovoce). Cenové vlivy (zejména u vepřového masa, mléka a vajec) ještě výrazněji ovlivnily výsledky celkové živočišné výroby (růst hodnoty produkce o 13 %). Navýšení výrobních nákladů v zemědělství bylo loni jen mírné. Hodnota </w:t>
            </w:r>
            <w:proofErr w:type="spellStart"/>
            <w:r w:rsidRPr="00360DE3">
              <w:rPr>
                <w:color w:val="0D0D0D" w:themeColor="text1" w:themeTint="F2"/>
              </w:rPr>
              <w:t>mezispotřeby</w:t>
            </w:r>
            <w:proofErr w:type="spellEnd"/>
            <w:r w:rsidRPr="00360DE3">
              <w:rPr>
                <w:color w:val="0D0D0D" w:themeColor="text1" w:themeTint="F2"/>
              </w:rPr>
              <w:t xml:space="preserve"> posílila o 2,3 %. Vyššímu růstu bránilo zlevňování u hnojiv, krmiv i elektrické energie (tyto položky tvořily bezmála třetinu všech nákladů v zemědělském odvětví). Odhadovaná výše vyplacených dotací na výrobu nadále rostla (meziročně o 5,5 %, na 32,4 mld. korun, druhou nejvyšší hodnotu v novodobé historii). Projevoval se vliv zvýšeného akcentu na ekologické aspekty hospodaření (program </w:t>
            </w:r>
            <w:proofErr w:type="spellStart"/>
            <w:r w:rsidRPr="00360DE3">
              <w:rPr>
                <w:color w:val="0D0D0D" w:themeColor="text1" w:themeTint="F2"/>
              </w:rPr>
              <w:t>Greening</w:t>
            </w:r>
            <w:proofErr w:type="spellEnd"/>
            <w:r w:rsidRPr="00360DE3">
              <w:rPr>
                <w:color w:val="0D0D0D" w:themeColor="text1" w:themeTint="F2"/>
              </w:rPr>
              <w:t>). Podnikatelský důchod reprezentující zisk</w:t>
            </w:r>
            <w:r w:rsidR="009A7B2E">
              <w:rPr>
                <w:color w:val="0D0D0D" w:themeColor="text1" w:themeTint="F2"/>
              </w:rPr>
              <w:t xml:space="preserve"> zemědělského odvětví v ČR čini</w:t>
            </w:r>
            <w:r w:rsidRPr="00360DE3">
              <w:rPr>
                <w:color w:val="0D0D0D" w:themeColor="text1" w:themeTint="F2"/>
              </w:rPr>
              <w:t>l 20,6 mld. korun. Přestože za roky 2014 i 2016 (ovlivněné velmi dobrými úrodami) mírně zaostal, byl stále vyšší než průměrná hodnota za poslední pětiletí. V zisku setrvává tuzemské zemědělství díky dotační podpoře nepřetržitě počínaje rokem 2004.</w:t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4C5FBF">
            <w:pPr>
              <w:spacing w:after="0"/>
              <w:jc w:val="left"/>
              <w:rPr>
                <w:b/>
              </w:rPr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>10.5  Saldo</w:t>
            </w:r>
            <w:proofErr w:type="gramEnd"/>
            <w:r w:rsidRPr="00360DE3">
              <w:rPr>
                <w:b/>
              </w:rPr>
              <w:t xml:space="preserve"> zahraničního obchodu ČR s </w:t>
            </w:r>
            <w:proofErr w:type="spellStart"/>
            <w:r w:rsidRPr="00360DE3">
              <w:rPr>
                <w:b/>
              </w:rPr>
              <w:t>vybr</w:t>
            </w:r>
            <w:proofErr w:type="spellEnd"/>
            <w:r w:rsidRPr="00360DE3">
              <w:rPr>
                <w:b/>
              </w:rPr>
              <w:t xml:space="preserve">. produkty zemědělství a potravinářského průmyslu </w:t>
            </w:r>
            <w:r w:rsidRPr="00360DE3">
              <w:t xml:space="preserve">(dle kategorií SITC, </w:t>
            </w:r>
            <w:proofErr w:type="spellStart"/>
            <w:r w:rsidRPr="00360DE3">
              <w:t>přeshraniční</w:t>
            </w:r>
            <w:proofErr w:type="spellEnd"/>
            <w:r w:rsidRPr="00360DE3">
              <w:t xml:space="preserve"> pojetí, v mld. korun)</w:t>
            </w:r>
          </w:p>
          <w:p w:rsidR="003F3890" w:rsidRPr="00360DE3" w:rsidRDefault="003F3890" w:rsidP="004C5FBF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667367" cy="3881992"/>
                  <wp:effectExtent l="0" t="0" r="0" b="0"/>
                  <wp:docPr id="4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4C5FBF">
            <w:pPr>
              <w:spacing w:after="0"/>
              <w:rPr>
                <w:rFonts w:cs="Arial"/>
                <w:sz w:val="14"/>
                <w:szCs w:val="14"/>
              </w:rPr>
            </w:pPr>
            <w:r w:rsidRPr="00360DE3">
              <w:rPr>
                <w:rFonts w:cs="Arial"/>
                <w:sz w:val="14"/>
                <w:szCs w:val="14"/>
              </w:rPr>
              <w:t xml:space="preserve">*Kromě nemletých </w:t>
            </w:r>
            <w:proofErr w:type="gramStart"/>
            <w:r w:rsidRPr="00360DE3">
              <w:rPr>
                <w:rFonts w:cs="Arial"/>
                <w:sz w:val="14"/>
                <w:szCs w:val="14"/>
              </w:rPr>
              <w:t>obilnin,  **Margarin</w:t>
            </w:r>
            <w:proofErr w:type="gramEnd"/>
            <w:r w:rsidRPr="00360DE3">
              <w:rPr>
                <w:rFonts w:cs="Arial"/>
                <w:sz w:val="14"/>
                <w:szCs w:val="14"/>
              </w:rPr>
              <w:t xml:space="preserve">, jedlé směsi, přípravky z tuku, olejů; Homogenizované </w:t>
            </w:r>
            <w:proofErr w:type="spellStart"/>
            <w:r w:rsidRPr="00360DE3">
              <w:rPr>
                <w:rFonts w:cs="Arial"/>
                <w:sz w:val="14"/>
                <w:szCs w:val="14"/>
              </w:rPr>
              <w:t>potr</w:t>
            </w:r>
            <w:proofErr w:type="spellEnd"/>
            <w:r w:rsidRPr="00360DE3">
              <w:rPr>
                <w:rFonts w:cs="Arial"/>
                <w:sz w:val="14"/>
                <w:szCs w:val="14"/>
              </w:rPr>
              <w:t>. přípravky; Omáčky, směsi koření, hořčice, ocet; Polévky a masové vývary; Droždí, kvasinky, prášky do pečiva; ostatní hotové pokrmy</w:t>
            </w:r>
          </w:p>
          <w:p w:rsidR="003F3890" w:rsidRPr="00360DE3" w:rsidRDefault="003F3890" w:rsidP="00847931">
            <w:pPr>
              <w:spacing w:after="200"/>
              <w:rPr>
                <w:sz w:val="16"/>
                <w:szCs w:val="16"/>
              </w:rPr>
            </w:pPr>
            <w:r w:rsidRPr="00360DE3">
              <w:rPr>
                <w:rFonts w:cs="Arial"/>
                <w:sz w:val="14"/>
                <w:szCs w:val="14"/>
              </w:rPr>
              <w:t>Zdroj: ČSÚ</w:t>
            </w:r>
          </w:p>
        </w:tc>
      </w:tr>
      <w:tr w:rsidR="003F3890" w:rsidRPr="00360DE3" w:rsidTr="004C5FBF">
        <w:trPr>
          <w:trHeight w:val="170"/>
        </w:trPr>
        <w:tc>
          <w:tcPr>
            <w:tcW w:w="1976" w:type="dxa"/>
          </w:tcPr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Negativní saldo agrárního zahraničního obchodu ČR se nadále prohlubovalo – jak u prvovýrobců, tak zejména u zpracovatelů.</w:t>
            </w: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</w:p>
          <w:p w:rsidR="003F3890" w:rsidRPr="00360DE3" w:rsidRDefault="003F3890" w:rsidP="004C5FBF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Rekordní těžba dřeva se orazila v silných exportech, směřujících v drtivě většině do Německa a Rakouska.</w:t>
            </w:r>
          </w:p>
        </w:tc>
        <w:tc>
          <w:tcPr>
            <w:tcW w:w="277" w:type="dxa"/>
          </w:tcPr>
          <w:p w:rsidR="003F3890" w:rsidRPr="00360DE3" w:rsidRDefault="003F3890" w:rsidP="004C5FBF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F3890" w:rsidRPr="00360DE3" w:rsidRDefault="003F3890" w:rsidP="004C5FBF">
            <w:r w:rsidRPr="00360DE3">
              <w:t>Po příznivějším vývoji v letech 2011 až 2015 se negativní saldo zahraničního obchodu ČR</w:t>
            </w:r>
            <w:r w:rsidRPr="00360DE3">
              <w:rPr>
                <w:rStyle w:val="Znakapoznpodarou"/>
              </w:rPr>
              <w:footnoteReference w:id="21"/>
            </w:r>
            <w:r w:rsidRPr="00360DE3">
              <w:t xml:space="preserve"> s produkty zemědělství, lesnictví a rybolovu (zachycující postavení prvovýrobců) začalo opět prohlubovat (v roce 2016 činilo 4,5 mld. korun, o rok později téměř 7 mld.). Ještě v horším postavení byli tuzemští zpracovatelé, neboť deficit obchodu s potravinářskými výrobky se meziročně prohloubil na rekordních 41,4 mld. korun, meziročně 5,3 mld. více. </w:t>
            </w:r>
            <w:r w:rsidRPr="00360DE3">
              <w:rPr>
                <w:color w:val="000000"/>
              </w:rPr>
              <w:t xml:space="preserve">Z podrobnějšího členění dle klasifikace </w:t>
            </w:r>
            <w:r w:rsidRPr="00360DE3">
              <w:rPr>
                <w:color w:val="000000"/>
              </w:rPr>
              <w:lastRenderedPageBreak/>
              <w:t>SITC plyne, že celkový deficit v kategorii potraviny a živá zvířata v roce 2017 (37,9</w:t>
            </w:r>
            <w:r w:rsidR="00274037" w:rsidRPr="00360DE3">
              <w:t> </w:t>
            </w:r>
            <w:r w:rsidRPr="00360DE3">
              <w:rPr>
                <w:color w:val="000000"/>
              </w:rPr>
              <w:t>mld. korun)</w:t>
            </w:r>
            <w:r w:rsidRPr="00360DE3">
              <w:rPr>
                <w:rStyle w:val="Znakapoznpodarou"/>
                <w:color w:val="000000"/>
              </w:rPr>
              <w:footnoteReference w:id="22"/>
            </w:r>
            <w:r w:rsidRPr="00360DE3">
              <w:rPr>
                <w:color w:val="000000"/>
              </w:rPr>
              <w:t xml:space="preserve"> byl způsoben zejména prohlubujícími se schodky v obchodu se zeleninou a ovocem a dále v kategorii maso a masné výroky. Disproporce mezi deficity u masa a masných výrobků a přebytky u obchodu s živými zvířaty se nadále zvětšovaly. Navzdory slabší loňské úrodě přetrval výraznější přebytek u</w:t>
            </w:r>
            <w:r w:rsidR="00274037" w:rsidRPr="00360DE3">
              <w:t> </w:t>
            </w:r>
            <w:r w:rsidRPr="00360DE3">
              <w:rPr>
                <w:color w:val="000000"/>
              </w:rPr>
              <w:t>obilovin a obilných výrobků (15,4 mld. korun), realizovaný primárně se sousedními státy. Rekordní přebytek obchodu v kategorii dřevo a korek (15,4 mld.) měl přímou souvislost s vývojem tuzemské těžby dřeva, resp. četností kalamitních situací (povětrnostní vlivy, škůdci).</w:t>
            </w:r>
            <w:r w:rsidRPr="00360DE3">
              <w:rPr>
                <w:rStyle w:val="Znakapoznpodarou"/>
                <w:color w:val="000000"/>
              </w:rPr>
              <w:footnoteReference w:id="23"/>
            </w:r>
            <w:r w:rsidRPr="00360DE3">
              <w:rPr>
                <w:color w:val="000000"/>
              </w:rPr>
              <w:t xml:space="preserve"> Prakticky veškerý vývoz surového dřeva z ČR dlouhodobě směřuje do Rakouska a Německa. Česko patří v rámci EU dlouhodobě k nejvýznamnějším vývozcům dřeva</w:t>
            </w:r>
            <w:r w:rsidRPr="00360DE3">
              <w:rPr>
                <w:rStyle w:val="Znakapoznpodarou"/>
                <w:color w:val="000000"/>
              </w:rPr>
              <w:footnoteReference w:id="24"/>
            </w:r>
            <w:r w:rsidRPr="00360DE3">
              <w:rPr>
                <w:color w:val="000000"/>
              </w:rPr>
              <w:t>.</w:t>
            </w:r>
          </w:p>
        </w:tc>
      </w:tr>
    </w:tbl>
    <w:p w:rsidR="00F46502" w:rsidRPr="00BE13EE" w:rsidRDefault="00F46502" w:rsidP="00BE13EE">
      <w:pPr>
        <w:pStyle w:val="Nadpis1"/>
        <w:rPr>
          <w:sz w:val="2"/>
          <w:szCs w:val="2"/>
        </w:rPr>
      </w:pPr>
    </w:p>
    <w:sectPr w:rsidR="00F46502" w:rsidRPr="00BE13EE" w:rsidSect="00BE13EE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39" w:rsidRDefault="00FD5A39" w:rsidP="00E71A58">
      <w:r>
        <w:separator/>
      </w:r>
    </w:p>
  </w:endnote>
  <w:endnote w:type="continuationSeparator" w:id="0">
    <w:p w:rsidR="00FD5A39" w:rsidRDefault="00FD5A3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1494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E51494" w:rsidRPr="00932443">
      <w:rPr>
        <w:szCs w:val="16"/>
      </w:rPr>
      <w:fldChar w:fldCharType="separate"/>
    </w:r>
    <w:r w:rsidR="00BE13EE">
      <w:rPr>
        <w:szCs w:val="16"/>
      </w:rPr>
      <w:t>50</w:t>
    </w:r>
    <w:r w:rsidR="00E51494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E51494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E51494" w:rsidRPr="00932443">
      <w:rPr>
        <w:rStyle w:val="ZpatChar"/>
        <w:szCs w:val="16"/>
      </w:rPr>
      <w:fldChar w:fldCharType="separate"/>
    </w:r>
    <w:r w:rsidR="00BE13EE">
      <w:rPr>
        <w:rStyle w:val="ZpatChar"/>
        <w:szCs w:val="16"/>
      </w:rPr>
      <w:t>49</w:t>
    </w:r>
    <w:r w:rsidR="00E51494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39" w:rsidRDefault="00FD5A39" w:rsidP="00E71A58">
      <w:r>
        <w:separator/>
      </w:r>
    </w:p>
  </w:footnote>
  <w:footnote w:type="continuationSeparator" w:id="0">
    <w:p w:rsidR="00FD5A39" w:rsidRDefault="00FD5A39" w:rsidP="00E71A58">
      <w:r>
        <w:continuationSeparator/>
      </w:r>
    </w:p>
  </w:footnote>
  <w:footnote w:id="1">
    <w:p w:rsidR="00C805DC" w:rsidRDefault="00C805DC" w:rsidP="004C5FBF">
      <w:pPr>
        <w:pStyle w:val="Textpoznpodarou"/>
        <w:jc w:val="both"/>
      </w:pPr>
      <w:r w:rsidRPr="00E35053">
        <w:rPr>
          <w:rStyle w:val="Znakapoznpodarou"/>
          <w:sz w:val="16"/>
          <w:szCs w:val="16"/>
        </w:rPr>
        <w:footnoteRef/>
      </w:r>
      <w:r w:rsidRPr="00E35053"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 w:rsidRPr="00E35053">
        <w:rPr>
          <w:spacing w:val="-2"/>
          <w:sz w:val="16"/>
          <w:szCs w:val="16"/>
        </w:rPr>
        <w:t xml:space="preserve">rimární sektor </w:t>
      </w:r>
      <w:r>
        <w:rPr>
          <w:spacing w:val="-2"/>
          <w:sz w:val="16"/>
          <w:szCs w:val="16"/>
        </w:rPr>
        <w:t xml:space="preserve">je zde </w:t>
      </w:r>
      <w:r w:rsidRPr="00E35053">
        <w:rPr>
          <w:spacing w:val="-2"/>
          <w:sz w:val="16"/>
          <w:szCs w:val="16"/>
        </w:rPr>
        <w:t>pojímán v užším vymezení. Zahrnuje odvětvové oddíly rostlinná, živočišná výroba, myslivost</w:t>
      </w:r>
      <w:r w:rsidRPr="00E35053">
        <w:rPr>
          <w:spacing w:val="-2"/>
          <w:sz w:val="16"/>
          <w:szCs w:val="16"/>
          <w:lang w:val="en-US"/>
        </w:rPr>
        <w:t xml:space="preserve">; </w:t>
      </w:r>
      <w:r w:rsidRPr="00E35053">
        <w:rPr>
          <w:spacing w:val="-2"/>
          <w:sz w:val="16"/>
          <w:szCs w:val="16"/>
        </w:rPr>
        <w:t>lesnictví a těžba dřeva</w:t>
      </w:r>
      <w:r w:rsidRPr="00E35053">
        <w:rPr>
          <w:spacing w:val="-2"/>
          <w:sz w:val="16"/>
          <w:szCs w:val="16"/>
          <w:lang w:val="en-US"/>
        </w:rPr>
        <w:t>;</w:t>
      </w:r>
      <w:r w:rsidRPr="00E35053">
        <w:rPr>
          <w:spacing w:val="-2"/>
          <w:sz w:val="16"/>
          <w:szCs w:val="16"/>
        </w:rPr>
        <w:t xml:space="preserve"> rybolov a akvakultura. Není zde naopak zahrnuto odvětví těžby a dobývání, jehož vývoj je </w:t>
      </w:r>
      <w:r>
        <w:rPr>
          <w:spacing w:val="-2"/>
          <w:sz w:val="16"/>
          <w:szCs w:val="16"/>
        </w:rPr>
        <w:t>stručně nastíněn</w:t>
      </w:r>
      <w:r w:rsidRPr="00E35053">
        <w:rPr>
          <w:spacing w:val="-2"/>
          <w:sz w:val="16"/>
          <w:szCs w:val="16"/>
        </w:rPr>
        <w:t xml:space="preserve"> v kap. 3.2 (Průmysl).</w:t>
      </w:r>
    </w:p>
  </w:footnote>
  <w:footnote w:id="2">
    <w:p w:rsidR="00C805DC" w:rsidRPr="00E35053" w:rsidRDefault="00C805DC" w:rsidP="004C5FBF">
      <w:pPr>
        <w:pStyle w:val="Textpoznpodarou"/>
        <w:jc w:val="both"/>
        <w:rPr>
          <w:sz w:val="16"/>
          <w:szCs w:val="16"/>
        </w:rPr>
      </w:pPr>
      <w:r w:rsidRPr="00E35053">
        <w:rPr>
          <w:rStyle w:val="Znakapoznpodarou"/>
          <w:sz w:val="16"/>
          <w:szCs w:val="16"/>
        </w:rPr>
        <w:footnoteRef/>
      </w:r>
      <w:r w:rsidRPr="00E35053">
        <w:rPr>
          <w:sz w:val="16"/>
          <w:szCs w:val="16"/>
        </w:rPr>
        <w:t xml:space="preserve"> </w:t>
      </w:r>
      <w:r w:rsidRPr="00E35053">
        <w:rPr>
          <w:spacing w:val="-2"/>
          <w:sz w:val="16"/>
          <w:szCs w:val="16"/>
        </w:rPr>
        <w:t xml:space="preserve">Pokud není uvedeno jinak, vychází všechny údaje v této </w:t>
      </w:r>
      <w:r>
        <w:rPr>
          <w:spacing w:val="-2"/>
          <w:sz w:val="16"/>
          <w:szCs w:val="16"/>
        </w:rPr>
        <w:t>kapitole z dat národních účtů. K</w:t>
      </w:r>
      <w:r w:rsidRPr="00E35053">
        <w:rPr>
          <w:spacing w:val="-2"/>
          <w:sz w:val="16"/>
          <w:szCs w:val="16"/>
        </w:rPr>
        <w:t>de je to relevantní, jsou očištěny o cenové vlivy.</w:t>
      </w:r>
    </w:p>
  </w:footnote>
  <w:footnote w:id="3">
    <w:p w:rsidR="00C805DC" w:rsidRPr="00CB5EF1" w:rsidRDefault="00C805DC" w:rsidP="004C5FBF">
      <w:pPr>
        <w:pStyle w:val="Textpoznpodarou"/>
        <w:jc w:val="both"/>
        <w:rPr>
          <w:sz w:val="16"/>
          <w:szCs w:val="16"/>
        </w:rPr>
      </w:pPr>
      <w:r w:rsidRPr="00CB5EF1">
        <w:rPr>
          <w:rStyle w:val="Znakapoznpodarou"/>
          <w:sz w:val="16"/>
          <w:szCs w:val="16"/>
        </w:rPr>
        <w:footnoteRef/>
      </w:r>
      <w:r w:rsidRPr="00CB5EF1">
        <w:rPr>
          <w:sz w:val="16"/>
          <w:szCs w:val="16"/>
        </w:rPr>
        <w:t xml:space="preserve"> Primární</w:t>
      </w:r>
      <w:r>
        <w:rPr>
          <w:sz w:val="16"/>
          <w:szCs w:val="16"/>
        </w:rPr>
        <w:t xml:space="preserve"> sektor s</w:t>
      </w:r>
      <w:r w:rsidRPr="00CB5EF1">
        <w:rPr>
          <w:sz w:val="16"/>
          <w:szCs w:val="16"/>
        </w:rPr>
        <w:t xml:space="preserve">e na rozdíl od drtivé většiny </w:t>
      </w:r>
      <w:r>
        <w:rPr>
          <w:sz w:val="16"/>
          <w:szCs w:val="16"/>
        </w:rPr>
        <w:t>ostatních odvětví ekonomiky vyznačuje výrazně nižší dominací nefinančních podniků ve prospěch vyšší role drobných podnikatelů (v národním účetnictví zařazených do sektoru domácností). Tato skutečnost je ještě více než v Česku patrná ve starších členských státech EU. V ČR vytvářely vloni nefinanční podniky jak v zemědělství, tak i v lesnictví necelých 60 % HPH těchto dílčích odvětví. Dominovaly (94 %) jen v tuzemských podmínkách zcela okrajovém segmentu rybářství (podílejícího se na přidané hodnotě celého primárního sektoru jen 0,5 %).</w:t>
      </w:r>
    </w:p>
  </w:footnote>
  <w:footnote w:id="4">
    <w:p w:rsidR="00C805DC" w:rsidRPr="002D1580" w:rsidRDefault="00C805DC" w:rsidP="001A0D6B">
      <w:pPr>
        <w:pStyle w:val="Textpoznpodarou"/>
        <w:rPr>
          <w:sz w:val="16"/>
          <w:szCs w:val="16"/>
        </w:rPr>
      </w:pPr>
      <w:r w:rsidRPr="002D1580">
        <w:rPr>
          <w:rStyle w:val="Znakapoznpodarou"/>
          <w:sz w:val="16"/>
          <w:szCs w:val="16"/>
        </w:rPr>
        <w:footnoteRef/>
      </w:r>
      <w:r w:rsidRPr="002D1580">
        <w:rPr>
          <w:sz w:val="16"/>
          <w:szCs w:val="16"/>
        </w:rPr>
        <w:t xml:space="preserve"> Loňská míra investic byla v primárním sektoru čtvrtá nejvyšší v historii samostatné ČR a za dosud rekordní úrovní z roku 2012 (41 %) zaostala jen nepatrně. </w:t>
      </w:r>
      <w:r>
        <w:rPr>
          <w:sz w:val="16"/>
          <w:szCs w:val="16"/>
        </w:rPr>
        <w:t>Na relativně vysoké investiční aktivitě celého sektoru se podílela většina dílčích odvětví, vyjma lesnictví a těžby dřeva, ve které i přes pokračující růst loni dosahovala jen 17 % (a patřila naopak v rámci celé ekonomiky k výrazně podprůměrným).</w:t>
      </w:r>
    </w:p>
  </w:footnote>
  <w:footnote w:id="5">
    <w:p w:rsidR="00C805DC" w:rsidRPr="00D5293C" w:rsidRDefault="00C805DC" w:rsidP="001A0D6B">
      <w:pPr>
        <w:pStyle w:val="Textpoznpodarou"/>
        <w:rPr>
          <w:sz w:val="16"/>
          <w:szCs w:val="16"/>
        </w:rPr>
      </w:pPr>
      <w:r w:rsidRPr="00D5293C">
        <w:rPr>
          <w:rStyle w:val="Znakapoznpodarou"/>
          <w:sz w:val="16"/>
          <w:szCs w:val="16"/>
        </w:rPr>
        <w:footnoteRef/>
      </w:r>
      <w:r w:rsidRPr="00D5293C">
        <w:rPr>
          <w:sz w:val="16"/>
          <w:szCs w:val="16"/>
        </w:rPr>
        <w:t xml:space="preserve"> Menší podíl měly vloni na úrovní 22 odvětvových sekcí ekonomiky jen činnosti v oblasti nemovitostí.</w:t>
      </w:r>
    </w:p>
  </w:footnote>
  <w:footnote w:id="6">
    <w:p w:rsidR="00C805DC" w:rsidRPr="000B3B41" w:rsidRDefault="00C805DC" w:rsidP="004C5FBF">
      <w:pPr>
        <w:pStyle w:val="Textpoznpodarou"/>
        <w:rPr>
          <w:spacing w:val="-2"/>
          <w:sz w:val="16"/>
          <w:szCs w:val="16"/>
        </w:rPr>
      </w:pPr>
      <w:r w:rsidRPr="000B3B41">
        <w:rPr>
          <w:rStyle w:val="Znakapoznpodarou"/>
          <w:spacing w:val="-2"/>
          <w:sz w:val="16"/>
          <w:szCs w:val="16"/>
        </w:rPr>
        <w:footnoteRef/>
      </w:r>
      <w:r w:rsidRPr="000B3B41">
        <w:rPr>
          <w:spacing w:val="-2"/>
          <w:sz w:val="16"/>
          <w:szCs w:val="16"/>
        </w:rPr>
        <w:t xml:space="preserve"> Údajů týkajících se trhu práce (zaměstnanost, mzdy) vychází z národních účtů a jsou přepočteny na plné úvazky.</w:t>
      </w:r>
    </w:p>
  </w:footnote>
  <w:footnote w:id="7">
    <w:p w:rsidR="00C805DC" w:rsidRPr="004637D6" w:rsidRDefault="00C805DC" w:rsidP="004C5FBF">
      <w:pPr>
        <w:pStyle w:val="Textpoznpodarou"/>
        <w:rPr>
          <w:spacing w:val="-2"/>
          <w:sz w:val="16"/>
          <w:szCs w:val="16"/>
        </w:rPr>
      </w:pPr>
      <w:r w:rsidRPr="004637D6">
        <w:rPr>
          <w:rStyle w:val="Znakapoznpodarou"/>
          <w:spacing w:val="-2"/>
          <w:sz w:val="16"/>
          <w:szCs w:val="16"/>
        </w:rPr>
        <w:footnoteRef/>
      </w:r>
      <w:r w:rsidRPr="004637D6">
        <w:rPr>
          <w:spacing w:val="-2"/>
          <w:sz w:val="16"/>
          <w:szCs w:val="16"/>
        </w:rPr>
        <w:t xml:space="preserve"> Dle výsledků Strukturálního šetření v zemědělství v roce 2016 bylo z celkového počtu pravidelně zaměstnaných osob v zemědělství v ČR (130 tis</w:t>
      </w:r>
      <w:r>
        <w:rPr>
          <w:spacing w:val="-2"/>
          <w:sz w:val="16"/>
          <w:szCs w:val="16"/>
        </w:rPr>
        <w:t>.</w:t>
      </w:r>
      <w:r w:rsidRPr="004637D6">
        <w:rPr>
          <w:spacing w:val="-2"/>
          <w:sz w:val="16"/>
          <w:szCs w:val="16"/>
        </w:rPr>
        <w:t xml:space="preserve">) 36 % ve věku 55 a více let (v Jihomoravském a Zlínském kraji téměř 40 %). Naopak do 35 let bylo v ČR </w:t>
      </w:r>
      <w:r>
        <w:rPr>
          <w:spacing w:val="-2"/>
          <w:sz w:val="16"/>
          <w:szCs w:val="16"/>
        </w:rPr>
        <w:t xml:space="preserve">jen 18 % </w:t>
      </w:r>
      <w:r w:rsidRPr="004637D6">
        <w:rPr>
          <w:spacing w:val="-2"/>
          <w:sz w:val="16"/>
          <w:szCs w:val="16"/>
        </w:rPr>
        <w:t>pracovníků.</w:t>
      </w:r>
    </w:p>
  </w:footnote>
  <w:footnote w:id="8">
    <w:p w:rsidR="00C805DC" w:rsidRPr="000B3B41" w:rsidRDefault="00C805DC" w:rsidP="004C5FBF">
      <w:pPr>
        <w:pStyle w:val="Textpoznpodarou"/>
        <w:rPr>
          <w:spacing w:val="-2"/>
          <w:sz w:val="16"/>
          <w:szCs w:val="16"/>
        </w:rPr>
      </w:pPr>
      <w:r w:rsidRPr="000B3B41">
        <w:rPr>
          <w:rStyle w:val="Znakapoznpodarou"/>
          <w:spacing w:val="-2"/>
          <w:sz w:val="16"/>
          <w:szCs w:val="16"/>
        </w:rPr>
        <w:footnoteRef/>
      </w:r>
      <w:r w:rsidRPr="000B3B41">
        <w:rPr>
          <w:spacing w:val="-2"/>
          <w:sz w:val="16"/>
          <w:szCs w:val="16"/>
        </w:rPr>
        <w:t xml:space="preserve"> Zahrnují veškeré příjmy ze zaměstnání – jak v peněžní, tak i </w:t>
      </w:r>
      <w:r>
        <w:rPr>
          <w:spacing w:val="-2"/>
          <w:sz w:val="16"/>
          <w:szCs w:val="16"/>
        </w:rPr>
        <w:t xml:space="preserve">v </w:t>
      </w:r>
      <w:r w:rsidRPr="000B3B41">
        <w:rPr>
          <w:spacing w:val="-2"/>
          <w:sz w:val="16"/>
          <w:szCs w:val="16"/>
        </w:rPr>
        <w:t>naturální podobě.</w:t>
      </w:r>
    </w:p>
  </w:footnote>
  <w:footnote w:id="9">
    <w:p w:rsidR="00C805DC" w:rsidRPr="000B3B41" w:rsidRDefault="00C805DC" w:rsidP="004C5FBF">
      <w:pPr>
        <w:pStyle w:val="Textpoznpodarou"/>
        <w:rPr>
          <w:spacing w:val="-2"/>
          <w:sz w:val="16"/>
          <w:szCs w:val="16"/>
        </w:rPr>
      </w:pPr>
      <w:r w:rsidRPr="000B3B41">
        <w:rPr>
          <w:rStyle w:val="Znakapoznpodarou"/>
          <w:spacing w:val="-2"/>
          <w:sz w:val="16"/>
          <w:szCs w:val="16"/>
        </w:rPr>
        <w:footnoteRef/>
      </w:r>
      <w:r w:rsidRPr="000B3B41">
        <w:rPr>
          <w:spacing w:val="-2"/>
          <w:sz w:val="16"/>
          <w:szCs w:val="16"/>
        </w:rPr>
        <w:t xml:space="preserve"> Ve váhově dominantním odvětví primárního sektoru – rostlinné a živočišné výrobě i myslivosti – dosahovala vloni hodinová produktivita práce 60 % úrovně národního hospodářství.</w:t>
      </w:r>
    </w:p>
  </w:footnote>
  <w:footnote w:id="10">
    <w:p w:rsidR="00C805DC" w:rsidRPr="000B3B41" w:rsidRDefault="00C805DC" w:rsidP="004C5FBF">
      <w:pPr>
        <w:pStyle w:val="Zkladntext"/>
        <w:spacing w:before="0" w:line="240" w:lineRule="auto"/>
        <w:rPr>
          <w:rFonts w:ascii="Arial" w:hAnsi="Arial" w:cs="Arial"/>
          <w:spacing w:val="-4"/>
          <w:sz w:val="16"/>
          <w:szCs w:val="16"/>
        </w:rPr>
      </w:pPr>
      <w:r w:rsidRPr="000B3B41">
        <w:rPr>
          <w:rStyle w:val="Znakapoznpodarou"/>
          <w:rFonts w:ascii="Arial" w:hAnsi="Arial" w:cs="Arial"/>
          <w:spacing w:val="-4"/>
          <w:sz w:val="16"/>
          <w:szCs w:val="16"/>
        </w:rPr>
        <w:footnoteRef/>
      </w:r>
      <w:r w:rsidRPr="000B3B41">
        <w:rPr>
          <w:rFonts w:ascii="Arial" w:hAnsi="Arial" w:cs="Arial"/>
          <w:spacing w:val="-4"/>
          <w:sz w:val="16"/>
          <w:szCs w:val="16"/>
        </w:rPr>
        <w:t xml:space="preserve"> Souhrnný zemědělský účet (SZÚ) nezahrnuje jednotky produkující jen pro vlastní spotřebu (zahrádky a chov hospodářských zvířat u domácností). Zemědělská produkce pro vlastní spotřebu rolníků, jejichž hospodářství překročí spodní prahovou hodnotu, je ale součástí SZÚ.</w:t>
      </w:r>
    </w:p>
  </w:footnote>
  <w:footnote w:id="11">
    <w:p w:rsidR="00C805DC" w:rsidRPr="002B3B69" w:rsidRDefault="00C805DC" w:rsidP="004C5FBF">
      <w:pPr>
        <w:pStyle w:val="Textpoznpodarou"/>
        <w:jc w:val="both"/>
        <w:rPr>
          <w:sz w:val="16"/>
          <w:szCs w:val="16"/>
        </w:rPr>
      </w:pPr>
      <w:r w:rsidRPr="002B3B69">
        <w:rPr>
          <w:rStyle w:val="Znakapoznpodarou"/>
          <w:sz w:val="16"/>
          <w:szCs w:val="16"/>
        </w:rPr>
        <w:footnoteRef/>
      </w:r>
      <w:r w:rsidRPr="002B3B69">
        <w:rPr>
          <w:sz w:val="16"/>
          <w:szCs w:val="16"/>
        </w:rPr>
        <w:t xml:space="preserve"> To v roce 2017 platilo pro patnáct států EU. Šlo většinou o novějších členské státy a </w:t>
      </w:r>
      <w:r>
        <w:rPr>
          <w:sz w:val="16"/>
          <w:szCs w:val="16"/>
        </w:rPr>
        <w:t xml:space="preserve">dále </w:t>
      </w:r>
      <w:r w:rsidRPr="002B3B69">
        <w:rPr>
          <w:sz w:val="16"/>
          <w:szCs w:val="16"/>
        </w:rPr>
        <w:t>také o většinu středomořských států.</w:t>
      </w:r>
      <w:r>
        <w:rPr>
          <w:sz w:val="16"/>
          <w:szCs w:val="16"/>
        </w:rPr>
        <w:t xml:space="preserve"> Ze zemí, které vstoupily do EU</w:t>
      </w:r>
      <w:r w:rsidRPr="002B3B69">
        <w:rPr>
          <w:sz w:val="16"/>
          <w:szCs w:val="16"/>
        </w:rPr>
        <w:t xml:space="preserve"> po roce 2000</w:t>
      </w:r>
      <w:r>
        <w:rPr>
          <w:sz w:val="16"/>
          <w:szCs w:val="16"/>
        </w:rPr>
        <w:t>,</w:t>
      </w:r>
      <w:r w:rsidRPr="002B3B69">
        <w:rPr>
          <w:sz w:val="16"/>
          <w:szCs w:val="16"/>
        </w:rPr>
        <w:t xml:space="preserve"> </w:t>
      </w:r>
      <w:r>
        <w:rPr>
          <w:sz w:val="16"/>
          <w:szCs w:val="16"/>
        </w:rPr>
        <w:t>vykazovaly</w:t>
      </w:r>
      <w:r w:rsidRPr="002B3B69">
        <w:rPr>
          <w:sz w:val="16"/>
          <w:szCs w:val="16"/>
        </w:rPr>
        <w:t xml:space="preserve"> vyšší specializaci zemědělství na ži</w:t>
      </w:r>
      <w:r>
        <w:rPr>
          <w:sz w:val="16"/>
          <w:szCs w:val="16"/>
        </w:rPr>
        <w:t>vočišnou výrobu jen</w:t>
      </w:r>
      <w:r w:rsidRPr="002B3B69">
        <w:rPr>
          <w:sz w:val="16"/>
          <w:szCs w:val="16"/>
        </w:rPr>
        <w:t xml:space="preserve"> Polsko</w:t>
      </w:r>
      <w:r>
        <w:rPr>
          <w:sz w:val="16"/>
          <w:szCs w:val="16"/>
        </w:rPr>
        <w:t xml:space="preserve"> (53 %) a také některé malé ekonomiky (Malty, Kypr, Estonsko).</w:t>
      </w:r>
    </w:p>
  </w:footnote>
  <w:footnote w:id="12">
    <w:p w:rsidR="00C805DC" w:rsidRPr="00C83B8F" w:rsidRDefault="00C805DC" w:rsidP="004C5FBF">
      <w:pPr>
        <w:pStyle w:val="Textpoznpodarou"/>
        <w:jc w:val="both"/>
        <w:rPr>
          <w:sz w:val="16"/>
          <w:szCs w:val="16"/>
        </w:rPr>
      </w:pPr>
      <w:r w:rsidRPr="00C83B8F">
        <w:rPr>
          <w:rStyle w:val="Znakapoznpodarou"/>
          <w:sz w:val="16"/>
          <w:szCs w:val="16"/>
        </w:rPr>
        <w:footnoteRef/>
      </w:r>
      <w:r w:rsidRPr="00C83B8F">
        <w:rPr>
          <w:sz w:val="16"/>
          <w:szCs w:val="16"/>
        </w:rPr>
        <w:t xml:space="preserve"> Sklizeň obilovin (8,60 mil. tun) byla čtvrtá nejvyšší v historii sledování (od roku 1918), u samotné pšenic</w:t>
      </w:r>
      <w:r>
        <w:rPr>
          <w:sz w:val="16"/>
          <w:szCs w:val="16"/>
        </w:rPr>
        <w:t>e (5,45 mil, tun) se dokonce jednalo o</w:t>
      </w:r>
      <w:r w:rsidRPr="002B3B69">
        <w:rPr>
          <w:sz w:val="16"/>
          <w:szCs w:val="16"/>
        </w:rPr>
        <w:t> </w:t>
      </w:r>
      <w:r w:rsidRPr="00C83B8F">
        <w:rPr>
          <w:sz w:val="16"/>
          <w:szCs w:val="16"/>
        </w:rPr>
        <w:t xml:space="preserve">absolutní rekord. </w:t>
      </w:r>
    </w:p>
  </w:footnote>
  <w:footnote w:id="13">
    <w:p w:rsidR="00C805DC" w:rsidRPr="006C2210" w:rsidRDefault="00C805DC" w:rsidP="004C5FBF">
      <w:pPr>
        <w:pStyle w:val="Textpoznpodarou"/>
        <w:jc w:val="both"/>
        <w:rPr>
          <w:sz w:val="16"/>
          <w:szCs w:val="16"/>
        </w:rPr>
      </w:pPr>
      <w:r w:rsidRPr="006C2210">
        <w:rPr>
          <w:rStyle w:val="Znakapoznpodarou"/>
          <w:sz w:val="16"/>
          <w:szCs w:val="16"/>
        </w:rPr>
        <w:footnoteRef/>
      </w:r>
      <w:r w:rsidRPr="006C2210">
        <w:rPr>
          <w:sz w:val="16"/>
          <w:szCs w:val="16"/>
        </w:rPr>
        <w:t xml:space="preserve"> Nižší skli</w:t>
      </w:r>
      <w:r>
        <w:rPr>
          <w:sz w:val="16"/>
          <w:szCs w:val="16"/>
        </w:rPr>
        <w:t>zeň obilovin se týkala hlavně</w:t>
      </w:r>
      <w:r w:rsidRPr="006C2210">
        <w:rPr>
          <w:sz w:val="16"/>
          <w:szCs w:val="16"/>
        </w:rPr>
        <w:t xml:space="preserve"> kukuřice na zrno (-25 %), žita (-22 %), ječmene (-7 %) a ovsa (</w:t>
      </w:r>
      <w:r>
        <w:rPr>
          <w:sz w:val="16"/>
          <w:szCs w:val="16"/>
        </w:rPr>
        <w:t>-6 %). Byla důsledkem</w:t>
      </w:r>
      <w:r w:rsidRPr="006C2210">
        <w:rPr>
          <w:sz w:val="16"/>
          <w:szCs w:val="16"/>
        </w:rPr>
        <w:t xml:space="preserve"> významného poklesu produkčních ploch. Naopak u </w:t>
      </w:r>
      <w:r>
        <w:rPr>
          <w:sz w:val="16"/>
          <w:szCs w:val="16"/>
        </w:rPr>
        <w:t xml:space="preserve">pšenice, jakožto </w:t>
      </w:r>
      <w:r w:rsidRPr="006C2210">
        <w:rPr>
          <w:sz w:val="16"/>
          <w:szCs w:val="16"/>
        </w:rPr>
        <w:t xml:space="preserve">váhově </w:t>
      </w:r>
      <w:r>
        <w:rPr>
          <w:sz w:val="16"/>
          <w:szCs w:val="16"/>
        </w:rPr>
        <w:t>dominantní obiloviny (tvořící v roce 2017 téměř dvě třetiny objemu sklizených obilovin),</w:t>
      </w:r>
      <w:r w:rsidRPr="006C2210">
        <w:rPr>
          <w:sz w:val="16"/>
          <w:szCs w:val="16"/>
        </w:rPr>
        <w:t xml:space="preserve"> </w:t>
      </w:r>
      <w:r>
        <w:rPr>
          <w:sz w:val="16"/>
          <w:szCs w:val="16"/>
        </w:rPr>
        <w:t>zůstaly loni jak produkční plocha, tak i hektarové výnosy oproti desetiletému průměru nezměněny.</w:t>
      </w:r>
    </w:p>
  </w:footnote>
  <w:footnote w:id="14">
    <w:p w:rsidR="00C805DC" w:rsidRPr="003D0C02" w:rsidRDefault="00C805DC" w:rsidP="004C5FBF">
      <w:pPr>
        <w:pStyle w:val="Textpoznpodarou"/>
        <w:jc w:val="both"/>
        <w:rPr>
          <w:sz w:val="16"/>
          <w:szCs w:val="16"/>
        </w:rPr>
      </w:pPr>
      <w:r w:rsidRPr="003D0C02">
        <w:rPr>
          <w:rStyle w:val="Znakapoznpodarou"/>
          <w:sz w:val="16"/>
          <w:szCs w:val="16"/>
        </w:rPr>
        <w:footnoteRef/>
      </w:r>
      <w:r w:rsidRPr="003D0C02">
        <w:rPr>
          <w:sz w:val="16"/>
          <w:szCs w:val="16"/>
        </w:rPr>
        <w:t xml:space="preserve"> K poklesu hektarových výnosů oproti dlouhodobému průměru došlo loni především u váhově dominantní olejniny – řepky (o 8</w:t>
      </w:r>
      <w:r>
        <w:rPr>
          <w:sz w:val="16"/>
          <w:szCs w:val="16"/>
        </w:rPr>
        <w:t xml:space="preserve"> %) a</w:t>
      </w:r>
      <w:r w:rsidRPr="003D0C02">
        <w:rPr>
          <w:sz w:val="16"/>
          <w:szCs w:val="16"/>
        </w:rPr>
        <w:t xml:space="preserve"> dále také u máku (o 14 %). </w:t>
      </w:r>
      <w:r>
        <w:rPr>
          <w:sz w:val="16"/>
          <w:szCs w:val="16"/>
        </w:rPr>
        <w:t>U obou těchto plodin přitom patří Česko dlouhodobě k nejvýznamnějším producentům v EU. V roce 2016 vytvářela řepka v tuzemsku 10,7 % celkové produkce zemědělského odvětví – nejvíce ze všech států celé EU (1,8 %). S výraznějším odstupem následovaly Lotyško (7,6 %), Slovensko (</w:t>
      </w:r>
      <w:proofErr w:type="gramStart"/>
      <w:r>
        <w:rPr>
          <w:sz w:val="16"/>
          <w:szCs w:val="16"/>
        </w:rPr>
        <w:t>6,4 % ) a dále</w:t>
      </w:r>
      <w:proofErr w:type="gramEnd"/>
      <w:r>
        <w:rPr>
          <w:sz w:val="16"/>
          <w:szCs w:val="16"/>
        </w:rPr>
        <w:t xml:space="preserve"> pak ostatní státy Pobaltí.  </w:t>
      </w:r>
    </w:p>
  </w:footnote>
  <w:footnote w:id="15">
    <w:p w:rsidR="00C805DC" w:rsidRPr="00056A87" w:rsidRDefault="00C805DC" w:rsidP="004C5FBF">
      <w:pPr>
        <w:pStyle w:val="Textpoznpodarou"/>
        <w:rPr>
          <w:sz w:val="16"/>
          <w:szCs w:val="16"/>
        </w:rPr>
      </w:pPr>
      <w:r w:rsidRPr="00056A87">
        <w:rPr>
          <w:rStyle w:val="Znakapoznpodarou"/>
          <w:sz w:val="16"/>
          <w:szCs w:val="16"/>
        </w:rPr>
        <w:footnoteRef/>
      </w:r>
      <w:r w:rsidRPr="00056A87">
        <w:rPr>
          <w:sz w:val="16"/>
          <w:szCs w:val="16"/>
        </w:rPr>
        <w:t xml:space="preserve"> Zatímco hodnota produkce (ve stálých cenách) klesla v ovocnářství meziročně o téměř pětinu, u čerstvé zeleniny o necelá 3 %. </w:t>
      </w:r>
    </w:p>
  </w:footnote>
  <w:footnote w:id="16">
    <w:p w:rsidR="00C805DC" w:rsidRPr="00443C7A" w:rsidRDefault="00C805DC" w:rsidP="004C5FBF">
      <w:pPr>
        <w:pStyle w:val="Textpoznpodarou"/>
        <w:jc w:val="both"/>
        <w:rPr>
          <w:sz w:val="16"/>
          <w:szCs w:val="16"/>
        </w:rPr>
      </w:pPr>
      <w:r w:rsidRPr="00443C7A">
        <w:rPr>
          <w:rStyle w:val="Znakapoznpodarou"/>
          <w:sz w:val="16"/>
          <w:szCs w:val="16"/>
        </w:rPr>
        <w:footnoteRef/>
      </w:r>
      <w:r w:rsidRPr="00443C7A">
        <w:rPr>
          <w:sz w:val="16"/>
          <w:szCs w:val="16"/>
        </w:rPr>
        <w:t xml:space="preserve"> V roce 2016 šlo o 52 % sklizně ovoce, 24 % konzumní zeleniny a 16 % brambor (z celkové sklizně zemědělského </w:t>
      </w:r>
      <w:r>
        <w:rPr>
          <w:sz w:val="16"/>
          <w:szCs w:val="16"/>
        </w:rPr>
        <w:t>sektoru i</w:t>
      </w:r>
      <w:r w:rsidRPr="00443C7A">
        <w:rPr>
          <w:sz w:val="16"/>
          <w:szCs w:val="16"/>
        </w:rPr>
        <w:t> </w:t>
      </w:r>
      <w:r>
        <w:rPr>
          <w:sz w:val="16"/>
          <w:szCs w:val="16"/>
        </w:rPr>
        <w:t>domácností stojících mimo</w:t>
      </w:r>
      <w:r w:rsidRPr="00443C7A">
        <w:rPr>
          <w:sz w:val="16"/>
          <w:szCs w:val="16"/>
        </w:rPr>
        <w:t xml:space="preserve"> něj).</w:t>
      </w:r>
    </w:p>
  </w:footnote>
  <w:footnote w:id="17">
    <w:p w:rsidR="00C805DC" w:rsidRPr="00455262" w:rsidRDefault="00C805DC" w:rsidP="004C5FBF">
      <w:pPr>
        <w:pStyle w:val="Textpoznpodarou"/>
        <w:jc w:val="both"/>
        <w:rPr>
          <w:color w:val="0D0D0D" w:themeColor="text1" w:themeTint="F2"/>
          <w:sz w:val="16"/>
          <w:szCs w:val="16"/>
        </w:rPr>
      </w:pPr>
      <w:r w:rsidRPr="00455262">
        <w:rPr>
          <w:rStyle w:val="Znakapoznpodarou"/>
          <w:color w:val="0D0D0D" w:themeColor="text1" w:themeTint="F2"/>
          <w:sz w:val="16"/>
          <w:szCs w:val="16"/>
        </w:rPr>
        <w:footnoteRef/>
      </w:r>
      <w:r w:rsidRPr="00455262">
        <w:rPr>
          <w:color w:val="0D0D0D" w:themeColor="text1" w:themeTint="F2"/>
          <w:sz w:val="16"/>
          <w:szCs w:val="16"/>
        </w:rPr>
        <w:t xml:space="preserve"> Dle údajů ze soupisu hospodářských zvířat (k 1. dubnu 2018) vzrostl meziročně počet prasat o 4,5 % (na 1,56 mil. kusů, i tak šlo ale o druhou nejnižší četnost v historii). Posilovaly především stavy selat a mladých prasat. Souběžně došlo také k významnému zvýšení stavu drůbeže (o desetinu, na 23,57 mil. kusů, nejvyšší stavy za posledních osm let). Relativně nejvíce přibývalo slepic (+17 %) a z méně četných podkategorií pak kachen (+42 %). V případě skotu se počty meziročně významně nezměnily (1,42 mil. kusů). </w:t>
      </w:r>
    </w:p>
  </w:footnote>
  <w:footnote w:id="18">
    <w:p w:rsidR="00C805DC" w:rsidRPr="00455262" w:rsidRDefault="00C805DC" w:rsidP="004C5FBF">
      <w:pPr>
        <w:pStyle w:val="Textpoznpodarou"/>
        <w:jc w:val="both"/>
        <w:rPr>
          <w:color w:val="0D0D0D" w:themeColor="text1" w:themeTint="F2"/>
          <w:spacing w:val="-4"/>
          <w:sz w:val="16"/>
          <w:szCs w:val="16"/>
        </w:rPr>
      </w:pPr>
      <w:r w:rsidRPr="00455262">
        <w:rPr>
          <w:rStyle w:val="Znakapoznpodarou"/>
          <w:color w:val="0D0D0D" w:themeColor="text1" w:themeTint="F2"/>
          <w:sz w:val="16"/>
          <w:szCs w:val="16"/>
        </w:rPr>
        <w:footnoteRef/>
      </w:r>
      <w:r w:rsidRPr="00455262">
        <w:rPr>
          <w:color w:val="0D0D0D" w:themeColor="text1" w:themeTint="F2"/>
          <w:sz w:val="16"/>
          <w:szCs w:val="16"/>
        </w:rPr>
        <w:t xml:space="preserve"> V posledním čtvrtletí 2017 </w:t>
      </w:r>
      <w:r w:rsidRPr="00455262">
        <w:rPr>
          <w:color w:val="0D0D0D" w:themeColor="text1" w:themeTint="F2"/>
          <w:spacing w:val="-4"/>
          <w:sz w:val="16"/>
          <w:szCs w:val="16"/>
        </w:rPr>
        <w:t>prodávali zemědělci mléko (v jakost</w:t>
      </w:r>
      <w:r>
        <w:rPr>
          <w:color w:val="0D0D0D" w:themeColor="text1" w:themeTint="F2"/>
          <w:spacing w:val="-4"/>
          <w:sz w:val="16"/>
          <w:szCs w:val="16"/>
        </w:rPr>
        <w:t xml:space="preserve">ní třídě Q) v průměru za 9,11 korun za litr. </w:t>
      </w:r>
      <w:r w:rsidRPr="00455262">
        <w:rPr>
          <w:color w:val="0D0D0D" w:themeColor="text1" w:themeTint="F2"/>
          <w:spacing w:val="-4"/>
          <w:sz w:val="16"/>
          <w:szCs w:val="16"/>
        </w:rPr>
        <w:t xml:space="preserve">To bylo o bezmála polovinu více než ve 3. čtvrtletí 2016, </w:t>
      </w:r>
      <w:r>
        <w:rPr>
          <w:color w:val="0D0D0D" w:themeColor="text1" w:themeTint="F2"/>
          <w:spacing w:val="-4"/>
          <w:sz w:val="16"/>
          <w:szCs w:val="16"/>
        </w:rPr>
        <w:t>kdy rekordně nízká cena (6,15 korun</w:t>
      </w:r>
      <w:r w:rsidRPr="00455262">
        <w:rPr>
          <w:color w:val="0D0D0D" w:themeColor="text1" w:themeTint="F2"/>
          <w:spacing w:val="-4"/>
          <w:sz w:val="16"/>
          <w:szCs w:val="16"/>
        </w:rPr>
        <w:t xml:space="preserve"> za litr, nejnižší od roku 2009) odrážela primárně přetlak produkce v zemích EU (vlivem restrikcí uvalených na dovoz zemědělských produktů i potravin do Ruska umocněných dále zrušením dlouhodobě platných mléčných kvót v EU v dubnu 2015)</w:t>
      </w:r>
    </w:p>
  </w:footnote>
  <w:footnote w:id="19">
    <w:p w:rsidR="00C805DC" w:rsidRPr="00E332ED" w:rsidRDefault="00C805DC" w:rsidP="004C5FBF">
      <w:pPr>
        <w:pStyle w:val="Textpoznpodarou"/>
        <w:rPr>
          <w:sz w:val="16"/>
          <w:szCs w:val="16"/>
        </w:rPr>
      </w:pPr>
      <w:r w:rsidRPr="00455262">
        <w:rPr>
          <w:rStyle w:val="Znakapoznpodarou"/>
          <w:color w:val="0D0D0D" w:themeColor="text1" w:themeTint="F2"/>
          <w:sz w:val="16"/>
          <w:szCs w:val="16"/>
        </w:rPr>
        <w:footnoteRef/>
      </w:r>
      <w:r w:rsidRPr="00455262">
        <w:rPr>
          <w:color w:val="0D0D0D" w:themeColor="text1" w:themeTint="F2"/>
          <w:sz w:val="16"/>
          <w:szCs w:val="16"/>
        </w:rPr>
        <w:t xml:space="preserve"> Průměrná dojivost připadající na 1 krávu dosáhla 8,22 tis litrů za rok. Proti roku 2007 se zvýšila o čtvrtinu.</w:t>
      </w:r>
    </w:p>
  </w:footnote>
  <w:footnote w:id="20">
    <w:p w:rsidR="00C805DC" w:rsidRPr="00C6152B" w:rsidRDefault="00C805DC">
      <w:pPr>
        <w:pStyle w:val="Textpoznpodarou"/>
        <w:rPr>
          <w:spacing w:val="-2"/>
          <w:sz w:val="16"/>
          <w:szCs w:val="16"/>
        </w:rPr>
      </w:pPr>
      <w:r w:rsidRPr="00C6152B">
        <w:rPr>
          <w:rStyle w:val="Znakapoznpodarou"/>
          <w:spacing w:val="-2"/>
          <w:sz w:val="16"/>
          <w:szCs w:val="16"/>
        </w:rPr>
        <w:footnoteRef/>
      </w:r>
      <w:r w:rsidRPr="00C6152B">
        <w:rPr>
          <w:spacing w:val="-2"/>
          <w:sz w:val="16"/>
          <w:szCs w:val="16"/>
        </w:rPr>
        <w:t xml:space="preserve"> Významná část snášky vajec je realizovaná mimo zemědělský sektor (v domácn</w:t>
      </w:r>
      <w:r>
        <w:rPr>
          <w:spacing w:val="-2"/>
          <w:sz w:val="16"/>
          <w:szCs w:val="16"/>
        </w:rPr>
        <w:t>ostech). Při jejich zahnutí</w:t>
      </w:r>
      <w:r w:rsidRPr="00C6152B">
        <w:rPr>
          <w:spacing w:val="-2"/>
          <w:sz w:val="16"/>
          <w:szCs w:val="16"/>
        </w:rPr>
        <w:t xml:space="preserve"> by </w:t>
      </w:r>
      <w:r>
        <w:rPr>
          <w:spacing w:val="-2"/>
          <w:sz w:val="16"/>
          <w:szCs w:val="16"/>
        </w:rPr>
        <w:t xml:space="preserve">celkový růst </w:t>
      </w:r>
      <w:r w:rsidRPr="00C6152B">
        <w:rPr>
          <w:spacing w:val="-2"/>
          <w:sz w:val="16"/>
          <w:szCs w:val="16"/>
        </w:rPr>
        <w:t>činil jen 5,7 %.</w:t>
      </w:r>
    </w:p>
  </w:footnote>
  <w:footnote w:id="21">
    <w:p w:rsidR="00C805DC" w:rsidRPr="00E8198F" w:rsidRDefault="00C805DC" w:rsidP="004C5FBF">
      <w:pPr>
        <w:pStyle w:val="Textpoznpodarou"/>
        <w:rPr>
          <w:spacing w:val="-2"/>
          <w:sz w:val="16"/>
          <w:szCs w:val="16"/>
        </w:rPr>
      </w:pPr>
      <w:r w:rsidRPr="00E8198F">
        <w:rPr>
          <w:rStyle w:val="Znakapoznpodarou"/>
          <w:spacing w:val="-2"/>
          <w:sz w:val="16"/>
          <w:szCs w:val="16"/>
        </w:rPr>
        <w:footnoteRef/>
      </w:r>
      <w:r w:rsidRPr="00E8198F">
        <w:rPr>
          <w:spacing w:val="-2"/>
          <w:sz w:val="16"/>
          <w:szCs w:val="16"/>
        </w:rPr>
        <w:t xml:space="preserve"> Údaje z národního poje kdy rekordně nízká cena (</w:t>
      </w:r>
      <w:proofErr w:type="spellStart"/>
      <w:r w:rsidRPr="00E8198F">
        <w:rPr>
          <w:spacing w:val="-2"/>
          <w:sz w:val="16"/>
          <w:szCs w:val="16"/>
        </w:rPr>
        <w:t>tí</w:t>
      </w:r>
      <w:proofErr w:type="spellEnd"/>
      <w:r w:rsidRPr="00E8198F">
        <w:rPr>
          <w:spacing w:val="-2"/>
          <w:sz w:val="16"/>
          <w:szCs w:val="16"/>
        </w:rPr>
        <w:t xml:space="preserve"> zahraničního obchodu věcně členěného dle klasifikace produkce (CZ-CPA).</w:t>
      </w:r>
    </w:p>
  </w:footnote>
  <w:footnote w:id="22">
    <w:p w:rsidR="00C805DC" w:rsidRPr="00E8198F" w:rsidRDefault="00C805DC" w:rsidP="004C5FBF">
      <w:pPr>
        <w:pStyle w:val="Textpoznpodarou"/>
        <w:rPr>
          <w:spacing w:val="-3"/>
          <w:sz w:val="16"/>
          <w:szCs w:val="16"/>
        </w:rPr>
      </w:pPr>
      <w:r w:rsidRPr="00E8198F">
        <w:rPr>
          <w:rStyle w:val="Znakapoznpodarou"/>
          <w:spacing w:val="-3"/>
          <w:sz w:val="16"/>
          <w:szCs w:val="16"/>
        </w:rPr>
        <w:footnoteRef/>
      </w:r>
      <w:r w:rsidRPr="00E8198F">
        <w:rPr>
          <w:spacing w:val="-3"/>
          <w:sz w:val="16"/>
          <w:szCs w:val="16"/>
        </w:rPr>
        <w:t xml:space="preserve"> Vedle zemědělské prvovýroby zahrnuje i většinu produktů zpracovatelského průmyslu (ty ještě více prohlubovaly negativní saldo obchodu).</w:t>
      </w:r>
    </w:p>
  </w:footnote>
  <w:footnote w:id="23">
    <w:p w:rsidR="00C805DC" w:rsidRPr="00E8198F" w:rsidRDefault="00C805DC" w:rsidP="004C5FBF">
      <w:pPr>
        <w:pStyle w:val="Textpoznpodarou"/>
        <w:jc w:val="both"/>
        <w:rPr>
          <w:spacing w:val="-2"/>
          <w:sz w:val="16"/>
          <w:szCs w:val="16"/>
        </w:rPr>
      </w:pPr>
      <w:r w:rsidRPr="00E8198F">
        <w:rPr>
          <w:rStyle w:val="Znakapoznpodarou"/>
          <w:spacing w:val="-2"/>
          <w:sz w:val="16"/>
          <w:szCs w:val="16"/>
        </w:rPr>
        <w:footnoteRef/>
      </w:r>
      <w:r w:rsidRPr="00E8198F">
        <w:rPr>
          <w:spacing w:val="-2"/>
          <w:sz w:val="16"/>
          <w:szCs w:val="16"/>
        </w:rPr>
        <w:t xml:space="preserve"> Loňská těžba dřeva byla nejvyšší v historii samostatné ČR (19,4 mil. m</w:t>
      </w:r>
      <w:r w:rsidRPr="00E8198F">
        <w:rPr>
          <w:spacing w:val="-2"/>
          <w:sz w:val="16"/>
          <w:szCs w:val="16"/>
          <w:vertAlign w:val="superscript"/>
        </w:rPr>
        <w:t>3</w:t>
      </w:r>
      <w:r w:rsidRPr="00E8198F">
        <w:rPr>
          <w:spacing w:val="-2"/>
          <w:sz w:val="16"/>
          <w:szCs w:val="16"/>
        </w:rPr>
        <w:t xml:space="preserve"> bez kůry). Meziročně vzrostla o desetinu, výhradně vlivem vysokého objemu nahodilé těžby (61 % veškeré těžby, šlo nejvyšší podíl za posledních devět let). Nárůst těžby se týkal jen jehličnatých stromů, u listnatých v úhrnu došlo k meziročnímu poklesu o 2,4 %. Z celkového objemu nahodilé těžby dřeva v ČR připadala loni polovina na těžbu hmyzovou, více než třetina</w:t>
      </w:r>
      <w:r>
        <w:rPr>
          <w:spacing w:val="-2"/>
          <w:sz w:val="16"/>
          <w:szCs w:val="16"/>
        </w:rPr>
        <w:t xml:space="preserve"> pak</w:t>
      </w:r>
      <w:r w:rsidRPr="00E8198F">
        <w:rPr>
          <w:spacing w:val="-2"/>
          <w:sz w:val="16"/>
          <w:szCs w:val="16"/>
        </w:rPr>
        <w:t xml:space="preserve"> souvisela s nepříznivými vlivy počasí. Rozložení těžby podle krajů</w:t>
      </w:r>
      <w:r>
        <w:rPr>
          <w:spacing w:val="-2"/>
          <w:sz w:val="16"/>
          <w:szCs w:val="16"/>
        </w:rPr>
        <w:t xml:space="preserve"> </w:t>
      </w:r>
      <w:r w:rsidRPr="00E8198F">
        <w:rPr>
          <w:spacing w:val="-2"/>
          <w:sz w:val="16"/>
          <w:szCs w:val="16"/>
        </w:rPr>
        <w:t>spíše než jejich celkovou lesnatost odráželo četnost a intenzitu výskytu kalamitních situací. Téměř 30 % celorepublikové těžby bylo realizováno v Moravskoslezském a Olomouckém kraji, v nichž drtivou většinu tvořila těžba nahodilá (více než 90 %).</w:t>
      </w:r>
    </w:p>
  </w:footnote>
  <w:footnote w:id="24">
    <w:p w:rsidR="00C805DC" w:rsidRPr="00D44265" w:rsidRDefault="00C805DC" w:rsidP="004C5FBF">
      <w:pPr>
        <w:pStyle w:val="Textpoznpodarou"/>
        <w:jc w:val="both"/>
        <w:rPr>
          <w:sz w:val="16"/>
          <w:szCs w:val="16"/>
        </w:rPr>
      </w:pPr>
      <w:r w:rsidRPr="00D44265">
        <w:rPr>
          <w:rStyle w:val="Znakapoznpodarou"/>
          <w:sz w:val="16"/>
          <w:szCs w:val="16"/>
        </w:rPr>
        <w:footnoteRef/>
      </w:r>
      <w:r w:rsidRPr="00D44265">
        <w:rPr>
          <w:sz w:val="16"/>
          <w:szCs w:val="16"/>
        </w:rPr>
        <w:t xml:space="preserve"> Z pohledu fyzického objemu (v m</w:t>
      </w:r>
      <w:r w:rsidRPr="00D44265">
        <w:rPr>
          <w:sz w:val="16"/>
          <w:szCs w:val="16"/>
          <w:vertAlign w:val="superscript"/>
        </w:rPr>
        <w:t>3</w:t>
      </w:r>
      <w:r w:rsidRPr="00D44265">
        <w:rPr>
          <w:sz w:val="16"/>
          <w:szCs w:val="16"/>
        </w:rPr>
        <w:t>) bylo v roce 2015 Česko pátým největším vývozcem dřeva mezi státy EU (po Švédsku, Finsku, Německu a Rakousku). Na celkovém exportu 28 zemí EU se podílelo 6,5 %.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601A2E" w:rsidRDefault="00C805DC" w:rsidP="00601A2E">
    <w:pPr>
      <w:pStyle w:val="Zhlav"/>
    </w:pPr>
    <w:r>
      <w:t>Analýza ekonomického vývoje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Default="00C805DC" w:rsidP="00937AE2">
    <w:pPr>
      <w:pStyle w:val="Zhlav"/>
    </w:pPr>
    <w:r>
      <w:t>Analýza ekonomického vývoje v roce 2017</w:t>
    </w:r>
  </w:p>
  <w:p w:rsidR="00C805DC" w:rsidRPr="006F5416" w:rsidRDefault="00C805DC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6502"/>
    <w:rsid w:val="0000209D"/>
    <w:rsid w:val="0000437D"/>
    <w:rsid w:val="00004D5A"/>
    <w:rsid w:val="000056D5"/>
    <w:rsid w:val="00006ABD"/>
    <w:rsid w:val="0000767A"/>
    <w:rsid w:val="00007BEF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7A82"/>
    <w:rsid w:val="000712B3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D78"/>
    <w:rsid w:val="000C3408"/>
    <w:rsid w:val="000C6AFD"/>
    <w:rsid w:val="000D514E"/>
    <w:rsid w:val="000D5637"/>
    <w:rsid w:val="000E6FBD"/>
    <w:rsid w:val="000F030B"/>
    <w:rsid w:val="00100F5C"/>
    <w:rsid w:val="0010106F"/>
    <w:rsid w:val="00101CDA"/>
    <w:rsid w:val="00104C4C"/>
    <w:rsid w:val="00117623"/>
    <w:rsid w:val="0012192F"/>
    <w:rsid w:val="00125D69"/>
    <w:rsid w:val="001405FA"/>
    <w:rsid w:val="00141782"/>
    <w:rsid w:val="001425C3"/>
    <w:rsid w:val="001528B9"/>
    <w:rsid w:val="001612F4"/>
    <w:rsid w:val="00162312"/>
    <w:rsid w:val="0016256B"/>
    <w:rsid w:val="00162A7A"/>
    <w:rsid w:val="00163793"/>
    <w:rsid w:val="001706D6"/>
    <w:rsid w:val="001714F2"/>
    <w:rsid w:val="001730A6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52F"/>
    <w:rsid w:val="001B2CA9"/>
    <w:rsid w:val="001B3110"/>
    <w:rsid w:val="001B4729"/>
    <w:rsid w:val="001B6310"/>
    <w:rsid w:val="001B6C09"/>
    <w:rsid w:val="001C05CD"/>
    <w:rsid w:val="001C1B66"/>
    <w:rsid w:val="001D198A"/>
    <w:rsid w:val="001D463E"/>
    <w:rsid w:val="001D68B2"/>
    <w:rsid w:val="001D70E9"/>
    <w:rsid w:val="001E504C"/>
    <w:rsid w:val="001F4597"/>
    <w:rsid w:val="00203DA4"/>
    <w:rsid w:val="002052C6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6207F"/>
    <w:rsid w:val="0026743D"/>
    <w:rsid w:val="00271465"/>
    <w:rsid w:val="00274037"/>
    <w:rsid w:val="00285412"/>
    <w:rsid w:val="00291640"/>
    <w:rsid w:val="002A16D4"/>
    <w:rsid w:val="002A230C"/>
    <w:rsid w:val="002A5D97"/>
    <w:rsid w:val="002B2127"/>
    <w:rsid w:val="002B213A"/>
    <w:rsid w:val="002B38B8"/>
    <w:rsid w:val="002B4845"/>
    <w:rsid w:val="002B6B06"/>
    <w:rsid w:val="002C43BD"/>
    <w:rsid w:val="002D0E59"/>
    <w:rsid w:val="002E02A1"/>
    <w:rsid w:val="002E4E4C"/>
    <w:rsid w:val="00303533"/>
    <w:rsid w:val="00304771"/>
    <w:rsid w:val="003052D4"/>
    <w:rsid w:val="00306C5B"/>
    <w:rsid w:val="003209D6"/>
    <w:rsid w:val="00321924"/>
    <w:rsid w:val="0032656E"/>
    <w:rsid w:val="00330060"/>
    <w:rsid w:val="00332190"/>
    <w:rsid w:val="00336E03"/>
    <w:rsid w:val="0034335E"/>
    <w:rsid w:val="00344668"/>
    <w:rsid w:val="003462D9"/>
    <w:rsid w:val="00347378"/>
    <w:rsid w:val="00360C86"/>
    <w:rsid w:val="00360DE3"/>
    <w:rsid w:val="00360FBC"/>
    <w:rsid w:val="00362E90"/>
    <w:rsid w:val="00363FF4"/>
    <w:rsid w:val="00364FA0"/>
    <w:rsid w:val="003657F3"/>
    <w:rsid w:val="003818DC"/>
    <w:rsid w:val="00384327"/>
    <w:rsid w:val="00385D3E"/>
    <w:rsid w:val="00385D98"/>
    <w:rsid w:val="003870EE"/>
    <w:rsid w:val="00392244"/>
    <w:rsid w:val="003A2B4D"/>
    <w:rsid w:val="003A2D12"/>
    <w:rsid w:val="003A478C"/>
    <w:rsid w:val="003A5525"/>
    <w:rsid w:val="003A6B38"/>
    <w:rsid w:val="003B4331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25C6"/>
    <w:rsid w:val="00427E07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1976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3F18"/>
    <w:rsid w:val="004A14E4"/>
    <w:rsid w:val="004A3212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E02EB"/>
    <w:rsid w:val="004E326C"/>
    <w:rsid w:val="004F06F5"/>
    <w:rsid w:val="004F16F7"/>
    <w:rsid w:val="004F33A0"/>
    <w:rsid w:val="0050689D"/>
    <w:rsid w:val="005108C0"/>
    <w:rsid w:val="00511873"/>
    <w:rsid w:val="00512A2F"/>
    <w:rsid w:val="00513B7E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2C7B"/>
    <w:rsid w:val="005A3DF8"/>
    <w:rsid w:val="005A5549"/>
    <w:rsid w:val="005A7666"/>
    <w:rsid w:val="005B08EB"/>
    <w:rsid w:val="005B121D"/>
    <w:rsid w:val="005C06ED"/>
    <w:rsid w:val="005C2609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075F4"/>
    <w:rsid w:val="00607FF4"/>
    <w:rsid w:val="006104FB"/>
    <w:rsid w:val="0061249B"/>
    <w:rsid w:val="00612A2F"/>
    <w:rsid w:val="00616E05"/>
    <w:rsid w:val="00624093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36CB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1493"/>
    <w:rsid w:val="0074369B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3C17"/>
    <w:rsid w:val="00785232"/>
    <w:rsid w:val="00790764"/>
    <w:rsid w:val="0079453C"/>
    <w:rsid w:val="00794677"/>
    <w:rsid w:val="007A516D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708D"/>
    <w:rsid w:val="00801E13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46121"/>
    <w:rsid w:val="0084708F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5A32"/>
    <w:rsid w:val="00876086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A60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40B7"/>
    <w:rsid w:val="0095759C"/>
    <w:rsid w:val="00974923"/>
    <w:rsid w:val="00980D3D"/>
    <w:rsid w:val="00987A30"/>
    <w:rsid w:val="00992CF3"/>
    <w:rsid w:val="009942B6"/>
    <w:rsid w:val="00994868"/>
    <w:rsid w:val="009968D6"/>
    <w:rsid w:val="009A1CAB"/>
    <w:rsid w:val="009A60D1"/>
    <w:rsid w:val="009A7B2E"/>
    <w:rsid w:val="009B6FD3"/>
    <w:rsid w:val="009C03C8"/>
    <w:rsid w:val="009C1750"/>
    <w:rsid w:val="009C2E29"/>
    <w:rsid w:val="009C3ED8"/>
    <w:rsid w:val="009C554B"/>
    <w:rsid w:val="009C719E"/>
    <w:rsid w:val="009D3ACD"/>
    <w:rsid w:val="009E5273"/>
    <w:rsid w:val="009E5DDB"/>
    <w:rsid w:val="009F46EA"/>
    <w:rsid w:val="009F4CA7"/>
    <w:rsid w:val="00A10D66"/>
    <w:rsid w:val="00A14114"/>
    <w:rsid w:val="00A16413"/>
    <w:rsid w:val="00A16E1D"/>
    <w:rsid w:val="00A17D5B"/>
    <w:rsid w:val="00A230A8"/>
    <w:rsid w:val="00A23E43"/>
    <w:rsid w:val="00A25216"/>
    <w:rsid w:val="00A27420"/>
    <w:rsid w:val="00A30F65"/>
    <w:rsid w:val="00A329DF"/>
    <w:rsid w:val="00A35142"/>
    <w:rsid w:val="00A35EA6"/>
    <w:rsid w:val="00A40EAC"/>
    <w:rsid w:val="00A418BC"/>
    <w:rsid w:val="00A46DE0"/>
    <w:rsid w:val="00A4750C"/>
    <w:rsid w:val="00A50D73"/>
    <w:rsid w:val="00A51F19"/>
    <w:rsid w:val="00A52CAD"/>
    <w:rsid w:val="00A537F0"/>
    <w:rsid w:val="00A53FC7"/>
    <w:rsid w:val="00A55161"/>
    <w:rsid w:val="00A62CE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E09B3"/>
    <w:rsid w:val="00AE1A83"/>
    <w:rsid w:val="00AE7FB2"/>
    <w:rsid w:val="00B00913"/>
    <w:rsid w:val="00B01593"/>
    <w:rsid w:val="00B023F2"/>
    <w:rsid w:val="00B10A4D"/>
    <w:rsid w:val="00B120A1"/>
    <w:rsid w:val="00B121D2"/>
    <w:rsid w:val="00B14BC1"/>
    <w:rsid w:val="00B17E71"/>
    <w:rsid w:val="00B17FDE"/>
    <w:rsid w:val="00B20632"/>
    <w:rsid w:val="00B2379C"/>
    <w:rsid w:val="00B2687D"/>
    <w:rsid w:val="00B30358"/>
    <w:rsid w:val="00B32DDB"/>
    <w:rsid w:val="00B34528"/>
    <w:rsid w:val="00B34CC9"/>
    <w:rsid w:val="00B402FC"/>
    <w:rsid w:val="00B40FF9"/>
    <w:rsid w:val="00B42470"/>
    <w:rsid w:val="00B439DA"/>
    <w:rsid w:val="00B46604"/>
    <w:rsid w:val="00B530CD"/>
    <w:rsid w:val="00B55F5E"/>
    <w:rsid w:val="00B57338"/>
    <w:rsid w:val="00B5752E"/>
    <w:rsid w:val="00B63A11"/>
    <w:rsid w:val="00B64C24"/>
    <w:rsid w:val="00B6608F"/>
    <w:rsid w:val="00B679FB"/>
    <w:rsid w:val="00B76D1E"/>
    <w:rsid w:val="00B80EC6"/>
    <w:rsid w:val="00B84CF6"/>
    <w:rsid w:val="00B86F03"/>
    <w:rsid w:val="00B92D1D"/>
    <w:rsid w:val="00B938C5"/>
    <w:rsid w:val="00B95940"/>
    <w:rsid w:val="00BA0DD3"/>
    <w:rsid w:val="00BA6C2B"/>
    <w:rsid w:val="00BB2F03"/>
    <w:rsid w:val="00BB46F3"/>
    <w:rsid w:val="00BB4CB1"/>
    <w:rsid w:val="00BB4F98"/>
    <w:rsid w:val="00BC0E31"/>
    <w:rsid w:val="00BC5C12"/>
    <w:rsid w:val="00BC7154"/>
    <w:rsid w:val="00BC731E"/>
    <w:rsid w:val="00BD163C"/>
    <w:rsid w:val="00BD2211"/>
    <w:rsid w:val="00BD366B"/>
    <w:rsid w:val="00BD6D50"/>
    <w:rsid w:val="00BE13EE"/>
    <w:rsid w:val="00BE18B9"/>
    <w:rsid w:val="00BE2495"/>
    <w:rsid w:val="00BE468E"/>
    <w:rsid w:val="00BE6186"/>
    <w:rsid w:val="00BF1578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17C6"/>
    <w:rsid w:val="00C5390B"/>
    <w:rsid w:val="00C54697"/>
    <w:rsid w:val="00C60191"/>
    <w:rsid w:val="00C6152B"/>
    <w:rsid w:val="00C73885"/>
    <w:rsid w:val="00C747B1"/>
    <w:rsid w:val="00C805DC"/>
    <w:rsid w:val="00C82191"/>
    <w:rsid w:val="00C83134"/>
    <w:rsid w:val="00C85545"/>
    <w:rsid w:val="00C90CF4"/>
    <w:rsid w:val="00C92EB6"/>
    <w:rsid w:val="00C93389"/>
    <w:rsid w:val="00C96D0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3986"/>
    <w:rsid w:val="00D21D83"/>
    <w:rsid w:val="00D235B7"/>
    <w:rsid w:val="00D25F28"/>
    <w:rsid w:val="00D26071"/>
    <w:rsid w:val="00D27973"/>
    <w:rsid w:val="00D279B8"/>
    <w:rsid w:val="00D32F90"/>
    <w:rsid w:val="00D35E1A"/>
    <w:rsid w:val="00D50F46"/>
    <w:rsid w:val="00D52BE2"/>
    <w:rsid w:val="00D57677"/>
    <w:rsid w:val="00D66223"/>
    <w:rsid w:val="00D8084C"/>
    <w:rsid w:val="00D915EA"/>
    <w:rsid w:val="00D93CE2"/>
    <w:rsid w:val="00D943C6"/>
    <w:rsid w:val="00D965EC"/>
    <w:rsid w:val="00DA7C0C"/>
    <w:rsid w:val="00DB08A9"/>
    <w:rsid w:val="00DB2EC8"/>
    <w:rsid w:val="00DC37E3"/>
    <w:rsid w:val="00DC5B3B"/>
    <w:rsid w:val="00DD129F"/>
    <w:rsid w:val="00DE4C19"/>
    <w:rsid w:val="00DF42FF"/>
    <w:rsid w:val="00DF7AD4"/>
    <w:rsid w:val="00E01C0E"/>
    <w:rsid w:val="00E03F9A"/>
    <w:rsid w:val="00E04694"/>
    <w:rsid w:val="00E04F27"/>
    <w:rsid w:val="00E102BD"/>
    <w:rsid w:val="00E11DE1"/>
    <w:rsid w:val="00E12B1E"/>
    <w:rsid w:val="00E17262"/>
    <w:rsid w:val="00E212C9"/>
    <w:rsid w:val="00E253A2"/>
    <w:rsid w:val="00E3309D"/>
    <w:rsid w:val="00E453F9"/>
    <w:rsid w:val="00E47EBA"/>
    <w:rsid w:val="00E50156"/>
    <w:rsid w:val="00E51494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924B2"/>
    <w:rsid w:val="00E93820"/>
    <w:rsid w:val="00E94A86"/>
    <w:rsid w:val="00E96143"/>
    <w:rsid w:val="00E972A9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160CE"/>
    <w:rsid w:val="00F162B3"/>
    <w:rsid w:val="00F24407"/>
    <w:rsid w:val="00F24FAA"/>
    <w:rsid w:val="00F3364D"/>
    <w:rsid w:val="00F33E56"/>
    <w:rsid w:val="00F433FE"/>
    <w:rsid w:val="00F437CC"/>
    <w:rsid w:val="00F44537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59D0"/>
    <w:rsid w:val="00F87A4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D5A39"/>
    <w:rsid w:val="00FE2F78"/>
    <w:rsid w:val="00FE6609"/>
    <w:rsid w:val="00FF3EE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1-Z&#283;m&#283;d&#283;lstv&#237;%20a%20lesnictv&#237;\Grafy-Zem&#283;d&#283;lstv&#23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1-Z&#283;m&#283;d&#283;lstv&#237;%20a%20lesnictv&#237;\Grafy-Zem&#283;d&#283;lstv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1-Z&#283;m&#283;d&#283;lstv&#237;%20a%20lesnictv&#237;\Grafy-Zem&#283;d&#283;lstv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1-Z&#283;m&#283;d&#283;lstv&#237;%20a%20lesnictv&#237;\Grafy-Zem&#283;d&#283;lstv&#237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JKAM%20CSU\PUBLIKACE\PUBLIKACE\2018\Velk&#225;%20makro\1-Z&#283;m&#283;d&#283;lstv&#237;%20a%20lesnictv&#237;\Grafy-Zem&#283;d&#283;lstv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534E-2"/>
          <c:y val="1.6432511538894523E-2"/>
          <c:w val="0.92433548575002356"/>
          <c:h val="0.75083417764269478"/>
        </c:manualLayout>
      </c:layout>
      <c:barChart>
        <c:barDir val="col"/>
        <c:grouping val="clustered"/>
        <c:ser>
          <c:idx val="0"/>
          <c:order val="0"/>
          <c:tx>
            <c:strRef>
              <c:f>'Graf-Národní účty-souhrnné'!$A$29</c:f>
              <c:strCache>
                <c:ptCount val="1"/>
                <c:pt idx="0">
                  <c:v>Hrubá přidaná hodnota (2010=100)</c:v>
                </c:pt>
              </c:strCache>
            </c:strRef>
          </c:tx>
          <c:spPr>
            <a:solidFill>
              <a:srgbClr val="A6A6A6"/>
            </a:solidFill>
            <a:ln w="12700">
              <a:noFill/>
              <a:prstDash val="solid"/>
            </a:ln>
          </c:spPr>
          <c:cat>
            <c:strRef>
              <c:f>'Graf-Národní účty-souhrnné'!$G$28:$S$28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účty-souhrnné'!$G$29:$S$29</c:f>
              <c:numCache>
                <c:formatCode>#,##0.0</c:formatCode>
                <c:ptCount val="13"/>
                <c:pt idx="0">
                  <c:v>133.6</c:v>
                </c:pt>
                <c:pt idx="1">
                  <c:v>121.8</c:v>
                </c:pt>
                <c:pt idx="2">
                  <c:v>90.7</c:v>
                </c:pt>
                <c:pt idx="3">
                  <c:v>98.9</c:v>
                </c:pt>
                <c:pt idx="4">
                  <c:v>119.2</c:v>
                </c:pt>
                <c:pt idx="5">
                  <c:v>100</c:v>
                </c:pt>
                <c:pt idx="6">
                  <c:v>101.9</c:v>
                </c:pt>
                <c:pt idx="7">
                  <c:v>106.1</c:v>
                </c:pt>
                <c:pt idx="8">
                  <c:v>103.5</c:v>
                </c:pt>
                <c:pt idx="9">
                  <c:v>111.9</c:v>
                </c:pt>
                <c:pt idx="10">
                  <c:v>118.1</c:v>
                </c:pt>
                <c:pt idx="11">
                  <c:v>122</c:v>
                </c:pt>
                <c:pt idx="12">
                  <c:v>118.4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C0-4244-BEC9-1BDF83465C1E}"/>
            </c:ext>
          </c:extLst>
        </c:ser>
        <c:gapWidth val="30"/>
        <c:axId val="134114688"/>
        <c:axId val="134145920"/>
      </c:barChart>
      <c:lineChart>
        <c:grouping val="standard"/>
        <c:ser>
          <c:idx val="3"/>
          <c:order val="1"/>
          <c:tx>
            <c:strRef>
              <c:f>'Graf-Národní účty-souhrnné'!$A$30</c:f>
              <c:strCache>
                <c:ptCount val="1"/>
                <c:pt idx="0">
                  <c:v>Objem reálných vyplacených mezd a platů (2010=100)*</c:v>
                </c:pt>
              </c:strCache>
            </c:strRef>
          </c:tx>
          <c:spPr>
            <a:ln w="19050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strRef>
              <c:f>'Graf-Národní účty-souhrnné'!$G$28:$S$28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účty-souhrnné'!$G$30:$S$30</c:f>
              <c:numCache>
                <c:formatCode>0</c:formatCode>
                <c:ptCount val="13"/>
                <c:pt idx="0">
                  <c:v>110.61384422525877</c:v>
                </c:pt>
                <c:pt idx="1">
                  <c:v>113.13846678018811</c:v>
                </c:pt>
                <c:pt idx="2">
                  <c:v>113.21999987017882</c:v>
                </c:pt>
                <c:pt idx="3">
                  <c:v>113.92574971487295</c:v>
                </c:pt>
                <c:pt idx="4">
                  <c:v>108.65105400825404</c:v>
                </c:pt>
                <c:pt idx="5">
                  <c:v>100</c:v>
                </c:pt>
                <c:pt idx="6">
                  <c:v>101.69475567545068</c:v>
                </c:pt>
                <c:pt idx="7">
                  <c:v>105.40866571493146</c:v>
                </c:pt>
                <c:pt idx="8">
                  <c:v>107.98927258692895</c:v>
                </c:pt>
                <c:pt idx="9">
                  <c:v>110.59960588150823</c:v>
                </c:pt>
                <c:pt idx="10">
                  <c:v>110.52665116335145</c:v>
                </c:pt>
                <c:pt idx="11">
                  <c:v>110.34287581698315</c:v>
                </c:pt>
                <c:pt idx="12">
                  <c:v>113.27692247298098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C0-4244-BEC9-1BDF83465C1E}"/>
            </c:ext>
          </c:extLst>
        </c:ser>
        <c:ser>
          <c:idx val="1"/>
          <c:order val="2"/>
          <c:tx>
            <c:strRef>
              <c:f>'Graf-Národní účty-souhrnné'!$A$31</c:f>
              <c:strCache>
                <c:ptCount val="1"/>
                <c:pt idx="0">
                  <c:v>Reálná hodinová produktivita práce (2010=100)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strRef>
              <c:f>'Graf-Národní účty-souhrnné'!$G$28:$S$28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účty-souhrnné'!$G$31:$S$31</c:f>
              <c:numCache>
                <c:formatCode>0</c:formatCode>
                <c:ptCount val="13"/>
                <c:pt idx="0">
                  <c:v>118.03296541003574</c:v>
                </c:pt>
                <c:pt idx="1">
                  <c:v>112.41807488602628</c:v>
                </c:pt>
                <c:pt idx="2">
                  <c:v>85.661575088189352</c:v>
                </c:pt>
                <c:pt idx="3">
                  <c:v>94.637315576025742</c:v>
                </c:pt>
                <c:pt idx="4">
                  <c:v>116.23068293209055</c:v>
                </c:pt>
                <c:pt idx="5">
                  <c:v>100</c:v>
                </c:pt>
                <c:pt idx="6">
                  <c:v>98.511671714724258</c:v>
                </c:pt>
                <c:pt idx="7">
                  <c:v>103.64000167170033</c:v>
                </c:pt>
                <c:pt idx="8">
                  <c:v>100.09628306018969</c:v>
                </c:pt>
                <c:pt idx="9">
                  <c:v>108.75320501014819</c:v>
                </c:pt>
                <c:pt idx="10">
                  <c:v>115.68959039980635</c:v>
                </c:pt>
                <c:pt idx="11">
                  <c:v>120.38304920045555</c:v>
                </c:pt>
                <c:pt idx="12">
                  <c:v>116.13649479934062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C0-4244-BEC9-1BDF83465C1E}"/>
            </c:ext>
          </c:extLst>
        </c:ser>
        <c:ser>
          <c:idx val="7"/>
          <c:order val="3"/>
          <c:tx>
            <c:strRef>
              <c:f>'Graf-Národní účty-souhrnné'!$A$32</c:f>
              <c:strCache>
                <c:ptCount val="1"/>
                <c:pt idx="0">
                  <c:v>Zaměstnanost (úvazky na plnou pracovní dobu, 2010=100)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ysClr val="windowText" lastClr="000000">
                    <a:lumMod val="65000"/>
                    <a:lumOff val="35000"/>
                  </a:sysClr>
                </a:solidFill>
              </a:ln>
            </c:spPr>
          </c:marker>
          <c:cat>
            <c:strRef>
              <c:f>'Graf-Národní účty-souhrnné'!$G$28:$S$28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účty-souhrnné'!$G$32:$S$32</c:f>
              <c:numCache>
                <c:formatCode>0</c:formatCode>
                <c:ptCount val="13"/>
                <c:pt idx="0">
                  <c:v>114.68195709019878</c:v>
                </c:pt>
                <c:pt idx="1">
                  <c:v>109.91588166724426</c:v>
                </c:pt>
                <c:pt idx="2">
                  <c:v>106.88636148829589</c:v>
                </c:pt>
                <c:pt idx="3">
                  <c:v>106.02249456538861</c:v>
                </c:pt>
                <c:pt idx="4">
                  <c:v>105.49573107337513</c:v>
                </c:pt>
                <c:pt idx="5">
                  <c:v>100</c:v>
                </c:pt>
                <c:pt idx="6">
                  <c:v>102.90160990517144</c:v>
                </c:pt>
                <c:pt idx="7">
                  <c:v>104.10258025897105</c:v>
                </c:pt>
                <c:pt idx="8">
                  <c:v>105.20210453356835</c:v>
                </c:pt>
                <c:pt idx="9">
                  <c:v>104.33445701143575</c:v>
                </c:pt>
                <c:pt idx="10">
                  <c:v>102.9494974953537</c:v>
                </c:pt>
                <c:pt idx="11">
                  <c:v>100.91931571154026</c:v>
                </c:pt>
                <c:pt idx="12">
                  <c:v>101.54059418417894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6C0-4244-BEC9-1BDF83465C1E}"/>
            </c:ext>
          </c:extLst>
        </c:ser>
        <c:marker val="1"/>
        <c:axId val="134114688"/>
        <c:axId val="134145920"/>
      </c:lineChart>
      <c:lineChart>
        <c:grouping val="standard"/>
        <c:ser>
          <c:idx val="2"/>
          <c:order val="4"/>
          <c:tx>
            <c:strRef>
              <c:f>'Graf-Národní účty-souhrnné'!$A$33</c:f>
              <c:strCache>
                <c:ptCount val="1"/>
                <c:pt idx="0">
                  <c:v>Míra investic (v %, pravá osa)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ysDash"/>
            </a:ln>
          </c:spPr>
          <c:marker>
            <c:symbol val="none"/>
          </c:marker>
          <c:cat>
            <c:strRef>
              <c:f>'Graf-Národní účty-souhrnné'!$G$28:$S$28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účty-souhrnné'!$G$33:$S$33</c:f>
              <c:numCache>
                <c:formatCode>0</c:formatCode>
                <c:ptCount val="13"/>
                <c:pt idx="0">
                  <c:v>27.632854254936191</c:v>
                </c:pt>
                <c:pt idx="1">
                  <c:v>29.390922200096128</c:v>
                </c:pt>
                <c:pt idx="2">
                  <c:v>37.252691879276092</c:v>
                </c:pt>
                <c:pt idx="3">
                  <c:v>33.359446235246466</c:v>
                </c:pt>
                <c:pt idx="4">
                  <c:v>32.931571364389853</c:v>
                </c:pt>
                <c:pt idx="5">
                  <c:v>40.956651718983544</c:v>
                </c:pt>
                <c:pt idx="6">
                  <c:v>33.439144888724719</c:v>
                </c:pt>
                <c:pt idx="7">
                  <c:v>41.399010440689338</c:v>
                </c:pt>
                <c:pt idx="8">
                  <c:v>37.638065459270344</c:v>
                </c:pt>
                <c:pt idx="9">
                  <c:v>34.970014992503813</c:v>
                </c:pt>
                <c:pt idx="10">
                  <c:v>30.069342709248929</c:v>
                </c:pt>
                <c:pt idx="11">
                  <c:v>39.967091898919314</c:v>
                </c:pt>
                <c:pt idx="12">
                  <c:v>39.557297182799878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6C0-4244-BEC9-1BDF83465C1E}"/>
            </c:ext>
          </c:extLst>
        </c:ser>
        <c:ser>
          <c:idx val="5"/>
          <c:order val="5"/>
          <c:tx>
            <c:strRef>
              <c:f>'Graf-Národní účty-souhrnné'!$A$34</c:f>
              <c:strCache>
                <c:ptCount val="1"/>
                <c:pt idx="0">
                  <c:v>Míra zisku nefinančních podniků (v %, pravá osa)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ysDash"/>
            </a:ln>
          </c:spPr>
          <c:marker>
            <c:symbol val="none"/>
          </c:marker>
          <c:cat>
            <c:strRef>
              <c:f>'Graf-Národní účty-souhrnné'!$G$28:$S$28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účty-souhrnné'!$G$34:$S$34</c:f>
              <c:numCache>
                <c:formatCode>0.0</c:formatCode>
                <c:ptCount val="13"/>
                <c:pt idx="0">
                  <c:v>62.276318294308567</c:v>
                </c:pt>
                <c:pt idx="1">
                  <c:v>59.307688533437435</c:v>
                </c:pt>
                <c:pt idx="2">
                  <c:v>62.827237228216894</c:v>
                </c:pt>
                <c:pt idx="3">
                  <c:v>61.632230531964339</c:v>
                </c:pt>
                <c:pt idx="4">
                  <c:v>66.568207848574318</c:v>
                </c:pt>
                <c:pt idx="5">
                  <c:v>56.092443755850354</c:v>
                </c:pt>
                <c:pt idx="6">
                  <c:v>69.904714763024373</c:v>
                </c:pt>
                <c:pt idx="7">
                  <c:v>72.387335072252839</c:v>
                </c:pt>
                <c:pt idx="8">
                  <c:v>72.722240673087569</c:v>
                </c:pt>
                <c:pt idx="9">
                  <c:v>78.074900705912626</c:v>
                </c:pt>
                <c:pt idx="10">
                  <c:v>70.034326170129049</c:v>
                </c:pt>
                <c:pt idx="11">
                  <c:v>79.391619661564391</c:v>
                </c:pt>
                <c:pt idx="12">
                  <c:v>75.145296814548388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6C0-4244-BEC9-1BDF83465C1E}"/>
            </c:ext>
          </c:extLst>
        </c:ser>
        <c:marker val="1"/>
        <c:axId val="134157440"/>
        <c:axId val="134147456"/>
      </c:lineChart>
      <c:catAx>
        <c:axId val="134114688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34145920"/>
        <c:crossesAt val="100"/>
        <c:lblAlgn val="ctr"/>
        <c:lblOffset val="0"/>
        <c:tickLblSkip val="1"/>
        <c:tickMarkSkip val="4"/>
      </c:catAx>
      <c:valAx>
        <c:axId val="134145920"/>
        <c:scaling>
          <c:orientation val="minMax"/>
          <c:max val="140"/>
          <c:min val="6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34114688"/>
        <c:crosses val="autoZero"/>
        <c:crossBetween val="between"/>
        <c:majorUnit val="5"/>
      </c:valAx>
      <c:valAx>
        <c:axId val="134147456"/>
        <c:scaling>
          <c:orientation val="minMax"/>
          <c:max val="80"/>
          <c:min val="0"/>
        </c:scaling>
        <c:axPos val="r"/>
        <c:numFmt formatCode="0" sourceLinked="0"/>
        <c:tickLblPos val="nextTo"/>
        <c:crossAx val="134157440"/>
        <c:crosses val="max"/>
        <c:crossBetween val="between"/>
        <c:majorUnit val="5"/>
      </c:valAx>
      <c:catAx>
        <c:axId val="134157440"/>
        <c:scaling>
          <c:orientation val="minMax"/>
        </c:scaling>
        <c:delete val="1"/>
        <c:axPos val="b"/>
        <c:numFmt formatCode="General" sourceLinked="1"/>
        <c:tickLblPos val="none"/>
        <c:crossAx val="134147456"/>
        <c:crosses val="autoZero"/>
        <c:auto val="1"/>
        <c:lblAlgn val="ctr"/>
        <c:lblOffset val="100"/>
      </c:cat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825149028219005E-2"/>
          <c:y val="0.81137678712146222"/>
          <c:w val="0.88531755998340556"/>
          <c:h val="0.18504896994258696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6.2040029038385493E-2"/>
          <c:y val="1.643251153889452E-2"/>
          <c:w val="0.92433548575002356"/>
          <c:h val="0.74011201170775021"/>
        </c:manualLayout>
      </c:layout>
      <c:areaChart>
        <c:grouping val="standard"/>
        <c:ser>
          <c:idx val="9"/>
          <c:order val="9"/>
          <c:tx>
            <c:strRef>
              <c:f>'Graf-SZÚčet'!$B$90</c:f>
              <c:strCache>
                <c:ptCount val="1"/>
                <c:pt idx="0">
                  <c:v>Produkce zemědělského odvětví</c:v>
                </c:pt>
              </c:strCache>
            </c:strRef>
          </c:tx>
          <c:spPr>
            <a:solidFill>
              <a:srgbClr val="A6A6A6"/>
            </a:solidFill>
          </c:spP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'Graf-SZÚčet'!$C$90:$T$90</c:f>
              <c:numCache>
                <c:formatCode>#,##0</c:formatCode>
                <c:ptCount val="18"/>
                <c:pt idx="0">
                  <c:v>100</c:v>
                </c:pt>
                <c:pt idx="1">
                  <c:v>103.23404034897132</c:v>
                </c:pt>
                <c:pt idx="2">
                  <c:v>101.41148628796866</c:v>
                </c:pt>
                <c:pt idx="3">
                  <c:v>96.078277575950338</c:v>
                </c:pt>
                <c:pt idx="4">
                  <c:v>109.97971300570836</c:v>
                </c:pt>
                <c:pt idx="5">
                  <c:v>106.58690169916522</c:v>
                </c:pt>
                <c:pt idx="6">
                  <c:v>100.26984742048595</c:v>
                </c:pt>
                <c:pt idx="7">
                  <c:v>103.88695893466731</c:v>
                </c:pt>
                <c:pt idx="8">
                  <c:v>109.37095842194033</c:v>
                </c:pt>
                <c:pt idx="9">
                  <c:v>104.85279801837076</c:v>
                </c:pt>
                <c:pt idx="10">
                  <c:v>96.788305917141358</c:v>
                </c:pt>
                <c:pt idx="11">
                  <c:v>105.10849565178025</c:v>
                </c:pt>
                <c:pt idx="12">
                  <c:v>97.603765328771289</c:v>
                </c:pt>
                <c:pt idx="13">
                  <c:v>102.19690275948517</c:v>
                </c:pt>
                <c:pt idx="14">
                  <c:v>111.44440039593952</c:v>
                </c:pt>
                <c:pt idx="15">
                  <c:v>106.14922892925449</c:v>
                </c:pt>
                <c:pt idx="16">
                  <c:v>113.26854110528114</c:v>
                </c:pt>
                <c:pt idx="17">
                  <c:v>106.67348258565252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FE-4A4F-ABA3-167692E370F6}"/>
            </c:ext>
          </c:extLst>
        </c:ser>
        <c:axId val="140834304"/>
        <c:axId val="140835840"/>
      </c:areaChart>
      <c:lineChart>
        <c:grouping val="standard"/>
        <c:ser>
          <c:idx val="0"/>
          <c:order val="0"/>
          <c:tx>
            <c:strRef>
              <c:f>'Graf-SZÚčet'!$B$81</c:f>
              <c:strCache>
                <c:ptCount val="1"/>
                <c:pt idx="0">
                  <c:v>Obiloviny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'Graf-SZÚčet'!$C$81:$T$81</c:f>
              <c:numCache>
                <c:formatCode>#,##0</c:formatCode>
                <c:ptCount val="18"/>
                <c:pt idx="0">
                  <c:v>100</c:v>
                </c:pt>
                <c:pt idx="1">
                  <c:v>118.71136071504142</c:v>
                </c:pt>
                <c:pt idx="2">
                  <c:v>109.02418931920536</c:v>
                </c:pt>
                <c:pt idx="3">
                  <c:v>92.448842312668859</c:v>
                </c:pt>
                <c:pt idx="4">
                  <c:v>137.19939913973678</c:v>
                </c:pt>
                <c:pt idx="5">
                  <c:v>120.65209525968039</c:v>
                </c:pt>
                <c:pt idx="6">
                  <c:v>101.3298089698737</c:v>
                </c:pt>
                <c:pt idx="7">
                  <c:v>114.69902127365555</c:v>
                </c:pt>
                <c:pt idx="8">
                  <c:v>133.51545623279839</c:v>
                </c:pt>
                <c:pt idx="9">
                  <c:v>124.05109252293408</c:v>
                </c:pt>
                <c:pt idx="10">
                  <c:v>110.06160983720946</c:v>
                </c:pt>
                <c:pt idx="11">
                  <c:v>134.60132809688326</c:v>
                </c:pt>
                <c:pt idx="12">
                  <c:v>106.51150578789638</c:v>
                </c:pt>
                <c:pt idx="13">
                  <c:v>121.00218077157155</c:v>
                </c:pt>
                <c:pt idx="14">
                  <c:v>141.5792967370742</c:v>
                </c:pt>
                <c:pt idx="15">
                  <c:v>130.62935009012398</c:v>
                </c:pt>
                <c:pt idx="16">
                  <c:v>140.3683685647446</c:v>
                </c:pt>
                <c:pt idx="17">
                  <c:v>121.17110970333094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FE-4A4F-ABA3-167692E370F6}"/>
            </c:ext>
          </c:extLst>
        </c:ser>
        <c:ser>
          <c:idx val="3"/>
          <c:order val="1"/>
          <c:tx>
            <c:strRef>
              <c:f>'Graf-SZÚčet'!$B$82</c:f>
              <c:strCache>
                <c:ptCount val="1"/>
                <c:pt idx="0">
                  <c:v>Technické plodiny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'Graf-SZÚčet'!$C$82:$T$82</c:f>
              <c:numCache>
                <c:formatCode>#,##0</c:formatCode>
                <c:ptCount val="18"/>
                <c:pt idx="0">
                  <c:v>100</c:v>
                </c:pt>
                <c:pt idx="1">
                  <c:v>119.41288858261973</c:v>
                </c:pt>
                <c:pt idx="2">
                  <c:v>106.63489392535872</c:v>
                </c:pt>
                <c:pt idx="3">
                  <c:v>95.266463010278926</c:v>
                </c:pt>
                <c:pt idx="4">
                  <c:v>126.92438441645558</c:v>
                </c:pt>
                <c:pt idx="5">
                  <c:v>119.53174700712545</c:v>
                </c:pt>
                <c:pt idx="6">
                  <c:v>118.53388313696225</c:v>
                </c:pt>
                <c:pt idx="7">
                  <c:v>118.112926863559</c:v>
                </c:pt>
                <c:pt idx="8">
                  <c:v>122.43823203138065</c:v>
                </c:pt>
                <c:pt idx="9">
                  <c:v>129.05547774988611</c:v>
                </c:pt>
                <c:pt idx="10">
                  <c:v>119.2042655209292</c:v>
                </c:pt>
                <c:pt idx="11">
                  <c:v>127.62643956150005</c:v>
                </c:pt>
                <c:pt idx="12">
                  <c:v>123.67893879024309</c:v>
                </c:pt>
                <c:pt idx="13">
                  <c:v>141.87441252519776</c:v>
                </c:pt>
                <c:pt idx="14">
                  <c:v>159.12530335473497</c:v>
                </c:pt>
                <c:pt idx="15">
                  <c:v>132.55054051231863</c:v>
                </c:pt>
                <c:pt idx="16">
                  <c:v>149.69331308978252</c:v>
                </c:pt>
                <c:pt idx="17">
                  <c:v>138.74843292252521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FE-4A4F-ABA3-167692E370F6}"/>
            </c:ext>
          </c:extLst>
        </c:ser>
        <c:ser>
          <c:idx val="1"/>
          <c:order val="2"/>
          <c:tx>
            <c:strRef>
              <c:f>'Graf-SZÚčet'!$B$83</c:f>
              <c:strCache>
                <c:ptCount val="1"/>
                <c:pt idx="0">
                  <c:v>Pícniny</c:v>
                </c:pt>
              </c:strCache>
            </c:strRef>
          </c:tx>
          <c:spPr>
            <a:ln w="19050">
              <a:solidFill>
                <a:srgbClr val="F1AFB2"/>
              </a:solidFill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'Graf-SZÚčet'!$C$83:$T$83</c:f>
              <c:numCache>
                <c:formatCode>#,##0</c:formatCode>
                <c:ptCount val="18"/>
                <c:pt idx="0">
                  <c:v>100</c:v>
                </c:pt>
                <c:pt idx="1">
                  <c:v>103.47067995852051</c:v>
                </c:pt>
                <c:pt idx="2">
                  <c:v>94.40786865358551</c:v>
                </c:pt>
                <c:pt idx="3">
                  <c:v>76.892080963465958</c:v>
                </c:pt>
                <c:pt idx="4">
                  <c:v>101.50036323847527</c:v>
                </c:pt>
                <c:pt idx="5">
                  <c:v>101.54307451898295</c:v>
                </c:pt>
                <c:pt idx="6">
                  <c:v>97.152532904829386</c:v>
                </c:pt>
                <c:pt idx="7">
                  <c:v>92.156323157754727</c:v>
                </c:pt>
                <c:pt idx="8">
                  <c:v>96.999948452742331</c:v>
                </c:pt>
                <c:pt idx="9">
                  <c:v>98.502857650408359</c:v>
                </c:pt>
                <c:pt idx="10">
                  <c:v>97.253442658788927</c:v>
                </c:pt>
                <c:pt idx="11">
                  <c:v>109.95777026540277</c:v>
                </c:pt>
                <c:pt idx="12">
                  <c:v>110.53620586824609</c:v>
                </c:pt>
                <c:pt idx="13">
                  <c:v>111.78440521325425</c:v>
                </c:pt>
                <c:pt idx="14">
                  <c:v>128.47017450348025</c:v>
                </c:pt>
                <c:pt idx="15">
                  <c:v>101.36875759979235</c:v>
                </c:pt>
                <c:pt idx="16">
                  <c:v>127.95776987905884</c:v>
                </c:pt>
                <c:pt idx="17">
                  <c:v>109.64616872242084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6FE-4A4F-ABA3-167692E370F6}"/>
            </c:ext>
          </c:extLst>
        </c:ser>
        <c:ser>
          <c:idx val="7"/>
          <c:order val="3"/>
          <c:tx>
            <c:strRef>
              <c:f>'Graf-SZÚčet'!$B$84</c:f>
              <c:strCache>
                <c:ptCount val="1"/>
                <c:pt idx="0">
                  <c:v>Zelenina a zahradnické produkty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'Graf-SZÚčet'!$C$84:$T$84</c:f>
              <c:numCache>
                <c:formatCode>#,##0</c:formatCode>
                <c:ptCount val="18"/>
                <c:pt idx="0">
                  <c:v>100</c:v>
                </c:pt>
                <c:pt idx="1">
                  <c:v>91.152472888519654</c:v>
                </c:pt>
                <c:pt idx="2">
                  <c:v>109.23184790883087</c:v>
                </c:pt>
                <c:pt idx="3">
                  <c:v>133.26319078697711</c:v>
                </c:pt>
                <c:pt idx="4">
                  <c:v>150.12183239285065</c:v>
                </c:pt>
                <c:pt idx="5">
                  <c:v>141.96585405136648</c:v>
                </c:pt>
                <c:pt idx="6">
                  <c:v>139.77131043560851</c:v>
                </c:pt>
                <c:pt idx="7">
                  <c:v>135.12307799918958</c:v>
                </c:pt>
                <c:pt idx="8">
                  <c:v>143.7403646602759</c:v>
                </c:pt>
                <c:pt idx="9">
                  <c:v>145.36300593906719</c:v>
                </c:pt>
                <c:pt idx="10">
                  <c:v>140.01605710627732</c:v>
                </c:pt>
                <c:pt idx="11">
                  <c:v>159.31813497701603</c:v>
                </c:pt>
                <c:pt idx="12">
                  <c:v>147.97440292470452</c:v>
                </c:pt>
                <c:pt idx="13">
                  <c:v>138.75663891504487</c:v>
                </c:pt>
                <c:pt idx="14">
                  <c:v>139.53704052920986</c:v>
                </c:pt>
                <c:pt idx="15">
                  <c:v>121.52630058128175</c:v>
                </c:pt>
                <c:pt idx="16">
                  <c:v>139.25995964241631</c:v>
                </c:pt>
                <c:pt idx="17">
                  <c:v>136.81824119764161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6FE-4A4F-ABA3-167692E370F6}"/>
            </c:ext>
          </c:extLst>
        </c:ser>
        <c:ser>
          <c:idx val="2"/>
          <c:order val="4"/>
          <c:tx>
            <c:strRef>
              <c:f>'Graf-SZÚčet'!$B$85</c:f>
              <c:strCache>
                <c:ptCount val="1"/>
                <c:pt idx="0">
                  <c:v>Brambory</c:v>
                </c:pt>
              </c:strCache>
            </c:strRef>
          </c:tx>
          <c:spPr>
            <a:ln w="19050">
              <a:solidFill>
                <a:srgbClr val="A6A6A6"/>
              </a:solidFill>
              <a:prstDash val="solid"/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'Graf-SZÚčet'!$C$85:$T$85</c:f>
              <c:numCache>
                <c:formatCode>#,##0</c:formatCode>
                <c:ptCount val="18"/>
                <c:pt idx="0">
                  <c:v>100</c:v>
                </c:pt>
                <c:pt idx="1">
                  <c:v>76.176353178459053</c:v>
                </c:pt>
                <c:pt idx="2">
                  <c:v>72.833624881514197</c:v>
                </c:pt>
                <c:pt idx="3">
                  <c:v>57.331907681323969</c:v>
                </c:pt>
                <c:pt idx="4">
                  <c:v>68.757595409448527</c:v>
                </c:pt>
                <c:pt idx="5">
                  <c:v>82.042514534698299</c:v>
                </c:pt>
                <c:pt idx="6">
                  <c:v>55.669730747225664</c:v>
                </c:pt>
                <c:pt idx="7">
                  <c:v>66.529472152213188</c:v>
                </c:pt>
                <c:pt idx="8">
                  <c:v>62.457201312775993</c:v>
                </c:pt>
                <c:pt idx="9">
                  <c:v>61.485186614258758</c:v>
                </c:pt>
                <c:pt idx="10">
                  <c:v>54.047924811686272</c:v>
                </c:pt>
                <c:pt idx="11">
                  <c:v>66.588570380747953</c:v>
                </c:pt>
                <c:pt idx="12">
                  <c:v>54.465228461616526</c:v>
                </c:pt>
                <c:pt idx="13">
                  <c:v>45.91813809973403</c:v>
                </c:pt>
                <c:pt idx="14">
                  <c:v>58.192908222108919</c:v>
                </c:pt>
                <c:pt idx="15">
                  <c:v>42.743150223701463</c:v>
                </c:pt>
                <c:pt idx="16">
                  <c:v>59.62733579154461</c:v>
                </c:pt>
                <c:pt idx="17">
                  <c:v>57.975679731698094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6FE-4A4F-ABA3-167692E370F6}"/>
            </c:ext>
          </c:extLst>
        </c:ser>
        <c:ser>
          <c:idx val="5"/>
          <c:order val="5"/>
          <c:tx>
            <c:strRef>
              <c:f>'Graf-SZÚčet'!$B$86</c:f>
              <c:strCache>
                <c:ptCount val="1"/>
                <c:pt idx="0">
                  <c:v>Ovoce</c:v>
                </c:pt>
              </c:strCache>
            </c:strRef>
          </c:tx>
          <c:spPr>
            <a:ln w="19050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'Graf-SZÚčet'!$C$86:$T$86</c:f>
              <c:numCache>
                <c:formatCode>#,##0</c:formatCode>
                <c:ptCount val="18"/>
                <c:pt idx="0">
                  <c:v>100</c:v>
                </c:pt>
                <c:pt idx="1">
                  <c:v>73.113056194297272</c:v>
                </c:pt>
                <c:pt idx="2">
                  <c:v>67.467680457123933</c:v>
                </c:pt>
                <c:pt idx="3">
                  <c:v>62.670824241843846</c:v>
                </c:pt>
                <c:pt idx="4">
                  <c:v>68.532502795523172</c:v>
                </c:pt>
                <c:pt idx="5">
                  <c:v>56.822641550370754</c:v>
                </c:pt>
                <c:pt idx="6">
                  <c:v>60.111149182335993</c:v>
                </c:pt>
                <c:pt idx="7">
                  <c:v>58.221735531110212</c:v>
                </c:pt>
                <c:pt idx="8">
                  <c:v>65.571809234711878</c:v>
                </c:pt>
                <c:pt idx="9">
                  <c:v>65.777297129322463</c:v>
                </c:pt>
                <c:pt idx="10">
                  <c:v>43.760851380747155</c:v>
                </c:pt>
                <c:pt idx="11">
                  <c:v>44.047931394247144</c:v>
                </c:pt>
                <c:pt idx="12">
                  <c:v>48.050758096495073</c:v>
                </c:pt>
                <c:pt idx="13">
                  <c:v>55.826728642848281</c:v>
                </c:pt>
                <c:pt idx="14">
                  <c:v>54.437929625800344</c:v>
                </c:pt>
                <c:pt idx="15">
                  <c:v>67.81923733614255</c:v>
                </c:pt>
                <c:pt idx="16">
                  <c:v>51.751116172141813</c:v>
                </c:pt>
                <c:pt idx="17">
                  <c:v>41.666699867468296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6FE-4A4F-ABA3-167692E370F6}"/>
            </c:ext>
          </c:extLst>
        </c:ser>
        <c:ser>
          <c:idx val="4"/>
          <c:order val="6"/>
          <c:tx>
            <c:strRef>
              <c:f>'Graf-SZÚčet'!$B$87</c:f>
              <c:strCache>
                <c:ptCount val="1"/>
                <c:pt idx="0">
                  <c:v>Prasata</c:v>
                </c:pt>
              </c:strCache>
            </c:strRef>
          </c:tx>
          <c:spPr>
            <a:ln w="19050">
              <a:solidFill>
                <a:srgbClr val="BCA6E8"/>
              </a:solidFill>
              <a:prstDash val="sysDash"/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'Graf-SZÚčet'!$C$87:$T$87</c:f>
              <c:numCache>
                <c:formatCode>#,##0</c:formatCode>
                <c:ptCount val="18"/>
                <c:pt idx="0">
                  <c:v>100</c:v>
                </c:pt>
                <c:pt idx="1">
                  <c:v>98.649308512817697</c:v>
                </c:pt>
                <c:pt idx="2">
                  <c:v>97.427518966948696</c:v>
                </c:pt>
                <c:pt idx="3">
                  <c:v>97.889977471296518</c:v>
                </c:pt>
                <c:pt idx="4">
                  <c:v>90.829852492206101</c:v>
                </c:pt>
                <c:pt idx="5">
                  <c:v>84.668698121900448</c:v>
                </c:pt>
                <c:pt idx="6">
                  <c:v>84.369816439573555</c:v>
                </c:pt>
                <c:pt idx="7">
                  <c:v>90.532927884939809</c:v>
                </c:pt>
                <c:pt idx="8">
                  <c:v>83.600717301045449</c:v>
                </c:pt>
                <c:pt idx="9">
                  <c:v>70.904885781366943</c:v>
                </c:pt>
                <c:pt idx="10">
                  <c:v>69.88755399861499</c:v>
                </c:pt>
                <c:pt idx="11">
                  <c:v>66.632881403978558</c:v>
                </c:pt>
                <c:pt idx="12">
                  <c:v>58.629816521281576</c:v>
                </c:pt>
                <c:pt idx="13">
                  <c:v>60.373245728390444</c:v>
                </c:pt>
                <c:pt idx="14">
                  <c:v>61.177282946155614</c:v>
                </c:pt>
                <c:pt idx="15">
                  <c:v>63.376065123690815</c:v>
                </c:pt>
                <c:pt idx="16">
                  <c:v>63.075607968102545</c:v>
                </c:pt>
                <c:pt idx="17">
                  <c:v>59.690280859576873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6FE-4A4F-ABA3-167692E370F6}"/>
            </c:ext>
          </c:extLst>
        </c:ser>
        <c:ser>
          <c:idx val="6"/>
          <c:order val="7"/>
          <c:tx>
            <c:strRef>
              <c:f>'Graf-SZÚčet'!$B$88</c:f>
              <c:strCache>
                <c:ptCount val="1"/>
                <c:pt idx="0">
                  <c:v>Ostatní hospodářská zvířata</c:v>
                </c:pt>
              </c:strCache>
            </c:strRef>
          </c:tx>
          <c:spPr>
            <a:ln w="19050">
              <a:solidFill>
                <a:srgbClr val="7030A0"/>
              </a:solidFill>
              <a:prstDash val="sysDash"/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'Graf-SZÚčet'!$C$88:$T$88</c:f>
              <c:numCache>
                <c:formatCode>#,##0</c:formatCode>
                <c:ptCount val="18"/>
                <c:pt idx="0">
                  <c:v>100</c:v>
                </c:pt>
                <c:pt idx="1">
                  <c:v>99.817651762176823</c:v>
                </c:pt>
                <c:pt idx="2">
                  <c:v>101.4568275215443</c:v>
                </c:pt>
                <c:pt idx="3">
                  <c:v>100.73973089630728</c:v>
                </c:pt>
                <c:pt idx="4">
                  <c:v>96.699221951661272</c:v>
                </c:pt>
                <c:pt idx="5">
                  <c:v>95.962805659711933</c:v>
                </c:pt>
                <c:pt idx="6">
                  <c:v>100.08595299992828</c:v>
                </c:pt>
                <c:pt idx="7">
                  <c:v>100.24843201368503</c:v>
                </c:pt>
                <c:pt idx="8">
                  <c:v>109.35548985259754</c:v>
                </c:pt>
                <c:pt idx="9">
                  <c:v>105.27227448531492</c:v>
                </c:pt>
                <c:pt idx="10">
                  <c:v>91.850742308485991</c:v>
                </c:pt>
                <c:pt idx="11">
                  <c:v>87.358703453616258</c:v>
                </c:pt>
                <c:pt idx="12">
                  <c:v>91.80552218508285</c:v>
                </c:pt>
                <c:pt idx="13">
                  <c:v>88.125649270924086</c:v>
                </c:pt>
                <c:pt idx="14">
                  <c:v>92.571975756284118</c:v>
                </c:pt>
                <c:pt idx="15">
                  <c:v>95.115723150107982</c:v>
                </c:pt>
                <c:pt idx="16">
                  <c:v>93.184230909432443</c:v>
                </c:pt>
                <c:pt idx="17">
                  <c:v>93.759612019290387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6FE-4A4F-ABA3-167692E370F6}"/>
            </c:ext>
          </c:extLst>
        </c:ser>
        <c:ser>
          <c:idx val="8"/>
          <c:order val="8"/>
          <c:tx>
            <c:strRef>
              <c:f>'Graf-SZÚčet'!$B$89</c:f>
              <c:strCache>
                <c:ptCount val="1"/>
                <c:pt idx="0">
                  <c:v>Mléko a vejce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'Graf-SZÚčet'!$C$80:$T$80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'Graf-SZÚčet'!$C$89:$T$89</c:f>
              <c:numCache>
                <c:formatCode>#,##0</c:formatCode>
                <c:ptCount val="18"/>
                <c:pt idx="0">
                  <c:v>100</c:v>
                </c:pt>
                <c:pt idx="1">
                  <c:v>98.140970736370079</c:v>
                </c:pt>
                <c:pt idx="2">
                  <c:v>97.240887112762763</c:v>
                </c:pt>
                <c:pt idx="3">
                  <c:v>97.893663893331095</c:v>
                </c:pt>
                <c:pt idx="4">
                  <c:v>96.713359744163597</c:v>
                </c:pt>
                <c:pt idx="5">
                  <c:v>100.65780921235825</c:v>
                </c:pt>
                <c:pt idx="6">
                  <c:v>99.700952526523395</c:v>
                </c:pt>
                <c:pt idx="7">
                  <c:v>100.05274580083247</c:v>
                </c:pt>
                <c:pt idx="8">
                  <c:v>102.55726127792101</c:v>
                </c:pt>
                <c:pt idx="9">
                  <c:v>101.61531096040675</c:v>
                </c:pt>
                <c:pt idx="10">
                  <c:v>96.228919573126788</c:v>
                </c:pt>
                <c:pt idx="11">
                  <c:v>99.609259743684149</c:v>
                </c:pt>
                <c:pt idx="12">
                  <c:v>101.25465374601472</c:v>
                </c:pt>
                <c:pt idx="13">
                  <c:v>103.01583922055515</c:v>
                </c:pt>
                <c:pt idx="14">
                  <c:v>106.34280281843216</c:v>
                </c:pt>
                <c:pt idx="15">
                  <c:v>109.08596119371605</c:v>
                </c:pt>
                <c:pt idx="16">
                  <c:v>110.66842083563337</c:v>
                </c:pt>
                <c:pt idx="17">
                  <c:v>112.47565425735586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6FE-4A4F-ABA3-167692E370F6}"/>
            </c:ext>
          </c:extLst>
        </c:ser>
        <c:marker val="1"/>
        <c:axId val="140834304"/>
        <c:axId val="140835840"/>
      </c:lineChart>
      <c:catAx>
        <c:axId val="140834304"/>
        <c:scaling>
          <c:orientation val="minMax"/>
        </c:scaling>
        <c:axPos val="b"/>
        <c:numFmt formatCode="General" sourceLinked="1"/>
        <c:majorTickMark val="none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40835840"/>
        <c:crossesAt val="100"/>
        <c:lblAlgn val="ctr"/>
        <c:lblOffset val="0"/>
        <c:tickLblSkip val="1"/>
        <c:tickMarkSkip val="4"/>
      </c:catAx>
      <c:valAx>
        <c:axId val="140835840"/>
        <c:scaling>
          <c:orientation val="minMax"/>
          <c:max val="180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40834304"/>
        <c:crosses val="autoZero"/>
        <c:crossBetween val="midCat"/>
        <c:majorUnit val="20"/>
      </c:val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3561476330895331E-2"/>
          <c:y val="0.83639648767309061"/>
          <c:w val="0.91469761451245435"/>
          <c:h val="0.15288078351908141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6.2040029038385493E-2"/>
          <c:y val="1.643251153889452E-2"/>
          <c:w val="0.92433548575002356"/>
          <c:h val="0.68653037925405858"/>
        </c:manualLayout>
      </c:layout>
      <c:barChart>
        <c:barDir val="col"/>
        <c:grouping val="clustered"/>
        <c:ser>
          <c:idx val="3"/>
          <c:order val="1"/>
          <c:tx>
            <c:strRef>
              <c:f>'Graf-sklizně vs. výnosy'!$AF$5</c:f>
              <c:strCache>
                <c:ptCount val="1"/>
                <c:pt idx="0">
                  <c:v>Produkční plocha (y/y, %)</c:v>
                </c:pt>
              </c:strCache>
            </c:strRef>
          </c:tx>
          <c:spPr>
            <a:solidFill>
              <a:srgbClr val="D2E7B6"/>
            </a:solidFill>
            <a:ln w="3175">
              <a:solidFill>
                <a:schemeClr val="bg1">
                  <a:lumMod val="65000"/>
                </a:schemeClr>
              </a:solidFill>
              <a:prstDash val="solid"/>
            </a:ln>
          </c:spPr>
          <c:cat>
            <c:strRef>
              <c:f>'Graf-sklizně vs. výnosy'!$AG$3:$AX$3</c:f>
              <c:strCache>
                <c:ptCount val="18"/>
                <c:pt idx="0">
                  <c:v>Obiloviny 
celkem</c:v>
                </c:pt>
                <c:pt idx="1">
                  <c:v>Pšenice</c:v>
                </c:pt>
                <c:pt idx="2">
                  <c:v>Žito</c:v>
                </c:pt>
                <c:pt idx="3">
                  <c:v>Ječmen</c:v>
                </c:pt>
                <c:pt idx="4">
                  <c:v>Oves</c:v>
                </c:pt>
                <c:pt idx="5">
                  <c:v>Kukuřice 
na zrno</c:v>
                </c:pt>
                <c:pt idx="6">
                  <c:v>Řepka</c:v>
                </c:pt>
                <c:pt idx="7">
                  <c:v>Mák</c:v>
                </c:pt>
                <c:pt idx="8">
                  <c:v>Luskoviny</c:v>
                </c:pt>
                <c:pt idx="9">
                  <c:v>Cukrovka 
technická</c:v>
                </c:pt>
                <c:pt idx="10">
                  <c:v>Chmel</c:v>
                </c:pt>
                <c:pt idx="11">
                  <c:v>Brambory</c:v>
                </c:pt>
                <c:pt idx="12">
                  <c:v>Kukuřice na 
zeleno a siláž </c:v>
                </c:pt>
                <c:pt idx="13">
                  <c:v>Trv.trav.porosty
 (píce v seně)</c:v>
                </c:pt>
                <c:pt idx="14">
                  <c:v>Cibule</c:v>
                </c:pt>
                <c:pt idx="15">
                  <c:v>Jablka</c:v>
                </c:pt>
                <c:pt idx="16">
                  <c:v>Hrušky</c:v>
                </c:pt>
                <c:pt idx="17">
                  <c:v>Vinné hrozny</c:v>
                </c:pt>
              </c:strCache>
            </c:strRef>
          </c:cat>
          <c:val>
            <c:numRef>
              <c:f>'Graf-sklizně vs. výnosy'!$AG$5:$AX$5</c:f>
              <c:numCache>
                <c:formatCode>#,##0.0</c:formatCode>
                <c:ptCount val="18"/>
                <c:pt idx="0">
                  <c:v>-0.31875680116174537</c:v>
                </c:pt>
                <c:pt idx="1">
                  <c:v>-0.91086155181888273</c:v>
                </c:pt>
                <c:pt idx="2">
                  <c:v>6.0621406768698645</c:v>
                </c:pt>
                <c:pt idx="3">
                  <c:v>0.6084359855241388</c:v>
                </c:pt>
                <c:pt idx="4">
                  <c:v>17.299647023121523</c:v>
                </c:pt>
                <c:pt idx="5">
                  <c:v>-0.47678103995367882</c:v>
                </c:pt>
                <c:pt idx="6">
                  <c:v>0.32325147188391062</c:v>
                </c:pt>
                <c:pt idx="7">
                  <c:v>-8.3190523605034201</c:v>
                </c:pt>
                <c:pt idx="8">
                  <c:v>20.275259250028974</c:v>
                </c:pt>
                <c:pt idx="9">
                  <c:v>8.8325960762568982</c:v>
                </c:pt>
                <c:pt idx="10">
                  <c:v>3.5602094240837321</c:v>
                </c:pt>
                <c:pt idx="11">
                  <c:v>1.7040890021348787E-2</c:v>
                </c:pt>
                <c:pt idx="12">
                  <c:v>-4.7712867236272434</c:v>
                </c:pt>
                <c:pt idx="13">
                  <c:v>3.4454531478775152</c:v>
                </c:pt>
                <c:pt idx="14">
                  <c:v>10.233464042137419</c:v>
                </c:pt>
                <c:pt idx="15">
                  <c:v>2.1500264590427487</c:v>
                </c:pt>
                <c:pt idx="16">
                  <c:v>-1.7852130169178366</c:v>
                </c:pt>
                <c:pt idx="17">
                  <c:v>6.0392620079441892E-2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2A-43EA-B5E2-29512D0862A4}"/>
            </c:ext>
          </c:extLst>
        </c:ser>
        <c:ser>
          <c:idx val="1"/>
          <c:order val="2"/>
          <c:tx>
            <c:strRef>
              <c:f>'Graf-sklizně vs. výnosy'!$AF$6</c:f>
              <c:strCache>
                <c:ptCount val="1"/>
                <c:pt idx="0">
                  <c:v>Hektarové výnosy (y/y, %)</c:v>
                </c:pt>
              </c:strCache>
            </c:strRef>
          </c:tx>
          <c:spPr>
            <a:solidFill>
              <a:srgbClr val="FDDEB3"/>
            </a:solidFill>
            <a:ln w="3175">
              <a:solidFill>
                <a:schemeClr val="bg1">
                  <a:lumMod val="65000"/>
                </a:schemeClr>
              </a:solidFill>
            </a:ln>
          </c:spPr>
          <c:cat>
            <c:strRef>
              <c:f>'Graf-sklizně vs. výnosy'!$AG$3:$AX$3</c:f>
              <c:strCache>
                <c:ptCount val="18"/>
                <c:pt idx="0">
                  <c:v>Obiloviny 
celkem</c:v>
                </c:pt>
                <c:pt idx="1">
                  <c:v>Pšenice</c:v>
                </c:pt>
                <c:pt idx="2">
                  <c:v>Žito</c:v>
                </c:pt>
                <c:pt idx="3">
                  <c:v>Ječmen</c:v>
                </c:pt>
                <c:pt idx="4">
                  <c:v>Oves</c:v>
                </c:pt>
                <c:pt idx="5">
                  <c:v>Kukuřice 
na zrno</c:v>
                </c:pt>
                <c:pt idx="6">
                  <c:v>Řepka</c:v>
                </c:pt>
                <c:pt idx="7">
                  <c:v>Mák</c:v>
                </c:pt>
                <c:pt idx="8">
                  <c:v>Luskoviny</c:v>
                </c:pt>
                <c:pt idx="9">
                  <c:v>Cukrovka 
technická</c:v>
                </c:pt>
                <c:pt idx="10">
                  <c:v>Chmel</c:v>
                </c:pt>
                <c:pt idx="11">
                  <c:v>Brambory</c:v>
                </c:pt>
                <c:pt idx="12">
                  <c:v>Kukuřice na 
zeleno a siláž </c:v>
                </c:pt>
                <c:pt idx="13">
                  <c:v>Trv.trav.porosty
 (píce v seně)</c:v>
                </c:pt>
                <c:pt idx="14">
                  <c:v>Cibule</c:v>
                </c:pt>
                <c:pt idx="15">
                  <c:v>Jablka</c:v>
                </c:pt>
                <c:pt idx="16">
                  <c:v>Hrušky</c:v>
                </c:pt>
                <c:pt idx="17">
                  <c:v>Vinné hrozny</c:v>
                </c:pt>
              </c:strCache>
            </c:strRef>
          </c:cat>
          <c:val>
            <c:numRef>
              <c:f>'Graf-sklizně vs. výnosy'!$AG$6:$AX$6</c:f>
              <c:numCache>
                <c:formatCode>#,##0.0</c:formatCode>
                <c:ptCount val="18"/>
                <c:pt idx="0" formatCode="0.0">
                  <c:v>-12.979653148207372</c:v>
                </c:pt>
                <c:pt idx="1">
                  <c:v>-12.706319306399108</c:v>
                </c:pt>
                <c:pt idx="2">
                  <c:v>-1.2999887319759722</c:v>
                </c:pt>
                <c:pt idx="3">
                  <c:v>-7.7675237834615833</c:v>
                </c:pt>
                <c:pt idx="4">
                  <c:v>-8.1575839677021662</c:v>
                </c:pt>
                <c:pt idx="5">
                  <c:v>-30.131563115179247</c:v>
                </c:pt>
                <c:pt idx="6">
                  <c:v>-15.936306133306729</c:v>
                </c:pt>
                <c:pt idx="7">
                  <c:v>-23.47440104208674</c:v>
                </c:pt>
                <c:pt idx="8">
                  <c:v>-1.3393201406211972</c:v>
                </c:pt>
                <c:pt idx="9">
                  <c:v>-1.8427181672638104</c:v>
                </c:pt>
                <c:pt idx="10">
                  <c:v>-14.892884008099996</c:v>
                </c:pt>
                <c:pt idx="11">
                  <c:v>-1.5369675748380451</c:v>
                </c:pt>
                <c:pt idx="12">
                  <c:v>-14.442754120175778</c:v>
                </c:pt>
                <c:pt idx="13">
                  <c:v>-12.922645860726336</c:v>
                </c:pt>
                <c:pt idx="14">
                  <c:v>-10.972417063503126</c:v>
                </c:pt>
                <c:pt idx="15">
                  <c:v>-17.547178609027611</c:v>
                </c:pt>
                <c:pt idx="16">
                  <c:v>-38.555376674711106</c:v>
                </c:pt>
                <c:pt idx="17">
                  <c:v>5.032595487256657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2A-43EA-B5E2-29512D0862A4}"/>
            </c:ext>
          </c:extLst>
        </c:ser>
        <c:gapWidth val="79"/>
        <c:overlap val="56"/>
        <c:axId val="141465856"/>
        <c:axId val="141468032"/>
      </c:barChart>
      <c:lineChart>
        <c:grouping val="standard"/>
        <c:ser>
          <c:idx val="0"/>
          <c:order val="0"/>
          <c:tx>
            <c:strRef>
              <c:f>'Graf-sklizně vs. výnosy'!$AF$4</c:f>
              <c:strCache>
                <c:ptCount val="1"/>
                <c:pt idx="0">
                  <c:v>Sklizeň (y/y %)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9"/>
            <c:spPr>
              <a:solidFill>
                <a:schemeClr val="tx1">
                  <a:lumMod val="95000"/>
                  <a:lumOff val="5000"/>
                </a:schemeClr>
              </a:solidFill>
            </c:spPr>
          </c:marker>
          <c:cat>
            <c:strRef>
              <c:f>'Graf-sklizně vs. výnosy'!$AG$3:$AX$3</c:f>
              <c:strCache>
                <c:ptCount val="18"/>
                <c:pt idx="0">
                  <c:v>Obiloviny 
celkem</c:v>
                </c:pt>
                <c:pt idx="1">
                  <c:v>Pšenice</c:v>
                </c:pt>
                <c:pt idx="2">
                  <c:v>Žito</c:v>
                </c:pt>
                <c:pt idx="3">
                  <c:v>Ječmen</c:v>
                </c:pt>
                <c:pt idx="4">
                  <c:v>Oves</c:v>
                </c:pt>
                <c:pt idx="5">
                  <c:v>Kukuřice 
na zrno</c:v>
                </c:pt>
                <c:pt idx="6">
                  <c:v>Řepka</c:v>
                </c:pt>
                <c:pt idx="7">
                  <c:v>Mák</c:v>
                </c:pt>
                <c:pt idx="8">
                  <c:v>Luskoviny</c:v>
                </c:pt>
                <c:pt idx="9">
                  <c:v>Cukrovka 
technická</c:v>
                </c:pt>
                <c:pt idx="10">
                  <c:v>Chmel</c:v>
                </c:pt>
                <c:pt idx="11">
                  <c:v>Brambory</c:v>
                </c:pt>
                <c:pt idx="12">
                  <c:v>Kukuřice na 
zeleno a siláž </c:v>
                </c:pt>
                <c:pt idx="13">
                  <c:v>Trv.trav.porosty
 (píce v seně)</c:v>
                </c:pt>
                <c:pt idx="14">
                  <c:v>Cibule</c:v>
                </c:pt>
                <c:pt idx="15">
                  <c:v>Jablka</c:v>
                </c:pt>
                <c:pt idx="16">
                  <c:v>Hrušky</c:v>
                </c:pt>
                <c:pt idx="17">
                  <c:v>Vinné hrozny</c:v>
                </c:pt>
              </c:strCache>
            </c:strRef>
          </c:cat>
          <c:val>
            <c:numRef>
              <c:f>'Graf-sklizně vs. výnosy'!$AG$4:$AX$4</c:f>
              <c:numCache>
                <c:formatCode>#,##0</c:formatCode>
                <c:ptCount val="18"/>
                <c:pt idx="0" formatCode="#,##0.0">
                  <c:v>-13.257036422191973</c:v>
                </c:pt>
                <c:pt idx="1">
                  <c:v>-13.50144388100467</c:v>
                </c:pt>
                <c:pt idx="2">
                  <c:v>4.6833447991780872</c:v>
                </c:pt>
                <c:pt idx="3">
                  <c:v>-7.2063482078201924</c:v>
                </c:pt>
                <c:pt idx="4">
                  <c:v>7.730829823392412</c:v>
                </c:pt>
                <c:pt idx="5">
                  <c:v>-30.464682575157696</c:v>
                </c:pt>
                <c:pt idx="6">
                  <c:v>-15.664569005562672</c:v>
                </c:pt>
                <c:pt idx="7">
                  <c:v>-29.840605688584404</c:v>
                </c:pt>
                <c:pt idx="8">
                  <c:v>18.664388478709213</c:v>
                </c:pt>
                <c:pt idx="9">
                  <c:v>6.8271180564546645</c:v>
                </c:pt>
                <c:pt idx="10">
                  <c:v>-11.862892443990306</c:v>
                </c:pt>
                <c:pt idx="11">
                  <c:v>-1.5201885977707841</c:v>
                </c:pt>
                <c:pt idx="12">
                  <c:v>-18.524935633940927</c:v>
                </c:pt>
                <c:pt idx="13">
                  <c:v>-9.9224364214462586</c:v>
                </c:pt>
                <c:pt idx="14">
                  <c:v>-1.8618113761125699</c:v>
                </c:pt>
                <c:pt idx="15">
                  <c:v>-15.774421132894441</c:v>
                </c:pt>
                <c:pt idx="16">
                  <c:v>-39.652294088510295</c:v>
                </c:pt>
                <c:pt idx="17">
                  <c:v>5.0960274236088594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2A-43EA-B5E2-29512D0862A4}"/>
            </c:ext>
          </c:extLst>
        </c:ser>
        <c:ser>
          <c:idx val="7"/>
          <c:order val="3"/>
          <c:tx>
            <c:strRef>
              <c:f>'Graf-sklizně vs. výnosy'!$AF$7</c:f>
              <c:strCache>
                <c:ptCount val="1"/>
                <c:pt idx="0">
                  <c:v>Sklizeň (odchylka od 5letého průměru, %)</c:v>
                </c:pt>
              </c:strCache>
            </c:strRef>
          </c:tx>
          <c:spPr>
            <a:ln>
              <a:noFill/>
            </a:ln>
          </c:spPr>
          <c:marker>
            <c:symbol val="triangle"/>
            <c:size val="6"/>
            <c:spPr>
              <a:solidFill>
                <a:srgbClr val="A6CDE8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strRef>
              <c:f>'Graf-sklizně vs. výnosy'!$AG$3:$AX$3</c:f>
              <c:strCache>
                <c:ptCount val="18"/>
                <c:pt idx="0">
                  <c:v>Obiloviny 
celkem</c:v>
                </c:pt>
                <c:pt idx="1">
                  <c:v>Pšenice</c:v>
                </c:pt>
                <c:pt idx="2">
                  <c:v>Žito</c:v>
                </c:pt>
                <c:pt idx="3">
                  <c:v>Ječmen</c:v>
                </c:pt>
                <c:pt idx="4">
                  <c:v>Oves</c:v>
                </c:pt>
                <c:pt idx="5">
                  <c:v>Kukuřice 
na zrno</c:v>
                </c:pt>
                <c:pt idx="6">
                  <c:v>Řepka</c:v>
                </c:pt>
                <c:pt idx="7">
                  <c:v>Mák</c:v>
                </c:pt>
                <c:pt idx="8">
                  <c:v>Luskoviny</c:v>
                </c:pt>
                <c:pt idx="9">
                  <c:v>Cukrovka 
technická</c:v>
                </c:pt>
                <c:pt idx="10">
                  <c:v>Chmel</c:v>
                </c:pt>
                <c:pt idx="11">
                  <c:v>Brambory</c:v>
                </c:pt>
                <c:pt idx="12">
                  <c:v>Kukuřice na 
zeleno a siláž </c:v>
                </c:pt>
                <c:pt idx="13">
                  <c:v>Trv.trav.porosty
 (píce v seně)</c:v>
                </c:pt>
                <c:pt idx="14">
                  <c:v>Cibule</c:v>
                </c:pt>
                <c:pt idx="15">
                  <c:v>Jablka</c:v>
                </c:pt>
                <c:pt idx="16">
                  <c:v>Hrušky</c:v>
                </c:pt>
                <c:pt idx="17">
                  <c:v>Vinné hrozny</c:v>
                </c:pt>
              </c:strCache>
            </c:strRef>
          </c:cat>
          <c:val>
            <c:numRef>
              <c:f>'Graf-sklizně vs. výnosy'!$AG$7:$AX$7</c:f>
              <c:numCache>
                <c:formatCode>#,##0</c:formatCode>
                <c:ptCount val="18"/>
                <c:pt idx="0">
                  <c:v>-8.0059846043575806</c:v>
                </c:pt>
                <c:pt idx="1">
                  <c:v>-7.8122130839736945</c:v>
                </c:pt>
                <c:pt idx="2">
                  <c:v>-12.859191089469077</c:v>
                </c:pt>
                <c:pt idx="3">
                  <c:v>-6.019519808133623</c:v>
                </c:pt>
                <c:pt idx="4">
                  <c:v>-1.1631219838703686</c:v>
                </c:pt>
                <c:pt idx="5">
                  <c:v>-13.11000284173906</c:v>
                </c:pt>
                <c:pt idx="6">
                  <c:v>-14.994931068030921</c:v>
                </c:pt>
                <c:pt idx="7">
                  <c:v>-12.026818610944868</c:v>
                </c:pt>
                <c:pt idx="8">
                  <c:v>34.600169411777806</c:v>
                </c:pt>
                <c:pt idx="9">
                  <c:v>9.4010749305685692</c:v>
                </c:pt>
                <c:pt idx="10">
                  <c:v>10.041887475010299</c:v>
                </c:pt>
                <c:pt idx="11">
                  <c:v>10.146413151503548</c:v>
                </c:pt>
                <c:pt idx="12">
                  <c:v>-6.6831826162092645</c:v>
                </c:pt>
                <c:pt idx="13">
                  <c:v>-5.6040511983724555</c:v>
                </c:pt>
                <c:pt idx="14">
                  <c:v>13.582863178438956</c:v>
                </c:pt>
                <c:pt idx="15">
                  <c:v>-17.198102816163992</c:v>
                </c:pt>
                <c:pt idx="16">
                  <c:v>-34.883076435810224</c:v>
                </c:pt>
                <c:pt idx="17">
                  <c:v>3.7258888332463584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2A-43EA-B5E2-29512D0862A4}"/>
            </c:ext>
          </c:extLst>
        </c:ser>
        <c:ser>
          <c:idx val="2"/>
          <c:order val="4"/>
          <c:tx>
            <c:strRef>
              <c:f>'Graf-sklizně vs. výnosy'!$AF$8</c:f>
              <c:strCache>
                <c:ptCount val="1"/>
                <c:pt idx="0">
                  <c:v>Sklizeň (odchylka od 10letého průměru, %)</c:v>
                </c:pt>
              </c:strCache>
            </c:strRef>
          </c:tx>
          <c:spPr>
            <a:ln w="19050">
              <a:noFill/>
              <a:prstDash val="sysDash"/>
            </a:ln>
          </c:spPr>
          <c:marker>
            <c:symbol val="diamond"/>
            <c:size val="6"/>
            <c:spPr>
              <a:solidFill>
                <a:srgbClr val="BCA6E8"/>
              </a:solidFill>
              <a:ln>
                <a:solidFill>
                  <a:sysClr val="window" lastClr="FFFFFF">
                    <a:lumMod val="50000"/>
                  </a:sysClr>
                </a:solidFill>
              </a:ln>
            </c:spPr>
          </c:marker>
          <c:cat>
            <c:strRef>
              <c:f>'Graf-sklizně vs. výnosy'!$AG$3:$AX$3</c:f>
              <c:strCache>
                <c:ptCount val="18"/>
                <c:pt idx="0">
                  <c:v>Obiloviny 
celkem</c:v>
                </c:pt>
                <c:pt idx="1">
                  <c:v>Pšenice</c:v>
                </c:pt>
                <c:pt idx="2">
                  <c:v>Žito</c:v>
                </c:pt>
                <c:pt idx="3">
                  <c:v>Ječmen</c:v>
                </c:pt>
                <c:pt idx="4">
                  <c:v>Oves</c:v>
                </c:pt>
                <c:pt idx="5">
                  <c:v>Kukuřice 
na zrno</c:v>
                </c:pt>
                <c:pt idx="6">
                  <c:v>Řepka</c:v>
                </c:pt>
                <c:pt idx="7">
                  <c:v>Mák</c:v>
                </c:pt>
                <c:pt idx="8">
                  <c:v>Luskoviny</c:v>
                </c:pt>
                <c:pt idx="9">
                  <c:v>Cukrovka 
technická</c:v>
                </c:pt>
                <c:pt idx="10">
                  <c:v>Chmel</c:v>
                </c:pt>
                <c:pt idx="11">
                  <c:v>Brambory</c:v>
                </c:pt>
                <c:pt idx="12">
                  <c:v>Kukuřice na 
zeleno a siláž </c:v>
                </c:pt>
                <c:pt idx="13">
                  <c:v>Trv.trav.porosty
 (píce v seně)</c:v>
                </c:pt>
                <c:pt idx="14">
                  <c:v>Cibule</c:v>
                </c:pt>
                <c:pt idx="15">
                  <c:v>Jablka</c:v>
                </c:pt>
                <c:pt idx="16">
                  <c:v>Hrušky</c:v>
                </c:pt>
                <c:pt idx="17">
                  <c:v>Vinné hrozny</c:v>
                </c:pt>
              </c:strCache>
            </c:strRef>
          </c:cat>
          <c:val>
            <c:numRef>
              <c:f>'Graf-sklizně vs. výnosy'!$AG$8:$AX$8</c:f>
              <c:numCache>
                <c:formatCode>#,##0</c:formatCode>
                <c:ptCount val="18"/>
                <c:pt idx="0">
                  <c:v>-4.9946962944977997</c:v>
                </c:pt>
                <c:pt idx="1">
                  <c:v>1.8642130024630901E-2</c:v>
                </c:pt>
                <c:pt idx="2">
                  <c:v>-21.876807871029982</c:v>
                </c:pt>
                <c:pt idx="3">
                  <c:v>-6.7957755659435293</c:v>
                </c:pt>
                <c:pt idx="4">
                  <c:v>-6.0980987560894055</c:v>
                </c:pt>
                <c:pt idx="5">
                  <c:v>-24.762459845708385</c:v>
                </c:pt>
                <c:pt idx="6">
                  <c:v>-5.4019329030832814</c:v>
                </c:pt>
                <c:pt idx="7">
                  <c:v>-22.740043054084509</c:v>
                </c:pt>
                <c:pt idx="8">
                  <c:v>55.96510842182451</c:v>
                </c:pt>
                <c:pt idx="9">
                  <c:v>19.348309326692988</c:v>
                </c:pt>
                <c:pt idx="10">
                  <c:v>8.8377302124427768</c:v>
                </c:pt>
                <c:pt idx="11">
                  <c:v>1.5892037967854638</c:v>
                </c:pt>
                <c:pt idx="12">
                  <c:v>2.1168035049539577</c:v>
                </c:pt>
                <c:pt idx="13">
                  <c:v>-2.3357740615893912</c:v>
                </c:pt>
                <c:pt idx="14">
                  <c:v>10.200486383922676</c:v>
                </c:pt>
                <c:pt idx="15">
                  <c:v>-14.74613737480972</c:v>
                </c:pt>
                <c:pt idx="16">
                  <c:v>-27.535763640555729</c:v>
                </c:pt>
                <c:pt idx="17">
                  <c:v>6.5399881867952843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B2A-43EA-B5E2-29512D0862A4}"/>
            </c:ext>
          </c:extLst>
        </c:ser>
        <c:marker val="1"/>
        <c:axId val="141465856"/>
        <c:axId val="141468032"/>
      </c:lineChart>
      <c:catAx>
        <c:axId val="141465856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41468032"/>
        <c:crossesAt val="0"/>
        <c:lblAlgn val="ctr"/>
        <c:lblOffset val="0"/>
        <c:tickLblSkip val="1"/>
        <c:tickMarkSkip val="4"/>
      </c:catAx>
      <c:valAx>
        <c:axId val="141468032"/>
        <c:scaling>
          <c:orientation val="minMax"/>
          <c:max val="60"/>
          <c:min val="-4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41465856"/>
        <c:crosses val="autoZero"/>
        <c:crossBetween val="between"/>
        <c:majorUnit val="10"/>
        <c:minorUnit val="1"/>
      </c:val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760235074951034E-2"/>
          <c:y val="0.89051771920528622"/>
          <c:w val="0.92373094187373628"/>
          <c:h val="9.8759532145460932E-2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493E-2"/>
          <c:y val="1.643251153889452E-2"/>
          <c:w val="0.92433548575002356"/>
          <c:h val="0.74368625464371241"/>
        </c:manualLayout>
      </c:layout>
      <c:areaChart>
        <c:grouping val="standard"/>
        <c:ser>
          <c:idx val="0"/>
          <c:order val="0"/>
          <c:tx>
            <c:strRef>
              <c:f>'Graf-živočišná produkce'!$B$49</c:f>
              <c:strCache>
                <c:ptCount val="1"/>
                <c:pt idx="0">
                  <c:v>Výroba všech jatečných zvířat***</c:v>
                </c:pt>
              </c:strCache>
            </c:strRef>
          </c:tx>
          <c:spPr>
            <a:solidFill>
              <a:srgbClr val="E6E3D2"/>
            </a:solidFill>
            <a:ln w="19050">
              <a:noFill/>
            </a:ln>
          </c:spPr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produkce'!$B$50:$B$67</c:f>
              <c:numCache>
                <c:formatCode>0.0</c:formatCode>
                <c:ptCount val="18"/>
                <c:pt idx="0">
                  <c:v>137.596192893401</c:v>
                </c:pt>
                <c:pt idx="1">
                  <c:v>140.22994923857812</c:v>
                </c:pt>
                <c:pt idx="2">
                  <c:v>140.06345177664952</c:v>
                </c:pt>
                <c:pt idx="3">
                  <c:v>137.34314720812185</c:v>
                </c:pt>
                <c:pt idx="4">
                  <c:v>132.20368020304286</c:v>
                </c:pt>
                <c:pt idx="5">
                  <c:v>123.85786802030455</c:v>
                </c:pt>
                <c:pt idx="6">
                  <c:v>117.89340101522841</c:v>
                </c:pt>
                <c:pt idx="7">
                  <c:v>118.65482233502505</c:v>
                </c:pt>
                <c:pt idx="8">
                  <c:v>119.79695431472081</c:v>
                </c:pt>
                <c:pt idx="9">
                  <c:v>108.75634517766348</c:v>
                </c:pt>
                <c:pt idx="10">
                  <c:v>100</c:v>
                </c:pt>
                <c:pt idx="11">
                  <c:v>92.170050761420214</c:v>
                </c:pt>
                <c:pt idx="12">
                  <c:v>89.99860406091463</c:v>
                </c:pt>
                <c:pt idx="13">
                  <c:v>88.513071065989848</c:v>
                </c:pt>
                <c:pt idx="14">
                  <c:v>91.638197969543157</c:v>
                </c:pt>
                <c:pt idx="15">
                  <c:v>92.342385786802012</c:v>
                </c:pt>
                <c:pt idx="16">
                  <c:v>92.475253807106611</c:v>
                </c:pt>
                <c:pt idx="17">
                  <c:v>91.280203045685326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5E-4652-9479-CF129821BF3E}"/>
            </c:ext>
          </c:extLst>
        </c:ser>
        <c:axId val="141632640"/>
        <c:axId val="141634560"/>
      </c:areaChart>
      <c:lineChart>
        <c:grouping val="standard"/>
        <c:ser>
          <c:idx val="3"/>
          <c:order val="1"/>
          <c:tx>
            <c:strRef>
              <c:f>'Graf-živočišná produkce'!$C$49</c:f>
              <c:strCache>
                <c:ptCount val="1"/>
                <c:pt idx="0">
                  <c:v>Jatečný skot  (v t živé hm.)*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produkce'!$C$50:$C$67</c:f>
              <c:numCache>
                <c:formatCode>0.0</c:formatCode>
                <c:ptCount val="18"/>
                <c:pt idx="0">
                  <c:v>121.6608187134488</c:v>
                </c:pt>
                <c:pt idx="1">
                  <c:v>121.94385964912426</c:v>
                </c:pt>
                <c:pt idx="2">
                  <c:v>117.97894736841982</c:v>
                </c:pt>
                <c:pt idx="3">
                  <c:v>116.03333333333335</c:v>
                </c:pt>
                <c:pt idx="4">
                  <c:v>107.91286549707642</c:v>
                </c:pt>
                <c:pt idx="5">
                  <c:v>97.660818713448776</c:v>
                </c:pt>
                <c:pt idx="6">
                  <c:v>100</c:v>
                </c:pt>
                <c:pt idx="7">
                  <c:v>99.415204678363921</c:v>
                </c:pt>
                <c:pt idx="8">
                  <c:v>107.01754385964912</c:v>
                </c:pt>
                <c:pt idx="9">
                  <c:v>105.84795321637429</c:v>
                </c:pt>
                <c:pt idx="10">
                  <c:v>100</c:v>
                </c:pt>
                <c:pt idx="11">
                  <c:v>99.563157894736818</c:v>
                </c:pt>
                <c:pt idx="12">
                  <c:v>99.900584795321663</c:v>
                </c:pt>
                <c:pt idx="13">
                  <c:v>95.931578947368422</c:v>
                </c:pt>
                <c:pt idx="14">
                  <c:v>99.174269005848856</c:v>
                </c:pt>
                <c:pt idx="15">
                  <c:v>102.16023391812865</c:v>
                </c:pt>
                <c:pt idx="16">
                  <c:v>101.36959064327486</c:v>
                </c:pt>
                <c:pt idx="17">
                  <c:v>96.871345029239748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5E-4652-9479-CF129821BF3E}"/>
            </c:ext>
          </c:extLst>
        </c:ser>
        <c:ser>
          <c:idx val="1"/>
          <c:order val="2"/>
          <c:tx>
            <c:strRef>
              <c:f>'Graf-živočišná produkce'!$D$49</c:f>
              <c:strCache>
                <c:ptCount val="1"/>
                <c:pt idx="0">
                  <c:v>Jatečná prasata (v t živé hm.)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produkce'!$D$50:$D$67</c:f>
              <c:numCache>
                <c:formatCode>0.0</c:formatCode>
                <c:ptCount val="18"/>
                <c:pt idx="0">
                  <c:v>159.54344262295078</c:v>
                </c:pt>
                <c:pt idx="1">
                  <c:v>159.56393442622951</c:v>
                </c:pt>
                <c:pt idx="2">
                  <c:v>159.93825136612023</c:v>
                </c:pt>
                <c:pt idx="3">
                  <c:v>158.43387978142079</c:v>
                </c:pt>
                <c:pt idx="4">
                  <c:v>149.45601092896177</c:v>
                </c:pt>
                <c:pt idx="5">
                  <c:v>133.06010928961749</c:v>
                </c:pt>
                <c:pt idx="6">
                  <c:v>122.67759562841529</c:v>
                </c:pt>
                <c:pt idx="7">
                  <c:v>126.77595628415301</c:v>
                </c:pt>
                <c:pt idx="8">
                  <c:v>118.0327868852459</c:v>
                </c:pt>
                <c:pt idx="9">
                  <c:v>101.0928961748626</c:v>
                </c:pt>
                <c:pt idx="10">
                  <c:v>100</c:v>
                </c:pt>
                <c:pt idx="11">
                  <c:v>91.873770491802958</c:v>
                </c:pt>
                <c:pt idx="12">
                  <c:v>80.817213114754082</c:v>
                </c:pt>
                <c:pt idx="13">
                  <c:v>82.388524590163954</c:v>
                </c:pt>
                <c:pt idx="14">
                  <c:v>83.416939890710367</c:v>
                </c:pt>
                <c:pt idx="15">
                  <c:v>82.2084699453561</c:v>
                </c:pt>
                <c:pt idx="16">
                  <c:v>85.447814207650296</c:v>
                </c:pt>
                <c:pt idx="17">
                  <c:v>80.976775956282808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5E-4652-9479-CF129821BF3E}"/>
            </c:ext>
          </c:extLst>
        </c:ser>
        <c:ser>
          <c:idx val="7"/>
          <c:order val="3"/>
          <c:tx>
            <c:strRef>
              <c:f>'Graf-živočišná produkce'!$E$49</c:f>
              <c:strCache>
                <c:ptCount val="1"/>
                <c:pt idx="0">
                  <c:v>Jatečná drůbež (v t živé hm.)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produkce'!$E$50:$E$67</c:f>
              <c:numCache>
                <c:formatCode>0.0</c:formatCode>
                <c:ptCount val="18"/>
                <c:pt idx="0">
                  <c:v>116.44980079681282</c:v>
                </c:pt>
                <c:pt idx="1">
                  <c:v>124.49561752988049</c:v>
                </c:pt>
                <c:pt idx="2">
                  <c:v>126.12828685258752</c:v>
                </c:pt>
                <c:pt idx="3">
                  <c:v>121.1071713147402</c:v>
                </c:pt>
                <c:pt idx="4">
                  <c:v>123.59561752988049</c:v>
                </c:pt>
                <c:pt idx="5">
                  <c:v>128.28685258964092</c:v>
                </c:pt>
                <c:pt idx="6">
                  <c:v>123.1075697211168</c:v>
                </c:pt>
                <c:pt idx="7">
                  <c:v>119.92031872509961</c:v>
                </c:pt>
                <c:pt idx="8">
                  <c:v>131.07569721115374</c:v>
                </c:pt>
                <c:pt idx="9">
                  <c:v>121.91235059760955</c:v>
                </c:pt>
                <c:pt idx="10">
                  <c:v>100</c:v>
                </c:pt>
                <c:pt idx="11">
                  <c:v>87.565338645418308</c:v>
                </c:pt>
                <c:pt idx="12">
                  <c:v>96.640637450199208</c:v>
                </c:pt>
                <c:pt idx="13">
                  <c:v>92.389641434262941</c:v>
                </c:pt>
                <c:pt idx="14">
                  <c:v>98.492031872508505</c:v>
                </c:pt>
                <c:pt idx="15">
                  <c:v>100.43067729083666</c:v>
                </c:pt>
                <c:pt idx="16">
                  <c:v>96.662948207170658</c:v>
                </c:pt>
                <c:pt idx="17">
                  <c:v>102.49521912350596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5E-4652-9479-CF129821BF3E}"/>
            </c:ext>
          </c:extLst>
        </c:ser>
        <c:ser>
          <c:idx val="2"/>
          <c:order val="4"/>
          <c:tx>
            <c:strRef>
              <c:f>'Graf-živočišná produkce'!$F$49</c:f>
              <c:strCache>
                <c:ptCount val="1"/>
                <c:pt idx="0">
                  <c:v>Výroba tržních ryb (v t živé hm.)</c:v>
                </c:pt>
              </c:strCache>
            </c:strRef>
          </c:tx>
          <c:spPr>
            <a:ln w="19050">
              <a:solidFill>
                <a:srgbClr val="7030A0"/>
              </a:solidFill>
              <a:prstDash val="sysDash"/>
            </a:ln>
          </c:spPr>
          <c:marker>
            <c:symbol val="none"/>
          </c:marker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produkce'!$F$50:$F$67</c:f>
              <c:numCache>
                <c:formatCode>0.0</c:formatCode>
                <c:ptCount val="18"/>
                <c:pt idx="0">
                  <c:v>95.372184133201358</c:v>
                </c:pt>
                <c:pt idx="1">
                  <c:v>98.423114593535729</c:v>
                </c:pt>
                <c:pt idx="2">
                  <c:v>94.074436826638987</c:v>
                </c:pt>
                <c:pt idx="3">
                  <c:v>96.327130264446609</c:v>
                </c:pt>
                <c:pt idx="4">
                  <c:v>94.926542605288915</c:v>
                </c:pt>
                <c:pt idx="5">
                  <c:v>100.1714005876582</c:v>
                </c:pt>
                <c:pt idx="6">
                  <c:v>100.05386875612018</c:v>
                </c:pt>
                <c:pt idx="7">
                  <c:v>100.13222331047965</c:v>
                </c:pt>
                <c:pt idx="8">
                  <c:v>99.877571008814158</c:v>
                </c:pt>
                <c:pt idx="9">
                  <c:v>98.290891283055828</c:v>
                </c:pt>
                <c:pt idx="10">
                  <c:v>100</c:v>
                </c:pt>
                <c:pt idx="11">
                  <c:v>102.88932419196865</c:v>
                </c:pt>
                <c:pt idx="12">
                  <c:v>101.67972575905875</c:v>
                </c:pt>
                <c:pt idx="13">
                  <c:v>94.796767874632678</c:v>
                </c:pt>
                <c:pt idx="14">
                  <c:v>98.604309500488455</c:v>
                </c:pt>
                <c:pt idx="15">
                  <c:v>98.922624877570982</c:v>
                </c:pt>
                <c:pt idx="16">
                  <c:v>102.60528893241776</c:v>
                </c:pt>
                <c:pt idx="17">
                  <c:v>106.19490695396668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95E-4652-9479-CF129821BF3E}"/>
            </c:ext>
          </c:extLst>
        </c:ser>
        <c:ser>
          <c:idx val="5"/>
          <c:order val="5"/>
          <c:tx>
            <c:strRef>
              <c:f>'Graf-živočišná produkce'!$G$49</c:f>
              <c:strCache>
                <c:ptCount val="1"/>
                <c:pt idx="0">
                  <c:v>Výroba mléka (v l)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produkce'!$G$50:$G$67</c:f>
              <c:numCache>
                <c:formatCode>0.0</c:formatCode>
                <c:ptCount val="18"/>
                <c:pt idx="0">
                  <c:v>103.67534456355108</c:v>
                </c:pt>
                <c:pt idx="1">
                  <c:v>103.44563552833102</c:v>
                </c:pt>
                <c:pt idx="2">
                  <c:v>104.44104134762635</c:v>
                </c:pt>
                <c:pt idx="3">
                  <c:v>101.30168453292414</c:v>
                </c:pt>
                <c:pt idx="4">
                  <c:v>99.617151607963265</c:v>
                </c:pt>
                <c:pt idx="5">
                  <c:v>104.86217457886625</c:v>
                </c:pt>
                <c:pt idx="6">
                  <c:v>103.13935681470002</c:v>
                </c:pt>
                <c:pt idx="7">
                  <c:v>102.7565084226638</c:v>
                </c:pt>
                <c:pt idx="8">
                  <c:v>104.44104134762635</c:v>
                </c:pt>
                <c:pt idx="9">
                  <c:v>103.67534456355108</c:v>
                </c:pt>
                <c:pt idx="10">
                  <c:v>100</c:v>
                </c:pt>
                <c:pt idx="11">
                  <c:v>101.97867534456277</c:v>
                </c:pt>
                <c:pt idx="12">
                  <c:v>104.92653139356737</c:v>
                </c:pt>
                <c:pt idx="13">
                  <c:v>106.22205206738055</c:v>
                </c:pt>
                <c:pt idx="14">
                  <c:v>109.3542879019908</c:v>
                </c:pt>
                <c:pt idx="15">
                  <c:v>112.79984686064317</c:v>
                </c:pt>
                <c:pt idx="16">
                  <c:v>114.24712863705973</c:v>
                </c:pt>
                <c:pt idx="17">
                  <c:v>114.78790199081163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95E-4652-9479-CF129821BF3E}"/>
            </c:ext>
          </c:extLst>
        </c:ser>
        <c:ser>
          <c:idx val="4"/>
          <c:order val="6"/>
          <c:tx>
            <c:strRef>
              <c:f>'Graf-živočišná produkce'!$H$49</c:f>
              <c:strCache>
                <c:ptCount val="1"/>
                <c:pt idx="0">
                  <c:v>Snáška vajec (v ks)**</c:v>
                </c:pt>
              </c:strCache>
            </c:strRef>
          </c:tx>
          <c:spPr>
            <a:ln w="19050">
              <a:solidFill>
                <a:srgbClr val="95C3E3"/>
              </a:solidFill>
              <a:prstDash val="solid"/>
            </a:ln>
          </c:spPr>
          <c:marker>
            <c:symbol val="none"/>
          </c:marker>
          <c:dPt>
            <c:idx val="10"/>
            <c:spPr>
              <a:ln w="19050">
                <a:solidFill>
                  <a:srgbClr val="95C3E3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95E-4652-9479-CF129821BF3E}"/>
              </c:ext>
            </c:extLst>
          </c:dPt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produkce'!$H$50:$H$67</c:f>
              <c:numCache>
                <c:formatCode>0.0</c:formatCode>
                <c:ptCount val="18"/>
                <c:pt idx="0">
                  <c:v>144.18823529411608</c:v>
                </c:pt>
                <c:pt idx="1">
                  <c:v>150.11764705882447</c:v>
                </c:pt>
                <c:pt idx="2">
                  <c:v>137.92941176470578</c:v>
                </c:pt>
                <c:pt idx="3">
                  <c:v>133.69411764705882</c:v>
                </c:pt>
                <c:pt idx="4">
                  <c:v>124.84705882352857</c:v>
                </c:pt>
                <c:pt idx="5">
                  <c:v>114.44705882352935</c:v>
                </c:pt>
                <c:pt idx="6">
                  <c:v>116.51764705882353</c:v>
                </c:pt>
                <c:pt idx="7">
                  <c:v>121.2235294117647</c:v>
                </c:pt>
                <c:pt idx="8">
                  <c:v>124.56470588235294</c:v>
                </c:pt>
                <c:pt idx="9">
                  <c:v>121.6</c:v>
                </c:pt>
                <c:pt idx="10">
                  <c:v>100</c:v>
                </c:pt>
                <c:pt idx="11">
                  <c:v>102.03308235294026</c:v>
                </c:pt>
                <c:pt idx="12">
                  <c:v>94.180423529411769</c:v>
                </c:pt>
                <c:pt idx="13">
                  <c:v>101.62536470588238</c:v>
                </c:pt>
                <c:pt idx="14">
                  <c:v>105.29030588235291</c:v>
                </c:pt>
                <c:pt idx="15">
                  <c:v>102.31642352941176</c:v>
                </c:pt>
                <c:pt idx="16">
                  <c:v>101.71040000000002</c:v>
                </c:pt>
                <c:pt idx="17">
                  <c:v>107.48545882352796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95E-4652-9479-CF129821BF3E}"/>
            </c:ext>
          </c:extLst>
        </c:ser>
        <c:ser>
          <c:idx val="6"/>
          <c:order val="7"/>
          <c:tx>
            <c:strRef>
              <c:f>'Graf-živočišná produkce'!$I$49</c:f>
              <c:strCache>
                <c:ptCount val="1"/>
                <c:pt idx="0">
                  <c:v>Výroba medu (v t)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5"/>
            <c:spPr>
              <a:solidFill>
                <a:srgbClr val="FFFF00"/>
              </a:solidFill>
              <a:ln w="6350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numRef>
              <c:f>'Graf-živočišná produkce'!$A$50:$A$67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'Graf-živočišná produkce'!$I$50:$I$67</c:f>
              <c:numCache>
                <c:formatCode>0.0</c:formatCode>
                <c:ptCount val="18"/>
                <c:pt idx="0">
                  <c:v>101.31455399061137</c:v>
                </c:pt>
                <c:pt idx="1">
                  <c:v>83.581488933600326</c:v>
                </c:pt>
                <c:pt idx="2">
                  <c:v>75.975855130783074</c:v>
                </c:pt>
                <c:pt idx="3">
                  <c:v>84.547283702214216</c:v>
                </c:pt>
                <c:pt idx="4">
                  <c:v>103.79610999329388</c:v>
                </c:pt>
                <c:pt idx="5">
                  <c:v>112.28705566733878</c:v>
                </c:pt>
                <c:pt idx="6">
                  <c:v>121.81086519114687</c:v>
                </c:pt>
                <c:pt idx="7">
                  <c:v>113.57478202548478</c:v>
                </c:pt>
                <c:pt idx="8">
                  <c:v>81.542588866531489</c:v>
                </c:pt>
                <c:pt idx="9">
                  <c:v>92.448021462106027</c:v>
                </c:pt>
                <c:pt idx="10">
                  <c:v>100</c:v>
                </c:pt>
                <c:pt idx="11">
                  <c:v>151.59691482226691</c:v>
                </c:pt>
                <c:pt idx="12">
                  <c:v>98.348571428571418</c:v>
                </c:pt>
                <c:pt idx="13">
                  <c:v>108.15631120053555</c:v>
                </c:pt>
                <c:pt idx="14">
                  <c:v>96.076485580147562</c:v>
                </c:pt>
                <c:pt idx="15">
                  <c:v>123.78399731723597</c:v>
                </c:pt>
                <c:pt idx="16">
                  <c:v>135.65847082494977</c:v>
                </c:pt>
                <c:pt idx="17">
                  <c:v>125.61986586183772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95E-4652-9479-CF129821BF3E}"/>
            </c:ext>
          </c:extLst>
        </c:ser>
        <c:marker val="1"/>
        <c:axId val="141632640"/>
        <c:axId val="141634560"/>
      </c:lineChart>
      <c:catAx>
        <c:axId val="141632640"/>
        <c:scaling>
          <c:orientation val="minMax"/>
        </c:scaling>
        <c:axPos val="b"/>
        <c:numFmt formatCode="General" sourceLinked="1"/>
        <c:majorTickMark val="none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41634560"/>
        <c:crossesAt val="100"/>
        <c:lblAlgn val="ctr"/>
        <c:lblOffset val="0"/>
        <c:tickLblSkip val="1"/>
        <c:tickMarkSkip val="4"/>
      </c:catAx>
      <c:valAx>
        <c:axId val="141634560"/>
        <c:scaling>
          <c:orientation val="minMax"/>
          <c:max val="161"/>
          <c:min val="7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41632640"/>
        <c:crosses val="autoZero"/>
        <c:crossBetween val="midCat"/>
        <c:majorUnit val="10"/>
      </c:val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6301113485430718E-2"/>
          <c:y val="0.85426770235280869"/>
          <c:w val="0.91178209009442779"/>
          <c:h val="0.13500956883935605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493E-2"/>
          <c:y val="1.4865958640208491E-2"/>
          <c:w val="0.92433548575002356"/>
          <c:h val="0.69946438451065485"/>
        </c:manualLayout>
      </c:layout>
      <c:barChart>
        <c:barDir val="col"/>
        <c:grouping val="clustered"/>
        <c:ser>
          <c:idx val="0"/>
          <c:order val="0"/>
          <c:tx>
            <c:strRef>
              <c:f>'Graf-Zahr.obchod'!$C$68</c:f>
              <c:strCache>
                <c:ptCount val="1"/>
                <c:pt idx="0">
                  <c:v>Bilance se všemi státy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dPt>
            <c:idx val="1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B9B-4FD0-98AE-4854CD1EDC9A}"/>
              </c:ext>
            </c:extLst>
          </c:dPt>
          <c:dPt>
            <c:idx val="2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9B-4FD0-98AE-4854CD1EDC9A}"/>
              </c:ext>
            </c:extLst>
          </c:dPt>
          <c:dPt>
            <c:idx val="3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B9B-4FD0-98AE-4854CD1EDC9A}"/>
              </c:ext>
            </c:extLst>
          </c:dPt>
          <c:dPt>
            <c:idx val="4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9B-4FD0-98AE-4854CD1EDC9A}"/>
              </c:ext>
            </c:extLst>
          </c:dPt>
          <c:dPt>
            <c:idx val="7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B-4FD0-98AE-4854CD1EDC9A}"/>
              </c:ext>
            </c:extLst>
          </c:dPt>
          <c:dPt>
            <c:idx val="8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B9B-4FD0-98AE-4854CD1EDC9A}"/>
              </c:ext>
            </c:extLst>
          </c:dPt>
          <c:dPt>
            <c:idx val="9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B9B-4FD0-98AE-4854CD1EDC9A}"/>
              </c:ext>
            </c:extLst>
          </c:dPt>
          <c:dPt>
            <c:idx val="10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B9B-4FD0-98AE-4854CD1EDC9A}"/>
              </c:ext>
            </c:extLst>
          </c:dPt>
          <c:dPt>
            <c:idx val="13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B9B-4FD0-98AE-4854CD1EDC9A}"/>
              </c:ext>
            </c:extLst>
          </c:dPt>
          <c:dPt>
            <c:idx val="14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B9B-4FD0-98AE-4854CD1EDC9A}"/>
              </c:ext>
            </c:extLst>
          </c:dPt>
          <c:dPt>
            <c:idx val="15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6B9B-4FD0-98AE-4854CD1EDC9A}"/>
              </c:ext>
            </c:extLst>
          </c:dPt>
          <c:dPt>
            <c:idx val="16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B9B-4FD0-98AE-4854CD1EDC9A}"/>
              </c:ext>
            </c:extLst>
          </c:dPt>
          <c:dPt>
            <c:idx val="19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6B9B-4FD0-98AE-4854CD1EDC9A}"/>
              </c:ext>
            </c:extLst>
          </c:dPt>
          <c:dPt>
            <c:idx val="20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B9B-4FD0-98AE-4854CD1EDC9A}"/>
              </c:ext>
            </c:extLst>
          </c:dPt>
          <c:dPt>
            <c:idx val="21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6B9B-4FD0-98AE-4854CD1EDC9A}"/>
              </c:ext>
            </c:extLst>
          </c:dPt>
          <c:dPt>
            <c:idx val="22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B9B-4FD0-98AE-4854CD1EDC9A}"/>
              </c:ext>
            </c:extLst>
          </c:dPt>
          <c:dPt>
            <c:idx val="25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6B9B-4FD0-98AE-4854CD1EDC9A}"/>
              </c:ext>
            </c:extLst>
          </c:dPt>
          <c:dPt>
            <c:idx val="26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B9B-4FD0-98AE-4854CD1EDC9A}"/>
              </c:ext>
            </c:extLst>
          </c:dPt>
          <c:dPt>
            <c:idx val="27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6B9B-4FD0-98AE-4854CD1EDC9A}"/>
              </c:ext>
            </c:extLst>
          </c:dPt>
          <c:dPt>
            <c:idx val="28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B9B-4FD0-98AE-4854CD1EDC9A}"/>
              </c:ext>
            </c:extLst>
          </c:dPt>
          <c:dPt>
            <c:idx val="31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6B9B-4FD0-98AE-4854CD1EDC9A}"/>
              </c:ext>
            </c:extLst>
          </c:dPt>
          <c:dPt>
            <c:idx val="32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6B9B-4FD0-98AE-4854CD1EDC9A}"/>
              </c:ext>
            </c:extLst>
          </c:dPt>
          <c:dPt>
            <c:idx val="33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6B9B-4FD0-98AE-4854CD1EDC9A}"/>
              </c:ext>
            </c:extLst>
          </c:dPt>
          <c:dPt>
            <c:idx val="34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6B9B-4FD0-98AE-4854CD1EDC9A}"/>
              </c:ext>
            </c:extLst>
          </c:dPt>
          <c:dPt>
            <c:idx val="37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6B9B-4FD0-98AE-4854CD1EDC9A}"/>
              </c:ext>
            </c:extLst>
          </c:dPt>
          <c:dPt>
            <c:idx val="38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6B9B-4FD0-98AE-4854CD1EDC9A}"/>
              </c:ext>
            </c:extLst>
          </c:dPt>
          <c:dPt>
            <c:idx val="39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6B9B-4FD0-98AE-4854CD1EDC9A}"/>
              </c:ext>
            </c:extLst>
          </c:dPt>
          <c:dPt>
            <c:idx val="40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6B9B-4FD0-98AE-4854CD1EDC9A}"/>
              </c:ext>
            </c:extLst>
          </c:dPt>
          <c:dPt>
            <c:idx val="43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6B9B-4FD0-98AE-4854CD1EDC9A}"/>
              </c:ext>
            </c:extLst>
          </c:dPt>
          <c:dPt>
            <c:idx val="44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6B9B-4FD0-98AE-4854CD1EDC9A}"/>
              </c:ext>
            </c:extLst>
          </c:dPt>
          <c:dPt>
            <c:idx val="45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6B9B-4FD0-98AE-4854CD1EDC9A}"/>
              </c:ext>
            </c:extLst>
          </c:dPt>
          <c:dPt>
            <c:idx val="46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6B9B-4FD0-98AE-4854CD1EDC9A}"/>
              </c:ext>
            </c:extLst>
          </c:dPt>
          <c:dPt>
            <c:idx val="49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6B9B-4FD0-98AE-4854CD1EDC9A}"/>
              </c:ext>
            </c:extLst>
          </c:dPt>
          <c:dPt>
            <c:idx val="50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6B9B-4FD0-98AE-4854CD1EDC9A}"/>
              </c:ext>
            </c:extLst>
          </c:dPt>
          <c:dPt>
            <c:idx val="51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6B9B-4FD0-98AE-4854CD1EDC9A}"/>
              </c:ext>
            </c:extLst>
          </c:dPt>
          <c:dPt>
            <c:idx val="52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6B9B-4FD0-98AE-4854CD1EDC9A}"/>
              </c:ext>
            </c:extLst>
          </c:dPt>
          <c:dPt>
            <c:idx val="55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6B9B-4FD0-98AE-4854CD1EDC9A}"/>
              </c:ext>
            </c:extLst>
          </c:dPt>
          <c:dPt>
            <c:idx val="56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6B9B-4FD0-98AE-4854CD1EDC9A}"/>
              </c:ext>
            </c:extLst>
          </c:dPt>
          <c:dPt>
            <c:idx val="57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6-6B9B-4FD0-98AE-4854CD1EDC9A}"/>
              </c:ext>
            </c:extLst>
          </c:dPt>
          <c:dPt>
            <c:idx val="58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6B9B-4FD0-98AE-4854CD1EDC9A}"/>
              </c:ext>
            </c:extLst>
          </c:dPt>
          <c:dPt>
            <c:idx val="61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8-6B9B-4FD0-98AE-4854CD1EDC9A}"/>
              </c:ext>
            </c:extLst>
          </c:dPt>
          <c:dPt>
            <c:idx val="62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6B9B-4FD0-98AE-4854CD1EDC9A}"/>
              </c:ext>
            </c:extLst>
          </c:dPt>
          <c:dPt>
            <c:idx val="63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A-6B9B-4FD0-98AE-4854CD1EDC9A}"/>
              </c:ext>
            </c:extLst>
          </c:dPt>
          <c:dPt>
            <c:idx val="64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6B9B-4FD0-98AE-4854CD1EDC9A}"/>
              </c:ext>
            </c:extLst>
          </c:dPt>
          <c:dPt>
            <c:idx val="67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C-6B9B-4FD0-98AE-4854CD1EDC9A}"/>
              </c:ext>
            </c:extLst>
          </c:dPt>
          <c:dPt>
            <c:idx val="68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6B9B-4FD0-98AE-4854CD1EDC9A}"/>
              </c:ext>
            </c:extLst>
          </c:dPt>
          <c:dPt>
            <c:idx val="69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E-6B9B-4FD0-98AE-4854CD1EDC9A}"/>
              </c:ext>
            </c:extLst>
          </c:dPt>
          <c:dPt>
            <c:idx val="70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6B9B-4FD0-98AE-4854CD1EDC9A}"/>
              </c:ext>
            </c:extLst>
          </c:dPt>
          <c:dPt>
            <c:idx val="73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0-6B9B-4FD0-98AE-4854CD1EDC9A}"/>
              </c:ext>
            </c:extLst>
          </c:dPt>
          <c:dPt>
            <c:idx val="74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6B9B-4FD0-98AE-4854CD1EDC9A}"/>
              </c:ext>
            </c:extLst>
          </c:dPt>
          <c:dPt>
            <c:idx val="75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2-6B9B-4FD0-98AE-4854CD1EDC9A}"/>
              </c:ext>
            </c:extLst>
          </c:dPt>
          <c:dPt>
            <c:idx val="76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6B9B-4FD0-98AE-4854CD1EDC9A}"/>
              </c:ext>
            </c:extLst>
          </c:dPt>
          <c:dPt>
            <c:idx val="79"/>
            <c:spPr>
              <a:solidFill>
                <a:srgbClr val="D2E7B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4-6B9B-4FD0-98AE-4854CD1EDC9A}"/>
              </c:ext>
            </c:extLst>
          </c:dPt>
          <c:dPt>
            <c:idx val="80"/>
            <c:spPr>
              <a:solidFill>
                <a:srgbClr val="BFE3F7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6B9B-4FD0-98AE-4854CD1EDC9A}"/>
              </c:ext>
            </c:extLst>
          </c:dPt>
          <c:dPt>
            <c:idx val="81"/>
            <c:spPr>
              <a:solidFill>
                <a:srgbClr val="95C3E3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6-6B9B-4FD0-98AE-4854CD1EDC9A}"/>
              </c:ext>
            </c:extLst>
          </c:dPt>
          <c:dPt>
            <c:idx val="82"/>
            <c:spPr>
              <a:solidFill>
                <a:srgbClr val="BCA6E8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6B9B-4FD0-98AE-4854CD1EDC9A}"/>
              </c:ext>
            </c:extLst>
          </c:dPt>
          <c:cat>
            <c:strRef>
              <c:f>'Graf-Zahr.obchod'!$B$69:$B$152</c:f>
              <c:strCache>
                <c:ptCount val="81"/>
                <c:pt idx="0">
                  <c:v>Živá</c:v>
                </c:pt>
                <c:pt idx="2">
                  <c:v>zvířata</c:v>
                </c:pt>
                <c:pt idx="6">
                  <c:v>Maso a masné</c:v>
                </c:pt>
                <c:pt idx="8">
                  <c:v>výrobky</c:v>
                </c:pt>
                <c:pt idx="12">
                  <c:v>Mléčné výrobky </c:v>
                </c:pt>
                <c:pt idx="14">
                  <c:v>a vejce</c:v>
                </c:pt>
                <c:pt idx="18">
                  <c:v>Ryby, korýši 
</c:v>
                </c:pt>
                <c:pt idx="20">
                  <c:v>a měkkýši</c:v>
                </c:pt>
                <c:pt idx="24">
                  <c:v>Obiloviny  a</c:v>
                </c:pt>
                <c:pt idx="26">
                  <c:v>obilné výrobky</c:v>
                </c:pt>
                <c:pt idx="30">
                  <c:v>Zelenina</c:v>
                </c:pt>
                <c:pt idx="32">
                  <c:v>a ovoce</c:v>
                </c:pt>
                <c:pt idx="36">
                  <c:v>Cukr, výrobky 
</c:v>
                </c:pt>
                <c:pt idx="38">
                  <c:v>z cukru a med</c:v>
                </c:pt>
                <c:pt idx="42">
                  <c:v>Káva, čaj, </c:v>
                </c:pt>
                <c:pt idx="44">
                  <c:v>kakao, koření</c:v>
                </c:pt>
                <c:pt idx="48">
                  <c:v>Krmiva </c:v>
                </c:pt>
                <c:pt idx="50">
                  <c:v>pro zvířata*</c:v>
                </c:pt>
                <c:pt idx="54">
                  <c:v>Jedlé výrobky</c:v>
                </c:pt>
                <c:pt idx="56">
                  <c:v>a přípravky**</c:v>
                </c:pt>
                <c:pt idx="61">
                  <c:v>Nápoje</c:v>
                </c:pt>
                <c:pt idx="66">
                  <c:v>Tabák a</c:v>
                </c:pt>
                <c:pt idx="68">
                  <c:v>tabák.výrobky</c:v>
                </c:pt>
                <c:pt idx="72">
                  <c:v>Olejnatá</c:v>
                </c:pt>
                <c:pt idx="74">
                  <c:v>semena a plody</c:v>
                </c:pt>
                <c:pt idx="78">
                  <c:v>Korek</c:v>
                </c:pt>
                <c:pt idx="80">
                  <c:v>a dřevo</c:v>
                </c:pt>
              </c:strCache>
            </c:strRef>
          </c:cat>
          <c:val>
            <c:numRef>
              <c:f>'Graf-Zahr.obchod'!$C$69:$C$152</c:f>
              <c:numCache>
                <c:formatCode>#,##0.0</c:formatCode>
                <c:ptCount val="84"/>
                <c:pt idx="0">
                  <c:v>5.3188869999999655</c:v>
                </c:pt>
                <c:pt idx="1">
                  <c:v>6.0343359999999855</c:v>
                </c:pt>
                <c:pt idx="2">
                  <c:v>7.0361380000000002</c:v>
                </c:pt>
                <c:pt idx="3">
                  <c:v>7.2412090000000724</c:v>
                </c:pt>
                <c:pt idx="4">
                  <c:v>7.1527349999999297</c:v>
                </c:pt>
                <c:pt idx="6">
                  <c:v>-16.264478999999987</c:v>
                </c:pt>
                <c:pt idx="7">
                  <c:v>-17.438032999999738</c:v>
                </c:pt>
                <c:pt idx="8">
                  <c:v>-18.207567999999988</c:v>
                </c:pt>
                <c:pt idx="9">
                  <c:v>-19.154689999999999</c:v>
                </c:pt>
                <c:pt idx="10">
                  <c:v>-22.106666000000001</c:v>
                </c:pt>
                <c:pt idx="12">
                  <c:v>4.3154599999999945</c:v>
                </c:pt>
                <c:pt idx="13">
                  <c:v>5.0176910000000001</c:v>
                </c:pt>
                <c:pt idx="14">
                  <c:v>3.3604559999999664</c:v>
                </c:pt>
                <c:pt idx="15">
                  <c:v>2.0495730000000001</c:v>
                </c:pt>
                <c:pt idx="16">
                  <c:v>3.6277820000000012</c:v>
                </c:pt>
                <c:pt idx="18">
                  <c:v>-2.4911859999999977</c:v>
                </c:pt>
                <c:pt idx="19">
                  <c:v>-2.7032380000000011</c:v>
                </c:pt>
                <c:pt idx="20">
                  <c:v>-2.9756399999999967</c:v>
                </c:pt>
                <c:pt idx="21">
                  <c:v>-2.860684</c:v>
                </c:pt>
                <c:pt idx="22">
                  <c:v>-3.2724579999999968</c:v>
                </c:pt>
                <c:pt idx="24">
                  <c:v>11.092605000000002</c:v>
                </c:pt>
                <c:pt idx="25">
                  <c:v>13.910312999999999</c:v>
                </c:pt>
                <c:pt idx="26">
                  <c:v>15.198913999999998</c:v>
                </c:pt>
                <c:pt idx="27">
                  <c:v>16.309348</c:v>
                </c:pt>
                <c:pt idx="28">
                  <c:v>15.360332000000026</c:v>
                </c:pt>
                <c:pt idx="30">
                  <c:v>-22.333016000000001</c:v>
                </c:pt>
                <c:pt idx="31">
                  <c:v>-23.533365000000035</c:v>
                </c:pt>
                <c:pt idx="32">
                  <c:v>-26.989492999999669</c:v>
                </c:pt>
                <c:pt idx="33">
                  <c:v>-29.242657999999889</c:v>
                </c:pt>
                <c:pt idx="34">
                  <c:v>-30.916378999999999</c:v>
                </c:pt>
                <c:pt idx="36">
                  <c:v>2.9273799999999999</c:v>
                </c:pt>
                <c:pt idx="37">
                  <c:v>2.0212859999999977</c:v>
                </c:pt>
                <c:pt idx="38">
                  <c:v>2.0952319999999998</c:v>
                </c:pt>
                <c:pt idx="39">
                  <c:v>2.9336069999999967</c:v>
                </c:pt>
                <c:pt idx="40">
                  <c:v>2.5046519999999997</c:v>
                </c:pt>
                <c:pt idx="42">
                  <c:v>-5.8929329999999656</c:v>
                </c:pt>
                <c:pt idx="43">
                  <c:v>-6.5880939999999999</c:v>
                </c:pt>
                <c:pt idx="44">
                  <c:v>-6.7027580000000002</c:v>
                </c:pt>
                <c:pt idx="45">
                  <c:v>-7.2983469999999997</c:v>
                </c:pt>
                <c:pt idx="46">
                  <c:v>-7.2968460000000004</c:v>
                </c:pt>
                <c:pt idx="48">
                  <c:v>-2.561461</c:v>
                </c:pt>
                <c:pt idx="49">
                  <c:v>-1.576241</c:v>
                </c:pt>
                <c:pt idx="50">
                  <c:v>-1.578363</c:v>
                </c:pt>
                <c:pt idx="51">
                  <c:v>9.2329000000000022E-2</c:v>
                </c:pt>
                <c:pt idx="52">
                  <c:v>0.27881300000000031</c:v>
                </c:pt>
                <c:pt idx="54">
                  <c:v>-3.7848199999999999</c:v>
                </c:pt>
                <c:pt idx="55">
                  <c:v>-3.406739</c:v>
                </c:pt>
                <c:pt idx="56">
                  <c:v>-2.905764</c:v>
                </c:pt>
                <c:pt idx="57">
                  <c:v>-2.6768239999999968</c:v>
                </c:pt>
                <c:pt idx="58">
                  <c:v>-3.2638029999999998</c:v>
                </c:pt>
                <c:pt idx="60">
                  <c:v>-0.13969899999999999</c:v>
                </c:pt>
                <c:pt idx="61">
                  <c:v>0.54495899999999997</c:v>
                </c:pt>
                <c:pt idx="62">
                  <c:v>0.54479200000000005</c:v>
                </c:pt>
                <c:pt idx="63">
                  <c:v>0.13543400000000044</c:v>
                </c:pt>
                <c:pt idx="64">
                  <c:v>-0.96126800000000001</c:v>
                </c:pt>
                <c:pt idx="66">
                  <c:v>2.904004</c:v>
                </c:pt>
                <c:pt idx="67">
                  <c:v>7.0041739999999955</c:v>
                </c:pt>
                <c:pt idx="68">
                  <c:v>9.2493279999999949</c:v>
                </c:pt>
                <c:pt idx="69">
                  <c:v>10.349094000000004</c:v>
                </c:pt>
                <c:pt idx="70">
                  <c:v>9.7817119999999989</c:v>
                </c:pt>
                <c:pt idx="72">
                  <c:v>3.7379709999999999</c:v>
                </c:pt>
                <c:pt idx="73">
                  <c:v>2.8983349999999999</c:v>
                </c:pt>
                <c:pt idx="74">
                  <c:v>3.9082910000000002</c:v>
                </c:pt>
                <c:pt idx="75">
                  <c:v>0.79710999999999999</c:v>
                </c:pt>
                <c:pt idx="76">
                  <c:v>-0.39205000000000345</c:v>
                </c:pt>
                <c:pt idx="78">
                  <c:v>12.021656</c:v>
                </c:pt>
                <c:pt idx="79">
                  <c:v>12.688187999999998</c:v>
                </c:pt>
                <c:pt idx="80">
                  <c:v>11.61674</c:v>
                </c:pt>
                <c:pt idx="81">
                  <c:v>13.84064</c:v>
                </c:pt>
                <c:pt idx="82">
                  <c:v>15.396656000000114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8-6B9B-4FD0-98AE-4854CD1EDC9A}"/>
            </c:ext>
          </c:extLst>
        </c:ser>
        <c:gapWidth val="0"/>
        <c:axId val="141954432"/>
        <c:axId val="142010624"/>
      </c:barChart>
      <c:lineChart>
        <c:grouping val="standard"/>
        <c:ser>
          <c:idx val="3"/>
          <c:order val="1"/>
          <c:tx>
            <c:strRef>
              <c:f>'Graf-Zahr.obchod'!$D$68</c:f>
              <c:strCache>
                <c:ptCount val="1"/>
                <c:pt idx="0">
                  <c:v>z toho se státy EU28</c:v>
                </c:pt>
              </c:strCache>
            </c:strRef>
          </c:tx>
          <c:spPr>
            <a:ln w="3175">
              <a:noFill/>
              <a:prstDash val="solid"/>
            </a:ln>
          </c:spPr>
          <c:marker>
            <c:symbol val="dash"/>
            <c:size val="6"/>
            <c:spPr>
              <a:solidFill>
                <a:schemeClr val="tx1">
                  <a:lumMod val="95000"/>
                  <a:lumOff val="5000"/>
                </a:schemeClr>
              </a:solidFill>
              <a:ln w="6350">
                <a:noFill/>
              </a:ln>
            </c:spPr>
          </c:marker>
          <c:cat>
            <c:strRef>
              <c:f>'Graf-Zahr.obchod'!$B$69:$B$152</c:f>
              <c:strCache>
                <c:ptCount val="81"/>
                <c:pt idx="0">
                  <c:v>Živá</c:v>
                </c:pt>
                <c:pt idx="2">
                  <c:v>zvířata</c:v>
                </c:pt>
                <c:pt idx="6">
                  <c:v>Maso a masné</c:v>
                </c:pt>
                <c:pt idx="8">
                  <c:v>výrobky</c:v>
                </c:pt>
                <c:pt idx="12">
                  <c:v>Mléčné výrobky </c:v>
                </c:pt>
                <c:pt idx="14">
                  <c:v>a vejce</c:v>
                </c:pt>
                <c:pt idx="18">
                  <c:v>Ryby, korýši 
</c:v>
                </c:pt>
                <c:pt idx="20">
                  <c:v>a měkkýši</c:v>
                </c:pt>
                <c:pt idx="24">
                  <c:v>Obiloviny  a</c:v>
                </c:pt>
                <c:pt idx="26">
                  <c:v>obilné výrobky</c:v>
                </c:pt>
                <c:pt idx="30">
                  <c:v>Zelenina</c:v>
                </c:pt>
                <c:pt idx="32">
                  <c:v>a ovoce</c:v>
                </c:pt>
                <c:pt idx="36">
                  <c:v>Cukr, výrobky 
</c:v>
                </c:pt>
                <c:pt idx="38">
                  <c:v>z cukru a med</c:v>
                </c:pt>
                <c:pt idx="42">
                  <c:v>Káva, čaj, </c:v>
                </c:pt>
                <c:pt idx="44">
                  <c:v>kakao, koření</c:v>
                </c:pt>
                <c:pt idx="48">
                  <c:v>Krmiva </c:v>
                </c:pt>
                <c:pt idx="50">
                  <c:v>pro zvířata*</c:v>
                </c:pt>
                <c:pt idx="54">
                  <c:v>Jedlé výrobky</c:v>
                </c:pt>
                <c:pt idx="56">
                  <c:v>a přípravky**</c:v>
                </c:pt>
                <c:pt idx="61">
                  <c:v>Nápoje</c:v>
                </c:pt>
                <c:pt idx="66">
                  <c:v>Tabák a</c:v>
                </c:pt>
                <c:pt idx="68">
                  <c:v>tabák.výrobky</c:v>
                </c:pt>
                <c:pt idx="72">
                  <c:v>Olejnatá</c:v>
                </c:pt>
                <c:pt idx="74">
                  <c:v>semena a plody</c:v>
                </c:pt>
                <c:pt idx="78">
                  <c:v>Korek</c:v>
                </c:pt>
                <c:pt idx="80">
                  <c:v>a dřevo</c:v>
                </c:pt>
              </c:strCache>
            </c:strRef>
          </c:cat>
          <c:val>
            <c:numRef>
              <c:f>'Graf-Zahr.obchod'!$D$69:$D$152</c:f>
              <c:numCache>
                <c:formatCode>##,###,###,###,##0.0</c:formatCode>
                <c:ptCount val="84"/>
                <c:pt idx="0">
                  <c:v>4.8506689999999999</c:v>
                </c:pt>
                <c:pt idx="1">
                  <c:v>5.4343199999999996</c:v>
                </c:pt>
                <c:pt idx="2">
                  <c:v>5.7758589999999996</c:v>
                </c:pt>
                <c:pt idx="3">
                  <c:v>5.8960859999999755</c:v>
                </c:pt>
                <c:pt idx="4">
                  <c:v>5.8704849999999755</c:v>
                </c:pt>
                <c:pt idx="6">
                  <c:v>-14.011627000000001</c:v>
                </c:pt>
                <c:pt idx="7">
                  <c:v>-15.165462000000026</c:v>
                </c:pt>
                <c:pt idx="8">
                  <c:v>-15.420634000000026</c:v>
                </c:pt>
                <c:pt idx="9">
                  <c:v>-17.217918000000232</c:v>
                </c:pt>
                <c:pt idx="10">
                  <c:v>-20.930758000000001</c:v>
                </c:pt>
                <c:pt idx="12">
                  <c:v>1.4067209999999863</c:v>
                </c:pt>
                <c:pt idx="13">
                  <c:v>1.5660259999999999</c:v>
                </c:pt>
                <c:pt idx="14">
                  <c:v>0.51431699999999081</c:v>
                </c:pt>
                <c:pt idx="15">
                  <c:v>-0.48172000000000031</c:v>
                </c:pt>
                <c:pt idx="16">
                  <c:v>0.86970400000000792</c:v>
                </c:pt>
                <c:pt idx="18">
                  <c:v>0.22703699999999999</c:v>
                </c:pt>
                <c:pt idx="19">
                  <c:v>0.37536200000000453</c:v>
                </c:pt>
                <c:pt idx="20">
                  <c:v>0.36896800000000396</c:v>
                </c:pt>
                <c:pt idx="21">
                  <c:v>0.83089900000000794</c:v>
                </c:pt>
                <c:pt idx="22">
                  <c:v>0.63564700000000907</c:v>
                </c:pt>
                <c:pt idx="24">
                  <c:v>10.412808</c:v>
                </c:pt>
                <c:pt idx="25">
                  <c:v>13.458453</c:v>
                </c:pt>
                <c:pt idx="26">
                  <c:v>14.822885000000024</c:v>
                </c:pt>
                <c:pt idx="27">
                  <c:v>15.71388</c:v>
                </c:pt>
                <c:pt idx="28">
                  <c:v>14.726216999999998</c:v>
                </c:pt>
                <c:pt idx="30">
                  <c:v>-14.96786</c:v>
                </c:pt>
                <c:pt idx="31">
                  <c:v>-15.571566000000002</c:v>
                </c:pt>
                <c:pt idx="32">
                  <c:v>-17.345320999999789</c:v>
                </c:pt>
                <c:pt idx="33">
                  <c:v>-18.949088</c:v>
                </c:pt>
                <c:pt idx="34">
                  <c:v>-20.934493</c:v>
                </c:pt>
                <c:pt idx="36">
                  <c:v>1.9816860000000001</c:v>
                </c:pt>
                <c:pt idx="37">
                  <c:v>1.2816159999999999</c:v>
                </c:pt>
                <c:pt idx="38">
                  <c:v>1.124503</c:v>
                </c:pt>
                <c:pt idx="39">
                  <c:v>1.533102</c:v>
                </c:pt>
                <c:pt idx="40">
                  <c:v>1.416417</c:v>
                </c:pt>
                <c:pt idx="42">
                  <c:v>-4.1733229999999999</c:v>
                </c:pt>
                <c:pt idx="43">
                  <c:v>-4.5970680000000002</c:v>
                </c:pt>
                <c:pt idx="44">
                  <c:v>-3.3471609999999998</c:v>
                </c:pt>
                <c:pt idx="45">
                  <c:v>-4.2213580000000004</c:v>
                </c:pt>
                <c:pt idx="46">
                  <c:v>-4.929932</c:v>
                </c:pt>
                <c:pt idx="48">
                  <c:v>-2.4448840000000001</c:v>
                </c:pt>
                <c:pt idx="49">
                  <c:v>-1.8083400000000001</c:v>
                </c:pt>
                <c:pt idx="50">
                  <c:v>-1.5381929999999999</c:v>
                </c:pt>
                <c:pt idx="51">
                  <c:v>-0.21574400000000249</c:v>
                </c:pt>
                <c:pt idx="52">
                  <c:v>-0.23049400000000173</c:v>
                </c:pt>
                <c:pt idx="54">
                  <c:v>-2.3393049999999977</c:v>
                </c:pt>
                <c:pt idx="55">
                  <c:v>-1.7893089999999998</c:v>
                </c:pt>
                <c:pt idx="56">
                  <c:v>-1.1752570000000135</c:v>
                </c:pt>
                <c:pt idx="57">
                  <c:v>-1.0101169999999999</c:v>
                </c:pt>
                <c:pt idx="58">
                  <c:v>-1.8132359999999998</c:v>
                </c:pt>
                <c:pt idx="60">
                  <c:v>-0.30900000000000138</c:v>
                </c:pt>
                <c:pt idx="61">
                  <c:v>0.45942300000000008</c:v>
                </c:pt>
                <c:pt idx="62">
                  <c:v>0.63140399999999997</c:v>
                </c:pt>
                <c:pt idx="63">
                  <c:v>0.35959400000000002</c:v>
                </c:pt>
                <c:pt idx="64">
                  <c:v>-0.54854700000000001</c:v>
                </c:pt>
                <c:pt idx="66">
                  <c:v>3.5092459999999663</c:v>
                </c:pt>
                <c:pt idx="67">
                  <c:v>7.9441309999999845</c:v>
                </c:pt>
                <c:pt idx="68">
                  <c:v>8.5389429999999997</c:v>
                </c:pt>
                <c:pt idx="69">
                  <c:v>10.060480000000076</c:v>
                </c:pt>
                <c:pt idx="70">
                  <c:v>11.094244</c:v>
                </c:pt>
                <c:pt idx="72">
                  <c:v>3.8380239999999977</c:v>
                </c:pt>
                <c:pt idx="73">
                  <c:v>2.9245610000000002</c:v>
                </c:pt>
                <c:pt idx="74">
                  <c:v>3.8696079999999977</c:v>
                </c:pt>
                <c:pt idx="75">
                  <c:v>0.84355500000000005</c:v>
                </c:pt>
                <c:pt idx="76">
                  <c:v>-0.38880200000000464</c:v>
                </c:pt>
                <c:pt idx="78">
                  <c:v>11.182120999999999</c:v>
                </c:pt>
                <c:pt idx="79">
                  <c:v>11.706940999999999</c:v>
                </c:pt>
                <c:pt idx="80">
                  <c:v>11.567540000000006</c:v>
                </c:pt>
                <c:pt idx="81">
                  <c:v>13.831246</c:v>
                </c:pt>
                <c:pt idx="82">
                  <c:v>14.425968000000001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9-6B9B-4FD0-98AE-4854CD1EDC9A}"/>
            </c:ext>
          </c:extLst>
        </c:ser>
        <c:ser>
          <c:idx val="1"/>
          <c:order val="2"/>
          <c:tx>
            <c:strRef>
              <c:f>'Graf-Zahr.obchod'!$E$68</c:f>
              <c:strCache>
                <c:ptCount val="1"/>
                <c:pt idx="0">
                  <c:v>z toho s Německem a Rakouskem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srgbClr val="002060"/>
                </a:solidFill>
              </a:ln>
            </c:spPr>
          </c:marker>
          <c:cat>
            <c:strRef>
              <c:f>'Graf-Zahr.obchod'!$B$69:$B$152</c:f>
              <c:strCache>
                <c:ptCount val="81"/>
                <c:pt idx="0">
                  <c:v>Živá</c:v>
                </c:pt>
                <c:pt idx="2">
                  <c:v>zvířata</c:v>
                </c:pt>
                <c:pt idx="6">
                  <c:v>Maso a masné</c:v>
                </c:pt>
                <c:pt idx="8">
                  <c:v>výrobky</c:v>
                </c:pt>
                <c:pt idx="12">
                  <c:v>Mléčné výrobky </c:v>
                </c:pt>
                <c:pt idx="14">
                  <c:v>a vejce</c:v>
                </c:pt>
                <c:pt idx="18">
                  <c:v>Ryby, korýši 
</c:v>
                </c:pt>
                <c:pt idx="20">
                  <c:v>a měkkýši</c:v>
                </c:pt>
                <c:pt idx="24">
                  <c:v>Obiloviny  a</c:v>
                </c:pt>
                <c:pt idx="26">
                  <c:v>obilné výrobky</c:v>
                </c:pt>
                <c:pt idx="30">
                  <c:v>Zelenina</c:v>
                </c:pt>
                <c:pt idx="32">
                  <c:v>a ovoce</c:v>
                </c:pt>
                <c:pt idx="36">
                  <c:v>Cukr, výrobky 
</c:v>
                </c:pt>
                <c:pt idx="38">
                  <c:v>z cukru a med</c:v>
                </c:pt>
                <c:pt idx="42">
                  <c:v>Káva, čaj, </c:v>
                </c:pt>
                <c:pt idx="44">
                  <c:v>kakao, koření</c:v>
                </c:pt>
                <c:pt idx="48">
                  <c:v>Krmiva </c:v>
                </c:pt>
                <c:pt idx="50">
                  <c:v>pro zvířata*</c:v>
                </c:pt>
                <c:pt idx="54">
                  <c:v>Jedlé výrobky</c:v>
                </c:pt>
                <c:pt idx="56">
                  <c:v>a přípravky**</c:v>
                </c:pt>
                <c:pt idx="61">
                  <c:v>Nápoje</c:v>
                </c:pt>
                <c:pt idx="66">
                  <c:v>Tabák a</c:v>
                </c:pt>
                <c:pt idx="68">
                  <c:v>tabák.výrobky</c:v>
                </c:pt>
                <c:pt idx="72">
                  <c:v>Olejnatá</c:v>
                </c:pt>
                <c:pt idx="74">
                  <c:v>semena a plody</c:v>
                </c:pt>
                <c:pt idx="78">
                  <c:v>Korek</c:v>
                </c:pt>
                <c:pt idx="80">
                  <c:v>a dřevo</c:v>
                </c:pt>
              </c:strCache>
            </c:strRef>
          </c:cat>
          <c:val>
            <c:numRef>
              <c:f>'Graf-Zahr.obchod'!$E$69:$E$152</c:f>
              <c:numCache>
                <c:formatCode>##,###,###,###,##0.0</c:formatCode>
                <c:ptCount val="84"/>
                <c:pt idx="0">
                  <c:v>2.4075449999999998</c:v>
                </c:pt>
                <c:pt idx="1">
                  <c:v>2.3084659999999704</c:v>
                </c:pt>
                <c:pt idx="2">
                  <c:v>2.565896</c:v>
                </c:pt>
                <c:pt idx="3">
                  <c:v>2.7357140000000002</c:v>
                </c:pt>
                <c:pt idx="4">
                  <c:v>2.3424249999999978</c:v>
                </c:pt>
                <c:pt idx="6">
                  <c:v>-9.1014870000000005</c:v>
                </c:pt>
                <c:pt idx="7">
                  <c:v>-9.4945590000000006</c:v>
                </c:pt>
                <c:pt idx="8">
                  <c:v>-8.010529</c:v>
                </c:pt>
                <c:pt idx="9">
                  <c:v>-7.6662879999999856</c:v>
                </c:pt>
                <c:pt idx="10">
                  <c:v>-8.4249219999999987</c:v>
                </c:pt>
                <c:pt idx="12">
                  <c:v>-0.97869200000000689</c:v>
                </c:pt>
                <c:pt idx="13">
                  <c:v>-2.2950000000000002E-3</c:v>
                </c:pt>
                <c:pt idx="14">
                  <c:v>-0.14962300000000001</c:v>
                </c:pt>
                <c:pt idx="15">
                  <c:v>-0.996757</c:v>
                </c:pt>
                <c:pt idx="16">
                  <c:v>7.6117000000000004E-2</c:v>
                </c:pt>
                <c:pt idx="18">
                  <c:v>5.3327000000000013E-2</c:v>
                </c:pt>
                <c:pt idx="19">
                  <c:v>4.7068000000000033E-2</c:v>
                </c:pt>
                <c:pt idx="20">
                  <c:v>-4.3993000000000004E-2</c:v>
                </c:pt>
                <c:pt idx="21">
                  <c:v>7.8944E-2</c:v>
                </c:pt>
                <c:pt idx="22">
                  <c:v>9.7296000000000021E-2</c:v>
                </c:pt>
                <c:pt idx="24">
                  <c:v>8.4048000000000016</c:v>
                </c:pt>
                <c:pt idx="25">
                  <c:v>11.262889000000024</c:v>
                </c:pt>
                <c:pt idx="26">
                  <c:v>11.898967999999998</c:v>
                </c:pt>
                <c:pt idx="27">
                  <c:v>11.771544</c:v>
                </c:pt>
                <c:pt idx="28">
                  <c:v>10.820592000000024</c:v>
                </c:pt>
                <c:pt idx="30">
                  <c:v>-4.1464569999999945</c:v>
                </c:pt>
                <c:pt idx="31">
                  <c:v>-4.0684620000000002</c:v>
                </c:pt>
                <c:pt idx="32">
                  <c:v>-4.3776520000000003</c:v>
                </c:pt>
                <c:pt idx="33">
                  <c:v>-5.1687359999999645</c:v>
                </c:pt>
                <c:pt idx="34">
                  <c:v>-6.1766220000000134</c:v>
                </c:pt>
                <c:pt idx="36">
                  <c:v>0.36224000000000001</c:v>
                </c:pt>
                <c:pt idx="37">
                  <c:v>0.69511599999999996</c:v>
                </c:pt>
                <c:pt idx="38">
                  <c:v>3.1435000000000456E-2</c:v>
                </c:pt>
                <c:pt idx="39">
                  <c:v>0.4498370000000001</c:v>
                </c:pt>
                <c:pt idx="40">
                  <c:v>-2.9609000000000052E-2</c:v>
                </c:pt>
                <c:pt idx="42">
                  <c:v>-3.9655770000000001</c:v>
                </c:pt>
                <c:pt idx="43">
                  <c:v>-4.9317070000000642</c:v>
                </c:pt>
                <c:pt idx="44">
                  <c:v>-4.0128179999999745</c:v>
                </c:pt>
                <c:pt idx="45">
                  <c:v>-4.5416020000000534</c:v>
                </c:pt>
                <c:pt idx="46">
                  <c:v>-4.4515760000000002</c:v>
                </c:pt>
                <c:pt idx="48">
                  <c:v>-3.1524049999999977</c:v>
                </c:pt>
                <c:pt idx="49">
                  <c:v>-2.8085529999999967</c:v>
                </c:pt>
                <c:pt idx="50">
                  <c:v>-3.3881109999999999</c:v>
                </c:pt>
                <c:pt idx="51">
                  <c:v>-2.2433180000000092</c:v>
                </c:pt>
                <c:pt idx="52">
                  <c:v>-1.8382320000000001</c:v>
                </c:pt>
                <c:pt idx="54">
                  <c:v>-2.270022</c:v>
                </c:pt>
                <c:pt idx="55">
                  <c:v>-2.0078870000000002</c:v>
                </c:pt>
                <c:pt idx="56">
                  <c:v>-1.919138</c:v>
                </c:pt>
                <c:pt idx="57">
                  <c:v>-1.744283</c:v>
                </c:pt>
                <c:pt idx="58">
                  <c:v>-1.983509</c:v>
                </c:pt>
                <c:pt idx="60">
                  <c:v>3.2501000000000016E-2</c:v>
                </c:pt>
                <c:pt idx="61">
                  <c:v>0.29854200000000031</c:v>
                </c:pt>
                <c:pt idx="62">
                  <c:v>0.28495000000000031</c:v>
                </c:pt>
                <c:pt idx="63">
                  <c:v>-3.1876000000000092E-2</c:v>
                </c:pt>
                <c:pt idx="64">
                  <c:v>-0.28973899999999997</c:v>
                </c:pt>
                <c:pt idx="66">
                  <c:v>-0.81808800000000004</c:v>
                </c:pt>
                <c:pt idx="67">
                  <c:v>-0.41190900000000008</c:v>
                </c:pt>
                <c:pt idx="68">
                  <c:v>-0.6274940000000061</c:v>
                </c:pt>
                <c:pt idx="69">
                  <c:v>-1.0580799999999999</c:v>
                </c:pt>
                <c:pt idx="70">
                  <c:v>-0.50697999999999999</c:v>
                </c:pt>
                <c:pt idx="72">
                  <c:v>3.9900569999999767</c:v>
                </c:pt>
                <c:pt idx="73">
                  <c:v>3.0873550000000001</c:v>
                </c:pt>
                <c:pt idx="74">
                  <c:v>4.8922819999999945</c:v>
                </c:pt>
                <c:pt idx="75">
                  <c:v>1.6768380000000001</c:v>
                </c:pt>
                <c:pt idx="76">
                  <c:v>1.127151</c:v>
                </c:pt>
                <c:pt idx="78">
                  <c:v>12.457574000000006</c:v>
                </c:pt>
                <c:pt idx="79">
                  <c:v>12.908302999999998</c:v>
                </c:pt>
                <c:pt idx="80">
                  <c:v>12.40911</c:v>
                </c:pt>
                <c:pt idx="81">
                  <c:v>13.962639000000157</c:v>
                </c:pt>
                <c:pt idx="82">
                  <c:v>14.319922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A-6B9B-4FD0-98AE-4854CD1EDC9A}"/>
            </c:ext>
          </c:extLst>
        </c:ser>
        <c:marker val="1"/>
        <c:axId val="141954432"/>
        <c:axId val="142010624"/>
      </c:lineChart>
      <c:catAx>
        <c:axId val="141954432"/>
        <c:scaling>
          <c:orientation val="minMax"/>
        </c:scaling>
        <c:axPos val="b"/>
        <c:numFmt formatCode="General" sourceLinked="1"/>
        <c:majorTickMark val="none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42010624"/>
        <c:crossesAt val="0"/>
        <c:lblAlgn val="ctr"/>
        <c:lblOffset val="0"/>
        <c:tickLblSkip val="1"/>
        <c:tickMarkSkip val="4"/>
      </c:catAx>
      <c:valAx>
        <c:axId val="142010624"/>
        <c:scaling>
          <c:orientation val="minMax"/>
          <c:max val="16"/>
          <c:min val="-32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41954432"/>
        <c:crosses val="autoZero"/>
        <c:crossBetween val="between"/>
        <c:majorUnit val="4"/>
        <c:minorUnit val="1"/>
      </c:val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4398119657568923E-2"/>
          <c:y val="0.90991872709019772"/>
          <c:w val="0.94499149936581806"/>
          <c:h val="4.8003236556590993E-2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0.1393</cdr:x>
      <cdr:y>0.95837</cdr:y>
    </cdr:from>
    <cdr:to>
      <cdr:x>0.86689</cdr:x>
      <cdr:y>0.99559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647839" y="3764115"/>
          <a:ext cx="3383863" cy="146207"/>
        </a:xfrm>
        <a:prstGeom xmlns:a="http://schemas.openxmlformats.org/drawingml/2006/main" prst="rect">
          <a:avLst/>
        </a:prstGeom>
        <a:ln xmlns:a="http://schemas.openxmlformats.org/drawingml/2006/main" w="3175">
          <a:solidFill>
            <a:srgbClr val="002060"/>
          </a:solidFill>
        </a:ln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800">
              <a:latin typeface="Arial" pitchFamily="34" charset="0"/>
              <a:cs typeface="Arial" pitchFamily="34" charset="0"/>
            </a:rPr>
            <a:t>        rok 2013          rok 2014          rok 2015          rok 2016          rok 2017</a:t>
          </a:r>
        </a:p>
      </cdr:txBody>
    </cdr:sp>
  </cdr:relSizeAnchor>
  <cdr:relSizeAnchor xmlns:cdr="http://schemas.openxmlformats.org/drawingml/2006/chartDrawing">
    <cdr:from>
      <cdr:x>0.16472</cdr:x>
      <cdr:y>0.96825</cdr:y>
    </cdr:from>
    <cdr:to>
      <cdr:x>0.18404</cdr:x>
      <cdr:y>0.982</cdr:y>
    </cdr:to>
    <cdr:sp macro="" textlink="">
      <cdr:nvSpPr>
        <cdr:cNvPr id="4" name="Obdélník 3"/>
        <cdr:cNvSpPr/>
      </cdr:nvSpPr>
      <cdr:spPr>
        <a:xfrm xmlns:a="http://schemas.openxmlformats.org/drawingml/2006/main">
          <a:off x="767477" y="3802922"/>
          <a:ext cx="90000" cy="54000"/>
        </a:xfrm>
        <a:prstGeom xmlns:a="http://schemas.openxmlformats.org/drawingml/2006/main" prst="rect">
          <a:avLst/>
        </a:prstGeom>
        <a:solidFill xmlns:a="http://schemas.openxmlformats.org/drawingml/2006/main">
          <a:srgbClr val="A6A6A6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0.31153</cdr:x>
      <cdr:y>0.96853</cdr:y>
    </cdr:from>
    <cdr:to>
      <cdr:x>0.33085</cdr:x>
      <cdr:y>0.98228</cdr:y>
    </cdr:to>
    <cdr:sp macro="" textlink="">
      <cdr:nvSpPr>
        <cdr:cNvPr id="5" name="Obdélník 4"/>
        <cdr:cNvSpPr/>
      </cdr:nvSpPr>
      <cdr:spPr>
        <a:xfrm xmlns:a="http://schemas.openxmlformats.org/drawingml/2006/main">
          <a:off x="1451488" y="3804025"/>
          <a:ext cx="90000" cy="54000"/>
        </a:xfrm>
        <a:prstGeom xmlns:a="http://schemas.openxmlformats.org/drawingml/2006/main" prst="rect">
          <a:avLst/>
        </a:prstGeom>
        <a:solidFill xmlns:a="http://schemas.openxmlformats.org/drawingml/2006/main">
          <a:srgbClr val="D2E7B6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0.45152</cdr:x>
      <cdr:y>0.96771</cdr:y>
    </cdr:from>
    <cdr:to>
      <cdr:x>0.47084</cdr:x>
      <cdr:y>0.98146</cdr:y>
    </cdr:to>
    <cdr:sp macro="" textlink="">
      <cdr:nvSpPr>
        <cdr:cNvPr id="6" name="Obdélník 5"/>
        <cdr:cNvSpPr/>
      </cdr:nvSpPr>
      <cdr:spPr>
        <a:xfrm xmlns:a="http://schemas.openxmlformats.org/drawingml/2006/main">
          <a:off x="2103707" y="3800796"/>
          <a:ext cx="90000" cy="54000"/>
        </a:xfrm>
        <a:prstGeom xmlns:a="http://schemas.openxmlformats.org/drawingml/2006/main" prst="rect">
          <a:avLst/>
        </a:prstGeom>
        <a:solidFill xmlns:a="http://schemas.openxmlformats.org/drawingml/2006/main">
          <a:srgbClr val="BFE3F7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0.60121</cdr:x>
      <cdr:y>0.96853</cdr:y>
    </cdr:from>
    <cdr:to>
      <cdr:x>0.62061</cdr:x>
      <cdr:y>0.98228</cdr:y>
    </cdr:to>
    <cdr:sp macro="" textlink="">
      <cdr:nvSpPr>
        <cdr:cNvPr id="7" name="Obdélník 6"/>
        <cdr:cNvSpPr/>
      </cdr:nvSpPr>
      <cdr:spPr>
        <a:xfrm xmlns:a="http://schemas.openxmlformats.org/drawingml/2006/main">
          <a:off x="2801132" y="3804025"/>
          <a:ext cx="90407" cy="54000"/>
        </a:xfrm>
        <a:prstGeom xmlns:a="http://schemas.openxmlformats.org/drawingml/2006/main" prst="rect">
          <a:avLst/>
        </a:prstGeom>
        <a:solidFill xmlns:a="http://schemas.openxmlformats.org/drawingml/2006/main">
          <a:srgbClr val="95C3E3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0.74535</cdr:x>
      <cdr:y>0.96771</cdr:y>
    </cdr:from>
    <cdr:to>
      <cdr:x>0.76467</cdr:x>
      <cdr:y>0.98146</cdr:y>
    </cdr:to>
    <cdr:sp macro="" textlink="">
      <cdr:nvSpPr>
        <cdr:cNvPr id="8" name="Obdélník 7"/>
        <cdr:cNvSpPr/>
      </cdr:nvSpPr>
      <cdr:spPr>
        <a:xfrm xmlns:a="http://schemas.openxmlformats.org/drawingml/2006/main">
          <a:off x="3472725" y="3800797"/>
          <a:ext cx="90000" cy="54000"/>
        </a:xfrm>
        <a:prstGeom xmlns:a="http://schemas.openxmlformats.org/drawingml/2006/main" prst="rect">
          <a:avLst/>
        </a:prstGeom>
        <a:solidFill xmlns:a="http://schemas.openxmlformats.org/drawingml/2006/main">
          <a:srgbClr val="BCA6E8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A76B-1854-4A7C-81CE-CEA42C9F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3</TotalTime>
  <Pages>7</Pages>
  <Words>2137</Words>
  <Characters>12613</Characters>
  <Application>Microsoft Office Word</Application>
  <DocSecurity>0</DocSecurity>
  <Lines>105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14721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2</cp:revision>
  <cp:lastPrinted>2014-07-17T14:07:00Z</cp:lastPrinted>
  <dcterms:created xsi:type="dcterms:W3CDTF">2018-10-29T15:45:00Z</dcterms:created>
  <dcterms:modified xsi:type="dcterms:W3CDTF">2018-10-29T15:45:00Z</dcterms:modified>
</cp:coreProperties>
</file>