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8FA60" w14:textId="57CF6DB5" w:rsidR="00817FDA" w:rsidRDefault="00A21624" w:rsidP="00817FDA">
      <w:pPr>
        <w:pStyle w:val="Nadpis110"/>
      </w:pPr>
      <w:bookmarkStart w:id="0" w:name="_Toc47942139"/>
      <w:r>
        <w:t>4. </w:t>
      </w:r>
      <w:r w:rsidR="00817FDA">
        <w:t>Investice</w:t>
      </w:r>
      <w:bookmarkEnd w:id="0"/>
    </w:p>
    <w:tbl>
      <w:tblPr>
        <w:tblW w:w="9644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13"/>
        <w:gridCol w:w="221"/>
        <w:gridCol w:w="7610"/>
      </w:tblGrid>
      <w:tr w:rsidR="00817FDA" w14:paraId="76DFBAD0" w14:textId="77777777" w:rsidTr="00E503A5">
        <w:trPr>
          <w:trHeight w:val="145"/>
        </w:trPr>
        <w:tc>
          <w:tcPr>
            <w:tcW w:w="1813" w:type="dxa"/>
            <w:shd w:val="clear" w:color="auto" w:fill="auto"/>
          </w:tcPr>
          <w:p w14:paraId="24CA0DD1" w14:textId="77777777" w:rsidR="00817FDA" w:rsidRDefault="00817FDA" w:rsidP="00E503A5">
            <w:pPr>
              <w:pStyle w:val="Marginlie"/>
            </w:pPr>
            <w:r>
              <w:t>Investiční aktivita loni rostla, tempo ale výrazně zpomalilo ve srovnání s rokem 2018.</w:t>
            </w:r>
          </w:p>
        </w:tc>
        <w:tc>
          <w:tcPr>
            <w:tcW w:w="221" w:type="dxa"/>
            <w:shd w:val="clear" w:color="auto" w:fill="auto"/>
          </w:tcPr>
          <w:p w14:paraId="7680D5B4" w14:textId="77777777" w:rsidR="00817FDA" w:rsidRDefault="00817FDA" w:rsidP="00E503A5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</w:tcPr>
          <w:p w14:paraId="47933EDF" w14:textId="5484D2E5" w:rsidR="00817FDA" w:rsidRDefault="00817FDA" w:rsidP="00E503A5">
            <w:r>
              <w:t>Výdaje na tvorbu hrubého fixního kapitálu (investiční aktivita) v roce 2019 dosáhly 1 506,9</w:t>
            </w:r>
            <w:r w:rsidR="00A21624">
              <w:t> mld.</w:t>
            </w:r>
            <w:r>
              <w:t xml:space="preserve"> korun. Meziročně se zvýšily </w:t>
            </w:r>
            <w:r w:rsidR="001A33A3">
              <w:t>o </w:t>
            </w:r>
            <w:r>
              <w:t>83,9</w:t>
            </w:r>
            <w:r w:rsidR="00A21624">
              <w:t> mld.</w:t>
            </w:r>
            <w:r>
              <w:t xml:space="preserve"> Reálný přírůstek investiční aktivity dosáhl 2,2</w:t>
            </w:r>
            <w:r w:rsidR="00F118D5">
              <w:t> %</w:t>
            </w:r>
            <w:r>
              <w:t xml:space="preserve">. Výdaje rostly třetím rokem, ale ve srovnání s velmi silným nárůstem z roku 2018 loni přírůstek oslabil. Také reálná dynamika byla výrazně slabší než v předchozích dvou letech, zčásti </w:t>
            </w:r>
            <w:r w:rsidR="001A33A3">
              <w:t>i </w:t>
            </w:r>
            <w:r>
              <w:t xml:space="preserve">kvůli silnému růstu cenové hladiny </w:t>
            </w:r>
            <w:r w:rsidR="001A33A3">
              <w:t>u </w:t>
            </w:r>
            <w:r>
              <w:t>kapitálových statků</w:t>
            </w:r>
            <w:r>
              <w:rPr>
                <w:rStyle w:val="Znakapoznpodarou"/>
              </w:rPr>
              <w:footnoteReference w:id="1"/>
            </w:r>
            <w:r>
              <w:t>. Podíl výdajů na tvorbu hrubého fixního kapitálu na hrubém domácím produktu  v roce 2019 dosáhl 26,2</w:t>
            </w:r>
            <w:r w:rsidR="00F118D5">
              <w:t> %</w:t>
            </w:r>
            <w:r>
              <w:t xml:space="preserve">, což je téměř stejně jako v předchozím roce. Ve srovnání se zbytkem EU bylo z pohledu tohoto ukazatele Česko </w:t>
            </w:r>
            <w:r w:rsidR="001A33A3">
              <w:t>i </w:t>
            </w:r>
            <w:r>
              <w:t xml:space="preserve">nadále na velmi vysoké úrovni </w:t>
            </w:r>
            <w:r w:rsidR="001A33A3">
              <w:t>a </w:t>
            </w:r>
            <w:r>
              <w:t>předstiženo bylo pouze Irskem (45,6</w:t>
            </w:r>
            <w:r w:rsidR="00F118D5">
              <w:t> %</w:t>
            </w:r>
            <w:r>
              <w:t xml:space="preserve">) </w:t>
            </w:r>
            <w:r w:rsidR="001A33A3">
              <w:t>a </w:t>
            </w:r>
            <w:r>
              <w:t>Maďarskem (28,6</w:t>
            </w:r>
            <w:r w:rsidR="00F118D5">
              <w:t> %</w:t>
            </w:r>
            <w:r>
              <w:t>). Průměr celé evropské sedmadvacítky loni dosáhl 22,1</w:t>
            </w:r>
            <w:r w:rsidR="00F118D5">
              <w:t> %</w:t>
            </w:r>
            <w:r>
              <w:t xml:space="preserve"> </w:t>
            </w:r>
            <w:r w:rsidR="001A33A3">
              <w:t>a </w:t>
            </w:r>
            <w:r>
              <w:t xml:space="preserve">meziročně se zvýšil. Ačkoli z pohledu dynamiky investic jsou novější členské země nadprůměrné, podíl investic na HDP poukazuje na trvající vnitřní dluh </w:t>
            </w:r>
            <w:r w:rsidR="001A33A3">
              <w:t>a </w:t>
            </w:r>
            <w:r>
              <w:t xml:space="preserve">spíše nižší úroveň výdajů na investice. Mezi deseti zeměmi s nejvyšším podílem investic na HDP byly loni čtyři, které vstoupily do EU po roce 2000. Ve spodní desítce byly počty nových </w:t>
            </w:r>
            <w:r w:rsidR="001A33A3">
              <w:t>a </w:t>
            </w:r>
            <w:r>
              <w:t>starých členů vyrovnané.</w:t>
            </w:r>
          </w:p>
        </w:tc>
      </w:tr>
      <w:tr w:rsidR="00817FDA" w14:paraId="3A779E95" w14:textId="77777777" w:rsidTr="00E503A5">
        <w:trPr>
          <w:trHeight w:val="145"/>
        </w:trPr>
        <w:tc>
          <w:tcPr>
            <w:tcW w:w="1813" w:type="dxa"/>
            <w:shd w:val="clear" w:color="auto" w:fill="auto"/>
          </w:tcPr>
          <w:p w14:paraId="000EBA8C" w14:textId="77777777" w:rsidR="00817FDA" w:rsidRDefault="00817FDA" w:rsidP="00E503A5">
            <w:pPr>
              <w:pStyle w:val="Marginlie"/>
            </w:pPr>
            <w:r>
              <w:t>Česko se tak z hlediska tempa růstu investic umístilo pod průměrem EU.</w:t>
            </w:r>
          </w:p>
        </w:tc>
        <w:tc>
          <w:tcPr>
            <w:tcW w:w="221" w:type="dxa"/>
            <w:shd w:val="clear" w:color="auto" w:fill="auto"/>
          </w:tcPr>
          <w:p w14:paraId="50173F6F" w14:textId="77777777" w:rsidR="00817FDA" w:rsidRDefault="00817FDA" w:rsidP="00E503A5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</w:tcPr>
          <w:p w14:paraId="7A3E134E" w14:textId="524D67DC" w:rsidR="008D7BE5" w:rsidRDefault="00817FDA" w:rsidP="0051465A">
            <w:r>
              <w:t>Reálný nárůst výdajů na tvorbu hrubého fixního kapitálu v Evropské unii</w:t>
            </w:r>
            <w:r>
              <w:rPr>
                <w:rStyle w:val="Znakapoznpodarou"/>
              </w:rPr>
              <w:footnoteReference w:id="2"/>
            </w:r>
            <w:r>
              <w:t xml:space="preserve"> v roce 2019 dosáhl 5,6</w:t>
            </w:r>
            <w:r w:rsidR="00F118D5">
              <w:t> %</w:t>
            </w:r>
            <w:r>
              <w:t xml:space="preserve">. Meziroční růst investiční aktivity tak zrychlil </w:t>
            </w:r>
            <w:r w:rsidR="001A33A3">
              <w:t>a </w:t>
            </w:r>
            <w:r>
              <w:t>byl nejvyšší od roku 2007. Česko se tak z hlediska dynamiky investic dostalo poměrně hluboko do evropského podprůměru (šestý nejhorší výsledek). Největšího meziročního přírůstku dosáhlo loni Irsko (74,9</w:t>
            </w:r>
            <w:r w:rsidR="00F118D5">
              <w:t> %</w:t>
            </w:r>
            <w:r>
              <w:rPr>
                <w:rStyle w:val="Znakapoznpodarou"/>
              </w:rPr>
              <w:footnoteReference w:id="3"/>
            </w:r>
            <w:r>
              <w:t>), dále Rumunsko (18,2</w:t>
            </w:r>
            <w:r w:rsidR="00F118D5">
              <w:t> %</w:t>
            </w:r>
            <w:r>
              <w:t xml:space="preserve">) </w:t>
            </w:r>
            <w:r w:rsidR="001A33A3">
              <w:t>a </w:t>
            </w:r>
            <w:r>
              <w:t>Maďarsko (15,3</w:t>
            </w:r>
            <w:r w:rsidR="00F118D5">
              <w:t> %</w:t>
            </w:r>
            <w:r>
              <w:t xml:space="preserve">, dvouciferného tempa bylo dosaženo třetím rokem). Mezi státy s nejvyšším růstem investiční aktivity již několik let výrazně převažují země, které vstoupily do EU po roce 2000. Ty ve velké míře čerpají z přístupu </w:t>
            </w:r>
            <w:r w:rsidR="001A33A3">
              <w:t>k </w:t>
            </w:r>
            <w:r>
              <w:t xml:space="preserve">evropským dotacím. V rámci této skupiny tak bylo Česko jednou </w:t>
            </w:r>
            <w:r w:rsidR="001A33A3">
              <w:t>z </w:t>
            </w:r>
            <w:r>
              <w:t>výjimek, když reálné tempo investic meziročně prudce oslabilo. Výdaje na tvorbu hrubého fixního kapitálu reálně klesly ve Švédsku (</w:t>
            </w:r>
            <w:r w:rsidR="00A21624">
              <w:t>–</w:t>
            </w:r>
            <w:r>
              <w:t>1,3</w:t>
            </w:r>
            <w:r w:rsidR="00F118D5">
              <w:t> %</w:t>
            </w:r>
            <w:r>
              <w:t xml:space="preserve">) </w:t>
            </w:r>
            <w:r w:rsidR="001A33A3">
              <w:t>a </w:t>
            </w:r>
            <w:r>
              <w:t>Finsku (</w:t>
            </w:r>
            <w:r w:rsidR="00A21624">
              <w:t>–</w:t>
            </w:r>
            <w:r>
              <w:t>1,0</w:t>
            </w:r>
            <w:r w:rsidR="00F118D5">
              <w:t> %</w:t>
            </w:r>
            <w:r>
              <w:t>). Investiční aktivita stagnovala na Kypru (0,1</w:t>
            </w:r>
            <w:r w:rsidR="00F118D5">
              <w:t> %</w:t>
            </w:r>
            <w:r>
              <w:t>)</w:t>
            </w:r>
            <w:r w:rsidR="0051465A">
              <w:t>.</w:t>
            </w:r>
          </w:p>
        </w:tc>
      </w:tr>
      <w:tr w:rsidR="00817FDA" w14:paraId="128AF141" w14:textId="77777777" w:rsidTr="00E503A5">
        <w:trPr>
          <w:trHeight w:val="145"/>
        </w:trPr>
        <w:tc>
          <w:tcPr>
            <w:tcW w:w="1813" w:type="dxa"/>
            <w:shd w:val="clear" w:color="auto" w:fill="auto"/>
          </w:tcPr>
          <w:p w14:paraId="1A0B8EBA" w14:textId="77777777" w:rsidR="00817FDA" w:rsidRDefault="00817FDA" w:rsidP="00E503A5">
            <w:pPr>
              <w:pStyle w:val="Marginlie"/>
            </w:pPr>
            <w:r>
              <w:t>Nejvíce k nominálnímu růstu investic přispěly nefinanční podniky.</w:t>
            </w:r>
          </w:p>
        </w:tc>
        <w:tc>
          <w:tcPr>
            <w:tcW w:w="221" w:type="dxa"/>
            <w:shd w:val="clear" w:color="auto" w:fill="auto"/>
          </w:tcPr>
          <w:p w14:paraId="486F2BD1" w14:textId="77777777" w:rsidR="00817FDA" w:rsidRDefault="00817FDA" w:rsidP="00E503A5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</w:tcPr>
          <w:p w14:paraId="2B19ED94" w14:textId="77777777" w:rsidR="00817FDA" w:rsidRDefault="00817FDA" w:rsidP="008D7BE5">
            <w:r>
              <w:t>Za největší část domácí investiční aktivity je zodpovědný sektor nefinančních podniků. Jeho výdaje na tvorbu hrubého fixního kapitálu dosáhly loni 933,3</w:t>
            </w:r>
            <w:r w:rsidR="00A21624">
              <w:t> mld.</w:t>
            </w:r>
            <w:r>
              <w:t xml:space="preserve"> korun </w:t>
            </w:r>
            <w:r w:rsidR="001A33A3">
              <w:t>a </w:t>
            </w:r>
            <w:r>
              <w:t>na celkových investicích se podílely 61,9</w:t>
            </w:r>
            <w:r w:rsidR="00F118D5">
              <w:t> %</w:t>
            </w:r>
            <w:r>
              <w:t xml:space="preserve">. Meziročně se investiční aktivita nefinančních podniků zvýšila </w:t>
            </w:r>
            <w:r w:rsidR="001A33A3">
              <w:t>o </w:t>
            </w:r>
            <w:r>
              <w:t>55,2</w:t>
            </w:r>
            <w:r w:rsidR="00A21624">
              <w:t> mld.</w:t>
            </w:r>
            <w:r>
              <w:t>, takže nejvíce přispěla k celkovému nárůstu v ekonomice. Zároveň byly nefinanční podniky jediným sektorem, kde přírůstek investiční aktivity meziročně posílil. Domácnosti loni vydaly na investice 285,5</w:t>
            </w:r>
            <w:r w:rsidR="00A21624">
              <w:t> mld.</w:t>
            </w:r>
            <w:r>
              <w:t xml:space="preserve"> korun, 18,9</w:t>
            </w:r>
            <w:r w:rsidR="00F118D5">
              <w:t> %</w:t>
            </w:r>
            <w:r>
              <w:t xml:space="preserve"> z celkové investiční aktivity v ekonomice. Bylo to </w:t>
            </w:r>
            <w:r w:rsidR="001A33A3">
              <w:t>o </w:t>
            </w:r>
            <w:r>
              <w:t>26,8</w:t>
            </w:r>
            <w:r w:rsidR="00A21624">
              <w:t> mld.</w:t>
            </w:r>
            <w:r>
              <w:t xml:space="preserve"> více než v předchozím roce. Domácnosti čtvrtým rokem překonaly v objemu výdajů na tvorbu hrubého fixního kapitálu sektor vládních institucí. Ty po hlubokém meziročním propadu v roce 2016 postupně opět posilovaly své výdaje </w:t>
            </w:r>
            <w:r w:rsidR="001A33A3">
              <w:t>a </w:t>
            </w:r>
            <w:r>
              <w:t>loni částkou 248,</w:t>
            </w:r>
            <w:r w:rsidR="00A21624">
              <w:t>5 </w:t>
            </w:r>
            <w:r>
              <w:t>mld</w:t>
            </w:r>
            <w:r w:rsidR="001A480E">
              <w:t>.</w:t>
            </w:r>
            <w:r>
              <w:t xml:space="preserve"> korun nominálně překonaly předchozí maximum z roku 2015. Podíl vládních investic na celkové aktivitě v ekonomice loni vzrostl na 16,5</w:t>
            </w:r>
            <w:r w:rsidR="00F118D5">
              <w:t> %</w:t>
            </w:r>
            <w:r>
              <w:t>. To je ale stále výrazně méně než ve zmiňovaném roce 2015 (19,3 %). Meziroční přírůstek vládních investic činil 24,0</w:t>
            </w:r>
            <w:r w:rsidR="00A21624">
              <w:t> mld.</w:t>
            </w:r>
            <w:r>
              <w:t xml:space="preserve"> Po pěti letech nárůstů se </w:t>
            </w:r>
            <w:r w:rsidR="001A33A3">
              <w:t>o </w:t>
            </w:r>
            <w:r>
              <w:t>21,6</w:t>
            </w:r>
            <w:r w:rsidR="00A21624">
              <w:t> mld.</w:t>
            </w:r>
            <w:r>
              <w:t xml:space="preserve"> korun meziročně propadla investiční aktivita finančních institucí. Výsledný objem výdajů na tvorbu hrubého fixního kapitálu dosáhl 35,5</w:t>
            </w:r>
            <w:r w:rsidR="00A21624">
              <w:t> mld.</w:t>
            </w:r>
            <w:r>
              <w:t xml:space="preserve"> Finanční instituce jsou v kontextu celé ekonomiky malým investorem, jejich podíl na celkových investicích meziročně klesl ze 4,0</w:t>
            </w:r>
            <w:r w:rsidR="00F118D5">
              <w:t> %</w:t>
            </w:r>
            <w:r>
              <w:t xml:space="preserve"> na</w:t>
            </w:r>
            <w:r w:rsidR="0079343E">
              <w:t> </w:t>
            </w:r>
            <w:r>
              <w:t>2,4</w:t>
            </w:r>
            <w:r w:rsidR="00F118D5">
              <w:t> %</w:t>
            </w:r>
            <w:r>
              <w:t>.</w:t>
            </w:r>
          </w:p>
          <w:p w14:paraId="6BF0DE3E" w14:textId="7ABC7679" w:rsidR="00265C22" w:rsidRDefault="00265C22" w:rsidP="008D7BE5">
            <w:bookmarkStart w:id="1" w:name="_GoBack"/>
            <w:bookmarkEnd w:id="1"/>
          </w:p>
        </w:tc>
      </w:tr>
      <w:tr w:rsidR="00817FDA" w14:paraId="43E1F048" w14:textId="77777777" w:rsidTr="00E503A5">
        <w:tc>
          <w:tcPr>
            <w:tcW w:w="1813" w:type="dxa"/>
            <w:vMerge w:val="restart"/>
            <w:shd w:val="clear" w:color="auto" w:fill="auto"/>
          </w:tcPr>
          <w:p w14:paraId="7756007C" w14:textId="77777777" w:rsidR="00817FDA" w:rsidRDefault="00817FDA" w:rsidP="00E503A5">
            <w:pPr>
              <w:pStyle w:val="Marginlie"/>
            </w:pPr>
          </w:p>
        </w:tc>
        <w:tc>
          <w:tcPr>
            <w:tcW w:w="221" w:type="dxa"/>
            <w:vMerge w:val="restart"/>
            <w:shd w:val="clear" w:color="auto" w:fill="auto"/>
          </w:tcPr>
          <w:p w14:paraId="395D85E4" w14:textId="77777777" w:rsidR="00817FDA" w:rsidRDefault="00817FDA" w:rsidP="00E503A5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</w:tcPr>
          <w:p w14:paraId="53E64495" w14:textId="72955C5E" w:rsidR="00817FDA" w:rsidRDefault="00817FDA" w:rsidP="00E503A5">
            <w:pPr>
              <w:spacing w:after="0"/>
              <w:rPr>
                <w:b/>
              </w:rPr>
            </w:pPr>
            <w:r w:rsidRPr="00B606BE">
              <w:rPr>
                <w:b/>
              </w:rPr>
              <w:t xml:space="preserve">Graf </w:t>
            </w:r>
            <w:r w:rsidR="00A21624" w:rsidRPr="00B606BE">
              <w:rPr>
                <w:b/>
              </w:rPr>
              <w:t>č. </w:t>
            </w:r>
            <w:r w:rsidR="001A33A3" w:rsidRPr="00B606BE">
              <w:rPr>
                <w:b/>
              </w:rPr>
              <w:t>4</w:t>
            </w:r>
            <w:r w:rsidR="001A480E">
              <w:rPr>
                <w:b/>
              </w:rPr>
              <w:t xml:space="preserve">  </w:t>
            </w:r>
            <w:r>
              <w:rPr>
                <w:b/>
              </w:rPr>
              <w:t xml:space="preserve">Tvorba hrubého fixního kapitálu, sektorové členění </w:t>
            </w:r>
            <w:r w:rsidRPr="00E03B0C">
              <w:t>(</w:t>
            </w:r>
            <w:r>
              <w:t>běžné ceny, meziroční změna v mld. korun</w:t>
            </w:r>
            <w:r w:rsidRPr="00E03B0C">
              <w:t>)</w:t>
            </w:r>
          </w:p>
        </w:tc>
      </w:tr>
      <w:tr w:rsidR="00817FDA" w14:paraId="5AA941A5" w14:textId="77777777" w:rsidTr="00E503A5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13" w:type="dxa"/>
            <w:vMerge/>
            <w:shd w:val="clear" w:color="auto" w:fill="auto"/>
          </w:tcPr>
          <w:p w14:paraId="4DCBC010" w14:textId="77777777" w:rsidR="00817FDA" w:rsidRDefault="00817FDA" w:rsidP="00E503A5">
            <w:pPr>
              <w:pStyle w:val="Marginlie"/>
            </w:pPr>
          </w:p>
        </w:tc>
        <w:tc>
          <w:tcPr>
            <w:tcW w:w="221" w:type="dxa"/>
            <w:vMerge/>
            <w:shd w:val="clear" w:color="auto" w:fill="auto"/>
          </w:tcPr>
          <w:p w14:paraId="1C9411B6" w14:textId="77777777" w:rsidR="00817FDA" w:rsidRDefault="00817FDA" w:rsidP="00E503A5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</w:tcPr>
          <w:p w14:paraId="77783C2B" w14:textId="77777777" w:rsidR="00817FDA" w:rsidRDefault="00817FDA" w:rsidP="00E503A5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D037BF7" wp14:editId="69B79F26">
                  <wp:extent cx="4737600" cy="3553200"/>
                  <wp:effectExtent l="0" t="0" r="6350" b="0"/>
                  <wp:docPr id="1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817FDA" w14:paraId="00E33530" w14:textId="77777777" w:rsidTr="00E503A5">
        <w:trPr>
          <w:trHeight w:val="170"/>
        </w:trPr>
        <w:tc>
          <w:tcPr>
            <w:tcW w:w="1813" w:type="dxa"/>
            <w:vMerge/>
            <w:shd w:val="clear" w:color="auto" w:fill="auto"/>
          </w:tcPr>
          <w:p w14:paraId="2A4832E1" w14:textId="77777777" w:rsidR="00817FDA" w:rsidRDefault="00817FDA" w:rsidP="00E503A5">
            <w:pPr>
              <w:pStyle w:val="Marginlie"/>
            </w:pPr>
          </w:p>
        </w:tc>
        <w:tc>
          <w:tcPr>
            <w:tcW w:w="221" w:type="dxa"/>
            <w:vMerge/>
            <w:shd w:val="clear" w:color="auto" w:fill="auto"/>
          </w:tcPr>
          <w:p w14:paraId="2ED4B6B5" w14:textId="77777777" w:rsidR="00817FDA" w:rsidRDefault="00817FDA" w:rsidP="00E503A5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</w:tcPr>
          <w:p w14:paraId="317216D8" w14:textId="77777777" w:rsidR="00817FDA" w:rsidRDefault="00817FDA" w:rsidP="00E503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Zdroj: ČSÚ</w:t>
            </w:r>
          </w:p>
        </w:tc>
      </w:tr>
      <w:tr w:rsidR="00817FDA" w14:paraId="3C5A0BD8" w14:textId="77777777" w:rsidTr="00E503A5">
        <w:trPr>
          <w:trHeight w:val="145"/>
        </w:trPr>
        <w:tc>
          <w:tcPr>
            <w:tcW w:w="1813" w:type="dxa"/>
            <w:shd w:val="clear" w:color="auto" w:fill="auto"/>
          </w:tcPr>
          <w:p w14:paraId="277C2850" w14:textId="4A70B9D6" w:rsidR="00817FDA" w:rsidRDefault="00817FDA" w:rsidP="00E503A5">
            <w:pPr>
              <w:pStyle w:val="Marginlie"/>
            </w:pPr>
            <w:r>
              <w:t xml:space="preserve">Investice do strojů </w:t>
            </w:r>
            <w:r w:rsidR="001A33A3">
              <w:t>a </w:t>
            </w:r>
            <w:r>
              <w:t>zařízení rostly pomaleji než v předchozím roce.</w:t>
            </w:r>
          </w:p>
        </w:tc>
        <w:tc>
          <w:tcPr>
            <w:tcW w:w="221" w:type="dxa"/>
            <w:shd w:val="clear" w:color="auto" w:fill="auto"/>
          </w:tcPr>
          <w:p w14:paraId="61234F8A" w14:textId="77777777" w:rsidR="00817FDA" w:rsidRDefault="00817FDA" w:rsidP="00E503A5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</w:tcPr>
          <w:p w14:paraId="22AF5B9B" w14:textId="3C64C7AB" w:rsidR="00817FDA" w:rsidRDefault="00817FDA" w:rsidP="00E503A5">
            <w:r>
              <w:t xml:space="preserve">Stroje </w:t>
            </w:r>
            <w:r w:rsidR="001A33A3">
              <w:t>a </w:t>
            </w:r>
            <w:r>
              <w:t xml:space="preserve">zařízení jsou z pohledu struktury největší investiční oblastí. Investice do strojů </w:t>
            </w:r>
            <w:r w:rsidR="001A33A3">
              <w:t>a </w:t>
            </w:r>
            <w:r>
              <w:t>zařízení v roce 2019 dosáhly 604,1</w:t>
            </w:r>
            <w:r w:rsidR="00A21624">
              <w:t> mld.</w:t>
            </w:r>
            <w:r>
              <w:t xml:space="preserve"> korun </w:t>
            </w:r>
            <w:r w:rsidR="001A33A3">
              <w:t>a </w:t>
            </w:r>
            <w:r>
              <w:t xml:space="preserve">meziročně se zvýšily </w:t>
            </w:r>
            <w:r w:rsidR="001A33A3">
              <w:t>o </w:t>
            </w:r>
            <w:r>
              <w:t>18,8</w:t>
            </w:r>
            <w:r w:rsidR="00A21624">
              <w:t> mld.</w:t>
            </w:r>
            <w:r>
              <w:t xml:space="preserve"> Reálný přírůstek činil 1,2</w:t>
            </w:r>
            <w:r w:rsidR="00F118D5">
              <w:t> %</w:t>
            </w:r>
            <w:r>
              <w:t xml:space="preserve">. Výrazné zpomalení oproti předchozímu roku bylo způsobeno zejména propadem investic do dopravních prostředků </w:t>
            </w:r>
            <w:r w:rsidR="001A33A3">
              <w:t>a </w:t>
            </w:r>
            <w:r>
              <w:t xml:space="preserve">zařízení </w:t>
            </w:r>
            <w:r w:rsidR="001A33A3">
              <w:t>o </w:t>
            </w:r>
            <w:r>
              <w:t>23,1</w:t>
            </w:r>
            <w:r w:rsidR="00BF6EE6">
              <w:t> </w:t>
            </w:r>
            <w:r>
              <w:t xml:space="preserve">mld. korun (reálný pokles </w:t>
            </w:r>
            <w:r w:rsidR="001A33A3">
              <w:t>o </w:t>
            </w:r>
            <w:r>
              <w:t>17,0</w:t>
            </w:r>
            <w:r w:rsidR="00F118D5">
              <w:t> %</w:t>
            </w:r>
            <w:r>
              <w:t xml:space="preserve">). Propad lze zčásti vysvětlit velmi vysokou srovnávací základnou roku 2018 (nejvyšší úroveň investic od roku 2008). Z pohledu sektorů se </w:t>
            </w:r>
            <w:r w:rsidR="001A33A3">
              <w:t>u </w:t>
            </w:r>
            <w:r>
              <w:t>této položky neudržela vysoká úroveň investic nefinančních podniků</w:t>
            </w:r>
            <w:r w:rsidR="0079343E">
              <w:t>,</w:t>
            </w:r>
            <w:r>
              <w:t xml:space="preserve"> ale rovněž finančních institucí. Ty měly v letech 2017 </w:t>
            </w:r>
            <w:r w:rsidR="001A33A3">
              <w:t>a </w:t>
            </w:r>
            <w:r>
              <w:t xml:space="preserve">2018 netypicky vysoké výdaje na dopravní prostředky </w:t>
            </w:r>
            <w:r w:rsidR="001A33A3">
              <w:t>a </w:t>
            </w:r>
            <w:r>
              <w:t xml:space="preserve">zařízení (více než dvojnásobné oproti roku 2016). Zaznamenaný pokles investic finančních institucí tak pravděpodobně ovlivnil právě výdaje na dopravní prostředky. Naopak investice do ostatních strojů </w:t>
            </w:r>
            <w:r w:rsidR="001A33A3">
              <w:t>a </w:t>
            </w:r>
            <w:r>
              <w:t xml:space="preserve">zařízení se navýšily </w:t>
            </w:r>
            <w:r w:rsidR="001A33A3">
              <w:t>o </w:t>
            </w:r>
            <w:r>
              <w:t>40,9</w:t>
            </w:r>
            <w:r w:rsidR="00A21624">
              <w:t> mld.</w:t>
            </w:r>
            <w:r>
              <w:t xml:space="preserve"> korun (reálně 9,2</w:t>
            </w:r>
            <w:r w:rsidR="00F118D5">
              <w:t> %</w:t>
            </w:r>
            <w:r>
              <w:t xml:space="preserve">). Nárůst lze přičíst zejména nefinančním podnikům, které jsou v této oblasti převažujícím investorem. Investiční výdaje na prostředky ICT stagnovaly (+0,9 mld.). Jedná se však </w:t>
            </w:r>
            <w:r w:rsidR="001A33A3">
              <w:t>o </w:t>
            </w:r>
            <w:r>
              <w:t>srovnání s velmi silným rokem 2018 (+6,0</w:t>
            </w:r>
            <w:r w:rsidR="00A21624">
              <w:t> mld.</w:t>
            </w:r>
            <w:r>
              <w:t>, reálně 15,6</w:t>
            </w:r>
            <w:r w:rsidR="00F118D5">
              <w:t> %</w:t>
            </w:r>
            <w:r>
              <w:t>).</w:t>
            </w:r>
          </w:p>
        </w:tc>
      </w:tr>
      <w:tr w:rsidR="00817FDA" w14:paraId="2469A6F7" w14:textId="77777777" w:rsidTr="00E503A5">
        <w:trPr>
          <w:trHeight w:val="145"/>
        </w:trPr>
        <w:tc>
          <w:tcPr>
            <w:tcW w:w="1813" w:type="dxa"/>
            <w:shd w:val="clear" w:color="auto" w:fill="auto"/>
          </w:tcPr>
          <w:p w14:paraId="658542B2" w14:textId="08399C12" w:rsidR="00817FDA" w:rsidRDefault="00817FDA" w:rsidP="00E503A5">
            <w:pPr>
              <w:pStyle w:val="Marginlie"/>
            </w:pPr>
            <w:r>
              <w:t xml:space="preserve">Investice do ostatních budov </w:t>
            </w:r>
            <w:r w:rsidR="001A33A3">
              <w:t>a </w:t>
            </w:r>
            <w:r>
              <w:t>staveb reálně klesly.</w:t>
            </w:r>
          </w:p>
        </w:tc>
        <w:tc>
          <w:tcPr>
            <w:tcW w:w="221" w:type="dxa"/>
            <w:shd w:val="clear" w:color="auto" w:fill="auto"/>
          </w:tcPr>
          <w:p w14:paraId="445C8FB7" w14:textId="77777777" w:rsidR="00817FDA" w:rsidRDefault="00817FDA" w:rsidP="00E503A5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</w:tcPr>
          <w:p w14:paraId="2E022C49" w14:textId="30260B18" w:rsidR="00817FDA" w:rsidRDefault="00817FDA" w:rsidP="00E503A5">
            <w:r>
              <w:t xml:space="preserve">Výdaje na ostatní budovy </w:t>
            </w:r>
            <w:r w:rsidR="001A33A3">
              <w:t>a </w:t>
            </w:r>
            <w:r>
              <w:t>stavby loni dosáhly 359,5</w:t>
            </w:r>
            <w:r w:rsidR="00A21624">
              <w:t> mld.</w:t>
            </w:r>
            <w:r>
              <w:t xml:space="preserve"> korun </w:t>
            </w:r>
            <w:r w:rsidR="001A33A3">
              <w:t>a </w:t>
            </w:r>
            <w:r>
              <w:t xml:space="preserve">meziročně se zvýšily </w:t>
            </w:r>
            <w:r w:rsidR="001A33A3">
              <w:t>o </w:t>
            </w:r>
            <w:r>
              <w:t>11,8</w:t>
            </w:r>
            <w:r w:rsidR="00A21624">
              <w:t> mld.</w:t>
            </w:r>
            <w:r>
              <w:t>,</w:t>
            </w:r>
            <w:r w:rsidR="00F118D5">
              <w:t xml:space="preserve"> </w:t>
            </w:r>
            <w:r>
              <w:t xml:space="preserve">nominálně tak rostly třetím rokem. Reálně se ale investice v této oblasti snížily </w:t>
            </w:r>
            <w:r w:rsidR="001A33A3">
              <w:t>o </w:t>
            </w:r>
            <w:r>
              <w:t>3,1</w:t>
            </w:r>
            <w:r w:rsidR="00F118D5">
              <w:t> %</w:t>
            </w:r>
            <w:r>
              <w:rPr>
                <w:rStyle w:val="Znakapoznpodarou"/>
              </w:rPr>
              <w:footnoteReference w:id="4"/>
            </w:r>
            <w:r>
              <w:t xml:space="preserve">. Největšími investory jsou zde nefinanční podniky </w:t>
            </w:r>
            <w:r w:rsidR="001A33A3">
              <w:t>a </w:t>
            </w:r>
            <w:r>
              <w:t xml:space="preserve">také vládní instituce. Důležitou součástí této investiční kategorie jsou infrastrukturní stavby financované právě sektorem vládních institucí </w:t>
            </w:r>
            <w:r w:rsidR="001A33A3">
              <w:t>a </w:t>
            </w:r>
            <w:r>
              <w:t>napojené na evropské financování. To vnáší do dynamiky investic v posledních letech výraznou volatilitu odpovídající cyklu čerpání dotací</w:t>
            </w:r>
            <w:r>
              <w:rPr>
                <w:rStyle w:val="Znakapoznpodarou"/>
              </w:rPr>
              <w:footnoteReference w:id="5"/>
            </w:r>
            <w:r>
              <w:t xml:space="preserve">. Ostatní budovy </w:t>
            </w:r>
            <w:r w:rsidR="001A33A3">
              <w:t>a </w:t>
            </w:r>
            <w:r>
              <w:t>stavby jsou také položkou nejvýrazněji zasaženou krizovým vývojem po roce 2009 (série poklesů v letech 2009</w:t>
            </w:r>
            <w:r w:rsidR="00A21624">
              <w:t>–</w:t>
            </w:r>
            <w:r>
              <w:t xml:space="preserve">2014) </w:t>
            </w:r>
            <w:r w:rsidR="001A33A3">
              <w:t>a </w:t>
            </w:r>
            <w:r>
              <w:t xml:space="preserve">z většiny šlo </w:t>
            </w:r>
            <w:r w:rsidR="001A33A3">
              <w:lastRenderedPageBreak/>
              <w:t>o </w:t>
            </w:r>
            <w:r>
              <w:t>systematický pokles výdajů ze strany vládních institucí. Až loni tak byla překonána úroveň roku 2008.</w:t>
            </w:r>
          </w:p>
        </w:tc>
      </w:tr>
      <w:tr w:rsidR="00817FDA" w14:paraId="29BDC433" w14:textId="77777777" w:rsidTr="00E503A5">
        <w:trPr>
          <w:trHeight w:val="170"/>
        </w:trPr>
        <w:tc>
          <w:tcPr>
            <w:tcW w:w="1813" w:type="dxa"/>
            <w:vMerge w:val="restart"/>
            <w:shd w:val="clear" w:color="auto" w:fill="auto"/>
          </w:tcPr>
          <w:p w14:paraId="04371F49" w14:textId="77777777" w:rsidR="00817FDA" w:rsidRDefault="00817FDA" w:rsidP="00E503A5">
            <w:pPr>
              <w:pStyle w:val="Marginlie"/>
            </w:pPr>
          </w:p>
        </w:tc>
        <w:tc>
          <w:tcPr>
            <w:tcW w:w="221" w:type="dxa"/>
            <w:vMerge w:val="restart"/>
            <w:shd w:val="clear" w:color="auto" w:fill="auto"/>
          </w:tcPr>
          <w:p w14:paraId="51B7E6EB" w14:textId="77777777" w:rsidR="00817FDA" w:rsidRDefault="00817FDA" w:rsidP="00E503A5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</w:tcPr>
          <w:p w14:paraId="1722B671" w14:textId="54E5DC60" w:rsidR="00817FDA" w:rsidRDefault="00817FDA" w:rsidP="00E503A5">
            <w:pPr>
              <w:spacing w:after="0"/>
            </w:pPr>
            <w:r w:rsidRPr="00B606BE">
              <w:rPr>
                <w:b/>
              </w:rPr>
              <w:t xml:space="preserve">Graf </w:t>
            </w:r>
            <w:r w:rsidR="00A21624" w:rsidRPr="00B606BE">
              <w:rPr>
                <w:b/>
              </w:rPr>
              <w:t>č. </w:t>
            </w:r>
            <w:r w:rsidR="001A33A3" w:rsidRPr="00B606BE">
              <w:rPr>
                <w:b/>
              </w:rPr>
              <w:t>5</w:t>
            </w:r>
            <w:r w:rsidR="001A480E">
              <w:rPr>
                <w:b/>
              </w:rPr>
              <w:t xml:space="preserve">  </w:t>
            </w:r>
            <w:r>
              <w:rPr>
                <w:b/>
              </w:rPr>
              <w:t xml:space="preserve">Tvorba hrubého fixního kapitálu </w:t>
            </w:r>
            <w:r w:rsidR="001A33A3">
              <w:rPr>
                <w:b/>
              </w:rPr>
              <w:t>a </w:t>
            </w:r>
            <w:r>
              <w:rPr>
                <w:b/>
              </w:rPr>
              <w:t xml:space="preserve">její věcná struktura </w:t>
            </w:r>
            <w:r w:rsidRPr="009313F9">
              <w:t>(</w:t>
            </w:r>
            <w:r>
              <w:t xml:space="preserve">běžné ceny, </w:t>
            </w:r>
            <w:r w:rsidRPr="009313F9">
              <w:t>meziroční změna v mld. korun)</w:t>
            </w:r>
          </w:p>
        </w:tc>
      </w:tr>
      <w:tr w:rsidR="00817FDA" w14:paraId="4DE3C6BC" w14:textId="77777777" w:rsidTr="00E503A5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13" w:type="dxa"/>
            <w:vMerge/>
            <w:shd w:val="clear" w:color="auto" w:fill="auto"/>
          </w:tcPr>
          <w:p w14:paraId="701CA660" w14:textId="77777777" w:rsidR="00817FDA" w:rsidRDefault="00817FDA" w:rsidP="00E503A5">
            <w:pPr>
              <w:pStyle w:val="Marginlie"/>
            </w:pPr>
          </w:p>
        </w:tc>
        <w:tc>
          <w:tcPr>
            <w:tcW w:w="221" w:type="dxa"/>
            <w:vMerge/>
            <w:shd w:val="clear" w:color="auto" w:fill="auto"/>
          </w:tcPr>
          <w:p w14:paraId="1627A684" w14:textId="77777777" w:rsidR="00817FDA" w:rsidRDefault="00817FDA" w:rsidP="00E503A5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</w:tcPr>
          <w:p w14:paraId="0A2BD053" w14:textId="77777777" w:rsidR="00817FDA" w:rsidRDefault="00817FDA" w:rsidP="00E503A5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44616EA3" wp14:editId="68DE4A64">
                  <wp:extent cx="4737600" cy="3553200"/>
                  <wp:effectExtent l="0" t="0" r="6350" b="0"/>
                  <wp:docPr id="11" name="Graf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817FDA" w14:paraId="4B56433C" w14:textId="77777777" w:rsidTr="00E503A5">
        <w:trPr>
          <w:trHeight w:val="170"/>
        </w:trPr>
        <w:tc>
          <w:tcPr>
            <w:tcW w:w="1813" w:type="dxa"/>
            <w:vMerge/>
            <w:shd w:val="clear" w:color="auto" w:fill="auto"/>
          </w:tcPr>
          <w:p w14:paraId="364BF82F" w14:textId="77777777" w:rsidR="00817FDA" w:rsidRDefault="00817FDA" w:rsidP="00E503A5">
            <w:pPr>
              <w:pStyle w:val="Marginlie"/>
            </w:pPr>
          </w:p>
        </w:tc>
        <w:tc>
          <w:tcPr>
            <w:tcW w:w="221" w:type="dxa"/>
            <w:vMerge/>
            <w:shd w:val="clear" w:color="auto" w:fill="auto"/>
          </w:tcPr>
          <w:p w14:paraId="1B7CED68" w14:textId="77777777" w:rsidR="00817FDA" w:rsidRDefault="00817FDA" w:rsidP="00E503A5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</w:tcPr>
          <w:p w14:paraId="22AC6974" w14:textId="77777777" w:rsidR="00817FDA" w:rsidRDefault="00817FDA" w:rsidP="00E503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Zdroj: ČSÚ</w:t>
            </w:r>
          </w:p>
        </w:tc>
      </w:tr>
      <w:tr w:rsidR="00817FDA" w14:paraId="40507B20" w14:textId="77777777" w:rsidTr="00E503A5">
        <w:trPr>
          <w:trHeight w:val="145"/>
        </w:trPr>
        <w:tc>
          <w:tcPr>
            <w:tcW w:w="1813" w:type="dxa"/>
            <w:shd w:val="clear" w:color="auto" w:fill="auto"/>
          </w:tcPr>
          <w:p w14:paraId="475E2233" w14:textId="4A0E3604" w:rsidR="00817FDA" w:rsidRDefault="00817FDA" w:rsidP="00E503A5">
            <w:pPr>
              <w:pStyle w:val="Marginlie"/>
            </w:pPr>
            <w:r>
              <w:t xml:space="preserve">Domácnosti </w:t>
            </w:r>
            <w:r w:rsidR="001A33A3">
              <w:t>i </w:t>
            </w:r>
            <w:r>
              <w:t>nadále posilovaly investice do obydlí.</w:t>
            </w:r>
          </w:p>
        </w:tc>
        <w:tc>
          <w:tcPr>
            <w:tcW w:w="221" w:type="dxa"/>
            <w:shd w:val="clear" w:color="auto" w:fill="auto"/>
          </w:tcPr>
          <w:p w14:paraId="0152CA5C" w14:textId="77777777" w:rsidR="00817FDA" w:rsidRDefault="00817FDA" w:rsidP="00E503A5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</w:tcPr>
          <w:p w14:paraId="6029D801" w14:textId="59D6814E" w:rsidR="00817FDA" w:rsidRDefault="00817FDA" w:rsidP="00E503A5">
            <w:r>
              <w:t xml:space="preserve">Nominální </w:t>
            </w:r>
            <w:r w:rsidR="001A33A3">
              <w:t>i </w:t>
            </w:r>
            <w:r>
              <w:t xml:space="preserve">reálný růst investic do obydlí loni posílil. Celkem zde výdaje dosáhly 259,7 mld. korun </w:t>
            </w:r>
            <w:r w:rsidR="001A33A3">
              <w:t>a </w:t>
            </w:r>
            <w:r>
              <w:t xml:space="preserve">zvýšily se </w:t>
            </w:r>
            <w:r w:rsidR="001A33A3">
              <w:t>o </w:t>
            </w:r>
            <w:r>
              <w:t>26,5</w:t>
            </w:r>
            <w:r w:rsidR="00A21624">
              <w:t> mld.</w:t>
            </w:r>
            <w:r>
              <w:t xml:space="preserve"> Reálný přírůstek činil 7,1</w:t>
            </w:r>
            <w:r w:rsidR="00F118D5">
              <w:t> %</w:t>
            </w:r>
            <w:r>
              <w:t>. Podíl investic do obydlí na celkové tvorbě hrubého fixního kapitálu se loni zvýšil na 17,2</w:t>
            </w:r>
            <w:r w:rsidR="00F118D5">
              <w:t> %</w:t>
            </w:r>
            <w:r>
              <w:t>, nejvíce za celou dobu samostatné</w:t>
            </w:r>
            <w:r w:rsidR="00E972B3">
              <w:t> </w:t>
            </w:r>
            <w:r>
              <w:t>ČR. Přírůstek investičních výdajů na obydlí loni na rozdíl od předchozích let odpovídal výši</w:t>
            </w:r>
            <w:r w:rsidR="00E972B3">
              <w:t xml:space="preserve"> </w:t>
            </w:r>
            <w:r>
              <w:t xml:space="preserve">přírůstku výdajů domácností, hlavního investora v této oblasti. Ačkoli se domácnosti potýkaly s pokračujícím silným růstem cen nemovitostí, převážil </w:t>
            </w:r>
            <w:r w:rsidR="001A33A3">
              <w:t>u </w:t>
            </w:r>
            <w:r>
              <w:t xml:space="preserve">nich silný růst mzdových příjmů </w:t>
            </w:r>
            <w:r w:rsidR="001A33A3">
              <w:t>a </w:t>
            </w:r>
            <w:r>
              <w:t>svou investiční aktivitu neomezovaly. Z údajů ČNB vyplývá, že průměrná hodnota hypoteční smlouvy na obydlí v posledních letech výrazně rostla</w:t>
            </w:r>
            <w:r>
              <w:rPr>
                <w:rStyle w:val="Znakapoznpodarou"/>
              </w:rPr>
              <w:footnoteReference w:id="6"/>
            </w:r>
            <w:r>
              <w:t>.</w:t>
            </w:r>
          </w:p>
        </w:tc>
      </w:tr>
      <w:tr w:rsidR="00817FDA" w14:paraId="7E001B90" w14:textId="77777777" w:rsidTr="00E503A5">
        <w:trPr>
          <w:trHeight w:val="145"/>
        </w:trPr>
        <w:tc>
          <w:tcPr>
            <w:tcW w:w="1813" w:type="dxa"/>
            <w:shd w:val="clear" w:color="auto" w:fill="auto"/>
          </w:tcPr>
          <w:p w14:paraId="6A905AFB" w14:textId="6FF13921" w:rsidR="00817FDA" w:rsidRDefault="00817FDA" w:rsidP="00E503A5">
            <w:pPr>
              <w:pStyle w:val="Marginlie"/>
            </w:pPr>
            <w:r>
              <w:t>Investice do produktů duševního vlastnictví výrazně posilují již několik let.</w:t>
            </w:r>
          </w:p>
        </w:tc>
        <w:tc>
          <w:tcPr>
            <w:tcW w:w="221" w:type="dxa"/>
            <w:shd w:val="clear" w:color="auto" w:fill="auto"/>
          </w:tcPr>
          <w:p w14:paraId="3EFF3FA7" w14:textId="77777777" w:rsidR="00817FDA" w:rsidRDefault="00817FDA" w:rsidP="00E503A5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</w:tcPr>
          <w:p w14:paraId="6139B5CB" w14:textId="1956BEB6" w:rsidR="00817FDA" w:rsidRDefault="00817FDA" w:rsidP="00E503A5">
            <w:r>
              <w:t>Investice do produktů duševního vlastnictví loni činily 277,1</w:t>
            </w:r>
            <w:r w:rsidR="00A21624">
              <w:t> mld.</w:t>
            </w:r>
            <w:r>
              <w:t xml:space="preserve"> korun </w:t>
            </w:r>
            <w:r w:rsidR="001A33A3">
              <w:t>a </w:t>
            </w:r>
            <w:r>
              <w:t xml:space="preserve">meziročně se zvýšily </w:t>
            </w:r>
            <w:r w:rsidR="001A33A3">
              <w:t>o </w:t>
            </w:r>
            <w:r>
              <w:t>24,9</w:t>
            </w:r>
            <w:r w:rsidR="00A21624">
              <w:t> mld.</w:t>
            </w:r>
            <w:r>
              <w:t xml:space="preserve"> Reálné navýšení dosáhlo 6,4</w:t>
            </w:r>
            <w:r w:rsidR="00F118D5">
              <w:t> %</w:t>
            </w:r>
            <w:r>
              <w:t xml:space="preserve">. Přírůstek ve srovnání s rokem 2018 oslabil, stále ale zůstal </w:t>
            </w:r>
            <w:r w:rsidR="001A33A3">
              <w:t>i </w:t>
            </w:r>
            <w:r>
              <w:t xml:space="preserve">ve srovnání s celkovým tempem investiční aktivity poměrně silný. Investice do produktů duševního vlastnictví narůstají dlouhodobě </w:t>
            </w:r>
            <w:r w:rsidR="001A33A3">
              <w:t>a </w:t>
            </w:r>
            <w:r>
              <w:t>stojí za</w:t>
            </w:r>
            <w:r w:rsidR="008E2830">
              <w:t> </w:t>
            </w:r>
            <w:r>
              <w:t xml:space="preserve">tím zejména software </w:t>
            </w:r>
            <w:r w:rsidR="001A33A3">
              <w:t>a </w:t>
            </w:r>
            <w:r>
              <w:t>databáze (+10,1</w:t>
            </w:r>
            <w:r w:rsidR="00A21624">
              <w:t> mld.</w:t>
            </w:r>
            <w:r>
              <w:t xml:space="preserve"> korun v roce 2019). Zároveň je patrné, že je tento druh investic důležitý </w:t>
            </w:r>
            <w:r w:rsidR="001A33A3">
              <w:t>a </w:t>
            </w:r>
            <w:r>
              <w:t xml:space="preserve">roste ve všech sektorech. Loni ještě více k růstu investic do produktů duševního vlastnictví přispíval </w:t>
            </w:r>
            <w:r w:rsidR="001A33A3">
              <w:t>i </w:t>
            </w:r>
            <w:r>
              <w:t xml:space="preserve">výzkum </w:t>
            </w:r>
            <w:r w:rsidR="001A33A3">
              <w:t>a </w:t>
            </w:r>
            <w:r>
              <w:t>vývoj (+14,1</w:t>
            </w:r>
            <w:r w:rsidR="00A21624">
              <w:t> mld.</w:t>
            </w:r>
            <w:r>
              <w:t xml:space="preserve">). Zde ale šlo </w:t>
            </w:r>
            <w:r w:rsidR="001A33A3">
              <w:t>o </w:t>
            </w:r>
            <w:r>
              <w:t xml:space="preserve">výjimečně silný přírůstek. Dynamika výdajů na výzkum </w:t>
            </w:r>
            <w:r w:rsidR="001A33A3">
              <w:t>a </w:t>
            </w:r>
            <w:r>
              <w:t xml:space="preserve">vývoj v posledních letech není tak silná </w:t>
            </w:r>
            <w:r w:rsidR="001A33A3">
              <w:t>a </w:t>
            </w:r>
            <w:r>
              <w:t xml:space="preserve">stabilní jako </w:t>
            </w:r>
            <w:r w:rsidR="001A33A3">
              <w:t>u </w:t>
            </w:r>
            <w:r>
              <w:t xml:space="preserve">softwaru </w:t>
            </w:r>
            <w:r w:rsidR="001A33A3">
              <w:t>a </w:t>
            </w:r>
            <w:r>
              <w:t>databází.</w:t>
            </w:r>
          </w:p>
        </w:tc>
      </w:tr>
    </w:tbl>
    <w:p w14:paraId="652E55F3" w14:textId="77777777" w:rsidR="00817FDA" w:rsidRDefault="00817FDA" w:rsidP="00817FDA">
      <w:pPr>
        <w:pStyle w:val="Nadpis210"/>
      </w:pPr>
    </w:p>
    <w:p w14:paraId="3DA4482F" w14:textId="39783D96" w:rsidR="00D85980" w:rsidRDefault="00D85980">
      <w:pPr>
        <w:spacing w:after="0" w:line="240" w:lineRule="auto"/>
        <w:jc w:val="left"/>
      </w:pPr>
    </w:p>
    <w:sectPr w:rsidR="00D85980" w:rsidSect="00B96E6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680" w:footer="680" w:gutter="0"/>
      <w:pgNumType w:start="1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A7FAE8" w16cid:durableId="22D3FA44"/>
  <w16cid:commentId w16cid:paraId="1C72AF4D" w16cid:durableId="22D64A75"/>
  <w16cid:commentId w16cid:paraId="282A67DB" w16cid:durableId="22D40348"/>
  <w16cid:commentId w16cid:paraId="74131377" w16cid:durableId="22D405B0"/>
  <w16cid:commentId w16cid:paraId="7D1A41B8" w16cid:durableId="22D40777"/>
  <w16cid:commentId w16cid:paraId="01FFE40C" w16cid:durableId="22D41165"/>
  <w16cid:commentId w16cid:paraId="6EBCA2E2" w16cid:durableId="22D42359"/>
  <w16cid:commentId w16cid:paraId="506DC739" w16cid:durableId="22D64B1C"/>
  <w16cid:commentId w16cid:paraId="014CC69D" w16cid:durableId="22D6A1C4"/>
  <w16cid:commentId w16cid:paraId="28552269" w16cid:durableId="22D6A357"/>
  <w16cid:commentId w16cid:paraId="05257285" w16cid:durableId="22D6FF5C"/>
  <w16cid:commentId w16cid:paraId="65249E36" w16cid:durableId="22D70089"/>
  <w16cid:commentId w16cid:paraId="3DEEA2F9" w16cid:durableId="22D7B641"/>
  <w16cid:commentId w16cid:paraId="51E0656F" w16cid:durableId="22D7B96C"/>
  <w16cid:commentId w16cid:paraId="319DD0C7" w16cid:durableId="22D7BBCD"/>
  <w16cid:commentId w16cid:paraId="2DB24C55" w16cid:durableId="22D80165"/>
  <w16cid:commentId w16cid:paraId="07B9B879" w16cid:durableId="22D809B2"/>
  <w16cid:commentId w16cid:paraId="7C9C8F73" w16cid:durableId="22D824B1"/>
  <w16cid:commentId w16cid:paraId="5483C675" w16cid:durableId="22D81600"/>
  <w16cid:commentId w16cid:paraId="7AA21C0F" w16cid:durableId="22D819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875FE" w14:textId="77777777" w:rsidR="00C57100" w:rsidRDefault="00C57100" w:rsidP="00E71A58">
      <w:r>
        <w:separator/>
      </w:r>
    </w:p>
  </w:endnote>
  <w:endnote w:type="continuationSeparator" w:id="0">
    <w:p w14:paraId="4CA734C6" w14:textId="77777777" w:rsidR="00C57100" w:rsidRDefault="00C5710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1694B" w14:textId="629115D4" w:rsidR="00B606BE" w:rsidRPr="00932443" w:rsidRDefault="00B606BE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1384CD77" wp14:editId="68CB0E97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3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265C22">
      <w:rPr>
        <w:szCs w:val="16"/>
      </w:rPr>
      <w:t>10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5AA9" w14:textId="3D96655A" w:rsidR="00B606BE" w:rsidRPr="00932443" w:rsidRDefault="00B606BE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6704" behindDoc="0" locked="0" layoutInCell="1" allowOverlap="1" wp14:anchorId="50FBB82E" wp14:editId="63D5AA2E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1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2019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265C22">
      <w:rPr>
        <w:rStyle w:val="ZpatChar"/>
        <w:szCs w:val="16"/>
      </w:rPr>
      <w:t>11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8F93F" w14:textId="77777777" w:rsidR="00C57100" w:rsidRDefault="00C57100" w:rsidP="0084727E">
      <w:pPr>
        <w:spacing w:after="0"/>
      </w:pPr>
      <w:r>
        <w:separator/>
      </w:r>
    </w:p>
  </w:footnote>
  <w:footnote w:type="continuationSeparator" w:id="0">
    <w:p w14:paraId="48C4CCBE" w14:textId="77777777" w:rsidR="00C57100" w:rsidRDefault="00C57100" w:rsidP="00E71A58">
      <w:r>
        <w:continuationSeparator/>
      </w:r>
    </w:p>
  </w:footnote>
  <w:footnote w:id="1">
    <w:p w14:paraId="217603D4" w14:textId="2568C0F2" w:rsidR="00B606BE" w:rsidRPr="00C12F3B" w:rsidRDefault="00B606BE" w:rsidP="00817FDA">
      <w:pPr>
        <w:pStyle w:val="Textpoznpodarou"/>
        <w:rPr>
          <w:sz w:val="16"/>
          <w:szCs w:val="16"/>
        </w:rPr>
      </w:pPr>
      <w:r w:rsidRPr="00C12F3B">
        <w:rPr>
          <w:rStyle w:val="Znakapoznpodarou"/>
          <w:szCs w:val="16"/>
        </w:rPr>
        <w:footnoteRef/>
      </w:r>
      <w:r w:rsidRPr="00C12F3B">
        <w:rPr>
          <w:sz w:val="16"/>
          <w:szCs w:val="16"/>
        </w:rPr>
        <w:t xml:space="preserve"> Meziroční růst cenové hladiny podle deflátoru výdajů na tvorbu hrubého fixního kapitálu v roce 2019 dosáhl 3,7</w:t>
      </w:r>
      <w:r>
        <w:rPr>
          <w:sz w:val="16"/>
          <w:szCs w:val="16"/>
        </w:rPr>
        <w:t> %</w:t>
      </w:r>
      <w:r w:rsidRPr="00C12F3B">
        <w:rPr>
          <w:sz w:val="16"/>
          <w:szCs w:val="16"/>
        </w:rPr>
        <w:t>, nejvíce od konce 90</w:t>
      </w:r>
      <w:r>
        <w:rPr>
          <w:sz w:val="16"/>
          <w:szCs w:val="16"/>
        </w:rPr>
        <w:t>. </w:t>
      </w:r>
      <w:r w:rsidRPr="00C12F3B">
        <w:rPr>
          <w:sz w:val="16"/>
          <w:szCs w:val="16"/>
        </w:rPr>
        <w:t xml:space="preserve">let. </w:t>
      </w:r>
      <w:r>
        <w:rPr>
          <w:sz w:val="16"/>
          <w:szCs w:val="16"/>
        </w:rPr>
        <w:t>Tempo bylo více než dvojnásobné oproti letům 2017 i 2018.</w:t>
      </w:r>
    </w:p>
  </w:footnote>
  <w:footnote w:id="2">
    <w:p w14:paraId="477D9A22" w14:textId="5552B164" w:rsidR="00B606BE" w:rsidRPr="00131A35" w:rsidRDefault="00B606BE" w:rsidP="00817FDA">
      <w:pPr>
        <w:pStyle w:val="Textpoznpodarou"/>
        <w:rPr>
          <w:sz w:val="16"/>
          <w:szCs w:val="16"/>
        </w:rPr>
      </w:pPr>
      <w:r w:rsidRPr="00131A35">
        <w:rPr>
          <w:rStyle w:val="Znakapoznpodarou"/>
          <w:szCs w:val="16"/>
        </w:rPr>
        <w:footnoteRef/>
      </w:r>
      <w:r w:rsidRPr="00131A3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Dvacet sedm </w:t>
      </w:r>
      <w:r w:rsidRPr="00131A35">
        <w:rPr>
          <w:sz w:val="16"/>
          <w:szCs w:val="16"/>
        </w:rPr>
        <w:t>států bez Velké Británie.</w:t>
      </w:r>
    </w:p>
  </w:footnote>
  <w:footnote w:id="3">
    <w:p w14:paraId="388EDF95" w14:textId="3B282B19" w:rsidR="00B606BE" w:rsidRPr="00B82A9C" w:rsidRDefault="00B606BE" w:rsidP="00817FDA">
      <w:pPr>
        <w:pStyle w:val="Textpoznpodarou"/>
        <w:rPr>
          <w:sz w:val="16"/>
          <w:szCs w:val="16"/>
        </w:rPr>
      </w:pPr>
      <w:r w:rsidRPr="00B82A9C">
        <w:rPr>
          <w:rStyle w:val="Znakapoznpodarou"/>
          <w:szCs w:val="16"/>
        </w:rPr>
        <w:footnoteRef/>
      </w:r>
      <w:r w:rsidRPr="00B82A9C">
        <w:rPr>
          <w:sz w:val="16"/>
          <w:szCs w:val="16"/>
        </w:rPr>
        <w:t xml:space="preserve"> Údaje o</w:t>
      </w:r>
      <w:r>
        <w:rPr>
          <w:sz w:val="16"/>
          <w:szCs w:val="16"/>
        </w:rPr>
        <w:t> </w:t>
      </w:r>
      <w:r w:rsidRPr="00B82A9C">
        <w:rPr>
          <w:sz w:val="16"/>
          <w:szCs w:val="16"/>
        </w:rPr>
        <w:t>irském HDP a</w:t>
      </w:r>
      <w:r>
        <w:rPr>
          <w:sz w:val="16"/>
          <w:szCs w:val="16"/>
        </w:rPr>
        <w:t> </w:t>
      </w:r>
      <w:r w:rsidRPr="00B82A9C">
        <w:rPr>
          <w:sz w:val="16"/>
          <w:szCs w:val="16"/>
        </w:rPr>
        <w:t>jeho složkách (zejména investicích) v posledních letech vykazují velké výkyvy související s přítomností a</w:t>
      </w:r>
      <w:r>
        <w:rPr>
          <w:sz w:val="16"/>
          <w:szCs w:val="16"/>
        </w:rPr>
        <w:t> </w:t>
      </w:r>
      <w:r w:rsidRPr="00B82A9C">
        <w:rPr>
          <w:sz w:val="16"/>
          <w:szCs w:val="16"/>
        </w:rPr>
        <w:t>příchody velkých internetových firem</w:t>
      </w:r>
      <w:r>
        <w:rPr>
          <w:sz w:val="16"/>
          <w:szCs w:val="16"/>
        </w:rPr>
        <w:t>,</w:t>
      </w:r>
      <w:r w:rsidRPr="00B82A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které </w:t>
      </w:r>
      <w:r w:rsidRPr="00B82A9C">
        <w:rPr>
          <w:sz w:val="16"/>
          <w:szCs w:val="16"/>
        </w:rPr>
        <w:t>využívají příznivé daňové prostředí v zemi.</w:t>
      </w:r>
    </w:p>
  </w:footnote>
  <w:footnote w:id="4">
    <w:p w14:paraId="5C243563" w14:textId="38EB5788" w:rsidR="00B606BE" w:rsidRPr="0026417E" w:rsidRDefault="00B606BE" w:rsidP="00817FDA">
      <w:pPr>
        <w:pStyle w:val="Textpoznpodarou"/>
        <w:rPr>
          <w:sz w:val="16"/>
          <w:szCs w:val="16"/>
        </w:rPr>
      </w:pPr>
      <w:r w:rsidRPr="0026417E">
        <w:rPr>
          <w:rStyle w:val="Znakapoznpodarou"/>
          <w:szCs w:val="16"/>
        </w:rPr>
        <w:footnoteRef/>
      </w:r>
      <w:r w:rsidRPr="0026417E">
        <w:rPr>
          <w:sz w:val="16"/>
          <w:szCs w:val="16"/>
        </w:rPr>
        <w:t xml:space="preserve"> </w:t>
      </w:r>
      <w:r>
        <w:rPr>
          <w:sz w:val="16"/>
          <w:szCs w:val="16"/>
        </w:rPr>
        <w:t>Podle odhadů v</w:t>
      </w:r>
      <w:r w:rsidRPr="0026417E">
        <w:rPr>
          <w:sz w:val="16"/>
          <w:szCs w:val="16"/>
        </w:rPr>
        <w:t> roce 2019 ceny stavebních prací</w:t>
      </w:r>
      <w:r>
        <w:rPr>
          <w:sz w:val="16"/>
          <w:szCs w:val="16"/>
        </w:rPr>
        <w:t xml:space="preserve"> vzrostly o 4,6 %</w:t>
      </w:r>
      <w:r w:rsidRPr="0026417E">
        <w:rPr>
          <w:sz w:val="16"/>
          <w:szCs w:val="16"/>
        </w:rPr>
        <w:t>.</w:t>
      </w:r>
    </w:p>
  </w:footnote>
  <w:footnote w:id="5">
    <w:p w14:paraId="74210422" w14:textId="77777777" w:rsidR="00B606BE" w:rsidRPr="00541CFE" w:rsidRDefault="00B606BE" w:rsidP="00817FDA">
      <w:pPr>
        <w:pStyle w:val="Textpoznpodarou"/>
        <w:rPr>
          <w:sz w:val="16"/>
          <w:szCs w:val="16"/>
        </w:rPr>
      </w:pPr>
      <w:r w:rsidRPr="00541CFE">
        <w:rPr>
          <w:rStyle w:val="Znakapoznpodarou"/>
          <w:szCs w:val="16"/>
        </w:rPr>
        <w:footnoteRef/>
      </w:r>
      <w:r w:rsidRPr="00541CFE">
        <w:rPr>
          <w:sz w:val="16"/>
          <w:szCs w:val="16"/>
        </w:rPr>
        <w:t xml:space="preserve"> Například v roce 2018 bylo nutné dočerpat část alokovaných prostředků, což navýšilo celkové výdaje.</w:t>
      </w:r>
    </w:p>
  </w:footnote>
  <w:footnote w:id="6">
    <w:p w14:paraId="31A87F25" w14:textId="51D40C91" w:rsidR="00B606BE" w:rsidRPr="0051191B" w:rsidRDefault="00B606BE" w:rsidP="00817FDA">
      <w:pPr>
        <w:pStyle w:val="Textpoznpodarou"/>
        <w:rPr>
          <w:sz w:val="16"/>
          <w:szCs w:val="16"/>
        </w:rPr>
      </w:pPr>
      <w:r w:rsidRPr="0051191B">
        <w:rPr>
          <w:rStyle w:val="Znakapoznpodarou"/>
          <w:szCs w:val="16"/>
        </w:rPr>
        <w:footnoteRef/>
      </w:r>
      <w:r w:rsidRPr="0051191B">
        <w:rPr>
          <w:sz w:val="16"/>
          <w:szCs w:val="16"/>
        </w:rPr>
        <w:t xml:space="preserve"> Průměrná hodnota nově poskytnuté hypoteční smlouvy ke konci roku 2019 dosáhla 2,0</w:t>
      </w:r>
      <w:r>
        <w:rPr>
          <w:sz w:val="16"/>
          <w:szCs w:val="16"/>
        </w:rPr>
        <w:t> </w:t>
      </w:r>
      <w:r w:rsidRPr="0051191B">
        <w:rPr>
          <w:sz w:val="16"/>
          <w:szCs w:val="16"/>
        </w:rPr>
        <w:t>milionu korun. Ke konci roku 2018 to bylo 1,9</w:t>
      </w:r>
      <w:r>
        <w:rPr>
          <w:sz w:val="16"/>
          <w:szCs w:val="16"/>
        </w:rPr>
        <w:t> </w:t>
      </w:r>
      <w:r w:rsidRPr="0051191B">
        <w:rPr>
          <w:sz w:val="16"/>
          <w:szCs w:val="16"/>
        </w:rPr>
        <w:t>milionu. Na konci roku 2015 byla průměrná smlouva na 1,5</w:t>
      </w:r>
      <w:r>
        <w:rPr>
          <w:sz w:val="16"/>
          <w:szCs w:val="16"/>
        </w:rPr>
        <w:t> </w:t>
      </w:r>
      <w:r w:rsidRPr="0051191B">
        <w:rPr>
          <w:sz w:val="16"/>
          <w:szCs w:val="16"/>
        </w:rPr>
        <w:t>milionu.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91C6B" w14:textId="77777777" w:rsidR="00B606BE" w:rsidRPr="00601A2E" w:rsidRDefault="00B606BE" w:rsidP="00601A2E">
    <w:pPr>
      <w:pStyle w:val="Zhlav"/>
    </w:pPr>
    <w:r>
      <w:t>Analýza ekonomického vývoje v roce 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5F4E2" w14:textId="77777777" w:rsidR="00B606BE" w:rsidRDefault="00B606BE" w:rsidP="00937AE2">
    <w:pPr>
      <w:pStyle w:val="Zhlav"/>
    </w:pPr>
    <w:r>
      <w:t>Analýza ekonomického vývoje v roce 2019</w:t>
    </w:r>
  </w:p>
  <w:p w14:paraId="525077D0" w14:textId="77777777" w:rsidR="00B606BE" w:rsidRPr="006F5416" w:rsidRDefault="00B606BE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15AC1"/>
    <w:multiLevelType w:val="hybridMultilevel"/>
    <w:tmpl w:val="7464A696"/>
    <w:lvl w:ilvl="0" w:tplc="4246FC1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20"/>
  </w:num>
  <w:num w:numId="14">
    <w:abstractNumId w:val="10"/>
  </w:num>
  <w:num w:numId="15">
    <w:abstractNumId w:val="16"/>
  </w:num>
  <w:num w:numId="16">
    <w:abstractNumId w:val="12"/>
  </w:num>
  <w:num w:numId="17">
    <w:abstractNumId w:val="21"/>
  </w:num>
  <w:num w:numId="18">
    <w:abstractNumId w:val="17"/>
  </w:num>
  <w:num w:numId="19">
    <w:abstractNumId w:val="22"/>
  </w:num>
  <w:num w:numId="20">
    <w:abstractNumId w:val="24"/>
  </w:num>
  <w:num w:numId="21">
    <w:abstractNumId w:val="19"/>
  </w:num>
  <w:num w:numId="22">
    <w:abstractNumId w:val="15"/>
  </w:num>
  <w:num w:numId="23">
    <w:abstractNumId w:val="13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02"/>
    <w:rsid w:val="0000083D"/>
    <w:rsid w:val="0000209D"/>
    <w:rsid w:val="00004D5A"/>
    <w:rsid w:val="000056D5"/>
    <w:rsid w:val="00006ABD"/>
    <w:rsid w:val="0000767A"/>
    <w:rsid w:val="00007BEF"/>
    <w:rsid w:val="00010256"/>
    <w:rsid w:val="00010702"/>
    <w:rsid w:val="00011912"/>
    <w:rsid w:val="00012408"/>
    <w:rsid w:val="00014E7F"/>
    <w:rsid w:val="0002195D"/>
    <w:rsid w:val="000234D6"/>
    <w:rsid w:val="00023D29"/>
    <w:rsid w:val="00026389"/>
    <w:rsid w:val="00031AE0"/>
    <w:rsid w:val="000322EF"/>
    <w:rsid w:val="000333B9"/>
    <w:rsid w:val="00033FCD"/>
    <w:rsid w:val="00037A79"/>
    <w:rsid w:val="00041CEC"/>
    <w:rsid w:val="0004694F"/>
    <w:rsid w:val="000500AB"/>
    <w:rsid w:val="000522E4"/>
    <w:rsid w:val="000610E1"/>
    <w:rsid w:val="00062EC5"/>
    <w:rsid w:val="00062F22"/>
    <w:rsid w:val="00064B6A"/>
    <w:rsid w:val="00067A82"/>
    <w:rsid w:val="000712B3"/>
    <w:rsid w:val="000748F2"/>
    <w:rsid w:val="0008263E"/>
    <w:rsid w:val="00082A55"/>
    <w:rsid w:val="00082C19"/>
    <w:rsid w:val="00085395"/>
    <w:rsid w:val="00087634"/>
    <w:rsid w:val="00087F2B"/>
    <w:rsid w:val="00093E3F"/>
    <w:rsid w:val="00093E53"/>
    <w:rsid w:val="00095135"/>
    <w:rsid w:val="00096085"/>
    <w:rsid w:val="000974D1"/>
    <w:rsid w:val="0009799E"/>
    <w:rsid w:val="000979EC"/>
    <w:rsid w:val="000A1183"/>
    <w:rsid w:val="000A256D"/>
    <w:rsid w:val="000A3A2C"/>
    <w:rsid w:val="000A66F4"/>
    <w:rsid w:val="000A75F4"/>
    <w:rsid w:val="000B525B"/>
    <w:rsid w:val="000C1D78"/>
    <w:rsid w:val="000C3408"/>
    <w:rsid w:val="000C6AFD"/>
    <w:rsid w:val="000D2C3F"/>
    <w:rsid w:val="000D5637"/>
    <w:rsid w:val="000E3D0E"/>
    <w:rsid w:val="000E53C3"/>
    <w:rsid w:val="000E6C04"/>
    <w:rsid w:val="000E6FBD"/>
    <w:rsid w:val="000F7084"/>
    <w:rsid w:val="00100F5C"/>
    <w:rsid w:val="0010106F"/>
    <w:rsid w:val="00101CDA"/>
    <w:rsid w:val="0010268C"/>
    <w:rsid w:val="00104C4C"/>
    <w:rsid w:val="00117623"/>
    <w:rsid w:val="0012192F"/>
    <w:rsid w:val="00122BB3"/>
    <w:rsid w:val="00125A9C"/>
    <w:rsid w:val="00125D69"/>
    <w:rsid w:val="00135FEE"/>
    <w:rsid w:val="00137DF7"/>
    <w:rsid w:val="001405FA"/>
    <w:rsid w:val="00141782"/>
    <w:rsid w:val="001425C3"/>
    <w:rsid w:val="00142C1C"/>
    <w:rsid w:val="001457AA"/>
    <w:rsid w:val="0014794C"/>
    <w:rsid w:val="0015085A"/>
    <w:rsid w:val="001528B9"/>
    <w:rsid w:val="001612F4"/>
    <w:rsid w:val="00162312"/>
    <w:rsid w:val="0016256B"/>
    <w:rsid w:val="00163793"/>
    <w:rsid w:val="001671FF"/>
    <w:rsid w:val="001706D6"/>
    <w:rsid w:val="001714F2"/>
    <w:rsid w:val="00175B9F"/>
    <w:rsid w:val="00175F48"/>
    <w:rsid w:val="00181BBC"/>
    <w:rsid w:val="00182799"/>
    <w:rsid w:val="00184B08"/>
    <w:rsid w:val="00185010"/>
    <w:rsid w:val="00186919"/>
    <w:rsid w:val="001916DB"/>
    <w:rsid w:val="00193818"/>
    <w:rsid w:val="00194520"/>
    <w:rsid w:val="001969D1"/>
    <w:rsid w:val="001A0487"/>
    <w:rsid w:val="001A0D6B"/>
    <w:rsid w:val="001A33A3"/>
    <w:rsid w:val="001A480E"/>
    <w:rsid w:val="001A5387"/>
    <w:rsid w:val="001A552F"/>
    <w:rsid w:val="001B28D3"/>
    <w:rsid w:val="001B2CA9"/>
    <w:rsid w:val="001B3110"/>
    <w:rsid w:val="001B4729"/>
    <w:rsid w:val="001B5C4D"/>
    <w:rsid w:val="001B6310"/>
    <w:rsid w:val="001B6C09"/>
    <w:rsid w:val="001C05CD"/>
    <w:rsid w:val="001C1B66"/>
    <w:rsid w:val="001C487C"/>
    <w:rsid w:val="001D198A"/>
    <w:rsid w:val="001D463E"/>
    <w:rsid w:val="001D51EB"/>
    <w:rsid w:val="001D68B2"/>
    <w:rsid w:val="001D70E9"/>
    <w:rsid w:val="001E504C"/>
    <w:rsid w:val="001F138C"/>
    <w:rsid w:val="001F4063"/>
    <w:rsid w:val="001F4597"/>
    <w:rsid w:val="001F52D6"/>
    <w:rsid w:val="00203DA4"/>
    <w:rsid w:val="002052C6"/>
    <w:rsid w:val="002054B4"/>
    <w:rsid w:val="002118B9"/>
    <w:rsid w:val="00217C5B"/>
    <w:rsid w:val="0022139E"/>
    <w:rsid w:val="00222729"/>
    <w:rsid w:val="00222FFB"/>
    <w:rsid w:val="002252E0"/>
    <w:rsid w:val="002255F6"/>
    <w:rsid w:val="00227850"/>
    <w:rsid w:val="00227A53"/>
    <w:rsid w:val="00230C6E"/>
    <w:rsid w:val="00231CC2"/>
    <w:rsid w:val="00236443"/>
    <w:rsid w:val="00241035"/>
    <w:rsid w:val="00241B06"/>
    <w:rsid w:val="002436BA"/>
    <w:rsid w:val="00244A15"/>
    <w:rsid w:val="00244EB3"/>
    <w:rsid w:val="00247319"/>
    <w:rsid w:val="0024799E"/>
    <w:rsid w:val="00253C0F"/>
    <w:rsid w:val="002558C1"/>
    <w:rsid w:val="00255943"/>
    <w:rsid w:val="00260FC5"/>
    <w:rsid w:val="002632EC"/>
    <w:rsid w:val="00265C22"/>
    <w:rsid w:val="00271465"/>
    <w:rsid w:val="00274037"/>
    <w:rsid w:val="00285412"/>
    <w:rsid w:val="0028587B"/>
    <w:rsid w:val="00291640"/>
    <w:rsid w:val="002A16D4"/>
    <w:rsid w:val="002A230C"/>
    <w:rsid w:val="002A5D97"/>
    <w:rsid w:val="002A7679"/>
    <w:rsid w:val="002B2127"/>
    <w:rsid w:val="002B213A"/>
    <w:rsid w:val="002B4845"/>
    <w:rsid w:val="002B6B06"/>
    <w:rsid w:val="002C43BD"/>
    <w:rsid w:val="002D0E59"/>
    <w:rsid w:val="002D2D9F"/>
    <w:rsid w:val="002D6BD2"/>
    <w:rsid w:val="002E02A1"/>
    <w:rsid w:val="002E1A9C"/>
    <w:rsid w:val="002E32FC"/>
    <w:rsid w:val="002E4E4C"/>
    <w:rsid w:val="002F4860"/>
    <w:rsid w:val="002F550B"/>
    <w:rsid w:val="0030150E"/>
    <w:rsid w:val="00303533"/>
    <w:rsid w:val="00304771"/>
    <w:rsid w:val="003052D4"/>
    <w:rsid w:val="00306C5B"/>
    <w:rsid w:val="00314A41"/>
    <w:rsid w:val="003209D6"/>
    <w:rsid w:val="00321924"/>
    <w:rsid w:val="0032314C"/>
    <w:rsid w:val="0032656E"/>
    <w:rsid w:val="003268DD"/>
    <w:rsid w:val="00330060"/>
    <w:rsid w:val="00332190"/>
    <w:rsid w:val="0033250B"/>
    <w:rsid w:val="00343331"/>
    <w:rsid w:val="0034335E"/>
    <w:rsid w:val="00344668"/>
    <w:rsid w:val="003462D9"/>
    <w:rsid w:val="00347378"/>
    <w:rsid w:val="00347604"/>
    <w:rsid w:val="003576EB"/>
    <w:rsid w:val="00357908"/>
    <w:rsid w:val="00360C86"/>
    <w:rsid w:val="00360DE3"/>
    <w:rsid w:val="00360FBC"/>
    <w:rsid w:val="00362E90"/>
    <w:rsid w:val="00364C32"/>
    <w:rsid w:val="00364FA0"/>
    <w:rsid w:val="003657F3"/>
    <w:rsid w:val="003733A0"/>
    <w:rsid w:val="00376C3B"/>
    <w:rsid w:val="003818DC"/>
    <w:rsid w:val="00384327"/>
    <w:rsid w:val="003852A9"/>
    <w:rsid w:val="00385D98"/>
    <w:rsid w:val="003870EE"/>
    <w:rsid w:val="003A2B4D"/>
    <w:rsid w:val="003A2D12"/>
    <w:rsid w:val="003A478C"/>
    <w:rsid w:val="003A5525"/>
    <w:rsid w:val="003A6B38"/>
    <w:rsid w:val="003B461F"/>
    <w:rsid w:val="003B5A32"/>
    <w:rsid w:val="003B6B9E"/>
    <w:rsid w:val="003C3490"/>
    <w:rsid w:val="003C4BE8"/>
    <w:rsid w:val="003C77D0"/>
    <w:rsid w:val="003C7E62"/>
    <w:rsid w:val="003D6920"/>
    <w:rsid w:val="003E38BA"/>
    <w:rsid w:val="003E4C91"/>
    <w:rsid w:val="003F313C"/>
    <w:rsid w:val="003F37FC"/>
    <w:rsid w:val="003F3890"/>
    <w:rsid w:val="003F4B2C"/>
    <w:rsid w:val="003F551C"/>
    <w:rsid w:val="003F72ED"/>
    <w:rsid w:val="003F7D23"/>
    <w:rsid w:val="00400B82"/>
    <w:rsid w:val="00407C13"/>
    <w:rsid w:val="00410638"/>
    <w:rsid w:val="0041215C"/>
    <w:rsid w:val="0041501E"/>
    <w:rsid w:val="004159C3"/>
    <w:rsid w:val="00425F45"/>
    <w:rsid w:val="00432A58"/>
    <w:rsid w:val="00433C0C"/>
    <w:rsid w:val="00434617"/>
    <w:rsid w:val="00436778"/>
    <w:rsid w:val="00437E53"/>
    <w:rsid w:val="00440900"/>
    <w:rsid w:val="00441BF6"/>
    <w:rsid w:val="004441A0"/>
    <w:rsid w:val="0045078A"/>
    <w:rsid w:val="0045086D"/>
    <w:rsid w:val="00460FB3"/>
    <w:rsid w:val="00467ABC"/>
    <w:rsid w:val="00476240"/>
    <w:rsid w:val="00476439"/>
    <w:rsid w:val="0047735C"/>
    <w:rsid w:val="004776BC"/>
    <w:rsid w:val="0048139F"/>
    <w:rsid w:val="00481E40"/>
    <w:rsid w:val="00484ECE"/>
    <w:rsid w:val="004915CB"/>
    <w:rsid w:val="004924DC"/>
    <w:rsid w:val="004948F4"/>
    <w:rsid w:val="004A14E4"/>
    <w:rsid w:val="004A3212"/>
    <w:rsid w:val="004A5494"/>
    <w:rsid w:val="004A61C5"/>
    <w:rsid w:val="004A670E"/>
    <w:rsid w:val="004A77DF"/>
    <w:rsid w:val="004B1417"/>
    <w:rsid w:val="004B481B"/>
    <w:rsid w:val="004B48DF"/>
    <w:rsid w:val="004B55B7"/>
    <w:rsid w:val="004B6468"/>
    <w:rsid w:val="004B7125"/>
    <w:rsid w:val="004C26B0"/>
    <w:rsid w:val="004C384C"/>
    <w:rsid w:val="004C3867"/>
    <w:rsid w:val="004C4CD0"/>
    <w:rsid w:val="004C5FBF"/>
    <w:rsid w:val="004C70DC"/>
    <w:rsid w:val="004D0211"/>
    <w:rsid w:val="004D0794"/>
    <w:rsid w:val="004D3177"/>
    <w:rsid w:val="004E326C"/>
    <w:rsid w:val="004F06F5"/>
    <w:rsid w:val="004F16F7"/>
    <w:rsid w:val="004F1879"/>
    <w:rsid w:val="004F33A0"/>
    <w:rsid w:val="004F6EDC"/>
    <w:rsid w:val="0050689D"/>
    <w:rsid w:val="0051031A"/>
    <w:rsid w:val="005108C0"/>
    <w:rsid w:val="00511873"/>
    <w:rsid w:val="00512A2F"/>
    <w:rsid w:val="00513B7E"/>
    <w:rsid w:val="0051465A"/>
    <w:rsid w:val="005152D9"/>
    <w:rsid w:val="00515C74"/>
    <w:rsid w:val="00515FFA"/>
    <w:rsid w:val="005172FF"/>
    <w:rsid w:val="005173AF"/>
    <w:rsid w:val="0052007E"/>
    <w:rsid w:val="0052337A"/>
    <w:rsid w:val="00525137"/>
    <w:rsid w:val="005251DD"/>
    <w:rsid w:val="00532CE7"/>
    <w:rsid w:val="0053324C"/>
    <w:rsid w:val="00534A28"/>
    <w:rsid w:val="00541508"/>
    <w:rsid w:val="00543498"/>
    <w:rsid w:val="00551238"/>
    <w:rsid w:val="0055599F"/>
    <w:rsid w:val="00556D68"/>
    <w:rsid w:val="00561B03"/>
    <w:rsid w:val="00563EB8"/>
    <w:rsid w:val="005647BF"/>
    <w:rsid w:val="00564AF1"/>
    <w:rsid w:val="00570D95"/>
    <w:rsid w:val="0057364B"/>
    <w:rsid w:val="00574773"/>
    <w:rsid w:val="00581AC8"/>
    <w:rsid w:val="00583FFD"/>
    <w:rsid w:val="005901E9"/>
    <w:rsid w:val="005911BE"/>
    <w:rsid w:val="00593152"/>
    <w:rsid w:val="00596F92"/>
    <w:rsid w:val="005A10F2"/>
    <w:rsid w:val="005A21E0"/>
    <w:rsid w:val="005A28FF"/>
    <w:rsid w:val="005A2A19"/>
    <w:rsid w:val="005A2C7B"/>
    <w:rsid w:val="005A3DF8"/>
    <w:rsid w:val="005A5549"/>
    <w:rsid w:val="005A5D45"/>
    <w:rsid w:val="005A655B"/>
    <w:rsid w:val="005A7666"/>
    <w:rsid w:val="005B121D"/>
    <w:rsid w:val="005C06ED"/>
    <w:rsid w:val="005C2609"/>
    <w:rsid w:val="005C35A1"/>
    <w:rsid w:val="005D3386"/>
    <w:rsid w:val="005D5802"/>
    <w:rsid w:val="005D7119"/>
    <w:rsid w:val="005D7890"/>
    <w:rsid w:val="005E2A7C"/>
    <w:rsid w:val="005E7C78"/>
    <w:rsid w:val="005F18C5"/>
    <w:rsid w:val="005F3EB1"/>
    <w:rsid w:val="005F46D8"/>
    <w:rsid w:val="005F5469"/>
    <w:rsid w:val="00600079"/>
    <w:rsid w:val="006003D1"/>
    <w:rsid w:val="00601A2E"/>
    <w:rsid w:val="0060404F"/>
    <w:rsid w:val="00604307"/>
    <w:rsid w:val="0060487F"/>
    <w:rsid w:val="00604EAD"/>
    <w:rsid w:val="006104FB"/>
    <w:rsid w:val="0061249B"/>
    <w:rsid w:val="00612A2F"/>
    <w:rsid w:val="00616E05"/>
    <w:rsid w:val="00624093"/>
    <w:rsid w:val="006254CB"/>
    <w:rsid w:val="0063201A"/>
    <w:rsid w:val="006350D5"/>
    <w:rsid w:val="006404A7"/>
    <w:rsid w:val="00644563"/>
    <w:rsid w:val="006451E4"/>
    <w:rsid w:val="00645B33"/>
    <w:rsid w:val="00650330"/>
    <w:rsid w:val="006516CB"/>
    <w:rsid w:val="006558BD"/>
    <w:rsid w:val="00657E87"/>
    <w:rsid w:val="00664803"/>
    <w:rsid w:val="00665BA4"/>
    <w:rsid w:val="00666D91"/>
    <w:rsid w:val="00667AF2"/>
    <w:rsid w:val="006710C9"/>
    <w:rsid w:val="00674D89"/>
    <w:rsid w:val="00675E37"/>
    <w:rsid w:val="00680001"/>
    <w:rsid w:val="0068174E"/>
    <w:rsid w:val="00681DCE"/>
    <w:rsid w:val="0068260E"/>
    <w:rsid w:val="006863B2"/>
    <w:rsid w:val="00695BEF"/>
    <w:rsid w:val="006977F6"/>
    <w:rsid w:val="00697A13"/>
    <w:rsid w:val="006A109C"/>
    <w:rsid w:val="006A3E08"/>
    <w:rsid w:val="006A5C31"/>
    <w:rsid w:val="006A73A6"/>
    <w:rsid w:val="006B0F92"/>
    <w:rsid w:val="006B344A"/>
    <w:rsid w:val="006B4B7B"/>
    <w:rsid w:val="006B78D8"/>
    <w:rsid w:val="006C113F"/>
    <w:rsid w:val="006C123E"/>
    <w:rsid w:val="006C1752"/>
    <w:rsid w:val="006C33B2"/>
    <w:rsid w:val="006C56D4"/>
    <w:rsid w:val="006C6924"/>
    <w:rsid w:val="006C6AF4"/>
    <w:rsid w:val="006C7CA6"/>
    <w:rsid w:val="006D3E8A"/>
    <w:rsid w:val="006D5C0C"/>
    <w:rsid w:val="006D61F6"/>
    <w:rsid w:val="006D64C2"/>
    <w:rsid w:val="006E279A"/>
    <w:rsid w:val="006E313B"/>
    <w:rsid w:val="006E7227"/>
    <w:rsid w:val="006F0AC6"/>
    <w:rsid w:val="006F2595"/>
    <w:rsid w:val="006F438E"/>
    <w:rsid w:val="006F5416"/>
    <w:rsid w:val="00705242"/>
    <w:rsid w:val="00706AD4"/>
    <w:rsid w:val="00707150"/>
    <w:rsid w:val="00711BB0"/>
    <w:rsid w:val="007140BE"/>
    <w:rsid w:val="00716E3F"/>
    <w:rsid w:val="007211F5"/>
    <w:rsid w:val="007240E2"/>
    <w:rsid w:val="00725BB5"/>
    <w:rsid w:val="00730AE8"/>
    <w:rsid w:val="00730F1B"/>
    <w:rsid w:val="00740575"/>
    <w:rsid w:val="00741493"/>
    <w:rsid w:val="0074369B"/>
    <w:rsid w:val="00744EE6"/>
    <w:rsid w:val="00745062"/>
    <w:rsid w:val="00745BC3"/>
    <w:rsid w:val="007506A5"/>
    <w:rsid w:val="00750EF8"/>
    <w:rsid w:val="00752180"/>
    <w:rsid w:val="00753CAB"/>
    <w:rsid w:val="00755202"/>
    <w:rsid w:val="00755D3A"/>
    <w:rsid w:val="007578D3"/>
    <w:rsid w:val="007609C6"/>
    <w:rsid w:val="0076175D"/>
    <w:rsid w:val="00763B85"/>
    <w:rsid w:val="0076521E"/>
    <w:rsid w:val="00765698"/>
    <w:rsid w:val="007661E9"/>
    <w:rsid w:val="00774779"/>
    <w:rsid w:val="00775F45"/>
    <w:rsid w:val="00776169"/>
    <w:rsid w:val="00776527"/>
    <w:rsid w:val="00780EF1"/>
    <w:rsid w:val="00785232"/>
    <w:rsid w:val="00790764"/>
    <w:rsid w:val="0079343E"/>
    <w:rsid w:val="0079453C"/>
    <w:rsid w:val="00794677"/>
    <w:rsid w:val="007A38F2"/>
    <w:rsid w:val="007A3F0C"/>
    <w:rsid w:val="007A516D"/>
    <w:rsid w:val="007B0750"/>
    <w:rsid w:val="007B6689"/>
    <w:rsid w:val="007C13A4"/>
    <w:rsid w:val="007C2D23"/>
    <w:rsid w:val="007C6BBD"/>
    <w:rsid w:val="007C7BAE"/>
    <w:rsid w:val="007D0C24"/>
    <w:rsid w:val="007D106B"/>
    <w:rsid w:val="007D1AEA"/>
    <w:rsid w:val="007D40DF"/>
    <w:rsid w:val="007E29B4"/>
    <w:rsid w:val="007E435A"/>
    <w:rsid w:val="007E7E61"/>
    <w:rsid w:val="007F0845"/>
    <w:rsid w:val="007F661C"/>
    <w:rsid w:val="007F708D"/>
    <w:rsid w:val="00801E13"/>
    <w:rsid w:val="00805381"/>
    <w:rsid w:val="00807674"/>
    <w:rsid w:val="00807C82"/>
    <w:rsid w:val="00816905"/>
    <w:rsid w:val="00817FDA"/>
    <w:rsid w:val="00821FF6"/>
    <w:rsid w:val="00822574"/>
    <w:rsid w:val="00825C4D"/>
    <w:rsid w:val="0083143E"/>
    <w:rsid w:val="00831CDE"/>
    <w:rsid w:val="00833BF2"/>
    <w:rsid w:val="00834304"/>
    <w:rsid w:val="00834FAA"/>
    <w:rsid w:val="00836086"/>
    <w:rsid w:val="008364D5"/>
    <w:rsid w:val="00846121"/>
    <w:rsid w:val="0084708F"/>
    <w:rsid w:val="0084727E"/>
    <w:rsid w:val="008477C8"/>
    <w:rsid w:val="00847931"/>
    <w:rsid w:val="0085114D"/>
    <w:rsid w:val="00852217"/>
    <w:rsid w:val="00855408"/>
    <w:rsid w:val="00856D65"/>
    <w:rsid w:val="00857658"/>
    <w:rsid w:val="00861B41"/>
    <w:rsid w:val="00861BE3"/>
    <w:rsid w:val="00863434"/>
    <w:rsid w:val="008637A2"/>
    <w:rsid w:val="00865E4C"/>
    <w:rsid w:val="008701E4"/>
    <w:rsid w:val="00873072"/>
    <w:rsid w:val="00875A32"/>
    <w:rsid w:val="00876086"/>
    <w:rsid w:val="00884A6F"/>
    <w:rsid w:val="008856A3"/>
    <w:rsid w:val="008873D4"/>
    <w:rsid w:val="0089296D"/>
    <w:rsid w:val="00893E85"/>
    <w:rsid w:val="00894031"/>
    <w:rsid w:val="00894C3D"/>
    <w:rsid w:val="00895508"/>
    <w:rsid w:val="00895A7B"/>
    <w:rsid w:val="008B1391"/>
    <w:rsid w:val="008B2636"/>
    <w:rsid w:val="008B7C02"/>
    <w:rsid w:val="008B7D2B"/>
    <w:rsid w:val="008C0049"/>
    <w:rsid w:val="008C0E88"/>
    <w:rsid w:val="008D0DBD"/>
    <w:rsid w:val="008D1E6A"/>
    <w:rsid w:val="008D2A16"/>
    <w:rsid w:val="008D664D"/>
    <w:rsid w:val="008D7BE5"/>
    <w:rsid w:val="008E0DC9"/>
    <w:rsid w:val="008E2830"/>
    <w:rsid w:val="008E2C57"/>
    <w:rsid w:val="008E31FF"/>
    <w:rsid w:val="008E6F06"/>
    <w:rsid w:val="008E7FC9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5CF4"/>
    <w:rsid w:val="0091728D"/>
    <w:rsid w:val="009177D4"/>
    <w:rsid w:val="0092180B"/>
    <w:rsid w:val="00921F14"/>
    <w:rsid w:val="0092434D"/>
    <w:rsid w:val="00924AC8"/>
    <w:rsid w:val="0092597A"/>
    <w:rsid w:val="00930FB1"/>
    <w:rsid w:val="0093139F"/>
    <w:rsid w:val="00932443"/>
    <w:rsid w:val="00937AE2"/>
    <w:rsid w:val="00942C19"/>
    <w:rsid w:val="0094427A"/>
    <w:rsid w:val="00945245"/>
    <w:rsid w:val="00953F28"/>
    <w:rsid w:val="009540B7"/>
    <w:rsid w:val="0095759C"/>
    <w:rsid w:val="0096154D"/>
    <w:rsid w:val="0096221A"/>
    <w:rsid w:val="00972F87"/>
    <w:rsid w:val="00974923"/>
    <w:rsid w:val="00976681"/>
    <w:rsid w:val="00976BAF"/>
    <w:rsid w:val="00980D3D"/>
    <w:rsid w:val="00987A30"/>
    <w:rsid w:val="00992CF3"/>
    <w:rsid w:val="009942B6"/>
    <w:rsid w:val="00994868"/>
    <w:rsid w:val="009968D6"/>
    <w:rsid w:val="009A1CAB"/>
    <w:rsid w:val="009A4901"/>
    <w:rsid w:val="009A60D1"/>
    <w:rsid w:val="009B6FD3"/>
    <w:rsid w:val="009B7C82"/>
    <w:rsid w:val="009C0293"/>
    <w:rsid w:val="009C03C8"/>
    <w:rsid w:val="009C1750"/>
    <w:rsid w:val="009C1EEA"/>
    <w:rsid w:val="009C2E29"/>
    <w:rsid w:val="009C554B"/>
    <w:rsid w:val="009C719E"/>
    <w:rsid w:val="009D3ACD"/>
    <w:rsid w:val="009E0DD4"/>
    <w:rsid w:val="009E42ED"/>
    <w:rsid w:val="009E5273"/>
    <w:rsid w:val="009E5DDB"/>
    <w:rsid w:val="009F46EA"/>
    <w:rsid w:val="009F4CA7"/>
    <w:rsid w:val="00A01CA0"/>
    <w:rsid w:val="00A10D66"/>
    <w:rsid w:val="00A1260E"/>
    <w:rsid w:val="00A14114"/>
    <w:rsid w:val="00A16413"/>
    <w:rsid w:val="00A16E1D"/>
    <w:rsid w:val="00A17D5B"/>
    <w:rsid w:val="00A20028"/>
    <w:rsid w:val="00A21624"/>
    <w:rsid w:val="00A2181F"/>
    <w:rsid w:val="00A230A8"/>
    <w:rsid w:val="00A23E43"/>
    <w:rsid w:val="00A25216"/>
    <w:rsid w:val="00A27420"/>
    <w:rsid w:val="00A27C85"/>
    <w:rsid w:val="00A30F65"/>
    <w:rsid w:val="00A32759"/>
    <w:rsid w:val="00A329DF"/>
    <w:rsid w:val="00A35142"/>
    <w:rsid w:val="00A35EA6"/>
    <w:rsid w:val="00A40EAC"/>
    <w:rsid w:val="00A416D4"/>
    <w:rsid w:val="00A418BC"/>
    <w:rsid w:val="00A46DE0"/>
    <w:rsid w:val="00A4750C"/>
    <w:rsid w:val="00A50D73"/>
    <w:rsid w:val="00A51F19"/>
    <w:rsid w:val="00A51F45"/>
    <w:rsid w:val="00A52CAD"/>
    <w:rsid w:val="00A537F0"/>
    <w:rsid w:val="00A53FC7"/>
    <w:rsid w:val="00A54250"/>
    <w:rsid w:val="00A55161"/>
    <w:rsid w:val="00A55593"/>
    <w:rsid w:val="00A62B23"/>
    <w:rsid w:val="00A62CE1"/>
    <w:rsid w:val="00A66A11"/>
    <w:rsid w:val="00A6741E"/>
    <w:rsid w:val="00A73C77"/>
    <w:rsid w:val="00A75E40"/>
    <w:rsid w:val="00A77D1D"/>
    <w:rsid w:val="00A84923"/>
    <w:rsid w:val="00A857C0"/>
    <w:rsid w:val="00A90FED"/>
    <w:rsid w:val="00A97A1E"/>
    <w:rsid w:val="00AA2996"/>
    <w:rsid w:val="00AA52BF"/>
    <w:rsid w:val="00AA559A"/>
    <w:rsid w:val="00AB2AF1"/>
    <w:rsid w:val="00AB5421"/>
    <w:rsid w:val="00AB5F7B"/>
    <w:rsid w:val="00AC45BD"/>
    <w:rsid w:val="00AC46DA"/>
    <w:rsid w:val="00AD1355"/>
    <w:rsid w:val="00AD168E"/>
    <w:rsid w:val="00AD306C"/>
    <w:rsid w:val="00AD68C4"/>
    <w:rsid w:val="00AD7D0B"/>
    <w:rsid w:val="00AE09B3"/>
    <w:rsid w:val="00AE1A83"/>
    <w:rsid w:val="00AE7FB2"/>
    <w:rsid w:val="00AF71EC"/>
    <w:rsid w:val="00B00913"/>
    <w:rsid w:val="00B01593"/>
    <w:rsid w:val="00B023F2"/>
    <w:rsid w:val="00B04B4A"/>
    <w:rsid w:val="00B07379"/>
    <w:rsid w:val="00B10A4D"/>
    <w:rsid w:val="00B120A1"/>
    <w:rsid w:val="00B12AA6"/>
    <w:rsid w:val="00B14BC1"/>
    <w:rsid w:val="00B17E71"/>
    <w:rsid w:val="00B17FDE"/>
    <w:rsid w:val="00B20632"/>
    <w:rsid w:val="00B22CD2"/>
    <w:rsid w:val="00B23055"/>
    <w:rsid w:val="00B2379C"/>
    <w:rsid w:val="00B2687D"/>
    <w:rsid w:val="00B32DDB"/>
    <w:rsid w:val="00B34528"/>
    <w:rsid w:val="00B34CC9"/>
    <w:rsid w:val="00B357BF"/>
    <w:rsid w:val="00B366E5"/>
    <w:rsid w:val="00B402FC"/>
    <w:rsid w:val="00B40FF9"/>
    <w:rsid w:val="00B42470"/>
    <w:rsid w:val="00B439DA"/>
    <w:rsid w:val="00B46604"/>
    <w:rsid w:val="00B530CD"/>
    <w:rsid w:val="00B53AB0"/>
    <w:rsid w:val="00B55F5E"/>
    <w:rsid w:val="00B57338"/>
    <w:rsid w:val="00B5752E"/>
    <w:rsid w:val="00B57E25"/>
    <w:rsid w:val="00B606BE"/>
    <w:rsid w:val="00B619A9"/>
    <w:rsid w:val="00B63A11"/>
    <w:rsid w:val="00B64C24"/>
    <w:rsid w:val="00B6608F"/>
    <w:rsid w:val="00B679FB"/>
    <w:rsid w:val="00B76D1E"/>
    <w:rsid w:val="00B80EC6"/>
    <w:rsid w:val="00B84CF6"/>
    <w:rsid w:val="00B86F03"/>
    <w:rsid w:val="00B9088A"/>
    <w:rsid w:val="00B9200E"/>
    <w:rsid w:val="00B92D1D"/>
    <w:rsid w:val="00B938C5"/>
    <w:rsid w:val="00B9432C"/>
    <w:rsid w:val="00B950E3"/>
    <w:rsid w:val="00B95940"/>
    <w:rsid w:val="00B962D2"/>
    <w:rsid w:val="00B96E65"/>
    <w:rsid w:val="00B97434"/>
    <w:rsid w:val="00BA0DD3"/>
    <w:rsid w:val="00BA6C2B"/>
    <w:rsid w:val="00BA76E6"/>
    <w:rsid w:val="00BB2F03"/>
    <w:rsid w:val="00BB46F3"/>
    <w:rsid w:val="00BB4AF6"/>
    <w:rsid w:val="00BB4CB1"/>
    <w:rsid w:val="00BB4F98"/>
    <w:rsid w:val="00BC0E31"/>
    <w:rsid w:val="00BC5C12"/>
    <w:rsid w:val="00BC7075"/>
    <w:rsid w:val="00BC7154"/>
    <w:rsid w:val="00BC731E"/>
    <w:rsid w:val="00BD163C"/>
    <w:rsid w:val="00BD1B27"/>
    <w:rsid w:val="00BD2991"/>
    <w:rsid w:val="00BD366B"/>
    <w:rsid w:val="00BD6D50"/>
    <w:rsid w:val="00BE18B9"/>
    <w:rsid w:val="00BE2495"/>
    <w:rsid w:val="00BE468E"/>
    <w:rsid w:val="00BE6186"/>
    <w:rsid w:val="00BF1578"/>
    <w:rsid w:val="00BF45D9"/>
    <w:rsid w:val="00BF4B4B"/>
    <w:rsid w:val="00BF6EE6"/>
    <w:rsid w:val="00C024B1"/>
    <w:rsid w:val="00C12D52"/>
    <w:rsid w:val="00C21405"/>
    <w:rsid w:val="00C21F94"/>
    <w:rsid w:val="00C25709"/>
    <w:rsid w:val="00C27913"/>
    <w:rsid w:val="00C33B68"/>
    <w:rsid w:val="00C36A79"/>
    <w:rsid w:val="00C401D2"/>
    <w:rsid w:val="00C405D4"/>
    <w:rsid w:val="00C4513B"/>
    <w:rsid w:val="00C466D2"/>
    <w:rsid w:val="00C53576"/>
    <w:rsid w:val="00C5390B"/>
    <w:rsid w:val="00C54697"/>
    <w:rsid w:val="00C57100"/>
    <w:rsid w:val="00C60191"/>
    <w:rsid w:val="00C609C9"/>
    <w:rsid w:val="00C6152B"/>
    <w:rsid w:val="00C73885"/>
    <w:rsid w:val="00C747B1"/>
    <w:rsid w:val="00C82191"/>
    <w:rsid w:val="00C83134"/>
    <w:rsid w:val="00C83FAA"/>
    <w:rsid w:val="00C8418E"/>
    <w:rsid w:val="00C85545"/>
    <w:rsid w:val="00C86B84"/>
    <w:rsid w:val="00C90CF4"/>
    <w:rsid w:val="00C90F53"/>
    <w:rsid w:val="00C92EB6"/>
    <w:rsid w:val="00C93389"/>
    <w:rsid w:val="00C936C3"/>
    <w:rsid w:val="00C96D08"/>
    <w:rsid w:val="00CA28BC"/>
    <w:rsid w:val="00CA6668"/>
    <w:rsid w:val="00CA6AB4"/>
    <w:rsid w:val="00CB259D"/>
    <w:rsid w:val="00CB390A"/>
    <w:rsid w:val="00CB4930"/>
    <w:rsid w:val="00CC2E7D"/>
    <w:rsid w:val="00CC71EC"/>
    <w:rsid w:val="00CD10A5"/>
    <w:rsid w:val="00CD2076"/>
    <w:rsid w:val="00CD29B5"/>
    <w:rsid w:val="00CD6331"/>
    <w:rsid w:val="00CE153B"/>
    <w:rsid w:val="00CE670B"/>
    <w:rsid w:val="00CE7F95"/>
    <w:rsid w:val="00CF1C4C"/>
    <w:rsid w:val="00CF4908"/>
    <w:rsid w:val="00CF51EC"/>
    <w:rsid w:val="00CF73AE"/>
    <w:rsid w:val="00D040DD"/>
    <w:rsid w:val="00D050F8"/>
    <w:rsid w:val="00D075BE"/>
    <w:rsid w:val="00D1005A"/>
    <w:rsid w:val="00D11854"/>
    <w:rsid w:val="00D120FA"/>
    <w:rsid w:val="00D13986"/>
    <w:rsid w:val="00D21D83"/>
    <w:rsid w:val="00D22038"/>
    <w:rsid w:val="00D235B7"/>
    <w:rsid w:val="00D25F28"/>
    <w:rsid w:val="00D26071"/>
    <w:rsid w:val="00D27973"/>
    <w:rsid w:val="00D32F90"/>
    <w:rsid w:val="00D35E1A"/>
    <w:rsid w:val="00D50F46"/>
    <w:rsid w:val="00D52BE2"/>
    <w:rsid w:val="00D57677"/>
    <w:rsid w:val="00D62FF4"/>
    <w:rsid w:val="00D64227"/>
    <w:rsid w:val="00D64F56"/>
    <w:rsid w:val="00D66223"/>
    <w:rsid w:val="00D67375"/>
    <w:rsid w:val="00D73384"/>
    <w:rsid w:val="00D8084C"/>
    <w:rsid w:val="00D85980"/>
    <w:rsid w:val="00D915EA"/>
    <w:rsid w:val="00D92FD1"/>
    <w:rsid w:val="00D93CE2"/>
    <w:rsid w:val="00D943C6"/>
    <w:rsid w:val="00D965EC"/>
    <w:rsid w:val="00DA0BBD"/>
    <w:rsid w:val="00DA7C0C"/>
    <w:rsid w:val="00DB08A9"/>
    <w:rsid w:val="00DB2EC8"/>
    <w:rsid w:val="00DC37E3"/>
    <w:rsid w:val="00DC5B3B"/>
    <w:rsid w:val="00DC76ED"/>
    <w:rsid w:val="00DD0AE9"/>
    <w:rsid w:val="00DD129F"/>
    <w:rsid w:val="00DD242A"/>
    <w:rsid w:val="00DD6B52"/>
    <w:rsid w:val="00DE0F63"/>
    <w:rsid w:val="00DE4C19"/>
    <w:rsid w:val="00DF317B"/>
    <w:rsid w:val="00DF42FF"/>
    <w:rsid w:val="00DF7190"/>
    <w:rsid w:val="00DF7AD4"/>
    <w:rsid w:val="00E01C0E"/>
    <w:rsid w:val="00E03F9A"/>
    <w:rsid w:val="00E04694"/>
    <w:rsid w:val="00E04F27"/>
    <w:rsid w:val="00E102BD"/>
    <w:rsid w:val="00E10A2E"/>
    <w:rsid w:val="00E11DE1"/>
    <w:rsid w:val="00E12B1E"/>
    <w:rsid w:val="00E17262"/>
    <w:rsid w:val="00E212C9"/>
    <w:rsid w:val="00E2394F"/>
    <w:rsid w:val="00E253A2"/>
    <w:rsid w:val="00E305C8"/>
    <w:rsid w:val="00E3309D"/>
    <w:rsid w:val="00E333BA"/>
    <w:rsid w:val="00E364BB"/>
    <w:rsid w:val="00E453F9"/>
    <w:rsid w:val="00E47EBA"/>
    <w:rsid w:val="00E50156"/>
    <w:rsid w:val="00E503A5"/>
    <w:rsid w:val="00E53470"/>
    <w:rsid w:val="00E539F6"/>
    <w:rsid w:val="00E6519D"/>
    <w:rsid w:val="00E67696"/>
    <w:rsid w:val="00E711D1"/>
    <w:rsid w:val="00E71A58"/>
    <w:rsid w:val="00E72A7A"/>
    <w:rsid w:val="00E733C7"/>
    <w:rsid w:val="00E75C94"/>
    <w:rsid w:val="00E76E61"/>
    <w:rsid w:val="00E8168E"/>
    <w:rsid w:val="00E924B2"/>
    <w:rsid w:val="00E93820"/>
    <w:rsid w:val="00E94A86"/>
    <w:rsid w:val="00E96143"/>
    <w:rsid w:val="00E972A9"/>
    <w:rsid w:val="00E972B3"/>
    <w:rsid w:val="00EA0840"/>
    <w:rsid w:val="00EA0C68"/>
    <w:rsid w:val="00EA17B0"/>
    <w:rsid w:val="00EA32BC"/>
    <w:rsid w:val="00EA405F"/>
    <w:rsid w:val="00EB4511"/>
    <w:rsid w:val="00EC03D7"/>
    <w:rsid w:val="00EC25F0"/>
    <w:rsid w:val="00ED62C6"/>
    <w:rsid w:val="00ED64C1"/>
    <w:rsid w:val="00ED7B65"/>
    <w:rsid w:val="00EE160E"/>
    <w:rsid w:val="00EE3446"/>
    <w:rsid w:val="00EE3C8D"/>
    <w:rsid w:val="00EE3E78"/>
    <w:rsid w:val="00EE466C"/>
    <w:rsid w:val="00EE4B1B"/>
    <w:rsid w:val="00EE50DB"/>
    <w:rsid w:val="00EF150D"/>
    <w:rsid w:val="00EF1F5A"/>
    <w:rsid w:val="00EF348D"/>
    <w:rsid w:val="00EF47BF"/>
    <w:rsid w:val="00F04811"/>
    <w:rsid w:val="00F0488C"/>
    <w:rsid w:val="00F05E10"/>
    <w:rsid w:val="00F10F11"/>
    <w:rsid w:val="00F118D5"/>
    <w:rsid w:val="00F13819"/>
    <w:rsid w:val="00F13C9C"/>
    <w:rsid w:val="00F15AAA"/>
    <w:rsid w:val="00F15BEF"/>
    <w:rsid w:val="00F160CE"/>
    <w:rsid w:val="00F161E1"/>
    <w:rsid w:val="00F162B3"/>
    <w:rsid w:val="00F231AE"/>
    <w:rsid w:val="00F24407"/>
    <w:rsid w:val="00F24FAA"/>
    <w:rsid w:val="00F26590"/>
    <w:rsid w:val="00F3364D"/>
    <w:rsid w:val="00F33926"/>
    <w:rsid w:val="00F33E56"/>
    <w:rsid w:val="00F41068"/>
    <w:rsid w:val="00F433FE"/>
    <w:rsid w:val="00F437CC"/>
    <w:rsid w:val="00F44537"/>
    <w:rsid w:val="00F4530D"/>
    <w:rsid w:val="00F46502"/>
    <w:rsid w:val="00F47067"/>
    <w:rsid w:val="00F525EB"/>
    <w:rsid w:val="00F55E08"/>
    <w:rsid w:val="00F56129"/>
    <w:rsid w:val="00F63DDE"/>
    <w:rsid w:val="00F63FB7"/>
    <w:rsid w:val="00F6421B"/>
    <w:rsid w:val="00F649D2"/>
    <w:rsid w:val="00F6602B"/>
    <w:rsid w:val="00F73A0C"/>
    <w:rsid w:val="00F73D08"/>
    <w:rsid w:val="00F756DB"/>
    <w:rsid w:val="00F8090E"/>
    <w:rsid w:val="00F84E7D"/>
    <w:rsid w:val="00F85066"/>
    <w:rsid w:val="00F853A9"/>
    <w:rsid w:val="00F859D0"/>
    <w:rsid w:val="00F87A4D"/>
    <w:rsid w:val="00F87A8D"/>
    <w:rsid w:val="00FA5D4D"/>
    <w:rsid w:val="00FB0EE2"/>
    <w:rsid w:val="00FB542E"/>
    <w:rsid w:val="00FC0359"/>
    <w:rsid w:val="00FC0E5F"/>
    <w:rsid w:val="00FC1A95"/>
    <w:rsid w:val="00FC56DE"/>
    <w:rsid w:val="00FC684B"/>
    <w:rsid w:val="00FD3265"/>
    <w:rsid w:val="00FD4916"/>
    <w:rsid w:val="00FE2F78"/>
    <w:rsid w:val="00FF3E63"/>
    <w:rsid w:val="00FF3EEC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C691A96"/>
  <w15:docId w15:val="{A4C7AF56-5B51-4067-BDB9-17A6C364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qFormat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EA0840"/>
    <w:rPr>
      <w:noProof/>
      <w:lang w:eastAsia="en-US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F46502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Nadpis21">
    <w:name w:val="Nadpis 21"/>
    <w:basedOn w:val="Normln"/>
    <w:uiPriority w:val="9"/>
    <w:qFormat/>
    <w:rsid w:val="00F46502"/>
    <w:pPr>
      <w:keepNext/>
      <w:keepLines/>
      <w:spacing w:after="0"/>
      <w:jc w:val="left"/>
      <w:outlineLvl w:val="1"/>
    </w:pPr>
    <w:rPr>
      <w:rFonts w:eastAsia="MS Gothic"/>
      <w:b/>
      <w:bCs/>
      <w:color w:val="71818C"/>
      <w:sz w:val="28"/>
      <w:szCs w:val="26"/>
    </w:rPr>
  </w:style>
  <w:style w:type="paragraph" w:customStyle="1" w:styleId="Textpoznpodarou1">
    <w:name w:val="Text pozn. pod čarou1"/>
    <w:basedOn w:val="Normln"/>
    <w:rsid w:val="00F46502"/>
    <w:pPr>
      <w:spacing w:after="0" w:line="240" w:lineRule="auto"/>
      <w:jc w:val="left"/>
    </w:pPr>
    <w:rPr>
      <w:rFonts w:eastAsia="Calibri"/>
      <w:color w:val="00000A"/>
      <w:szCs w:val="20"/>
    </w:rPr>
  </w:style>
  <w:style w:type="character" w:customStyle="1" w:styleId="TextpoznpodarouChar1">
    <w:name w:val="Text pozn. pod čarou Char1"/>
    <w:aliases w:val="Text pozn. pod čarou_martin_ang Char1"/>
    <w:basedOn w:val="Standardnpsmoodstavce"/>
    <w:semiHidden/>
    <w:rsid w:val="00F46502"/>
    <w:rPr>
      <w:rFonts w:ascii="Arial" w:eastAsia="Times New Roman" w:hAnsi="Arial" w:cs="Times New Roman"/>
      <w:color w:val="00000A"/>
      <w:szCs w:val="20"/>
      <w:lang w:eastAsia="cs-CZ"/>
    </w:rPr>
  </w:style>
  <w:style w:type="character" w:styleId="Znakapoznpodarou">
    <w:name w:val="footnote reference"/>
    <w:basedOn w:val="Standardnpsmoodstavce"/>
    <w:rsid w:val="00F46502"/>
    <w:rPr>
      <w:rFonts w:cs="Times New Roman"/>
      <w:vertAlign w:val="superscript"/>
    </w:rPr>
  </w:style>
  <w:style w:type="character" w:customStyle="1" w:styleId="odkaz-style-wrapper">
    <w:name w:val="odkaz-style-wrapper"/>
    <w:basedOn w:val="Standardnpsmoodstavce"/>
    <w:rsid w:val="00BE6186"/>
  </w:style>
  <w:style w:type="paragraph" w:customStyle="1" w:styleId="Nadpis110">
    <w:name w:val="Nadpis 11"/>
    <w:basedOn w:val="Normln"/>
    <w:uiPriority w:val="9"/>
    <w:qFormat/>
    <w:rsid w:val="00BE6186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Nadpis210">
    <w:name w:val="Nadpis 21"/>
    <w:basedOn w:val="Normln"/>
    <w:uiPriority w:val="9"/>
    <w:qFormat/>
    <w:rsid w:val="00BE6186"/>
    <w:pPr>
      <w:keepNext/>
      <w:keepLines/>
      <w:spacing w:after="0"/>
      <w:jc w:val="left"/>
      <w:outlineLvl w:val="1"/>
    </w:pPr>
    <w:rPr>
      <w:rFonts w:eastAsia="MS Gothic"/>
      <w:b/>
      <w:bCs/>
      <w:color w:val="71818C"/>
      <w:sz w:val="28"/>
      <w:szCs w:val="26"/>
    </w:rPr>
  </w:style>
  <w:style w:type="paragraph" w:customStyle="1" w:styleId="Textpoznpodarou10">
    <w:name w:val="Text pozn. pod čarou1"/>
    <w:basedOn w:val="Normln"/>
    <w:rsid w:val="00BE6186"/>
    <w:pPr>
      <w:spacing w:after="0" w:line="240" w:lineRule="auto"/>
      <w:jc w:val="left"/>
    </w:pPr>
    <w:rPr>
      <w:rFonts w:eastAsia="Calibri"/>
      <w:color w:val="00000A"/>
      <w:szCs w:val="20"/>
    </w:rPr>
  </w:style>
  <w:style w:type="paragraph" w:styleId="Normlnweb">
    <w:name w:val="Normal (Web)"/>
    <w:basedOn w:val="Normln"/>
    <w:uiPriority w:val="99"/>
    <w:unhideWhenUsed/>
    <w:rsid w:val="00C96D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4C5FBF"/>
    <w:pPr>
      <w:widowControl w:val="0"/>
      <w:suppressAutoHyphens/>
      <w:autoSpaceDE w:val="0"/>
      <w:autoSpaceDN w:val="0"/>
      <w:adjustRightInd w:val="0"/>
      <w:spacing w:before="120" w:after="0" w:line="215" w:lineRule="exact"/>
    </w:pPr>
    <w:rPr>
      <w:rFonts w:ascii="Times New Roman CE obyèejné" w:hAnsi="Times New Roman CE obyèejné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C5FBF"/>
    <w:rPr>
      <w:rFonts w:ascii="Times New Roman CE obyèejné" w:eastAsia="Times New Roman" w:hAnsi="Times New Roman CE obyèejné"/>
      <w:lang w:eastAsia="cs-CZ"/>
    </w:rPr>
  </w:style>
  <w:style w:type="character" w:customStyle="1" w:styleId="content">
    <w:name w:val="content"/>
    <w:basedOn w:val="Standardnpsmoodstavce"/>
    <w:rsid w:val="003C4BE8"/>
  </w:style>
  <w:style w:type="paragraph" w:styleId="Textvysvtlivek">
    <w:name w:val="endnote text"/>
    <w:basedOn w:val="Normln"/>
    <w:link w:val="TextvysvtlivekChar"/>
    <w:uiPriority w:val="99"/>
    <w:semiHidden/>
    <w:unhideWhenUsed/>
    <w:rsid w:val="00744EE6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44EE6"/>
    <w:rPr>
      <w:rFonts w:ascii="Arial" w:eastAsia="Times New Roman" w:hAnsi="Arial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744E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7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6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82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8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Ro&#269;n&#237;%20anal&#253;za%202018\Ana&#253;za%20ekonomick&#233;ho%20v&#253;voje%20v%20roce%202017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zabojnikova31519\Documents\Anal&#253;za\Ro&#269;n&#237;%20n&#225;rodn&#237;%20&#250;&#269;ty\Investice\THFK_S_bc_CZ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abojnikova31519\AppData\Local\Temp\THFK_V_iscpr_CZ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560769165822358"/>
          <c:y val="3.9316672295395698E-2"/>
          <c:w val="0.86490480412022952"/>
          <c:h val="0.7789859844647079"/>
        </c:manualLayout>
      </c:layout>
      <c:barChart>
        <c:barDir val="col"/>
        <c:grouping val="stacked"/>
        <c:varyColors val="0"/>
        <c:ser>
          <c:idx val="5"/>
          <c:order val="1"/>
          <c:tx>
            <c:strRef>
              <c:f>THFK_S_bc_CZ!$A$36</c:f>
              <c:strCache>
                <c:ptCount val="1"/>
                <c:pt idx="0">
                  <c:v>Neziskové instituce sloužící domácnostem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numRef>
              <c:f>THFK_S_bc_CZ!$B$30:$L$30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THFK_S_bc_CZ!$B$36:$L$36</c:f>
              <c:numCache>
                <c:formatCode>General</c:formatCode>
                <c:ptCount val="11"/>
                <c:pt idx="0">
                  <c:v>-1.044</c:v>
                </c:pt>
                <c:pt idx="1">
                  <c:v>0.53800000000000003</c:v>
                </c:pt>
                <c:pt idx="2">
                  <c:v>-0.01</c:v>
                </c:pt>
                <c:pt idx="3">
                  <c:v>2.2509999999999999</c:v>
                </c:pt>
                <c:pt idx="4">
                  <c:v>-1.1060000000000001</c:v>
                </c:pt>
                <c:pt idx="5">
                  <c:v>1.1160000000000001</c:v>
                </c:pt>
                <c:pt idx="6">
                  <c:v>1.08</c:v>
                </c:pt>
                <c:pt idx="7">
                  <c:v>-2.101</c:v>
                </c:pt>
                <c:pt idx="8">
                  <c:v>1.373</c:v>
                </c:pt>
                <c:pt idx="9">
                  <c:v>-0.95899999999999996</c:v>
                </c:pt>
                <c:pt idx="10">
                  <c:v>-0.59799999999999998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01-4945-A6AC-6D02EDBE2763}"/>
            </c:ext>
          </c:extLst>
        </c:ser>
        <c:ser>
          <c:idx val="2"/>
          <c:order val="2"/>
          <c:tx>
            <c:strRef>
              <c:f>THFK_S_bc_CZ!$A$33</c:f>
              <c:strCache>
                <c:ptCount val="1"/>
                <c:pt idx="0">
                  <c:v>Finanční instituce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cat>
            <c:numRef>
              <c:f>THFK_S_bc_CZ!$B$30:$L$30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THFK_S_bc_CZ!$B$33:$L$33</c:f>
              <c:numCache>
                <c:formatCode>General</c:formatCode>
                <c:ptCount val="11"/>
                <c:pt idx="0">
                  <c:v>-7.6539999999999999</c:v>
                </c:pt>
                <c:pt idx="1">
                  <c:v>0.77900000000000003</c:v>
                </c:pt>
                <c:pt idx="2">
                  <c:v>1.0740000000000001</c:v>
                </c:pt>
                <c:pt idx="3">
                  <c:v>0.61199999999999999</c:v>
                </c:pt>
                <c:pt idx="4">
                  <c:v>-2.2429999999999999</c:v>
                </c:pt>
                <c:pt idx="5">
                  <c:v>0.88600000000000001</c:v>
                </c:pt>
                <c:pt idx="6">
                  <c:v>2.4489999999999998</c:v>
                </c:pt>
                <c:pt idx="7">
                  <c:v>6.9470000000000001</c:v>
                </c:pt>
                <c:pt idx="8">
                  <c:v>11.534000000000001</c:v>
                </c:pt>
                <c:pt idx="9">
                  <c:v>9.3469999999999995</c:v>
                </c:pt>
                <c:pt idx="10">
                  <c:v>-21.571999999999999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01-4945-A6AC-6D02EDBE2763}"/>
            </c:ext>
          </c:extLst>
        </c:ser>
        <c:ser>
          <c:idx val="4"/>
          <c:order val="3"/>
          <c:tx>
            <c:strRef>
              <c:f>THFK_S_bc_CZ!$A$35</c:f>
              <c:strCache>
                <c:ptCount val="1"/>
                <c:pt idx="0">
                  <c:v>Domácnosti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numRef>
              <c:f>THFK_S_bc_CZ!$B$30:$L$30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THFK_S_bc_CZ!$B$35:$L$35</c:f>
              <c:numCache>
                <c:formatCode>General</c:formatCode>
                <c:ptCount val="11"/>
                <c:pt idx="0">
                  <c:v>6.7450000000000001</c:v>
                </c:pt>
                <c:pt idx="1">
                  <c:v>9.5950000000000006</c:v>
                </c:pt>
                <c:pt idx="2">
                  <c:v>-27.99</c:v>
                </c:pt>
                <c:pt idx="3">
                  <c:v>-23.895</c:v>
                </c:pt>
                <c:pt idx="4">
                  <c:v>3.9710000000000001</c:v>
                </c:pt>
                <c:pt idx="5">
                  <c:v>8.5269999999999992</c:v>
                </c:pt>
                <c:pt idx="6">
                  <c:v>5.3659999999999997</c:v>
                </c:pt>
                <c:pt idx="7">
                  <c:v>18.148</c:v>
                </c:pt>
                <c:pt idx="8">
                  <c:v>-21.178000000000001</c:v>
                </c:pt>
                <c:pt idx="9">
                  <c:v>48.845999999999997</c:v>
                </c:pt>
                <c:pt idx="10">
                  <c:v>26.785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201-4945-A6AC-6D02EDBE2763}"/>
            </c:ext>
          </c:extLst>
        </c:ser>
        <c:ser>
          <c:idx val="3"/>
          <c:order val="4"/>
          <c:tx>
            <c:strRef>
              <c:f>THFK_S_bc_CZ!$A$34</c:f>
              <c:strCache>
                <c:ptCount val="1"/>
                <c:pt idx="0">
                  <c:v>Vládní instituce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numRef>
              <c:f>THFK_S_bc_CZ!$B$30:$L$30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THFK_S_bc_CZ!$B$34:$L$34</c:f>
              <c:numCache>
                <c:formatCode>General</c:formatCode>
                <c:ptCount val="11"/>
                <c:pt idx="0">
                  <c:v>24.873000000000001</c:v>
                </c:pt>
                <c:pt idx="1">
                  <c:v>-34.633000000000003</c:v>
                </c:pt>
                <c:pt idx="2">
                  <c:v>-21.286000000000001</c:v>
                </c:pt>
                <c:pt idx="3">
                  <c:v>-11.821</c:v>
                </c:pt>
                <c:pt idx="4">
                  <c:v>-17.006</c:v>
                </c:pt>
                <c:pt idx="5">
                  <c:v>25.645</c:v>
                </c:pt>
                <c:pt idx="6">
                  <c:v>58.313000000000002</c:v>
                </c:pt>
                <c:pt idx="7">
                  <c:v>-81.097999999999999</c:v>
                </c:pt>
                <c:pt idx="8">
                  <c:v>15.766999999999999</c:v>
                </c:pt>
                <c:pt idx="9">
                  <c:v>53.447000000000003</c:v>
                </c:pt>
                <c:pt idx="10">
                  <c:v>24.027000000000001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201-4945-A6AC-6D02EDBE2763}"/>
            </c:ext>
          </c:extLst>
        </c:ser>
        <c:ser>
          <c:idx val="1"/>
          <c:order val="5"/>
          <c:tx>
            <c:strRef>
              <c:f>THFK_S_bc_CZ!$A$32</c:f>
              <c:strCache>
                <c:ptCount val="1"/>
                <c:pt idx="0">
                  <c:v>Nefinanční podniky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numRef>
              <c:f>THFK_S_bc_CZ!$B$30:$L$30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THFK_S_bc_CZ!$B$32:$L$32</c:f>
              <c:numCache>
                <c:formatCode>General</c:formatCode>
                <c:ptCount val="11"/>
                <c:pt idx="0">
                  <c:v>-113.414</c:v>
                </c:pt>
                <c:pt idx="1">
                  <c:v>15.76</c:v>
                </c:pt>
                <c:pt idx="2">
                  <c:v>51.064</c:v>
                </c:pt>
                <c:pt idx="3">
                  <c:v>15.454000000000001</c:v>
                </c:pt>
                <c:pt idx="4">
                  <c:v>-2.4740000000000002</c:v>
                </c:pt>
                <c:pt idx="5">
                  <c:v>17.196000000000002</c:v>
                </c:pt>
                <c:pt idx="6">
                  <c:v>56.295000000000002</c:v>
                </c:pt>
                <c:pt idx="7">
                  <c:v>27.085999999999999</c:v>
                </c:pt>
                <c:pt idx="8">
                  <c:v>69.444000000000003</c:v>
                </c:pt>
                <c:pt idx="9">
                  <c:v>38.936</c:v>
                </c:pt>
                <c:pt idx="10">
                  <c:v>55.247999999999998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201-4945-A6AC-6D02EDBE27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922547983"/>
        <c:axId val="1922547567"/>
      </c:barChart>
      <c:lineChart>
        <c:grouping val="standard"/>
        <c:varyColors val="0"/>
        <c:ser>
          <c:idx val="0"/>
          <c:order val="0"/>
          <c:tx>
            <c:strRef>
              <c:f>THFK_S_bc_CZ!$A$31</c:f>
              <c:strCache>
                <c:ptCount val="1"/>
                <c:pt idx="0">
                  <c:v>Národní hospodářství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THFK_S_bc_CZ!$B$30:$L$30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THFK_S_bc_CZ!$B$31:$L$31</c:f>
              <c:numCache>
                <c:formatCode>General</c:formatCode>
                <c:ptCount val="11"/>
                <c:pt idx="0">
                  <c:v>-90.494</c:v>
                </c:pt>
                <c:pt idx="1">
                  <c:v>-7.9610000000000003</c:v>
                </c:pt>
                <c:pt idx="2">
                  <c:v>2.8519999999999999</c:v>
                </c:pt>
                <c:pt idx="3">
                  <c:v>-17.399000000000001</c:v>
                </c:pt>
                <c:pt idx="4">
                  <c:v>-18.858000000000001</c:v>
                </c:pt>
                <c:pt idx="5">
                  <c:v>53.37</c:v>
                </c:pt>
                <c:pt idx="6">
                  <c:v>123.503</c:v>
                </c:pt>
                <c:pt idx="7">
                  <c:v>-31.018000000000001</c:v>
                </c:pt>
                <c:pt idx="8">
                  <c:v>76.94</c:v>
                </c:pt>
                <c:pt idx="9">
                  <c:v>149.61699999999999</c:v>
                </c:pt>
                <c:pt idx="10">
                  <c:v>83.89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201-4945-A6AC-6D02EDBE27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2547983"/>
        <c:axId val="1922547567"/>
      </c:lineChart>
      <c:catAx>
        <c:axId val="19225479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922547567"/>
        <c:crosses val="autoZero"/>
        <c:auto val="1"/>
        <c:lblAlgn val="ctr"/>
        <c:lblOffset val="100"/>
        <c:noMultiLvlLbl val="0"/>
      </c:catAx>
      <c:valAx>
        <c:axId val="19225475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Meziroční změna výdajů na tvorbu hrubého fixního kapitálu (mld. korun)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9225479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7067502532928065E-2"/>
          <c:y val="0.8764257570640549"/>
          <c:w val="0.97390683046268156"/>
          <c:h val="0.1021287853202746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ysClr val="windowText" lastClr="000000"/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92700945626479"/>
          <c:y val="3.9316672295395698E-2"/>
          <c:w val="0.86758548632218835"/>
          <c:h val="0.77788219070133968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THFK_V_iscpr_CZ!$A$36</c:f>
              <c:strCache>
                <c:ptCount val="1"/>
                <c:pt idx="0">
                  <c:v>Obydlí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numRef>
              <c:f>THFK_V_iscpr_CZ!$B$34:$L$34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THFK_V_iscpr_CZ!$B$36:$L$36</c:f>
              <c:numCache>
                <c:formatCode>0.0</c:formatCode>
                <c:ptCount val="11"/>
                <c:pt idx="0">
                  <c:v>1.72</c:v>
                </c:pt>
                <c:pt idx="1">
                  <c:v>-4.0049999999999999</c:v>
                </c:pt>
                <c:pt idx="2">
                  <c:v>-10.238</c:v>
                </c:pt>
                <c:pt idx="3">
                  <c:v>-3.11</c:v>
                </c:pt>
                <c:pt idx="4">
                  <c:v>-11.039</c:v>
                </c:pt>
                <c:pt idx="5">
                  <c:v>8.1509999999999998</c:v>
                </c:pt>
                <c:pt idx="6">
                  <c:v>12.497999999999999</c:v>
                </c:pt>
                <c:pt idx="7">
                  <c:v>8.3629999999999995</c:v>
                </c:pt>
                <c:pt idx="8">
                  <c:v>28.577999999999999</c:v>
                </c:pt>
                <c:pt idx="9">
                  <c:v>20.059000000000001</c:v>
                </c:pt>
                <c:pt idx="10">
                  <c:v>26.518999999999998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69-4919-AA58-FDE0DFB54C7E}"/>
            </c:ext>
          </c:extLst>
        </c:ser>
        <c:ser>
          <c:idx val="2"/>
          <c:order val="2"/>
          <c:tx>
            <c:strRef>
              <c:f>THFK_V_iscpr_CZ!$A$37</c:f>
              <c:strCache>
                <c:ptCount val="1"/>
                <c:pt idx="0">
                  <c:v>Ostatní budovy a stavby</c:v>
                </c:pt>
              </c:strCache>
            </c:strRef>
          </c:tx>
          <c:spPr>
            <a:solidFill>
              <a:srgbClr val="FF7171"/>
            </a:solidFill>
            <a:ln>
              <a:noFill/>
            </a:ln>
            <a:effectLst/>
          </c:spPr>
          <c:invertIfNegative val="0"/>
          <c:cat>
            <c:numRef>
              <c:f>THFK_V_iscpr_CZ!$B$34:$L$34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THFK_V_iscpr_CZ!$B$37:$L$37</c:f>
              <c:numCache>
                <c:formatCode>0.0</c:formatCode>
                <c:ptCount val="11"/>
                <c:pt idx="0">
                  <c:v>-14.72</c:v>
                </c:pt>
                <c:pt idx="1">
                  <c:v>-13.499000000000001</c:v>
                </c:pt>
                <c:pt idx="2">
                  <c:v>-8.657</c:v>
                </c:pt>
                <c:pt idx="3">
                  <c:v>-16.940999999999999</c:v>
                </c:pt>
                <c:pt idx="4">
                  <c:v>-10.731999999999999</c:v>
                </c:pt>
                <c:pt idx="5">
                  <c:v>-3.6869999999999998</c:v>
                </c:pt>
                <c:pt idx="6">
                  <c:v>28.620999999999999</c:v>
                </c:pt>
                <c:pt idx="7">
                  <c:v>-38.456000000000003</c:v>
                </c:pt>
                <c:pt idx="8">
                  <c:v>22.22</c:v>
                </c:pt>
                <c:pt idx="9">
                  <c:v>45.377000000000002</c:v>
                </c:pt>
                <c:pt idx="10">
                  <c:v>11.798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69-4919-AA58-FDE0DFB54C7E}"/>
            </c:ext>
          </c:extLst>
        </c:ser>
        <c:ser>
          <c:idx val="3"/>
          <c:order val="3"/>
          <c:tx>
            <c:strRef>
              <c:f>THFK_V_iscpr_CZ!$A$38</c:f>
              <c:strCache>
                <c:ptCount val="1"/>
                <c:pt idx="0">
                  <c:v>Stroje a zařízení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numRef>
              <c:f>THFK_V_iscpr_CZ!$B$34:$L$34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THFK_V_iscpr_CZ!$B$38:$L$38</c:f>
              <c:numCache>
                <c:formatCode>0.0</c:formatCode>
                <c:ptCount val="11"/>
                <c:pt idx="0">
                  <c:v>-79.405000000000001</c:v>
                </c:pt>
                <c:pt idx="1">
                  <c:v>20.170000000000002</c:v>
                </c:pt>
                <c:pt idx="2">
                  <c:v>7.827</c:v>
                </c:pt>
                <c:pt idx="3">
                  <c:v>-14.247999999999999</c:v>
                </c:pt>
                <c:pt idx="4">
                  <c:v>6.1340000000000003</c:v>
                </c:pt>
                <c:pt idx="5">
                  <c:v>43.067</c:v>
                </c:pt>
                <c:pt idx="6">
                  <c:v>50.506999999999998</c:v>
                </c:pt>
                <c:pt idx="7">
                  <c:v>-2.9969999999999999</c:v>
                </c:pt>
                <c:pt idx="8">
                  <c:v>2.13</c:v>
                </c:pt>
                <c:pt idx="9">
                  <c:v>43.473999999999997</c:v>
                </c:pt>
                <c:pt idx="10">
                  <c:v>18.779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169-4919-AA58-FDE0DFB54C7E}"/>
            </c:ext>
          </c:extLst>
        </c:ser>
        <c:ser>
          <c:idx val="9"/>
          <c:order val="6"/>
          <c:tx>
            <c:strRef>
              <c:f>THFK_V_iscpr_CZ!$A$44</c:f>
              <c:strCache>
                <c:ptCount val="1"/>
                <c:pt idx="0">
                  <c:v>Produkty duševního vlastnictví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numRef>
              <c:f>THFK_V_iscpr_CZ!$B$34:$L$34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THFK_V_iscpr_CZ!$B$44:$L$44</c:f>
              <c:numCache>
                <c:formatCode>0.0</c:formatCode>
                <c:ptCount val="11"/>
                <c:pt idx="0">
                  <c:v>1.002</c:v>
                </c:pt>
                <c:pt idx="1">
                  <c:v>-11.855</c:v>
                </c:pt>
                <c:pt idx="2">
                  <c:v>12.708</c:v>
                </c:pt>
                <c:pt idx="3">
                  <c:v>17.253</c:v>
                </c:pt>
                <c:pt idx="4">
                  <c:v>-4.2000000000000003E-2</c:v>
                </c:pt>
                <c:pt idx="5">
                  <c:v>6.7519999999999998</c:v>
                </c:pt>
                <c:pt idx="6">
                  <c:v>22.091000000000001</c:v>
                </c:pt>
                <c:pt idx="7">
                  <c:v>11.271000000000001</c:v>
                </c:pt>
                <c:pt idx="8">
                  <c:v>21.058</c:v>
                </c:pt>
                <c:pt idx="9">
                  <c:v>43.121000000000002</c:v>
                </c:pt>
                <c:pt idx="10">
                  <c:v>24.948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169-4919-AA58-FDE0DFB54C7E}"/>
            </c:ext>
          </c:extLst>
        </c:ser>
        <c:ser>
          <c:idx val="4"/>
          <c:order val="7"/>
          <c:tx>
            <c:strRef>
              <c:f>THFK_V_iscpr_CZ!$A$47</c:f>
              <c:strCache>
                <c:ptCount val="1"/>
                <c:pt idx="0">
                  <c:v>Ostatní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val>
            <c:numRef>
              <c:f>THFK_V_iscpr_CZ!$B$47:$L$47</c:f>
              <c:numCache>
                <c:formatCode>0.0</c:formatCode>
                <c:ptCount val="11"/>
                <c:pt idx="0">
                  <c:v>0.90899999999999992</c:v>
                </c:pt>
                <c:pt idx="1">
                  <c:v>1.228</c:v>
                </c:pt>
                <c:pt idx="2">
                  <c:v>1.212</c:v>
                </c:pt>
                <c:pt idx="3">
                  <c:v>-0.35299999999999998</c:v>
                </c:pt>
                <c:pt idx="4">
                  <c:v>-3.1789999999999994</c:v>
                </c:pt>
                <c:pt idx="5">
                  <c:v>-0.91300000000000003</c:v>
                </c:pt>
                <c:pt idx="6">
                  <c:v>9.7859999999999996</c:v>
                </c:pt>
                <c:pt idx="7">
                  <c:v>-9.1989999999999998</c:v>
                </c:pt>
                <c:pt idx="8">
                  <c:v>2.9539999999999997</c:v>
                </c:pt>
                <c:pt idx="9">
                  <c:v>-2.4140000000000001</c:v>
                </c:pt>
                <c:pt idx="10">
                  <c:v>1.8460000000000001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169-4919-AA58-FDE0DFB54C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962211999"/>
        <c:axId val="1962221151"/>
        <c:extLst>
          <c:ext xmlns:c15="http://schemas.microsoft.com/office/drawing/2012/chart" uri="{02D57815-91ED-43cb-92C2-25804820EDAC}">
            <c15:filteredBarSeries>
              <c15:ser>
                <c:idx val="7"/>
                <c:order val="4"/>
                <c:tx>
                  <c:strRef>
                    <c:extLst>
                      <c:ext uri="{02D57815-91ED-43cb-92C2-25804820EDAC}">
                        <c15:formulaRef>
                          <c15:sqref>THFK_V_iscpr_CZ!$A$42</c15:sqref>
                        </c15:formulaRef>
                      </c:ext>
                    </c:extLst>
                    <c:strCache>
                      <c:ptCount val="1"/>
                      <c:pt idx="0">
                        <c:v>Zbraňové systémy</c:v>
                      </c:pt>
                    </c:strCache>
                  </c:strRef>
                </c:tx>
                <c:spPr>
                  <a:solidFill>
                    <a:schemeClr val="bg1">
                      <a:lumMod val="75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THFK_V_iscpr_CZ!$B$34:$L$34</c15:sqref>
                        </c15:formulaRef>
                      </c:ext>
                    </c:extLst>
                    <c:numCache>
                      <c:formatCode>General</c:formatCode>
                      <c:ptCount val="11"/>
                      <c:pt idx="0">
                        <c:v>2009</c:v>
                      </c:pt>
                      <c:pt idx="1">
                        <c:v>2010</c:v>
                      </c:pt>
                      <c:pt idx="2">
                        <c:v>2011</c:v>
                      </c:pt>
                      <c:pt idx="3">
                        <c:v>2012</c:v>
                      </c:pt>
                      <c:pt idx="4">
                        <c:v>2013</c:v>
                      </c:pt>
                      <c:pt idx="5">
                        <c:v>2014</c:v>
                      </c:pt>
                      <c:pt idx="6">
                        <c:v>2015</c:v>
                      </c:pt>
                      <c:pt idx="7">
                        <c:v>2016</c:v>
                      </c:pt>
                      <c:pt idx="8">
                        <c:v>2017</c:v>
                      </c:pt>
                      <c:pt idx="9">
                        <c:v>2018</c:v>
                      </c:pt>
                      <c:pt idx="10">
                        <c:v>2019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THFK_V_iscpr_CZ!$B$42:$L$42</c15:sqref>
                        </c15:formulaRef>
                      </c:ext>
                    </c:extLst>
                    <c:numCache>
                      <c:formatCode>0.0</c:formatCode>
                      <c:ptCount val="11"/>
                      <c:pt idx="0">
                        <c:v>1.0609999999999999</c:v>
                      </c:pt>
                      <c:pt idx="1">
                        <c:v>1.484</c:v>
                      </c:pt>
                      <c:pt idx="2">
                        <c:v>1.23</c:v>
                      </c:pt>
                      <c:pt idx="3">
                        <c:v>1.2170000000000001</c:v>
                      </c:pt>
                      <c:pt idx="4">
                        <c:v>-4.0599999999999996</c:v>
                      </c:pt>
                      <c:pt idx="5">
                        <c:v>-1.36</c:v>
                      </c:pt>
                      <c:pt idx="6">
                        <c:v>9.7889999999999997</c:v>
                      </c:pt>
                      <c:pt idx="7">
                        <c:v>-9.702</c:v>
                      </c:pt>
                      <c:pt idx="8">
                        <c:v>1.0609999999999999</c:v>
                      </c:pt>
                      <c:pt idx="9">
                        <c:v>-0.58199999999999996</c:v>
                      </c:pt>
                      <c:pt idx="10">
                        <c:v>1.2909999999999999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6-C169-4919-AA58-FDE0DFB54C7E}"/>
                  </c:ext>
                </c:extLst>
              </c15:ser>
            </c15:filteredBarSeries>
            <c15:filteredBarSeries>
              <c15:ser>
                <c:idx val="8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THFK_V_iscpr_CZ!$A$43</c15:sqref>
                        </c15:formulaRef>
                      </c:ext>
                    </c:extLst>
                    <c:strCache>
                      <c:ptCount val="1"/>
                      <c:pt idx="0">
                        <c:v>Pěstované biologické zdroje</c:v>
                      </c:pt>
                    </c:strCache>
                  </c:strRef>
                </c:tx>
                <c:spPr>
                  <a:solidFill>
                    <a:srgbClr val="FFFF00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THFK_V_iscpr_CZ!$B$34:$L$34</c15:sqref>
                        </c15:formulaRef>
                      </c:ext>
                    </c:extLst>
                    <c:numCache>
                      <c:formatCode>General</c:formatCode>
                      <c:ptCount val="11"/>
                      <c:pt idx="0">
                        <c:v>2009</c:v>
                      </c:pt>
                      <c:pt idx="1">
                        <c:v>2010</c:v>
                      </c:pt>
                      <c:pt idx="2">
                        <c:v>2011</c:v>
                      </c:pt>
                      <c:pt idx="3">
                        <c:v>2012</c:v>
                      </c:pt>
                      <c:pt idx="4">
                        <c:v>2013</c:v>
                      </c:pt>
                      <c:pt idx="5">
                        <c:v>2014</c:v>
                      </c:pt>
                      <c:pt idx="6">
                        <c:v>2015</c:v>
                      </c:pt>
                      <c:pt idx="7">
                        <c:v>2016</c:v>
                      </c:pt>
                      <c:pt idx="8">
                        <c:v>2017</c:v>
                      </c:pt>
                      <c:pt idx="9">
                        <c:v>2018</c:v>
                      </c:pt>
                      <c:pt idx="10">
                        <c:v>2019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THFK_V_iscpr_CZ!$B$43:$L$43</c15:sqref>
                        </c15:formulaRef>
                      </c:ext>
                    </c:extLst>
                    <c:numCache>
                      <c:formatCode>0.0</c:formatCode>
                      <c:ptCount val="11"/>
                      <c:pt idx="0">
                        <c:v>-0.152</c:v>
                      </c:pt>
                      <c:pt idx="1">
                        <c:v>-0.25600000000000001</c:v>
                      </c:pt>
                      <c:pt idx="2">
                        <c:v>-1.7999999999999999E-2</c:v>
                      </c:pt>
                      <c:pt idx="3">
                        <c:v>-1.57</c:v>
                      </c:pt>
                      <c:pt idx="4">
                        <c:v>0.88100000000000001</c:v>
                      </c:pt>
                      <c:pt idx="5">
                        <c:v>0.44700000000000001</c:v>
                      </c:pt>
                      <c:pt idx="6">
                        <c:v>-3.0000000000000001E-3</c:v>
                      </c:pt>
                      <c:pt idx="7">
                        <c:v>0.503</c:v>
                      </c:pt>
                      <c:pt idx="8">
                        <c:v>1.893</c:v>
                      </c:pt>
                      <c:pt idx="9">
                        <c:v>-1.8320000000000001</c:v>
                      </c:pt>
                      <c:pt idx="10">
                        <c:v>0.55500000000000005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C169-4919-AA58-FDE0DFB54C7E}"/>
                  </c:ext>
                </c:extLst>
              </c15:ser>
            </c15:filteredBarSeries>
          </c:ext>
        </c:extLst>
      </c:barChart>
      <c:lineChart>
        <c:grouping val="standard"/>
        <c:varyColors val="0"/>
        <c:ser>
          <c:idx val="0"/>
          <c:order val="0"/>
          <c:tx>
            <c:strRef>
              <c:f>THFK_V_iscpr_CZ!$A$35</c:f>
              <c:strCache>
                <c:ptCount val="1"/>
                <c:pt idx="0">
                  <c:v>Celkem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THFK_V_iscpr_CZ!$B$34:$L$34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THFK_V_iscpr_CZ!$B$35:$L$35</c:f>
              <c:numCache>
                <c:formatCode>0.0</c:formatCode>
                <c:ptCount val="11"/>
                <c:pt idx="0">
                  <c:v>-90.494</c:v>
                </c:pt>
                <c:pt idx="1">
                  <c:v>-7.9610000000000003</c:v>
                </c:pt>
                <c:pt idx="2">
                  <c:v>2.8519999999999999</c:v>
                </c:pt>
                <c:pt idx="3">
                  <c:v>-17.399000000000001</c:v>
                </c:pt>
                <c:pt idx="4">
                  <c:v>-18.858000000000001</c:v>
                </c:pt>
                <c:pt idx="5">
                  <c:v>53.37</c:v>
                </c:pt>
                <c:pt idx="6">
                  <c:v>123.503</c:v>
                </c:pt>
                <c:pt idx="7">
                  <c:v>-31.018000000000001</c:v>
                </c:pt>
                <c:pt idx="8">
                  <c:v>76.94</c:v>
                </c:pt>
                <c:pt idx="9">
                  <c:v>149.61699999999999</c:v>
                </c:pt>
                <c:pt idx="10">
                  <c:v>83.89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169-4919-AA58-FDE0DFB54C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62211999"/>
        <c:axId val="1962221151"/>
      </c:lineChart>
      <c:catAx>
        <c:axId val="19622119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962221151"/>
        <c:crosses val="autoZero"/>
        <c:auto val="1"/>
        <c:lblAlgn val="ctr"/>
        <c:lblOffset val="100"/>
        <c:noMultiLvlLbl val="0"/>
      </c:catAx>
      <c:valAx>
        <c:axId val="19622211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Meziroční změna výdajů na tvorbu hrubého fixního kapitálu (mld. korun)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9622119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5135933806146577E-2"/>
          <c:y val="0.88562253743104824"/>
          <c:w val="0.88066109422492389"/>
          <c:h val="9.2932004953281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ysClr val="windowText" lastClr="000000"/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AAC59-CC95-427A-B6AF-EBCECF58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Anaýza ekonomického vývoje v roce 2017.dotx</Template>
  <TotalTime>2</TotalTime>
  <Pages>3</Pages>
  <Words>1103</Words>
  <Characters>6509</Characters>
  <Application>Microsoft Office Word</Application>
  <DocSecurity>0</DocSecurity>
  <Lines>54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7597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Súkupová</dc:creator>
  <cp:lastModifiedBy>Mgr. Karolína Zábojníková</cp:lastModifiedBy>
  <cp:revision>4</cp:revision>
  <cp:lastPrinted>2019-09-12T09:26:00Z</cp:lastPrinted>
  <dcterms:created xsi:type="dcterms:W3CDTF">2020-08-10T06:56:00Z</dcterms:created>
  <dcterms:modified xsi:type="dcterms:W3CDTF">2020-08-17T10:57:00Z</dcterms:modified>
</cp:coreProperties>
</file>