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93D26" w:rsidP="006D606A">
      <w:pPr>
        <w:pStyle w:val="Podtitu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74CF" w:rsidRPr="006D606A">
        <w:rPr>
          <w:rFonts w:ascii="Arial" w:hAnsi="Arial" w:cs="Arial"/>
          <w:b/>
        </w:rPr>
        <w:t xml:space="preserve">k vývoji cen stavebních prací a děl za </w:t>
      </w:r>
      <w:r w:rsidR="004404FF">
        <w:rPr>
          <w:rFonts w:ascii="Arial" w:hAnsi="Arial" w:cs="Arial"/>
          <w:b/>
        </w:rPr>
        <w:t>1</w:t>
      </w:r>
      <w:r w:rsidR="00A31347" w:rsidRPr="006D606A">
        <w:rPr>
          <w:rFonts w:ascii="Arial" w:hAnsi="Arial" w:cs="Arial"/>
          <w:b/>
        </w:rPr>
        <w:t>. čtvrtletí 201</w:t>
      </w:r>
      <w:r w:rsidR="004404FF">
        <w:rPr>
          <w:rFonts w:ascii="Arial" w:hAnsi="Arial" w:cs="Arial"/>
          <w:b/>
        </w:rPr>
        <w:t>6</w:t>
      </w:r>
    </w:p>
    <w:p w:rsidR="00CF74CF" w:rsidRDefault="00CF74CF"/>
    <w:p w:rsidR="007E7FB8" w:rsidRDefault="007E7FB8"/>
    <w:p w:rsidR="00B85B9D" w:rsidRPr="00B64656" w:rsidRDefault="00436B01" w:rsidP="00A81A79">
      <w:pPr>
        <w:ind w:firstLine="652"/>
        <w:jc w:val="both"/>
        <w:rPr>
          <w:rFonts w:ascii="Arial" w:hAnsi="Arial" w:cs="Arial"/>
          <w:color w:val="FF0000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 </w:t>
      </w:r>
      <w:r w:rsidR="004404FF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4404FF">
        <w:rPr>
          <w:rFonts w:ascii="Arial" w:hAnsi="Arial" w:cs="Arial"/>
          <w:sz w:val="20"/>
          <w:szCs w:val="20"/>
        </w:rPr>
        <w:t>6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0,</w:t>
      </w:r>
      <w:r w:rsidR="00AC19E0">
        <w:rPr>
          <w:rFonts w:ascii="Arial" w:hAnsi="Arial" w:cs="Arial"/>
          <w:sz w:val="20"/>
          <w:szCs w:val="20"/>
        </w:rPr>
        <w:t>2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5B788C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4404FF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4C6B18">
        <w:rPr>
          <w:rFonts w:ascii="Arial" w:hAnsi="Arial" w:cs="Arial"/>
          <w:sz w:val="20"/>
          <w:szCs w:val="20"/>
        </w:rPr>
        <w:t>5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 xml:space="preserve">vzrostly </w:t>
      </w:r>
      <w:r w:rsidR="00DD4205">
        <w:rPr>
          <w:rFonts w:ascii="Arial" w:hAnsi="Arial" w:cs="Arial"/>
          <w:sz w:val="20"/>
          <w:szCs w:val="20"/>
        </w:rPr>
        <w:t>o 0,</w:t>
      </w:r>
      <w:r w:rsidR="004404FF">
        <w:rPr>
          <w:rFonts w:ascii="Arial" w:hAnsi="Arial" w:cs="Arial"/>
          <w:sz w:val="20"/>
          <w:szCs w:val="20"/>
        </w:rPr>
        <w:t>3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 u</w:t>
      </w:r>
      <w:r w:rsidR="00D60754">
        <w:rPr>
          <w:rFonts w:ascii="Arial" w:hAnsi="Arial" w:cs="Arial"/>
          <w:sz w:val="20"/>
          <w:szCs w:val="20"/>
        </w:rPr>
        <w:t> </w:t>
      </w:r>
      <w:r w:rsidR="00AC19E0">
        <w:rPr>
          <w:rFonts w:ascii="Arial" w:hAnsi="Arial" w:cs="Arial"/>
          <w:sz w:val="20"/>
          <w:szCs w:val="20"/>
        </w:rPr>
        <w:t>zemních prací, zakládání a</w:t>
      </w:r>
      <w:r w:rsidR="00AC19E0" w:rsidRPr="00AC19E0">
        <w:rPr>
          <w:rFonts w:ascii="Arial" w:hAnsi="Arial" w:cs="Arial"/>
          <w:sz w:val="20"/>
          <w:szCs w:val="20"/>
        </w:rPr>
        <w:t xml:space="preserve"> zpevňování hornin</w:t>
      </w:r>
      <w:r w:rsidR="00AC19E0">
        <w:rPr>
          <w:rFonts w:ascii="Arial" w:hAnsi="Arial" w:cs="Arial"/>
          <w:sz w:val="20"/>
          <w:szCs w:val="20"/>
        </w:rPr>
        <w:t xml:space="preserve">, </w:t>
      </w:r>
      <w:r w:rsidR="0028134C">
        <w:rPr>
          <w:rFonts w:ascii="Arial" w:hAnsi="Arial" w:cs="Arial"/>
          <w:sz w:val="20"/>
          <w:szCs w:val="20"/>
        </w:rPr>
        <w:t xml:space="preserve">svislých a kompletních konstrukcí, </w:t>
      </w:r>
      <w:r w:rsidR="00AC19E0">
        <w:rPr>
          <w:rFonts w:ascii="Arial" w:hAnsi="Arial" w:cs="Arial"/>
          <w:sz w:val="20"/>
          <w:szCs w:val="20"/>
        </w:rPr>
        <w:t>ostatních</w:t>
      </w:r>
      <w:r w:rsidR="0028134C">
        <w:rPr>
          <w:rFonts w:ascii="Arial" w:hAnsi="Arial" w:cs="Arial"/>
          <w:sz w:val="20"/>
          <w:szCs w:val="20"/>
        </w:rPr>
        <w:t xml:space="preserve"> konstrukcí</w:t>
      </w:r>
      <w:r w:rsidR="00AC19E0">
        <w:rPr>
          <w:rFonts w:ascii="Arial" w:hAnsi="Arial" w:cs="Arial"/>
          <w:sz w:val="20"/>
          <w:szCs w:val="20"/>
        </w:rPr>
        <w:t xml:space="preserve"> a prací s bouráním a</w:t>
      </w:r>
      <w:r w:rsidR="0028134C">
        <w:rPr>
          <w:rFonts w:ascii="Arial" w:hAnsi="Arial" w:cs="Arial"/>
          <w:sz w:val="20"/>
          <w:szCs w:val="20"/>
        </w:rPr>
        <w:t xml:space="preserve"> prací </w:t>
      </w:r>
      <w:r w:rsidR="00E53DEC">
        <w:rPr>
          <w:rFonts w:ascii="Arial" w:hAnsi="Arial" w:cs="Arial"/>
          <w:sz w:val="20"/>
          <w:szCs w:val="20"/>
        </w:rPr>
        <w:t>přidružené stavební výroby</w:t>
      </w:r>
      <w:r w:rsidR="002F6749">
        <w:rPr>
          <w:rFonts w:ascii="Arial" w:hAnsi="Arial" w:cs="Arial"/>
          <w:sz w:val="20"/>
          <w:szCs w:val="20"/>
        </w:rPr>
        <w:t xml:space="preserve"> </w:t>
      </w:r>
      <w:r w:rsidR="00B85B9D">
        <w:rPr>
          <w:rFonts w:ascii="Arial" w:hAnsi="Arial" w:cs="Arial"/>
          <w:sz w:val="20"/>
          <w:szCs w:val="20"/>
        </w:rPr>
        <w:t>(+ 0,</w:t>
      </w:r>
      <w:r w:rsidR="0028134C">
        <w:rPr>
          <w:rFonts w:ascii="Arial" w:hAnsi="Arial" w:cs="Arial"/>
          <w:sz w:val="20"/>
          <w:szCs w:val="20"/>
        </w:rPr>
        <w:t>3</w:t>
      </w:r>
      <w:r w:rsidR="003760F4">
        <w:rPr>
          <w:rFonts w:ascii="Arial" w:hAnsi="Arial" w:cs="Arial"/>
          <w:sz w:val="20"/>
          <w:szCs w:val="20"/>
        </w:rPr>
        <w:t> %);</w:t>
      </w:r>
      <w:r w:rsidR="00B85B9D">
        <w:rPr>
          <w:rFonts w:ascii="Arial" w:hAnsi="Arial" w:cs="Arial"/>
          <w:sz w:val="20"/>
          <w:szCs w:val="20"/>
        </w:rPr>
        <w:t xml:space="preserve"> </w:t>
      </w:r>
      <w:r w:rsidR="002F6749">
        <w:rPr>
          <w:rFonts w:ascii="Arial" w:hAnsi="Arial" w:cs="Arial"/>
          <w:sz w:val="20"/>
          <w:szCs w:val="20"/>
        </w:rPr>
        <w:t>ne</w:t>
      </w:r>
      <w:r w:rsidR="00B85B9D">
        <w:rPr>
          <w:rFonts w:ascii="Arial" w:hAnsi="Arial" w:cs="Arial"/>
          <w:sz w:val="20"/>
          <w:szCs w:val="20"/>
        </w:rPr>
        <w:t>byl zaznamenán</w:t>
      </w:r>
      <w:r w:rsidR="003760F4">
        <w:rPr>
          <w:rFonts w:ascii="Arial" w:hAnsi="Arial" w:cs="Arial"/>
          <w:sz w:val="20"/>
          <w:szCs w:val="20"/>
        </w:rPr>
        <w:t xml:space="preserve"> pokles o</w:t>
      </w:r>
      <w:r w:rsidR="00D60754">
        <w:rPr>
          <w:rFonts w:ascii="Arial" w:hAnsi="Arial" w:cs="Arial"/>
          <w:sz w:val="20"/>
          <w:szCs w:val="20"/>
        </w:rPr>
        <w:t xml:space="preserve">proti </w:t>
      </w:r>
      <w:r w:rsidR="004404FF">
        <w:rPr>
          <w:rFonts w:ascii="Arial" w:hAnsi="Arial" w:cs="Arial"/>
          <w:sz w:val="20"/>
          <w:szCs w:val="20"/>
        </w:rPr>
        <w:t>4</w:t>
      </w:r>
      <w:r w:rsidR="00D60754">
        <w:rPr>
          <w:rFonts w:ascii="Arial" w:hAnsi="Arial" w:cs="Arial"/>
          <w:sz w:val="20"/>
          <w:szCs w:val="20"/>
        </w:rPr>
        <w:t>. čtvrtletí 201</w:t>
      </w:r>
      <w:r w:rsidR="004C6B18">
        <w:rPr>
          <w:rFonts w:ascii="Arial" w:hAnsi="Arial" w:cs="Arial"/>
          <w:sz w:val="20"/>
          <w:szCs w:val="20"/>
        </w:rPr>
        <w:t>5</w:t>
      </w:r>
      <w:r w:rsidR="002F6749">
        <w:rPr>
          <w:rFonts w:ascii="Arial" w:hAnsi="Arial" w:cs="Arial"/>
          <w:sz w:val="20"/>
          <w:szCs w:val="20"/>
        </w:rPr>
        <w:t>.</w:t>
      </w:r>
    </w:p>
    <w:p w:rsidR="000A4CF0" w:rsidRPr="00436B01" w:rsidRDefault="000A4CF0" w:rsidP="00436B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9621C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</w:t>
      </w:r>
      <w:r w:rsidR="00B347B0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100</w:t>
      </w:r>
      <w:r w:rsidR="00A16587">
        <w:rPr>
          <w:rFonts w:ascii="Arial" w:hAnsi="Arial"/>
          <w:sz w:val="20"/>
          <w:szCs w:val="20"/>
        </w:rPr>
        <w:t>,</w:t>
      </w:r>
      <w:r w:rsidR="00B347B0">
        <w:rPr>
          <w:rFonts w:ascii="Arial" w:hAnsi="Arial"/>
          <w:sz w:val="20"/>
          <w:szCs w:val="20"/>
        </w:rPr>
        <w:t>3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2F6749">
        <w:rPr>
          <w:rFonts w:ascii="Arial" w:hAnsi="Arial"/>
          <w:sz w:val="20"/>
          <w:szCs w:val="20"/>
        </w:rPr>
        <w:t>100</w:t>
      </w:r>
      <w:r w:rsidR="00983B0B">
        <w:rPr>
          <w:rFonts w:ascii="Arial" w:hAnsi="Arial"/>
          <w:sz w:val="20"/>
          <w:szCs w:val="20"/>
        </w:rPr>
        <w:t>,</w:t>
      </w:r>
      <w:r w:rsidR="00B347B0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do </w:t>
      </w:r>
      <w:r w:rsidR="00EA77AC">
        <w:rPr>
          <w:rFonts w:ascii="Arial" w:hAnsi="Arial"/>
          <w:sz w:val="20"/>
          <w:szCs w:val="20"/>
        </w:rPr>
        <w:t>100,</w:t>
      </w:r>
      <w:r w:rsidR="00B347B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DB346A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 </w:t>
      </w:r>
      <w:r w:rsidR="004404FF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 čtvrtletí 201</w:t>
      </w:r>
      <w:r w:rsidR="004404FF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činil </w:t>
      </w:r>
      <w:r w:rsidR="00635FE4">
        <w:rPr>
          <w:rFonts w:ascii="Arial" w:hAnsi="Arial"/>
          <w:sz w:val="20"/>
          <w:szCs w:val="20"/>
        </w:rPr>
        <w:t>1</w:t>
      </w:r>
      <w:r w:rsidR="00CE6431">
        <w:rPr>
          <w:rFonts w:ascii="Arial" w:hAnsi="Arial"/>
          <w:sz w:val="20"/>
          <w:szCs w:val="20"/>
        </w:rPr>
        <w:t>,</w:t>
      </w:r>
      <w:r w:rsidR="00A230F7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100</w:t>
      </w:r>
      <w:r w:rsidRPr="00BB2C0E">
        <w:rPr>
          <w:rFonts w:ascii="Arial" w:hAnsi="Arial"/>
          <w:sz w:val="20"/>
          <w:szCs w:val="20"/>
        </w:rPr>
        <w:t>,</w:t>
      </w:r>
      <w:r w:rsidR="00B347B0">
        <w:rPr>
          <w:rFonts w:ascii="Arial" w:hAnsi="Arial"/>
          <w:sz w:val="20"/>
          <w:szCs w:val="20"/>
        </w:rPr>
        <w:t>7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315A00">
        <w:rPr>
          <w:rFonts w:ascii="Arial" w:hAnsi="Arial"/>
          <w:sz w:val="20"/>
          <w:szCs w:val="20"/>
        </w:rPr>
        <w:t xml:space="preserve">ostatních </w:t>
      </w:r>
      <w:r w:rsidR="000F67AC" w:rsidRPr="000F67AC">
        <w:rPr>
          <w:rFonts w:ascii="Arial" w:hAnsi="Arial"/>
          <w:sz w:val="20"/>
          <w:szCs w:val="20"/>
        </w:rPr>
        <w:t>konstrukc</w:t>
      </w:r>
      <w:r w:rsidR="000F67AC">
        <w:rPr>
          <w:rFonts w:ascii="Arial" w:hAnsi="Arial"/>
          <w:sz w:val="20"/>
          <w:szCs w:val="20"/>
        </w:rPr>
        <w:t>í</w:t>
      </w:r>
      <w:r w:rsidR="00315A00">
        <w:rPr>
          <w:rFonts w:ascii="Arial" w:hAnsi="Arial"/>
          <w:sz w:val="20"/>
          <w:szCs w:val="20"/>
        </w:rPr>
        <w:t xml:space="preserve"> a prací s</w:t>
      </w:r>
      <w:r w:rsidR="004546F0">
        <w:rPr>
          <w:rFonts w:ascii="Arial" w:hAnsi="Arial"/>
          <w:sz w:val="20"/>
          <w:szCs w:val="20"/>
        </w:rPr>
        <w:t> </w:t>
      </w:r>
      <w:r w:rsidR="00315A00">
        <w:rPr>
          <w:rFonts w:ascii="Arial" w:hAnsi="Arial"/>
          <w:sz w:val="20"/>
          <w:szCs w:val="20"/>
        </w:rPr>
        <w:t>bouráním</w:t>
      </w:r>
      <w:r w:rsidR="000F67AC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2F6749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,</w:t>
      </w:r>
      <w:r w:rsidR="00B347B0">
        <w:rPr>
          <w:rFonts w:ascii="Arial" w:hAnsi="Arial"/>
          <w:sz w:val="20"/>
          <w:szCs w:val="20"/>
        </w:rPr>
        <w:t>8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395DE3">
        <w:rPr>
          <w:rFonts w:ascii="Arial" w:hAnsi="Arial"/>
          <w:sz w:val="20"/>
          <w:szCs w:val="20"/>
        </w:rPr>
        <w:t>zemních prací</w:t>
      </w:r>
      <w:r w:rsidR="00315A00">
        <w:rPr>
          <w:rFonts w:ascii="Arial" w:hAnsi="Arial"/>
          <w:sz w:val="20"/>
          <w:szCs w:val="20"/>
        </w:rPr>
        <w:t>.</w:t>
      </w:r>
    </w:p>
    <w:p w:rsidR="00DB346A" w:rsidRDefault="00DB346A" w:rsidP="00DB346A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,</w:t>
      </w:r>
      <w:r w:rsidR="001227AA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u </w:t>
      </w:r>
      <w:r w:rsidR="00395DE3">
        <w:rPr>
          <w:rFonts w:ascii="Arial" w:hAnsi="Arial"/>
          <w:sz w:val="20"/>
          <w:szCs w:val="20"/>
        </w:rPr>
        <w:t>dálkových elektrických vedení</w:t>
      </w:r>
      <w:r w:rsidR="003616C8" w:rsidRPr="003616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395DE3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D834D0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 u </w:t>
      </w:r>
      <w:r w:rsidR="001227AA">
        <w:rPr>
          <w:rFonts w:ascii="Arial" w:hAnsi="Arial"/>
          <w:sz w:val="20"/>
          <w:szCs w:val="20"/>
        </w:rPr>
        <w:t>ostatních staveb pro sport a rekreaci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395DE3">
        <w:rPr>
          <w:rFonts w:ascii="Arial" w:hAnsi="Arial"/>
          <w:sz w:val="20"/>
          <w:szCs w:val="20"/>
        </w:rPr>
        <w:t>ostatních inženýrských děl</w:t>
      </w:r>
      <w:r w:rsidR="003616C8">
        <w:rPr>
          <w:rFonts w:ascii="Arial" w:hAnsi="Arial"/>
          <w:sz w:val="20"/>
          <w:szCs w:val="20"/>
        </w:rPr>
        <w:t xml:space="preserve"> 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3616C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1227AA">
        <w:rPr>
          <w:rFonts w:ascii="Arial" w:hAnsi="Arial"/>
          <w:sz w:val="20"/>
          <w:szCs w:val="20"/>
        </w:rPr>
        <w:t>8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2005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11</w:t>
      </w:r>
      <w:r w:rsidR="00D834D0">
        <w:rPr>
          <w:rFonts w:ascii="Arial" w:hAnsi="Arial" w:cs="Arial"/>
          <w:sz w:val="20"/>
          <w:szCs w:val="20"/>
        </w:rPr>
        <w:t>3</w:t>
      </w:r>
      <w:r w:rsidR="00342499">
        <w:rPr>
          <w:rFonts w:ascii="Arial" w:hAnsi="Arial" w:cs="Arial"/>
          <w:sz w:val="20"/>
          <w:szCs w:val="20"/>
        </w:rPr>
        <w:t>,</w:t>
      </w:r>
      <w:r w:rsidR="00D834D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DE6EE6">
        <w:rPr>
          <w:rFonts w:ascii="Arial" w:hAnsi="Arial" w:cs="Arial"/>
          <w:sz w:val="20"/>
          <w:szCs w:val="20"/>
        </w:rPr>
        <w:t>1</w:t>
      </w:r>
      <w:r w:rsidR="00D8733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D834D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11</w:t>
      </w:r>
      <w:r w:rsidR="00D834D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D834D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D87336">
        <w:rPr>
          <w:rFonts w:ascii="Arial" w:hAnsi="Arial"/>
          <w:sz w:val="20"/>
          <w:szCs w:val="20"/>
        </w:rPr>
        <w:t>poklesly</w:t>
      </w:r>
      <w:r w:rsidR="00E875CE">
        <w:rPr>
          <w:rFonts w:ascii="Arial" w:hAnsi="Arial"/>
          <w:sz w:val="20"/>
          <w:szCs w:val="20"/>
        </w:rPr>
        <w:t xml:space="preserve"> o 0,</w:t>
      </w:r>
      <w:r w:rsidR="00D834D0">
        <w:rPr>
          <w:rFonts w:ascii="Arial" w:hAnsi="Arial"/>
          <w:sz w:val="20"/>
          <w:szCs w:val="20"/>
        </w:rPr>
        <w:t>7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CC79FC">
        <w:rPr>
          <w:rFonts w:ascii="Arial" w:hAnsi="Arial"/>
          <w:sz w:val="20"/>
          <w:szCs w:val="20"/>
        </w:rPr>
        <w:t xml:space="preserve">rovněž </w:t>
      </w:r>
      <w:r w:rsidR="00D87336">
        <w:rPr>
          <w:rFonts w:ascii="Arial" w:hAnsi="Arial"/>
          <w:sz w:val="20"/>
          <w:szCs w:val="20"/>
        </w:rPr>
        <w:t>poklesly</w:t>
      </w:r>
      <w:r>
        <w:rPr>
          <w:rFonts w:ascii="Arial" w:hAnsi="Arial"/>
          <w:sz w:val="20"/>
          <w:szCs w:val="20"/>
        </w:rPr>
        <w:t xml:space="preserve"> o </w:t>
      </w:r>
      <w:r w:rsidR="002F6C7E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D834D0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 %. Ve srovnání s</w:t>
      </w:r>
      <w:r>
        <w:rPr>
          <w:rFonts w:ascii="Arial" w:hAnsi="Arial"/>
          <w:b/>
          <w:bCs/>
          <w:sz w:val="20"/>
          <w:szCs w:val="20"/>
        </w:rPr>
        <w:t> průměrem roku 2005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D87336">
        <w:rPr>
          <w:rFonts w:ascii="Arial" w:hAnsi="Arial"/>
          <w:sz w:val="20"/>
          <w:szCs w:val="20"/>
        </w:rPr>
        <w:t>poklesl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822C4F">
        <w:rPr>
          <w:rFonts w:ascii="Arial" w:hAnsi="Arial"/>
          <w:sz w:val="20"/>
          <w:szCs w:val="20"/>
        </w:rPr>
        <w:t>1</w:t>
      </w:r>
      <w:r w:rsidR="00D834D0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,</w:t>
      </w:r>
      <w:r w:rsidR="00D834D0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D87336">
        <w:rPr>
          <w:rFonts w:ascii="Arial" w:hAnsi="Arial"/>
          <w:sz w:val="20"/>
          <w:szCs w:val="20"/>
        </w:rPr>
        <w:t>poklesl</w:t>
      </w:r>
      <w:r w:rsidR="00176D57">
        <w:rPr>
          <w:rFonts w:ascii="Arial" w:hAnsi="Arial"/>
          <w:sz w:val="20"/>
          <w:szCs w:val="20"/>
        </w:rPr>
        <w:t xml:space="preserve"> </w:t>
      </w:r>
      <w:r w:rsidR="009D46EB">
        <w:rPr>
          <w:rFonts w:ascii="Arial" w:hAnsi="Arial"/>
          <w:sz w:val="20"/>
          <w:szCs w:val="20"/>
        </w:rPr>
        <w:t>na hodnotu 1</w:t>
      </w:r>
      <w:r w:rsidR="00D87336">
        <w:rPr>
          <w:rFonts w:ascii="Arial" w:hAnsi="Arial"/>
          <w:sz w:val="20"/>
          <w:szCs w:val="20"/>
        </w:rPr>
        <w:t>0</w:t>
      </w:r>
      <w:r w:rsidR="00D834D0">
        <w:rPr>
          <w:rFonts w:ascii="Arial" w:hAnsi="Arial"/>
          <w:sz w:val="20"/>
          <w:szCs w:val="20"/>
        </w:rPr>
        <w:t>9</w:t>
      </w:r>
      <w:r w:rsidR="009D46EB">
        <w:rPr>
          <w:rFonts w:ascii="Arial" w:hAnsi="Arial"/>
          <w:sz w:val="20"/>
          <w:szCs w:val="20"/>
        </w:rPr>
        <w:t>,</w:t>
      </w:r>
      <w:r w:rsidR="00D834D0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.</w:t>
      </w:r>
    </w:p>
    <w:p w:rsidR="00CF74CF" w:rsidRDefault="00CF74CF" w:rsidP="00170015">
      <w:pPr>
        <w:rPr>
          <w:rFonts w:ascii="Arial" w:hAnsi="Arial"/>
          <w:sz w:val="20"/>
          <w:szCs w:val="20"/>
        </w:rPr>
      </w:pPr>
    </w:p>
    <w:p w:rsidR="00170015" w:rsidRDefault="00170015" w:rsidP="00170015">
      <w:pPr>
        <w:rPr>
          <w:rFonts w:ascii="Arial" w:hAnsi="Arial"/>
          <w:sz w:val="20"/>
          <w:szCs w:val="20"/>
        </w:rPr>
      </w:pPr>
    </w:p>
    <w:p w:rsidR="00CF74CF" w:rsidRPr="007748CB" w:rsidRDefault="00CF74C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CF74CF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0A7"/>
    <w:rsid w:val="00003629"/>
    <w:rsid w:val="00006E3F"/>
    <w:rsid w:val="00007EF1"/>
    <w:rsid w:val="00031F19"/>
    <w:rsid w:val="0003780A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E2A1C"/>
    <w:rsid w:val="000F3466"/>
    <w:rsid w:val="000F67AC"/>
    <w:rsid w:val="00113BEF"/>
    <w:rsid w:val="0011766A"/>
    <w:rsid w:val="001227AA"/>
    <w:rsid w:val="0012677C"/>
    <w:rsid w:val="00136C78"/>
    <w:rsid w:val="0014319F"/>
    <w:rsid w:val="00143953"/>
    <w:rsid w:val="00144161"/>
    <w:rsid w:val="0014568D"/>
    <w:rsid w:val="0015634B"/>
    <w:rsid w:val="00157593"/>
    <w:rsid w:val="001578ED"/>
    <w:rsid w:val="00170015"/>
    <w:rsid w:val="00176D57"/>
    <w:rsid w:val="00184EB7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022F"/>
    <w:rsid w:val="00206469"/>
    <w:rsid w:val="00214553"/>
    <w:rsid w:val="00223D46"/>
    <w:rsid w:val="0022423E"/>
    <w:rsid w:val="00224E48"/>
    <w:rsid w:val="00230856"/>
    <w:rsid w:val="0023130C"/>
    <w:rsid w:val="002326B2"/>
    <w:rsid w:val="0024736C"/>
    <w:rsid w:val="0028134C"/>
    <w:rsid w:val="00283298"/>
    <w:rsid w:val="00293C31"/>
    <w:rsid w:val="00296E80"/>
    <w:rsid w:val="002F6749"/>
    <w:rsid w:val="002F6C7E"/>
    <w:rsid w:val="002F7B6C"/>
    <w:rsid w:val="00315A00"/>
    <w:rsid w:val="003261B4"/>
    <w:rsid w:val="0033152E"/>
    <w:rsid w:val="00337CE1"/>
    <w:rsid w:val="00342499"/>
    <w:rsid w:val="00353397"/>
    <w:rsid w:val="00355E9C"/>
    <w:rsid w:val="003616C8"/>
    <w:rsid w:val="00372810"/>
    <w:rsid w:val="003760F4"/>
    <w:rsid w:val="003774A4"/>
    <w:rsid w:val="00395DE3"/>
    <w:rsid w:val="003B5E32"/>
    <w:rsid w:val="003C694D"/>
    <w:rsid w:val="003C6E19"/>
    <w:rsid w:val="003E5E84"/>
    <w:rsid w:val="003F0CC2"/>
    <w:rsid w:val="004012A5"/>
    <w:rsid w:val="00430AD4"/>
    <w:rsid w:val="00436B01"/>
    <w:rsid w:val="00437CBB"/>
    <w:rsid w:val="004404FF"/>
    <w:rsid w:val="004546F0"/>
    <w:rsid w:val="00471488"/>
    <w:rsid w:val="00471A24"/>
    <w:rsid w:val="00475CC3"/>
    <w:rsid w:val="004814F3"/>
    <w:rsid w:val="004A546C"/>
    <w:rsid w:val="004A7F90"/>
    <w:rsid w:val="004C6B18"/>
    <w:rsid w:val="004C6DC6"/>
    <w:rsid w:val="004D39B1"/>
    <w:rsid w:val="004E38C5"/>
    <w:rsid w:val="004E5B3F"/>
    <w:rsid w:val="004E5D0B"/>
    <w:rsid w:val="004E789D"/>
    <w:rsid w:val="004E7A3A"/>
    <w:rsid w:val="004E7D22"/>
    <w:rsid w:val="004F1473"/>
    <w:rsid w:val="004F6323"/>
    <w:rsid w:val="00501229"/>
    <w:rsid w:val="00504CF2"/>
    <w:rsid w:val="0051216F"/>
    <w:rsid w:val="00523A6E"/>
    <w:rsid w:val="005255ED"/>
    <w:rsid w:val="00541E28"/>
    <w:rsid w:val="005735FE"/>
    <w:rsid w:val="00575A40"/>
    <w:rsid w:val="00575B92"/>
    <w:rsid w:val="00582BB2"/>
    <w:rsid w:val="00584DF4"/>
    <w:rsid w:val="005B694C"/>
    <w:rsid w:val="005B788C"/>
    <w:rsid w:val="005C0D62"/>
    <w:rsid w:val="005E10C7"/>
    <w:rsid w:val="00606EB3"/>
    <w:rsid w:val="00634377"/>
    <w:rsid w:val="00634579"/>
    <w:rsid w:val="00635FE4"/>
    <w:rsid w:val="006377B5"/>
    <w:rsid w:val="00654EB0"/>
    <w:rsid w:val="00667AA4"/>
    <w:rsid w:val="00672E59"/>
    <w:rsid w:val="006745BC"/>
    <w:rsid w:val="00680B0C"/>
    <w:rsid w:val="00694933"/>
    <w:rsid w:val="006A1825"/>
    <w:rsid w:val="006B7A05"/>
    <w:rsid w:val="006C5392"/>
    <w:rsid w:val="006D517B"/>
    <w:rsid w:val="006D606A"/>
    <w:rsid w:val="007166CA"/>
    <w:rsid w:val="0072471F"/>
    <w:rsid w:val="0072592A"/>
    <w:rsid w:val="00737A66"/>
    <w:rsid w:val="00753D45"/>
    <w:rsid w:val="007748CB"/>
    <w:rsid w:val="007937AD"/>
    <w:rsid w:val="00797ED3"/>
    <w:rsid w:val="007A0A52"/>
    <w:rsid w:val="007A7C3B"/>
    <w:rsid w:val="007D2239"/>
    <w:rsid w:val="007E6A4F"/>
    <w:rsid w:val="007E7FB8"/>
    <w:rsid w:val="00802EE1"/>
    <w:rsid w:val="00803801"/>
    <w:rsid w:val="0081135D"/>
    <w:rsid w:val="008170AA"/>
    <w:rsid w:val="00822C4F"/>
    <w:rsid w:val="00835BB5"/>
    <w:rsid w:val="00850AA9"/>
    <w:rsid w:val="00862BC4"/>
    <w:rsid w:val="00865233"/>
    <w:rsid w:val="008875DF"/>
    <w:rsid w:val="008C5CEC"/>
    <w:rsid w:val="008D3E5D"/>
    <w:rsid w:val="00902024"/>
    <w:rsid w:val="00913071"/>
    <w:rsid w:val="009260F8"/>
    <w:rsid w:val="009270F9"/>
    <w:rsid w:val="0094398F"/>
    <w:rsid w:val="009439A3"/>
    <w:rsid w:val="00973E23"/>
    <w:rsid w:val="00983B0B"/>
    <w:rsid w:val="009A4425"/>
    <w:rsid w:val="009B7BBC"/>
    <w:rsid w:val="009C27B8"/>
    <w:rsid w:val="009D46EB"/>
    <w:rsid w:val="009D475C"/>
    <w:rsid w:val="009D5863"/>
    <w:rsid w:val="009D6661"/>
    <w:rsid w:val="009E5D92"/>
    <w:rsid w:val="009E600A"/>
    <w:rsid w:val="009F1F92"/>
    <w:rsid w:val="00A00C3F"/>
    <w:rsid w:val="00A16587"/>
    <w:rsid w:val="00A17991"/>
    <w:rsid w:val="00A223C3"/>
    <w:rsid w:val="00A230F7"/>
    <w:rsid w:val="00A25F47"/>
    <w:rsid w:val="00A31347"/>
    <w:rsid w:val="00A378D6"/>
    <w:rsid w:val="00A61167"/>
    <w:rsid w:val="00A63D19"/>
    <w:rsid w:val="00A67EA5"/>
    <w:rsid w:val="00A67FDA"/>
    <w:rsid w:val="00A81A79"/>
    <w:rsid w:val="00A85683"/>
    <w:rsid w:val="00A940CF"/>
    <w:rsid w:val="00AB3743"/>
    <w:rsid w:val="00AB72E6"/>
    <w:rsid w:val="00AB739D"/>
    <w:rsid w:val="00AC19E0"/>
    <w:rsid w:val="00B0016C"/>
    <w:rsid w:val="00B10BA7"/>
    <w:rsid w:val="00B24DEF"/>
    <w:rsid w:val="00B30909"/>
    <w:rsid w:val="00B347B0"/>
    <w:rsid w:val="00B434AF"/>
    <w:rsid w:val="00B434BB"/>
    <w:rsid w:val="00B43971"/>
    <w:rsid w:val="00B531BB"/>
    <w:rsid w:val="00B64656"/>
    <w:rsid w:val="00B85B9D"/>
    <w:rsid w:val="00B87F93"/>
    <w:rsid w:val="00B96D8D"/>
    <w:rsid w:val="00BA1E81"/>
    <w:rsid w:val="00BB2C0E"/>
    <w:rsid w:val="00BD20B9"/>
    <w:rsid w:val="00BF2F07"/>
    <w:rsid w:val="00BF352D"/>
    <w:rsid w:val="00BF48A8"/>
    <w:rsid w:val="00BF56C4"/>
    <w:rsid w:val="00C35167"/>
    <w:rsid w:val="00C44C64"/>
    <w:rsid w:val="00C47B9A"/>
    <w:rsid w:val="00C52D03"/>
    <w:rsid w:val="00C57EE7"/>
    <w:rsid w:val="00C91D92"/>
    <w:rsid w:val="00C93D26"/>
    <w:rsid w:val="00C95797"/>
    <w:rsid w:val="00C957FB"/>
    <w:rsid w:val="00CB39FC"/>
    <w:rsid w:val="00CB627C"/>
    <w:rsid w:val="00CC698C"/>
    <w:rsid w:val="00CC79FC"/>
    <w:rsid w:val="00CE6431"/>
    <w:rsid w:val="00CF74CF"/>
    <w:rsid w:val="00D011CB"/>
    <w:rsid w:val="00D27DA9"/>
    <w:rsid w:val="00D32331"/>
    <w:rsid w:val="00D35CDE"/>
    <w:rsid w:val="00D428F5"/>
    <w:rsid w:val="00D43BD4"/>
    <w:rsid w:val="00D44A79"/>
    <w:rsid w:val="00D60754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6EE6"/>
    <w:rsid w:val="00E0305C"/>
    <w:rsid w:val="00E047FB"/>
    <w:rsid w:val="00E0611D"/>
    <w:rsid w:val="00E121D5"/>
    <w:rsid w:val="00E14608"/>
    <w:rsid w:val="00E209AF"/>
    <w:rsid w:val="00E37D03"/>
    <w:rsid w:val="00E50D88"/>
    <w:rsid w:val="00E53DEC"/>
    <w:rsid w:val="00E65332"/>
    <w:rsid w:val="00E7201C"/>
    <w:rsid w:val="00E7258F"/>
    <w:rsid w:val="00E86180"/>
    <w:rsid w:val="00E87181"/>
    <w:rsid w:val="00E875CE"/>
    <w:rsid w:val="00E915AB"/>
    <w:rsid w:val="00E95E7D"/>
    <w:rsid w:val="00E9621C"/>
    <w:rsid w:val="00EA77AC"/>
    <w:rsid w:val="00EB1439"/>
    <w:rsid w:val="00EB2649"/>
    <w:rsid w:val="00EC6399"/>
    <w:rsid w:val="00ED36F6"/>
    <w:rsid w:val="00EE5B06"/>
    <w:rsid w:val="00EF302D"/>
    <w:rsid w:val="00F16948"/>
    <w:rsid w:val="00F31E39"/>
    <w:rsid w:val="00F3218A"/>
    <w:rsid w:val="00F36C6F"/>
    <w:rsid w:val="00F54843"/>
    <w:rsid w:val="00F64DBF"/>
    <w:rsid w:val="00F84B2C"/>
    <w:rsid w:val="00F85882"/>
    <w:rsid w:val="00FD1D0F"/>
    <w:rsid w:val="00FD7569"/>
    <w:rsid w:val="00FE197C"/>
    <w:rsid w:val="00FE6BC6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Mgr. Petra Hochová</cp:lastModifiedBy>
  <cp:revision>8</cp:revision>
  <cp:lastPrinted>2014-05-07T14:20:00Z</cp:lastPrinted>
  <dcterms:created xsi:type="dcterms:W3CDTF">2016-05-06T14:26:00Z</dcterms:created>
  <dcterms:modified xsi:type="dcterms:W3CDTF">2016-05-06T14:45:00Z</dcterms:modified>
</cp:coreProperties>
</file>