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186" w:rsidRPr="00360DE3" w:rsidRDefault="00BE6186" w:rsidP="00BE6186">
      <w:pPr>
        <w:pStyle w:val="Nadpis110"/>
      </w:pPr>
      <w:bookmarkStart w:id="0" w:name="_Toc527639469"/>
      <w:r w:rsidRPr="00360DE3">
        <w:t>4. Investice</w:t>
      </w:r>
      <w:bookmarkEnd w:id="0"/>
    </w:p>
    <w:tbl>
      <w:tblPr>
        <w:tblW w:w="9644" w:type="dxa"/>
        <w:tblInd w:w="-15" w:type="dxa"/>
        <w:tblCellMar>
          <w:left w:w="0" w:type="dxa"/>
          <w:right w:w="0" w:type="dxa"/>
        </w:tblCellMar>
        <w:tblLook w:val="00A0"/>
      </w:tblPr>
      <w:tblGrid>
        <w:gridCol w:w="1909"/>
        <w:gridCol w:w="264"/>
        <w:gridCol w:w="7471"/>
      </w:tblGrid>
      <w:tr w:rsidR="00BE6186" w:rsidRPr="00360DE3" w:rsidTr="00F160CE">
        <w:trPr>
          <w:trHeight w:val="145"/>
        </w:trPr>
        <w:tc>
          <w:tcPr>
            <w:tcW w:w="1909" w:type="dxa"/>
            <w:shd w:val="clear" w:color="auto" w:fill="auto"/>
          </w:tcPr>
          <w:p w:rsidR="00BE6186" w:rsidRPr="00360DE3" w:rsidRDefault="00BE6186" w:rsidP="002B213A">
            <w:pPr>
              <w:pStyle w:val="Marginlie"/>
              <w:rPr>
                <w:spacing w:val="0"/>
              </w:rPr>
            </w:pPr>
            <w:r w:rsidRPr="00360DE3">
              <w:rPr>
                <w:spacing w:val="0"/>
              </w:rPr>
              <w:t>Investiční aktivita v loňském roce zaznamenala oživení po slabším roce 2016.</w:t>
            </w:r>
          </w:p>
        </w:tc>
        <w:tc>
          <w:tcPr>
            <w:tcW w:w="264" w:type="dxa"/>
            <w:shd w:val="clear" w:color="auto" w:fill="auto"/>
          </w:tcPr>
          <w:p w:rsidR="00BE6186" w:rsidRPr="00360DE3" w:rsidRDefault="00BE6186" w:rsidP="002B213A">
            <w:pPr>
              <w:pStyle w:val="Textpoznpodarou10"/>
              <w:jc w:val="both"/>
            </w:pPr>
          </w:p>
        </w:tc>
        <w:tc>
          <w:tcPr>
            <w:tcW w:w="7471" w:type="dxa"/>
            <w:shd w:val="clear" w:color="auto" w:fill="auto"/>
          </w:tcPr>
          <w:p w:rsidR="00BE6186" w:rsidRPr="00360DE3" w:rsidRDefault="00BE6186" w:rsidP="002B213A">
            <w:r w:rsidRPr="00360DE3">
              <w:t xml:space="preserve">Celková výše výdajů na tvorbu hrubého fixního kapitálu v roce 2017 v běžných cenách dosáhla 1 246,1 mld. korun. Meziročně se tak investiční výdaje zvýšily o 57,4 mld. korun a jejich reálný růst dosáhl 3,3 %. Dynamika investiční aktivity v posledních letech byla ovlivněna evropskými dotacemi, jejichž dočerpávání v roce 2015 výdaje výrazně stimulovalo. Náběh nového programového období v roce 2016 bylo spojeno i s meziročním poklesem investic. Loňské oživení pak hodnotu investic v běžných cenách posunulo mírně nad úroveň roku 2015, účelová i sektorová struktura však byla odlišná. </w:t>
            </w:r>
          </w:p>
        </w:tc>
      </w:tr>
      <w:tr w:rsidR="00BE6186" w:rsidRPr="00360DE3" w:rsidTr="00F160CE">
        <w:tc>
          <w:tcPr>
            <w:tcW w:w="1909" w:type="dxa"/>
            <w:vMerge w:val="restart"/>
            <w:shd w:val="clear" w:color="auto" w:fill="auto"/>
          </w:tcPr>
          <w:p w:rsidR="00BE6186" w:rsidRPr="00360DE3" w:rsidRDefault="00BE6186" w:rsidP="002B213A">
            <w:pPr>
              <w:pStyle w:val="Marginlie"/>
              <w:rPr>
                <w:spacing w:val="0"/>
              </w:rPr>
            </w:pPr>
          </w:p>
        </w:tc>
        <w:tc>
          <w:tcPr>
            <w:tcW w:w="264" w:type="dxa"/>
            <w:vMerge w:val="restart"/>
            <w:shd w:val="clear" w:color="auto" w:fill="auto"/>
          </w:tcPr>
          <w:p w:rsidR="00BE6186" w:rsidRPr="00360DE3" w:rsidRDefault="00BE6186" w:rsidP="002B213A">
            <w:pPr>
              <w:pStyle w:val="Textpoznpodarou10"/>
              <w:jc w:val="both"/>
            </w:pPr>
          </w:p>
        </w:tc>
        <w:tc>
          <w:tcPr>
            <w:tcW w:w="7471" w:type="dxa"/>
            <w:shd w:val="clear" w:color="auto" w:fill="auto"/>
          </w:tcPr>
          <w:p w:rsidR="006836CB" w:rsidRDefault="00BE6186" w:rsidP="001D198A">
            <w:pPr>
              <w:spacing w:after="0"/>
              <w:rPr>
                <w:b/>
              </w:rPr>
            </w:pPr>
            <w:r w:rsidRPr="00360DE3">
              <w:rPr>
                <w:b/>
              </w:rPr>
              <w:t xml:space="preserve">Graf č. </w:t>
            </w:r>
            <w:proofErr w:type="gramStart"/>
            <w:r w:rsidR="001D198A" w:rsidRPr="00360DE3">
              <w:rPr>
                <w:b/>
              </w:rPr>
              <w:t>4.1</w:t>
            </w:r>
            <w:r w:rsidRPr="00360DE3">
              <w:rPr>
                <w:b/>
              </w:rPr>
              <w:t xml:space="preserve">  Tvorba</w:t>
            </w:r>
            <w:proofErr w:type="gramEnd"/>
            <w:r w:rsidRPr="00360DE3">
              <w:rPr>
                <w:b/>
              </w:rPr>
              <w:t xml:space="preserve"> hrubého fixního kapitálu, sektorové členění</w:t>
            </w:r>
          </w:p>
          <w:p w:rsidR="00BE6186" w:rsidRPr="00360DE3" w:rsidRDefault="00BE6186" w:rsidP="001D198A">
            <w:pPr>
              <w:spacing w:after="0"/>
              <w:rPr>
                <w:b/>
              </w:rPr>
            </w:pPr>
            <w:r w:rsidRPr="00360DE3">
              <w:t>(běžné ceny, meziroční změna v mld. korun)</w:t>
            </w:r>
          </w:p>
        </w:tc>
      </w:tr>
      <w:tr w:rsidR="00BE6186" w:rsidRPr="00360DE3" w:rsidTr="00F160CE">
        <w:trPr>
          <w:trHeight w:val="170"/>
        </w:trPr>
        <w:tc>
          <w:tcPr>
            <w:tcW w:w="1909" w:type="dxa"/>
            <w:vMerge/>
            <w:shd w:val="clear" w:color="auto" w:fill="auto"/>
          </w:tcPr>
          <w:p w:rsidR="00BE6186" w:rsidRPr="00360DE3" w:rsidRDefault="00BE6186" w:rsidP="002B213A">
            <w:pPr>
              <w:pStyle w:val="Marginlie"/>
              <w:rPr>
                <w:spacing w:val="0"/>
              </w:rPr>
            </w:pPr>
          </w:p>
        </w:tc>
        <w:tc>
          <w:tcPr>
            <w:tcW w:w="264" w:type="dxa"/>
            <w:vMerge/>
            <w:shd w:val="clear" w:color="auto" w:fill="auto"/>
          </w:tcPr>
          <w:p w:rsidR="00BE6186" w:rsidRPr="00360DE3" w:rsidRDefault="00BE6186" w:rsidP="002B213A">
            <w:pPr>
              <w:pStyle w:val="Textpoznpodarou10"/>
              <w:jc w:val="both"/>
            </w:pPr>
          </w:p>
        </w:tc>
        <w:tc>
          <w:tcPr>
            <w:tcW w:w="7471" w:type="dxa"/>
            <w:shd w:val="clear" w:color="auto" w:fill="auto"/>
          </w:tcPr>
          <w:p w:rsidR="00BE6186" w:rsidRPr="00360DE3" w:rsidRDefault="00BE6186" w:rsidP="002B213A">
            <w:pPr>
              <w:spacing w:after="0"/>
            </w:pPr>
            <w:r w:rsidRPr="00360DE3">
              <w:rPr>
                <w:noProof/>
              </w:rPr>
              <w:drawing>
                <wp:inline distT="0" distB="0" distL="0" distR="0">
                  <wp:extent cx="4737600" cy="3553200"/>
                  <wp:effectExtent l="0" t="0" r="0" b="0"/>
                  <wp:docPr id="18"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r w:rsidR="00BE6186" w:rsidRPr="00360DE3" w:rsidTr="00F160CE">
        <w:trPr>
          <w:trHeight w:val="170"/>
        </w:trPr>
        <w:tc>
          <w:tcPr>
            <w:tcW w:w="1909" w:type="dxa"/>
            <w:vMerge/>
            <w:shd w:val="clear" w:color="auto" w:fill="auto"/>
          </w:tcPr>
          <w:p w:rsidR="00BE6186" w:rsidRPr="00360DE3" w:rsidRDefault="00BE6186" w:rsidP="002B213A">
            <w:pPr>
              <w:pStyle w:val="Marginlie"/>
              <w:rPr>
                <w:spacing w:val="0"/>
              </w:rPr>
            </w:pPr>
          </w:p>
        </w:tc>
        <w:tc>
          <w:tcPr>
            <w:tcW w:w="264" w:type="dxa"/>
            <w:vMerge/>
            <w:shd w:val="clear" w:color="auto" w:fill="auto"/>
          </w:tcPr>
          <w:p w:rsidR="00BE6186" w:rsidRPr="00360DE3" w:rsidRDefault="00BE6186" w:rsidP="002B213A">
            <w:pPr>
              <w:pStyle w:val="Textpoznpodarou10"/>
              <w:jc w:val="both"/>
            </w:pPr>
          </w:p>
        </w:tc>
        <w:tc>
          <w:tcPr>
            <w:tcW w:w="7471" w:type="dxa"/>
            <w:shd w:val="clear" w:color="auto" w:fill="auto"/>
          </w:tcPr>
          <w:p w:rsidR="00BE6186" w:rsidRPr="00360DE3" w:rsidRDefault="00BE6186" w:rsidP="002B213A">
            <w:pPr>
              <w:rPr>
                <w:sz w:val="14"/>
                <w:szCs w:val="14"/>
              </w:rPr>
            </w:pPr>
            <w:r w:rsidRPr="00360DE3">
              <w:rPr>
                <w:sz w:val="14"/>
                <w:szCs w:val="14"/>
              </w:rPr>
              <w:t>Zdroj:ČSÚ</w:t>
            </w:r>
          </w:p>
        </w:tc>
      </w:tr>
      <w:tr w:rsidR="00F160CE" w:rsidRPr="00360DE3" w:rsidTr="00F160CE">
        <w:trPr>
          <w:trHeight w:val="145"/>
        </w:trPr>
        <w:tc>
          <w:tcPr>
            <w:tcW w:w="1909" w:type="dxa"/>
            <w:shd w:val="clear" w:color="auto" w:fill="auto"/>
          </w:tcPr>
          <w:p w:rsidR="00F160CE" w:rsidRPr="00360DE3" w:rsidRDefault="00F160CE" w:rsidP="00DC37E3">
            <w:pPr>
              <w:pStyle w:val="Marginlie"/>
              <w:rPr>
                <w:spacing w:val="0"/>
              </w:rPr>
            </w:pPr>
            <w:r w:rsidRPr="00360DE3">
              <w:rPr>
                <w:spacing w:val="0"/>
              </w:rPr>
              <w:t>Růst investičních výdajů podpořily hlavně nefinanční podniky. Růst však zažívaly všechny sektory.</w:t>
            </w:r>
          </w:p>
        </w:tc>
        <w:tc>
          <w:tcPr>
            <w:tcW w:w="264" w:type="dxa"/>
            <w:shd w:val="clear" w:color="auto" w:fill="auto"/>
          </w:tcPr>
          <w:p w:rsidR="00F160CE" w:rsidRPr="00360DE3" w:rsidRDefault="00F160CE" w:rsidP="00DC37E3">
            <w:pPr>
              <w:pStyle w:val="Textpoznpodarou10"/>
              <w:jc w:val="both"/>
            </w:pPr>
          </w:p>
        </w:tc>
        <w:tc>
          <w:tcPr>
            <w:tcW w:w="7471" w:type="dxa"/>
            <w:shd w:val="clear" w:color="auto" w:fill="auto"/>
          </w:tcPr>
          <w:p w:rsidR="00F160CE" w:rsidRPr="00360DE3" w:rsidRDefault="00F160CE" w:rsidP="00DC37E3">
            <w:r w:rsidRPr="00360DE3">
              <w:t>Z pohledu jednotlivých sektorů byly tahounem investiční aktivity nefinanční podniky, které k nominálnímu nárůstu celkových výdajů na tvorbu hrubého fixního kapitálu přispěly téměř polovinou (26,5 mld. korun). Výše jejich výdajů celkem dosáhla 797,5 mld. korun (64,0 % investic v ekonomice). Druhým nejvýznamnějším investorem z pohledu objemu celkových výdajů byly domácnosti a neziskové instituce sloužící domácnostem (v dalším textu označeno jako domácnosti). Jejich kapitálové výdaje činily 238,5 mld. korun a meziročně se zvýšily o 12,2 mld. Podíl na celkových investicích u nich loni dosáhl 19,1 %, což je nejvíce od roku 2010. Rok 2010 byl lokálním vrcholem investiční aktivity domácností, který se nominálně podařilo překonat až loni (domácnosti reagovaly na tehdejší prudký pokles cen nemovitostí). Investice sektoru vládních institucí se v roce 2017 zvýšily o 13,3 mld. korun a dosáhly 168,5 mld. Tato korekce však ne</w:t>
            </w:r>
            <w:r w:rsidR="006836CB">
              <w:t>stačila na kompenzaci propadu z</w:t>
            </w:r>
            <w:r w:rsidR="006836CB" w:rsidRPr="005A2C7B">
              <w:rPr>
                <w:spacing w:val="-4"/>
              </w:rPr>
              <w:t> </w:t>
            </w:r>
            <w:r w:rsidRPr="00360DE3">
              <w:t xml:space="preserve">roku 2016 (-81,1 mld. korun). Vládní investiční výdaje mají přitom specifickou věcnou strukturu a možnost jejich substituce ostatními sektory je omezena. </w:t>
            </w:r>
          </w:p>
        </w:tc>
      </w:tr>
      <w:tr w:rsidR="00F160CE" w:rsidRPr="00360DE3" w:rsidTr="00F160CE">
        <w:trPr>
          <w:trHeight w:val="145"/>
        </w:trPr>
        <w:tc>
          <w:tcPr>
            <w:tcW w:w="1909" w:type="dxa"/>
            <w:shd w:val="clear" w:color="auto" w:fill="auto"/>
          </w:tcPr>
          <w:p w:rsidR="00F160CE" w:rsidRPr="00360DE3" w:rsidRDefault="006836CB" w:rsidP="002B213A">
            <w:pPr>
              <w:pStyle w:val="Marginlie"/>
              <w:rPr>
                <w:spacing w:val="0"/>
              </w:rPr>
            </w:pPr>
            <w:r>
              <w:rPr>
                <w:spacing w:val="0"/>
              </w:rPr>
              <w:t xml:space="preserve">Stroje a zařízení </w:t>
            </w:r>
            <w:r w:rsidR="00F160CE" w:rsidRPr="00360DE3">
              <w:rPr>
                <w:spacing w:val="0"/>
              </w:rPr>
              <w:t xml:space="preserve">pohltily největší porci investičních výdajů. </w:t>
            </w:r>
          </w:p>
        </w:tc>
        <w:tc>
          <w:tcPr>
            <w:tcW w:w="264" w:type="dxa"/>
            <w:shd w:val="clear" w:color="auto" w:fill="auto"/>
          </w:tcPr>
          <w:p w:rsidR="00F160CE" w:rsidRPr="00360DE3" w:rsidRDefault="00F160CE" w:rsidP="002B213A">
            <w:pPr>
              <w:pStyle w:val="Textpoznpodarou10"/>
              <w:jc w:val="both"/>
            </w:pPr>
          </w:p>
        </w:tc>
        <w:tc>
          <w:tcPr>
            <w:tcW w:w="7471" w:type="dxa"/>
            <w:shd w:val="clear" w:color="auto" w:fill="auto"/>
          </w:tcPr>
          <w:p w:rsidR="00F160CE" w:rsidRPr="00360DE3" w:rsidRDefault="00F160CE" w:rsidP="002B213A">
            <w:r w:rsidRPr="00360DE3">
              <w:t xml:space="preserve">Objemově nejvýznamnější položkou investiční aktivity jsou tradičně stroje a zařízení. Výdaje na ně loni dosáhly 551,6 mld. korun (více než dvě pětiny celkových investic v ekonomice). Jejich meziroční nárůst činil 11,8 mld. korun </w:t>
            </w:r>
            <w:r w:rsidRPr="00360DE3">
              <w:lastRenderedPageBreak/>
              <w:t xml:space="preserve">(reálně 3,0 %). Křivka vývoje této položky má </w:t>
            </w:r>
            <w:r w:rsidR="00DF7AD4">
              <w:t>rovněž tvar písmene U se dnem v</w:t>
            </w:r>
            <w:r w:rsidR="00DF7AD4" w:rsidRPr="00360DE3">
              <w:t> </w:t>
            </w:r>
            <w:r w:rsidRPr="00360DE3">
              <w:t>roce 2016. Hlavním aktérem jsou zde totiž nefinanční podniky, které ovlivňoval cyklus evropských dotací, které podniky do jisté míry využívaly. Podrobnější vhled do této položky ukazuje, že propad dynamiky v roce 2016 a následné oživení vykazují prostředky informačních a komunikačních t</w:t>
            </w:r>
            <w:r w:rsidR="00DF7AD4">
              <w:t>echnologií (reálný nárůst o</w:t>
            </w:r>
            <w:r w:rsidR="00DF7AD4" w:rsidRPr="00360DE3">
              <w:t> </w:t>
            </w:r>
            <w:r w:rsidR="00DF7AD4">
              <w:t>4,5</w:t>
            </w:r>
            <w:r w:rsidR="00DF7AD4" w:rsidRPr="00360DE3">
              <w:t> </w:t>
            </w:r>
            <w:r w:rsidRPr="00360DE3">
              <w:t xml:space="preserve">%) i ostatní stroje a zařízení (2,4 %). Naopak po silných přírůstcích v letech 2015 a 2016 (více než 9 %) zpomalil reálný růst investic do dopravních prostředků a zařízení (3,5 %).   </w:t>
            </w:r>
          </w:p>
        </w:tc>
      </w:tr>
      <w:tr w:rsidR="00F160CE" w:rsidRPr="00360DE3" w:rsidTr="00F160CE">
        <w:trPr>
          <w:trHeight w:val="145"/>
        </w:trPr>
        <w:tc>
          <w:tcPr>
            <w:tcW w:w="1909" w:type="dxa"/>
            <w:shd w:val="clear" w:color="auto" w:fill="auto"/>
          </w:tcPr>
          <w:p w:rsidR="00F160CE" w:rsidRPr="00360DE3" w:rsidRDefault="00F160CE" w:rsidP="002B213A">
            <w:pPr>
              <w:pStyle w:val="Marginlie"/>
              <w:rPr>
                <w:spacing w:val="0"/>
              </w:rPr>
            </w:pPr>
            <w:r w:rsidRPr="00360DE3">
              <w:rPr>
                <w:spacing w:val="0"/>
              </w:rPr>
              <w:lastRenderedPageBreak/>
              <w:t>Již čtvrtým rokem rostly investice do produktů duševního vlastnictví.</w:t>
            </w:r>
          </w:p>
        </w:tc>
        <w:tc>
          <w:tcPr>
            <w:tcW w:w="264" w:type="dxa"/>
            <w:shd w:val="clear" w:color="auto" w:fill="auto"/>
          </w:tcPr>
          <w:p w:rsidR="00F160CE" w:rsidRPr="00360DE3" w:rsidRDefault="00F160CE" w:rsidP="002B213A">
            <w:pPr>
              <w:pStyle w:val="Textpoznpodarou10"/>
              <w:jc w:val="both"/>
            </w:pPr>
          </w:p>
        </w:tc>
        <w:tc>
          <w:tcPr>
            <w:tcW w:w="7471" w:type="dxa"/>
            <w:shd w:val="clear" w:color="auto" w:fill="auto"/>
          </w:tcPr>
          <w:p w:rsidR="00F160CE" w:rsidRPr="00360DE3" w:rsidRDefault="00F160CE" w:rsidP="002B213A">
            <w:r w:rsidRPr="00360DE3">
              <w:t xml:space="preserve">Objem investic do produktů duševního vlastnictví loni dosáhl 200,9 mld. korun a zvětšil se o 11,7 mld. (reálný nárůst o 4,4 %). Ačkoli je patrný stimul roku 2015 (reálný nárůst o 14,2 %), tato investiční položka si udržela poměrně stabilní dynamiku v celém čtyřletém období 2014-2017. Produkty duševního vlastnictví zahrnují na jedné straně investice do výzkumu a vývoje a na straně druhé výdaje na počítačové a programové vybavení a databáze. Právě druhá jmenovaná položka skokově nabyla na významu v roce 2015 a poměrně silný růst si udržela (6,9 % v roce 2016, loňský reálný přírůstek 4,5 %). Výdaje na výzkum a vývoj se loni reálně zvýšily o 4,5 %, a v porovnání s rokem 2016 zrychlily. Největší porci investic do produktů duševního vlastnictví vydávají díky své váze nefinanční podniky. V porovnání s ostatními investičními položkami mají produkty duševního vlastnictví největší roli u finančních institucí (hlavně počítačové a softwarové vybavení). U vládních institucí jde nejvíce prostředků v této </w:t>
            </w:r>
            <w:r w:rsidR="00DF7AD4">
              <w:t xml:space="preserve">oblasti na výzkum a vývoj. </w:t>
            </w:r>
          </w:p>
        </w:tc>
      </w:tr>
      <w:tr w:rsidR="00F160CE" w:rsidRPr="00360DE3" w:rsidTr="00F160CE">
        <w:trPr>
          <w:trHeight w:val="170"/>
        </w:trPr>
        <w:tc>
          <w:tcPr>
            <w:tcW w:w="1909" w:type="dxa"/>
            <w:vMerge w:val="restart"/>
            <w:shd w:val="clear" w:color="auto" w:fill="auto"/>
          </w:tcPr>
          <w:p w:rsidR="00F160CE" w:rsidRPr="00360DE3" w:rsidRDefault="00F160CE" w:rsidP="002B213A">
            <w:pPr>
              <w:pStyle w:val="Marginlie"/>
              <w:rPr>
                <w:spacing w:val="0"/>
              </w:rPr>
            </w:pPr>
          </w:p>
        </w:tc>
        <w:tc>
          <w:tcPr>
            <w:tcW w:w="264" w:type="dxa"/>
            <w:vMerge w:val="restart"/>
            <w:shd w:val="clear" w:color="auto" w:fill="auto"/>
          </w:tcPr>
          <w:p w:rsidR="00F160CE" w:rsidRPr="00360DE3" w:rsidRDefault="00F160CE" w:rsidP="002B213A">
            <w:pPr>
              <w:pStyle w:val="Textpoznpodarou10"/>
              <w:jc w:val="both"/>
            </w:pPr>
          </w:p>
        </w:tc>
        <w:tc>
          <w:tcPr>
            <w:tcW w:w="7471" w:type="dxa"/>
            <w:shd w:val="clear" w:color="auto" w:fill="auto"/>
          </w:tcPr>
          <w:p w:rsidR="00F160CE" w:rsidRPr="00360DE3" w:rsidRDefault="00F160CE" w:rsidP="001D198A">
            <w:pPr>
              <w:spacing w:after="0"/>
            </w:pPr>
            <w:r w:rsidRPr="00360DE3">
              <w:rPr>
                <w:b/>
              </w:rPr>
              <w:t xml:space="preserve">Graf č. </w:t>
            </w:r>
            <w:proofErr w:type="gramStart"/>
            <w:r w:rsidRPr="00360DE3">
              <w:rPr>
                <w:b/>
              </w:rPr>
              <w:t>4.2  Tvorba</w:t>
            </w:r>
            <w:proofErr w:type="gramEnd"/>
            <w:r w:rsidRPr="00360DE3">
              <w:rPr>
                <w:b/>
              </w:rPr>
              <w:t xml:space="preserve"> hrubého fixního kapitálu a její věcná struktura </w:t>
            </w:r>
            <w:r w:rsidRPr="00360DE3">
              <w:t>(běžné ceny, meziroční změna v mld. korun)</w:t>
            </w:r>
          </w:p>
        </w:tc>
      </w:tr>
      <w:tr w:rsidR="00F160CE" w:rsidRPr="00360DE3" w:rsidTr="00F160CE">
        <w:trPr>
          <w:trHeight w:val="170"/>
        </w:trPr>
        <w:tc>
          <w:tcPr>
            <w:tcW w:w="1909" w:type="dxa"/>
            <w:vMerge/>
            <w:shd w:val="clear" w:color="auto" w:fill="auto"/>
          </w:tcPr>
          <w:p w:rsidR="00F160CE" w:rsidRPr="00360DE3" w:rsidRDefault="00F160CE" w:rsidP="002B213A">
            <w:pPr>
              <w:pStyle w:val="Marginlie"/>
              <w:rPr>
                <w:spacing w:val="0"/>
              </w:rPr>
            </w:pPr>
          </w:p>
        </w:tc>
        <w:tc>
          <w:tcPr>
            <w:tcW w:w="264" w:type="dxa"/>
            <w:vMerge/>
            <w:shd w:val="clear" w:color="auto" w:fill="auto"/>
          </w:tcPr>
          <w:p w:rsidR="00F160CE" w:rsidRPr="00360DE3" w:rsidRDefault="00F160CE" w:rsidP="002B213A">
            <w:pPr>
              <w:pStyle w:val="Textpoznpodarou10"/>
              <w:jc w:val="both"/>
            </w:pPr>
          </w:p>
        </w:tc>
        <w:tc>
          <w:tcPr>
            <w:tcW w:w="7471" w:type="dxa"/>
            <w:shd w:val="clear" w:color="auto" w:fill="auto"/>
          </w:tcPr>
          <w:p w:rsidR="00F160CE" w:rsidRPr="00360DE3" w:rsidRDefault="00F160CE" w:rsidP="002B213A">
            <w:pPr>
              <w:spacing w:after="0"/>
            </w:pPr>
            <w:r w:rsidRPr="00360DE3">
              <w:rPr>
                <w:noProof/>
              </w:rPr>
              <w:drawing>
                <wp:inline distT="0" distB="0" distL="0" distR="0">
                  <wp:extent cx="4737600" cy="3553200"/>
                  <wp:effectExtent l="0" t="0" r="0" b="0"/>
                  <wp:docPr id="8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F160CE" w:rsidRPr="00360DE3" w:rsidTr="00F160CE">
        <w:trPr>
          <w:trHeight w:val="170"/>
        </w:trPr>
        <w:tc>
          <w:tcPr>
            <w:tcW w:w="1909" w:type="dxa"/>
            <w:vMerge/>
            <w:shd w:val="clear" w:color="auto" w:fill="auto"/>
          </w:tcPr>
          <w:p w:rsidR="00F160CE" w:rsidRPr="00360DE3" w:rsidRDefault="00F160CE" w:rsidP="002B213A">
            <w:pPr>
              <w:pStyle w:val="Marginlie"/>
              <w:rPr>
                <w:spacing w:val="0"/>
              </w:rPr>
            </w:pPr>
          </w:p>
        </w:tc>
        <w:tc>
          <w:tcPr>
            <w:tcW w:w="264" w:type="dxa"/>
            <w:vMerge/>
            <w:shd w:val="clear" w:color="auto" w:fill="auto"/>
          </w:tcPr>
          <w:p w:rsidR="00F160CE" w:rsidRPr="00360DE3" w:rsidRDefault="00F160CE" w:rsidP="002B213A">
            <w:pPr>
              <w:pStyle w:val="Textpoznpodarou10"/>
              <w:jc w:val="both"/>
            </w:pPr>
          </w:p>
        </w:tc>
        <w:tc>
          <w:tcPr>
            <w:tcW w:w="7471" w:type="dxa"/>
            <w:shd w:val="clear" w:color="auto" w:fill="auto"/>
          </w:tcPr>
          <w:p w:rsidR="00F160CE" w:rsidRPr="00360DE3" w:rsidRDefault="00F160CE" w:rsidP="002B213A">
            <w:pPr>
              <w:rPr>
                <w:sz w:val="14"/>
                <w:szCs w:val="14"/>
              </w:rPr>
            </w:pPr>
            <w:r w:rsidRPr="00360DE3">
              <w:rPr>
                <w:sz w:val="14"/>
                <w:szCs w:val="14"/>
              </w:rPr>
              <w:t>Zdroj: ČSÚ</w:t>
            </w:r>
          </w:p>
        </w:tc>
      </w:tr>
      <w:tr w:rsidR="00F160CE" w:rsidRPr="00360DE3" w:rsidTr="00F160CE">
        <w:trPr>
          <w:trHeight w:val="145"/>
        </w:trPr>
        <w:tc>
          <w:tcPr>
            <w:tcW w:w="1909" w:type="dxa"/>
            <w:shd w:val="clear" w:color="auto" w:fill="auto"/>
          </w:tcPr>
          <w:p w:rsidR="00F160CE" w:rsidRPr="00360DE3" w:rsidRDefault="00F160CE" w:rsidP="002B213A">
            <w:pPr>
              <w:pStyle w:val="Marginlie"/>
              <w:rPr>
                <w:spacing w:val="0"/>
              </w:rPr>
            </w:pPr>
            <w:r w:rsidRPr="00360DE3">
              <w:rPr>
                <w:spacing w:val="0"/>
              </w:rPr>
              <w:t xml:space="preserve">Nominální nárůst investic do obydlí byl loni nejvyšší ze všech investičních kategorií.  </w:t>
            </w:r>
          </w:p>
          <w:p w:rsidR="00F160CE" w:rsidRPr="00360DE3" w:rsidRDefault="00F160CE" w:rsidP="002B213A">
            <w:pPr>
              <w:pStyle w:val="Marginlie"/>
              <w:rPr>
                <w:spacing w:val="0"/>
              </w:rPr>
            </w:pPr>
          </w:p>
          <w:p w:rsidR="00F160CE" w:rsidRPr="00360DE3" w:rsidRDefault="00F160CE" w:rsidP="002B213A">
            <w:pPr>
              <w:pStyle w:val="Marginlie"/>
              <w:rPr>
                <w:spacing w:val="0"/>
              </w:rPr>
            </w:pPr>
          </w:p>
          <w:p w:rsidR="00F160CE" w:rsidRPr="00360DE3" w:rsidRDefault="00F160CE" w:rsidP="002B213A">
            <w:pPr>
              <w:pStyle w:val="Marginlie"/>
              <w:rPr>
                <w:spacing w:val="0"/>
              </w:rPr>
            </w:pPr>
          </w:p>
          <w:p w:rsidR="00F160CE" w:rsidRPr="00360DE3" w:rsidRDefault="00F160CE" w:rsidP="002B213A">
            <w:pPr>
              <w:pStyle w:val="Marginlie"/>
              <w:rPr>
                <w:spacing w:val="0"/>
              </w:rPr>
            </w:pPr>
          </w:p>
          <w:p w:rsidR="00F160CE" w:rsidRPr="00360DE3" w:rsidRDefault="00F160CE" w:rsidP="002B213A">
            <w:pPr>
              <w:pStyle w:val="Marginlie"/>
              <w:rPr>
                <w:spacing w:val="0"/>
              </w:rPr>
            </w:pPr>
          </w:p>
          <w:p w:rsidR="00F160CE" w:rsidRPr="00360DE3" w:rsidRDefault="00F160CE" w:rsidP="002B213A">
            <w:pPr>
              <w:pStyle w:val="Marginlie"/>
              <w:rPr>
                <w:spacing w:val="0"/>
              </w:rPr>
            </w:pPr>
          </w:p>
          <w:p w:rsidR="00F160CE" w:rsidRPr="00360DE3" w:rsidRDefault="00F160CE" w:rsidP="002B213A">
            <w:pPr>
              <w:pStyle w:val="Marginlie"/>
              <w:rPr>
                <w:spacing w:val="0"/>
              </w:rPr>
            </w:pPr>
          </w:p>
          <w:p w:rsidR="00F160CE" w:rsidRPr="00360DE3" w:rsidRDefault="00F160CE" w:rsidP="002B213A">
            <w:pPr>
              <w:pStyle w:val="Marginlie"/>
              <w:rPr>
                <w:spacing w:val="0"/>
              </w:rPr>
            </w:pPr>
          </w:p>
          <w:p w:rsidR="00F160CE" w:rsidRPr="00360DE3" w:rsidRDefault="00F160CE" w:rsidP="002B213A">
            <w:pPr>
              <w:pStyle w:val="Marginlie"/>
              <w:rPr>
                <w:spacing w:val="0"/>
              </w:rPr>
            </w:pPr>
          </w:p>
          <w:p w:rsidR="00F160CE" w:rsidRPr="00360DE3" w:rsidRDefault="00F160CE" w:rsidP="002B213A">
            <w:pPr>
              <w:pStyle w:val="Marginlie"/>
              <w:rPr>
                <w:spacing w:val="0"/>
              </w:rPr>
            </w:pPr>
          </w:p>
        </w:tc>
        <w:tc>
          <w:tcPr>
            <w:tcW w:w="264" w:type="dxa"/>
            <w:shd w:val="clear" w:color="auto" w:fill="auto"/>
          </w:tcPr>
          <w:p w:rsidR="00F160CE" w:rsidRPr="00360DE3" w:rsidRDefault="00F160CE" w:rsidP="002B213A">
            <w:pPr>
              <w:pStyle w:val="Textpoznpodarou10"/>
              <w:jc w:val="both"/>
            </w:pPr>
          </w:p>
        </w:tc>
        <w:tc>
          <w:tcPr>
            <w:tcW w:w="7471" w:type="dxa"/>
            <w:shd w:val="clear" w:color="auto" w:fill="auto"/>
          </w:tcPr>
          <w:p w:rsidR="00F160CE" w:rsidRPr="00360DE3" w:rsidRDefault="00F160CE" w:rsidP="00360DE3">
            <w:r w:rsidRPr="00360DE3">
              <w:t xml:space="preserve">Investiční výdaje na obydlí loni dosáhly 195,5 mld. korun a meziročně se zvýšily o 19,9 mld. (reálný nárůst 4,7 %). Reálná dynamika tak mírně zpomalila oproti roku 2016 (5,0 %), stále však pokračuje růstový trend započatý v roce 2014 (nárůst o 10,2 % následovaný 22,5 % v roce 2015). Investice do obydlí jsou téměř výhradně financovány domácnostmi. V jejich rozhodování hrají roli očekávání dalšího ekonomického vývoje i vývoj cen nemovitostí. Ceny bytů začaly výrazněji růst </w:t>
            </w:r>
            <w:r w:rsidRPr="00360DE3">
              <w:lastRenderedPageBreak/>
              <w:t xml:space="preserve">během roku 2013. Zrychlení cenové dynamiky společně s příznivým ekonomickým výhledem pohánělo investiční aktivitu v dalších dvou letech (nemovitostní trh byl stimulován i nízkými úrokovými sazbami). Poměrně rychle se však začal projevovat nesoulad mezi poptávkou a volnými kapacitami bytů (zejména v žádaných lokalitách jako je Praha nebo Brno), což dále pohánělo cenový růst. V loňském roce dosáhla dynamika cen nemovitostí svého vrcholu, což je patrné i na rozdílu mezi nominálním (11,3 %) a reálným (4,7 %) růstem investic. </w:t>
            </w:r>
          </w:p>
        </w:tc>
      </w:tr>
      <w:tr w:rsidR="00360DE3" w:rsidRPr="00360DE3" w:rsidTr="00F160CE">
        <w:trPr>
          <w:trHeight w:val="145"/>
        </w:trPr>
        <w:tc>
          <w:tcPr>
            <w:tcW w:w="1909" w:type="dxa"/>
            <w:shd w:val="clear" w:color="auto" w:fill="auto"/>
          </w:tcPr>
          <w:p w:rsidR="00360DE3" w:rsidRPr="00360DE3" w:rsidRDefault="00360DE3" w:rsidP="002B213A">
            <w:pPr>
              <w:pStyle w:val="Marginlie"/>
              <w:rPr>
                <w:spacing w:val="0"/>
              </w:rPr>
            </w:pPr>
            <w:r w:rsidRPr="00360DE3">
              <w:rPr>
                <w:spacing w:val="0"/>
              </w:rPr>
              <w:lastRenderedPageBreak/>
              <w:t>Oživení investic do ostatních staveb a budov nevykompenzovalo propad z roku 2016.</w:t>
            </w:r>
          </w:p>
        </w:tc>
        <w:tc>
          <w:tcPr>
            <w:tcW w:w="264" w:type="dxa"/>
            <w:shd w:val="clear" w:color="auto" w:fill="auto"/>
          </w:tcPr>
          <w:p w:rsidR="00360DE3" w:rsidRPr="00360DE3" w:rsidRDefault="00360DE3" w:rsidP="002B213A">
            <w:pPr>
              <w:pStyle w:val="Textpoznpodarou10"/>
              <w:jc w:val="both"/>
            </w:pPr>
          </w:p>
        </w:tc>
        <w:tc>
          <w:tcPr>
            <w:tcW w:w="7471" w:type="dxa"/>
            <w:shd w:val="clear" w:color="auto" w:fill="auto"/>
          </w:tcPr>
          <w:p w:rsidR="00360DE3" w:rsidRPr="00360DE3" w:rsidRDefault="00360DE3" w:rsidP="002B213A">
            <w:r w:rsidRPr="00360DE3">
              <w:t>Ostatní budovy a stavby jsou druhou největší investiční oblastí. Loni na ni směřovalo 23,6 % z celkového objemu prostředků (294,0 mld. korun). Investice zde loni narostly o 13,9 mld. korun (reálně 2,4 %). Tento přírůstek však nevykompenzoval 13,1% propad z roku 2016. Ostatní stavby byly totiž nejvýrazněji poznamenány nerovnoměrným čerpáním evropských dotací. Součástí této kategorie jsou nebytové prostory pořizované podniky (např. výrobní haly) a rovněž infrastrukturní projekty, které financují zejména vládní instituce. Právě v oblasti infrastruktury je zatím role vlády nezastupitelná</w:t>
            </w:r>
            <w:r w:rsidR="006836CB">
              <w:t xml:space="preserve"> ostatními sektory.</w:t>
            </w:r>
          </w:p>
        </w:tc>
      </w:tr>
      <w:tr w:rsidR="00F160CE" w:rsidRPr="00360DE3" w:rsidTr="00F160CE">
        <w:trPr>
          <w:trHeight w:val="170"/>
        </w:trPr>
        <w:tc>
          <w:tcPr>
            <w:tcW w:w="1909" w:type="dxa"/>
            <w:vMerge w:val="restart"/>
            <w:shd w:val="clear" w:color="auto" w:fill="auto"/>
          </w:tcPr>
          <w:p w:rsidR="00F160CE" w:rsidRPr="00360DE3" w:rsidRDefault="00F160CE" w:rsidP="002B213A">
            <w:pPr>
              <w:pStyle w:val="Marginlie"/>
              <w:rPr>
                <w:spacing w:val="0"/>
              </w:rPr>
            </w:pPr>
          </w:p>
        </w:tc>
        <w:tc>
          <w:tcPr>
            <w:tcW w:w="264" w:type="dxa"/>
            <w:vMerge w:val="restart"/>
            <w:shd w:val="clear" w:color="auto" w:fill="auto"/>
          </w:tcPr>
          <w:p w:rsidR="00F160CE" w:rsidRPr="00360DE3" w:rsidRDefault="00F160CE" w:rsidP="002B213A">
            <w:pPr>
              <w:pStyle w:val="Textpoznpodarou10"/>
              <w:jc w:val="both"/>
            </w:pPr>
          </w:p>
        </w:tc>
        <w:tc>
          <w:tcPr>
            <w:tcW w:w="7471" w:type="dxa"/>
            <w:shd w:val="clear" w:color="auto" w:fill="auto"/>
          </w:tcPr>
          <w:p w:rsidR="00F160CE" w:rsidRPr="00360DE3" w:rsidRDefault="00F160CE" w:rsidP="001D198A">
            <w:pPr>
              <w:spacing w:after="0"/>
              <w:rPr>
                <w:b/>
              </w:rPr>
            </w:pPr>
            <w:r w:rsidRPr="00360DE3">
              <w:rPr>
                <w:b/>
              </w:rPr>
              <w:t xml:space="preserve">Graf č. </w:t>
            </w:r>
            <w:proofErr w:type="gramStart"/>
            <w:r w:rsidRPr="00360DE3">
              <w:rPr>
                <w:b/>
              </w:rPr>
              <w:t>4.3  Výdaje</w:t>
            </w:r>
            <w:proofErr w:type="gramEnd"/>
            <w:r w:rsidRPr="00360DE3">
              <w:rPr>
                <w:b/>
              </w:rPr>
              <w:t xml:space="preserve"> na tvorbu hrubého fixního kapitálu </w:t>
            </w:r>
            <w:r w:rsidRPr="00360DE3">
              <w:t>(objemové indexy, meziroční změna v %)</w:t>
            </w:r>
          </w:p>
        </w:tc>
      </w:tr>
      <w:tr w:rsidR="00F160CE" w:rsidRPr="00360DE3" w:rsidTr="00F160CE">
        <w:trPr>
          <w:trHeight w:val="170"/>
        </w:trPr>
        <w:tc>
          <w:tcPr>
            <w:tcW w:w="1909" w:type="dxa"/>
            <w:vMerge/>
            <w:shd w:val="clear" w:color="auto" w:fill="auto"/>
          </w:tcPr>
          <w:p w:rsidR="00F160CE" w:rsidRPr="00360DE3" w:rsidRDefault="00F160CE" w:rsidP="002B213A">
            <w:pPr>
              <w:pStyle w:val="Marginlie"/>
              <w:rPr>
                <w:spacing w:val="0"/>
              </w:rPr>
            </w:pPr>
          </w:p>
        </w:tc>
        <w:tc>
          <w:tcPr>
            <w:tcW w:w="264" w:type="dxa"/>
            <w:vMerge/>
            <w:shd w:val="clear" w:color="auto" w:fill="auto"/>
          </w:tcPr>
          <w:p w:rsidR="00F160CE" w:rsidRPr="00360DE3" w:rsidRDefault="00F160CE" w:rsidP="002B213A">
            <w:pPr>
              <w:pStyle w:val="Textpoznpodarou10"/>
              <w:jc w:val="both"/>
            </w:pPr>
          </w:p>
        </w:tc>
        <w:tc>
          <w:tcPr>
            <w:tcW w:w="7471" w:type="dxa"/>
            <w:shd w:val="clear" w:color="auto" w:fill="auto"/>
          </w:tcPr>
          <w:p w:rsidR="00F160CE" w:rsidRPr="00360DE3" w:rsidRDefault="00F160CE" w:rsidP="002B213A">
            <w:pPr>
              <w:spacing w:after="0"/>
            </w:pPr>
            <w:r w:rsidRPr="00360DE3">
              <w:rPr>
                <w:noProof/>
              </w:rPr>
              <w:drawing>
                <wp:inline distT="0" distB="0" distL="0" distR="0">
                  <wp:extent cx="4737600" cy="3553200"/>
                  <wp:effectExtent l="0" t="0" r="0" b="0"/>
                  <wp:docPr id="82"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F160CE" w:rsidRPr="00360DE3" w:rsidTr="00F160CE">
        <w:trPr>
          <w:trHeight w:val="170"/>
        </w:trPr>
        <w:tc>
          <w:tcPr>
            <w:tcW w:w="1909" w:type="dxa"/>
            <w:vMerge/>
            <w:shd w:val="clear" w:color="auto" w:fill="auto"/>
          </w:tcPr>
          <w:p w:rsidR="00F160CE" w:rsidRPr="00360DE3" w:rsidRDefault="00F160CE" w:rsidP="002B213A">
            <w:pPr>
              <w:pStyle w:val="Marginlie"/>
              <w:rPr>
                <w:spacing w:val="0"/>
              </w:rPr>
            </w:pPr>
          </w:p>
        </w:tc>
        <w:tc>
          <w:tcPr>
            <w:tcW w:w="264" w:type="dxa"/>
            <w:vMerge/>
            <w:shd w:val="clear" w:color="auto" w:fill="auto"/>
          </w:tcPr>
          <w:p w:rsidR="00F160CE" w:rsidRPr="00360DE3" w:rsidRDefault="00F160CE" w:rsidP="002B213A">
            <w:pPr>
              <w:pStyle w:val="Textpoznpodarou10"/>
              <w:jc w:val="both"/>
            </w:pPr>
          </w:p>
        </w:tc>
        <w:tc>
          <w:tcPr>
            <w:tcW w:w="7471" w:type="dxa"/>
            <w:shd w:val="clear" w:color="auto" w:fill="auto"/>
          </w:tcPr>
          <w:p w:rsidR="00F160CE" w:rsidRPr="00360DE3" w:rsidRDefault="00F160CE" w:rsidP="002B213A">
            <w:pPr>
              <w:rPr>
                <w:sz w:val="14"/>
                <w:szCs w:val="14"/>
              </w:rPr>
            </w:pPr>
            <w:r w:rsidRPr="00360DE3">
              <w:rPr>
                <w:sz w:val="14"/>
                <w:szCs w:val="14"/>
              </w:rPr>
              <w:t xml:space="preserve">Zdroj: </w:t>
            </w:r>
            <w:proofErr w:type="spellStart"/>
            <w:r w:rsidRPr="00360DE3">
              <w:rPr>
                <w:sz w:val="14"/>
                <w:szCs w:val="14"/>
              </w:rPr>
              <w:t>Eurostat</w:t>
            </w:r>
            <w:proofErr w:type="spellEnd"/>
          </w:p>
        </w:tc>
      </w:tr>
      <w:tr w:rsidR="00F160CE" w:rsidRPr="00360DE3" w:rsidTr="00F160CE">
        <w:trPr>
          <w:trHeight w:val="170"/>
        </w:trPr>
        <w:tc>
          <w:tcPr>
            <w:tcW w:w="1909" w:type="dxa"/>
            <w:shd w:val="clear" w:color="auto" w:fill="auto"/>
          </w:tcPr>
          <w:p w:rsidR="00F160CE" w:rsidRPr="00360DE3" w:rsidRDefault="00F160CE" w:rsidP="00DC37E3">
            <w:pPr>
              <w:pStyle w:val="Marginlie"/>
              <w:rPr>
                <w:spacing w:val="0"/>
              </w:rPr>
            </w:pPr>
            <w:r w:rsidRPr="00360DE3">
              <w:rPr>
                <w:spacing w:val="0"/>
              </w:rPr>
              <w:t>Dynamiku investic v EU ovlivnily nerovnoměrnosti v čerpání evropských fondů.</w:t>
            </w:r>
          </w:p>
        </w:tc>
        <w:tc>
          <w:tcPr>
            <w:tcW w:w="264" w:type="dxa"/>
            <w:shd w:val="clear" w:color="auto" w:fill="auto"/>
          </w:tcPr>
          <w:p w:rsidR="00F160CE" w:rsidRPr="00360DE3" w:rsidRDefault="00F160CE" w:rsidP="00DC37E3">
            <w:pPr>
              <w:pStyle w:val="Textpoznpodarou10"/>
              <w:jc w:val="both"/>
            </w:pPr>
          </w:p>
        </w:tc>
        <w:tc>
          <w:tcPr>
            <w:tcW w:w="7471" w:type="dxa"/>
            <w:shd w:val="clear" w:color="auto" w:fill="auto"/>
          </w:tcPr>
          <w:p w:rsidR="00F160CE" w:rsidRPr="00360DE3" w:rsidRDefault="00F160CE" w:rsidP="00DC37E3">
            <w:r w:rsidRPr="00360DE3">
              <w:t xml:space="preserve">Růst investiční aktivity v Evropské unii v loňském roce mírně zrychlil na 3,1 %. V dynamice kapitálových výdajů bylo patrné dočerpávání evropských fondů (silný růst v roce 2015, oslabení v roce 2016 a loni mírné zrychlení). Pokud se totiž podíváme na jednotlivé státy unie, propad dynamiky v roce 2016 a nový růst v následujícím roce je společný členským státům ze střední a východní Evropy. Nejsilněji rostly výdaje na hrubý fixní kapitál na Kypru (27,8 %), v Maďarsku (16,8 %), Lotyšsku (16,0 %), Estonsku (13,1 %) a Slovinsku (10,3 %). Společně se spotřebními výdaji byly investice klíčovým stimulem pro nejrychleji rostoucí státy unie. Nejmarkantnější meziroční propad kapitálových výdajů zažilo Irsko (- 31,0 %). U něj se však projevoval příchod technologických firem, které využívají příznivé daňové podmínky (v roce 2015 a 2016 zde investice vzrostly o více než 50 %).  </w:t>
            </w:r>
          </w:p>
        </w:tc>
      </w:tr>
    </w:tbl>
    <w:p w:rsidR="00F46502" w:rsidRPr="00C4412A" w:rsidRDefault="00F46502" w:rsidP="00C4412A">
      <w:pPr>
        <w:pStyle w:val="Nadpis110"/>
        <w:rPr>
          <w:sz w:val="2"/>
          <w:szCs w:val="2"/>
        </w:rPr>
      </w:pPr>
    </w:p>
    <w:sectPr w:rsidR="00F46502" w:rsidRPr="00C4412A" w:rsidSect="00C4412A">
      <w:headerReference w:type="even" r:id="rId11"/>
      <w:headerReference w:type="default" r:id="rId12"/>
      <w:footerReference w:type="even" r:id="rId13"/>
      <w:footerReference w:type="default" r:id="rId14"/>
      <w:pgSz w:w="11906" w:h="16838" w:code="9"/>
      <w:pgMar w:top="1134" w:right="1134" w:bottom="1418" w:left="1134" w:header="680" w:footer="680" w:gutter="0"/>
      <w:pgNumType w:start="1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26B8" w:rsidRDefault="006226B8" w:rsidP="00E71A58">
      <w:r>
        <w:separator/>
      </w:r>
    </w:p>
  </w:endnote>
  <w:endnote w:type="continuationSeparator" w:id="0">
    <w:p w:rsidR="006226B8" w:rsidRDefault="006226B8"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charset w:val="00"/>
    <w:family w:val="auto"/>
    <w:pitch w:val="variable"/>
    <w:sig w:usb0="00000003" w:usb1="00000000" w:usb2="00000000" w:usb3="00000000" w:csb0="00000001" w:csb1="00000000"/>
  </w:font>
  <w:font w:name="Times New Roman CE obyèejné">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5DC" w:rsidRPr="00932443" w:rsidRDefault="00C805DC" w:rsidP="00A418BC">
    <w:pPr>
      <w:pStyle w:val="Zpat"/>
      <w:rPr>
        <w:szCs w:val="16"/>
      </w:rPr>
    </w:pPr>
    <w:r>
      <w:rPr>
        <w:szCs w:val="16"/>
        <w:lang w:eastAsia="cs-CZ"/>
      </w:rPr>
      <w:drawing>
        <wp:anchor distT="0" distB="0" distL="114300" distR="114300" simplePos="0" relativeHeight="251658240" behindDoc="0" locked="0" layoutInCell="1" allowOverlap="1">
          <wp:simplePos x="0" y="0"/>
          <wp:positionH relativeFrom="column">
            <wp:align>right</wp:align>
          </wp:positionH>
          <wp:positionV relativeFrom="paragraph">
            <wp:posOffset>-64770</wp:posOffset>
          </wp:positionV>
          <wp:extent cx="428625" cy="201295"/>
          <wp:effectExtent l="0" t="0" r="3175" b="1905"/>
          <wp:wrapNone/>
          <wp:docPr id="15" name="Picture 15"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8625" cy="201295"/>
                  </a:xfrm>
                  <a:prstGeom prst="rect">
                    <a:avLst/>
                  </a:prstGeom>
                  <a:noFill/>
                  <a:ln>
                    <a:noFill/>
                  </a:ln>
                </pic:spPr>
              </pic:pic>
            </a:graphicData>
          </a:graphic>
        </wp:anchor>
      </w:drawing>
    </w:r>
    <w:r w:rsidR="00A31C07" w:rsidRPr="00932443">
      <w:rPr>
        <w:szCs w:val="16"/>
      </w:rPr>
      <w:fldChar w:fldCharType="begin"/>
    </w:r>
    <w:r w:rsidRPr="00932443">
      <w:rPr>
        <w:szCs w:val="16"/>
      </w:rPr>
      <w:instrText>PAGE   \* MERGEFORMAT</w:instrText>
    </w:r>
    <w:r w:rsidR="00A31C07" w:rsidRPr="00932443">
      <w:rPr>
        <w:szCs w:val="16"/>
      </w:rPr>
      <w:fldChar w:fldCharType="separate"/>
    </w:r>
    <w:r w:rsidR="00C4412A">
      <w:rPr>
        <w:szCs w:val="16"/>
      </w:rPr>
      <w:t>18</w:t>
    </w:r>
    <w:r w:rsidR="00A31C07" w:rsidRPr="00932443">
      <w:rPr>
        <w:szCs w:val="16"/>
      </w:rPr>
      <w:fldChar w:fldCharType="end"/>
    </w:r>
    <w:r w:rsidRPr="00932443">
      <w:rPr>
        <w:szCs w:val="16"/>
      </w:rPr>
      <w:tab/>
    </w:r>
    <w:r>
      <w:rPr>
        <w:szCs w:val="16"/>
      </w:rPr>
      <w:t>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5DC" w:rsidRPr="00932443" w:rsidRDefault="00C805DC" w:rsidP="00A418BC">
    <w:pPr>
      <w:pStyle w:val="Zpat"/>
      <w:rPr>
        <w:szCs w:val="16"/>
      </w:rPr>
    </w:pPr>
    <w:r>
      <w:rPr>
        <w:szCs w:val="16"/>
        <w:lang w:eastAsia="cs-CZ"/>
      </w:rPr>
      <w:drawing>
        <wp:anchor distT="0" distB="0" distL="114300" distR="114300" simplePos="0" relativeHeight="251657216" behindDoc="0" locked="0" layoutInCell="1" allowOverlap="1">
          <wp:simplePos x="0" y="0"/>
          <wp:positionH relativeFrom="column">
            <wp:align>left</wp:align>
          </wp:positionH>
          <wp:positionV relativeFrom="paragraph">
            <wp:posOffset>-122555</wp:posOffset>
          </wp:positionV>
          <wp:extent cx="510540" cy="272415"/>
          <wp:effectExtent l="0" t="0" r="0" b="6985"/>
          <wp:wrapNone/>
          <wp:docPr id="16" name="Picture 16" descr="CSU RG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SU RGB CZ logo-0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10540" cy="272415"/>
                  </a:xfrm>
                  <a:prstGeom prst="rect">
                    <a:avLst/>
                  </a:prstGeom>
                  <a:noFill/>
                  <a:ln>
                    <a:noFill/>
                  </a:ln>
                </pic:spPr>
              </pic:pic>
            </a:graphicData>
          </a:graphic>
        </wp:anchor>
      </w:drawing>
    </w:r>
    <w:r w:rsidRPr="00932443">
      <w:rPr>
        <w:szCs w:val="16"/>
      </w:rPr>
      <w:tab/>
    </w:r>
    <w:r>
      <w:rPr>
        <w:rStyle w:val="ZpatChar"/>
        <w:szCs w:val="16"/>
      </w:rPr>
      <w:t>2017</w:t>
    </w:r>
    <w:r w:rsidRPr="00932443">
      <w:rPr>
        <w:szCs w:val="16"/>
      </w:rPr>
      <w:tab/>
    </w:r>
    <w:r w:rsidR="00A31C07" w:rsidRPr="00932443">
      <w:rPr>
        <w:rStyle w:val="ZpatChar"/>
        <w:szCs w:val="16"/>
      </w:rPr>
      <w:fldChar w:fldCharType="begin"/>
    </w:r>
    <w:r w:rsidRPr="00932443">
      <w:rPr>
        <w:rStyle w:val="ZpatChar"/>
        <w:szCs w:val="16"/>
      </w:rPr>
      <w:instrText>PAGE   \* MERGEFORMAT</w:instrText>
    </w:r>
    <w:r w:rsidR="00A31C07" w:rsidRPr="00932443">
      <w:rPr>
        <w:rStyle w:val="ZpatChar"/>
        <w:szCs w:val="16"/>
      </w:rPr>
      <w:fldChar w:fldCharType="separate"/>
    </w:r>
    <w:r w:rsidR="00C4412A">
      <w:rPr>
        <w:rStyle w:val="ZpatChar"/>
        <w:szCs w:val="16"/>
      </w:rPr>
      <w:t>19</w:t>
    </w:r>
    <w:r w:rsidR="00A31C07" w:rsidRPr="00932443">
      <w:rPr>
        <w:rStyle w:val="ZpatChar"/>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26B8" w:rsidRDefault="006226B8" w:rsidP="00E71A58">
      <w:r>
        <w:separator/>
      </w:r>
    </w:p>
  </w:footnote>
  <w:footnote w:type="continuationSeparator" w:id="0">
    <w:p w:rsidR="006226B8" w:rsidRDefault="006226B8" w:rsidP="00E71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5DC" w:rsidRPr="00601A2E" w:rsidRDefault="00C805DC" w:rsidP="00601A2E">
    <w:pPr>
      <w:pStyle w:val="Zhlav"/>
    </w:pPr>
    <w:r>
      <w:t>Analýza ekonomického vývoje v roce 2017</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5DC" w:rsidRDefault="00C805DC" w:rsidP="00937AE2">
    <w:pPr>
      <w:pStyle w:val="Zhlav"/>
    </w:pPr>
    <w:r>
      <w:t>Analýza ekonomického vývoje v roce 2017</w:t>
    </w:r>
  </w:p>
  <w:p w:rsidR="00C805DC" w:rsidRPr="006F5416" w:rsidRDefault="00C805DC" w:rsidP="00937AE2">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25pt;height:11.25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18B35353"/>
    <w:multiLevelType w:val="multilevel"/>
    <w:tmpl w:val="1C0E9EAE"/>
    <w:name w:val="Analyz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pStyle w:val="Nadpis5"/>
      <w:suff w:val="space"/>
      <w:lvlText w:val="%1.%2.%3.%4.%5"/>
      <w:lvlJc w:val="left"/>
      <w:pPr>
        <w:ind w:left="1008" w:hanging="1008"/>
      </w:pPr>
      <w:rPr>
        <w:rFonts w:hint="default"/>
      </w:rPr>
    </w:lvl>
    <w:lvl w:ilvl="5">
      <w:start w:val="1"/>
      <w:numFmt w:val="decimal"/>
      <w:pStyle w:val="Nadpis6"/>
      <w:suff w:val="space"/>
      <w:lvlText w:val="%1.%2.%3.%4.%5.%6"/>
      <w:lvlJc w:val="left"/>
      <w:pPr>
        <w:ind w:left="1152" w:hanging="1152"/>
      </w:pPr>
      <w:rPr>
        <w:rFonts w:hint="default"/>
      </w:rPr>
    </w:lvl>
    <w:lvl w:ilvl="6">
      <w:start w:val="1"/>
      <w:numFmt w:val="decimal"/>
      <w:pStyle w:val="Nadpis7"/>
      <w:suff w:val="space"/>
      <w:lvlText w:val="%1.%2.%3.%4.%5.%6.%7"/>
      <w:lvlJc w:val="left"/>
      <w:pPr>
        <w:ind w:left="1296" w:hanging="1296"/>
      </w:pPr>
      <w:rPr>
        <w:rFonts w:hint="default"/>
      </w:rPr>
    </w:lvl>
    <w:lvl w:ilvl="7">
      <w:start w:val="1"/>
      <w:numFmt w:val="decimal"/>
      <w:pStyle w:val="Nadpis8"/>
      <w:suff w:val="space"/>
      <w:lvlText w:val="%1.%2.%3.%4.%5.%6.%7.%8"/>
      <w:lvlJc w:val="left"/>
      <w:pPr>
        <w:ind w:left="1440" w:hanging="1440"/>
      </w:pPr>
      <w:rPr>
        <w:rFonts w:hint="default"/>
      </w:rPr>
    </w:lvl>
    <w:lvl w:ilvl="8">
      <w:start w:val="1"/>
      <w:numFmt w:val="decimal"/>
      <w:pStyle w:val="Nadpis9"/>
      <w:suff w:val="space"/>
      <w:lvlText w:val="%1.%2.%3.%4.%5.%6.%7.%8.%9"/>
      <w:lvlJc w:val="left"/>
      <w:pPr>
        <w:ind w:left="1584" w:hanging="1584"/>
      </w:pPr>
      <w:rPr>
        <w:rFonts w:hint="default"/>
      </w:rPr>
    </w:lvl>
  </w:abstractNum>
  <w:abstractNum w:abstractNumId="11">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8352333"/>
    <w:multiLevelType w:val="multilevel"/>
    <w:tmpl w:val="D0ACFA4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2A5A7A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C24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D106E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11355C0"/>
    <w:multiLevelType w:val="multilevel"/>
    <w:tmpl w:val="697E8BE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39914012"/>
    <w:multiLevelType w:val="multilevel"/>
    <w:tmpl w:val="F380F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ADA4287"/>
    <w:multiLevelType w:val="multilevel"/>
    <w:tmpl w:val="1C0E9EAE"/>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E490F3B"/>
    <w:multiLevelType w:val="hybridMultilevel"/>
    <w:tmpl w:val="D64CB604"/>
    <w:lvl w:ilvl="0" w:tplc="67AC8A1C">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CB210F"/>
    <w:multiLevelType w:val="multilevel"/>
    <w:tmpl w:val="D64CB604"/>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7B651B2D"/>
    <w:multiLevelType w:val="hybridMultilevel"/>
    <w:tmpl w:val="4C1C2D78"/>
    <w:lvl w:ilvl="0" w:tplc="B01A5632">
      <w:start w:val="1"/>
      <w:numFmt w:val="bullet"/>
      <w:pStyle w:val="Normalodrk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20"/>
  </w:num>
  <w:num w:numId="14">
    <w:abstractNumId w:val="10"/>
  </w:num>
  <w:num w:numId="15">
    <w:abstractNumId w:val="16"/>
  </w:num>
  <w:num w:numId="16">
    <w:abstractNumId w:val="12"/>
  </w:num>
  <w:num w:numId="17">
    <w:abstractNumId w:val="21"/>
  </w:num>
  <w:num w:numId="18">
    <w:abstractNumId w:val="17"/>
  </w:num>
  <w:num w:numId="19">
    <w:abstractNumId w:val="22"/>
  </w:num>
  <w:num w:numId="20">
    <w:abstractNumId w:val="23"/>
  </w:num>
  <w:num w:numId="21">
    <w:abstractNumId w:val="19"/>
  </w:num>
  <w:num w:numId="22">
    <w:abstractNumId w:val="15"/>
  </w:num>
  <w:num w:numId="23">
    <w:abstractNumId w:val="13"/>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attachedTemplate r:id="rId1"/>
  <w:stylePaneFormatFilter w:val="1001"/>
  <w:stylePaneSortMethod w:val="0004"/>
  <w:defaultTabStop w:val="708"/>
  <w:hyphenationZone w:val="425"/>
  <w:evenAndOddHeaders/>
  <w:drawingGridHorizontalSpacing w:val="110"/>
  <w:displayHorizontalDrawingGridEvery w:val="2"/>
  <w:characterSpacingControl w:val="doNotCompress"/>
  <w:hdrShapeDefaults>
    <o:shapedefaults v:ext="edit" spidmax="7170">
      <o:colormru v:ext="edit" colors="#ecf4dd,#eaecee,#fcec0a,#fcecdb,#f1daf5"/>
    </o:shapedefaults>
  </w:hdrShapeDefaults>
  <w:footnotePr>
    <w:footnote w:id="-1"/>
    <w:footnote w:id="0"/>
  </w:footnotePr>
  <w:endnotePr>
    <w:endnote w:id="-1"/>
    <w:endnote w:id="0"/>
  </w:endnotePr>
  <w:compat/>
  <w:rsids>
    <w:rsidRoot w:val="00F46502"/>
    <w:rsid w:val="0000209D"/>
    <w:rsid w:val="0000437D"/>
    <w:rsid w:val="00004D5A"/>
    <w:rsid w:val="000056D5"/>
    <w:rsid w:val="00006ABD"/>
    <w:rsid w:val="0000767A"/>
    <w:rsid w:val="00007BEF"/>
    <w:rsid w:val="00010256"/>
    <w:rsid w:val="00010702"/>
    <w:rsid w:val="00011912"/>
    <w:rsid w:val="0002195D"/>
    <w:rsid w:val="000234D6"/>
    <w:rsid w:val="00023D29"/>
    <w:rsid w:val="00026389"/>
    <w:rsid w:val="00031AE0"/>
    <w:rsid w:val="000322EF"/>
    <w:rsid w:val="00033FCD"/>
    <w:rsid w:val="00041CEC"/>
    <w:rsid w:val="0004694F"/>
    <w:rsid w:val="000522E4"/>
    <w:rsid w:val="000610E1"/>
    <w:rsid w:val="00062EC5"/>
    <w:rsid w:val="00062F22"/>
    <w:rsid w:val="00067A82"/>
    <w:rsid w:val="000712B3"/>
    <w:rsid w:val="0008263E"/>
    <w:rsid w:val="00082A55"/>
    <w:rsid w:val="00082C19"/>
    <w:rsid w:val="00085395"/>
    <w:rsid w:val="00087634"/>
    <w:rsid w:val="00087F2B"/>
    <w:rsid w:val="00093E3F"/>
    <w:rsid w:val="00093E53"/>
    <w:rsid w:val="00095135"/>
    <w:rsid w:val="00096085"/>
    <w:rsid w:val="000974D1"/>
    <w:rsid w:val="0009799E"/>
    <w:rsid w:val="000A1183"/>
    <w:rsid w:val="000A256D"/>
    <w:rsid w:val="000A3A2C"/>
    <w:rsid w:val="000B525B"/>
    <w:rsid w:val="000C1D78"/>
    <w:rsid w:val="000C3408"/>
    <w:rsid w:val="000C6AFD"/>
    <w:rsid w:val="000D514E"/>
    <w:rsid w:val="000D5637"/>
    <w:rsid w:val="000E6FBD"/>
    <w:rsid w:val="000F030B"/>
    <w:rsid w:val="00100F5C"/>
    <w:rsid w:val="0010106F"/>
    <w:rsid w:val="00101CDA"/>
    <w:rsid w:val="00104C4C"/>
    <w:rsid w:val="00117623"/>
    <w:rsid w:val="0012192F"/>
    <w:rsid w:val="00125D69"/>
    <w:rsid w:val="001405FA"/>
    <w:rsid w:val="00141782"/>
    <w:rsid w:val="001425C3"/>
    <w:rsid w:val="001528B9"/>
    <w:rsid w:val="001612F4"/>
    <w:rsid w:val="00162312"/>
    <w:rsid w:val="0016256B"/>
    <w:rsid w:val="00162A7A"/>
    <w:rsid w:val="00163793"/>
    <w:rsid w:val="001706D6"/>
    <w:rsid w:val="001714F2"/>
    <w:rsid w:val="001730A6"/>
    <w:rsid w:val="00175B9F"/>
    <w:rsid w:val="00181BBC"/>
    <w:rsid w:val="00182799"/>
    <w:rsid w:val="00184B08"/>
    <w:rsid w:val="00185010"/>
    <w:rsid w:val="00186919"/>
    <w:rsid w:val="001916DB"/>
    <w:rsid w:val="00193818"/>
    <w:rsid w:val="001A0487"/>
    <w:rsid w:val="001A0D6B"/>
    <w:rsid w:val="001A552F"/>
    <w:rsid w:val="001B2CA9"/>
    <w:rsid w:val="001B3110"/>
    <w:rsid w:val="001B4729"/>
    <w:rsid w:val="001B6310"/>
    <w:rsid w:val="001B6C09"/>
    <w:rsid w:val="001C05CD"/>
    <w:rsid w:val="001C1B66"/>
    <w:rsid w:val="001D198A"/>
    <w:rsid w:val="001D463E"/>
    <w:rsid w:val="001D68B2"/>
    <w:rsid w:val="001D70E9"/>
    <w:rsid w:val="001E504C"/>
    <w:rsid w:val="001F4597"/>
    <w:rsid w:val="00203DA4"/>
    <w:rsid w:val="002052C6"/>
    <w:rsid w:val="002118B9"/>
    <w:rsid w:val="00217C5B"/>
    <w:rsid w:val="0022139E"/>
    <w:rsid w:val="00222729"/>
    <w:rsid w:val="00222FFB"/>
    <w:rsid w:val="002252E0"/>
    <w:rsid w:val="002255F6"/>
    <w:rsid w:val="00227850"/>
    <w:rsid w:val="00227A53"/>
    <w:rsid w:val="00230C6E"/>
    <w:rsid w:val="00236443"/>
    <w:rsid w:val="00241B06"/>
    <w:rsid w:val="002436BA"/>
    <w:rsid w:val="00244A15"/>
    <w:rsid w:val="00247319"/>
    <w:rsid w:val="0024799E"/>
    <w:rsid w:val="00253C0F"/>
    <w:rsid w:val="002558C1"/>
    <w:rsid w:val="0026207F"/>
    <w:rsid w:val="0026743D"/>
    <w:rsid w:val="00271465"/>
    <w:rsid w:val="00274037"/>
    <w:rsid w:val="00285412"/>
    <w:rsid w:val="00291640"/>
    <w:rsid w:val="002A16D4"/>
    <w:rsid w:val="002A230C"/>
    <w:rsid w:val="002A5D97"/>
    <w:rsid w:val="002B2127"/>
    <w:rsid w:val="002B213A"/>
    <w:rsid w:val="002B38B8"/>
    <w:rsid w:val="002B4845"/>
    <w:rsid w:val="002B6B06"/>
    <w:rsid w:val="002C43BD"/>
    <w:rsid w:val="002D0E59"/>
    <w:rsid w:val="002E02A1"/>
    <w:rsid w:val="002E4E4C"/>
    <w:rsid w:val="00303533"/>
    <w:rsid w:val="00304771"/>
    <w:rsid w:val="003052D4"/>
    <w:rsid w:val="00306C5B"/>
    <w:rsid w:val="003209D6"/>
    <w:rsid w:val="00321924"/>
    <w:rsid w:val="0032656E"/>
    <w:rsid w:val="00330060"/>
    <w:rsid w:val="00332190"/>
    <w:rsid w:val="00336E03"/>
    <w:rsid w:val="0034335E"/>
    <w:rsid w:val="00344668"/>
    <w:rsid w:val="003462D9"/>
    <w:rsid w:val="00347378"/>
    <w:rsid w:val="00360C86"/>
    <w:rsid w:val="00360DE3"/>
    <w:rsid w:val="00360FBC"/>
    <w:rsid w:val="00362E90"/>
    <w:rsid w:val="00364FA0"/>
    <w:rsid w:val="003657F3"/>
    <w:rsid w:val="003818DC"/>
    <w:rsid w:val="00384327"/>
    <w:rsid w:val="00385D3E"/>
    <w:rsid w:val="00385D98"/>
    <w:rsid w:val="003870EE"/>
    <w:rsid w:val="00392244"/>
    <w:rsid w:val="003A2B4D"/>
    <w:rsid w:val="003A2D12"/>
    <w:rsid w:val="003A478C"/>
    <w:rsid w:val="003A5525"/>
    <w:rsid w:val="003A6B38"/>
    <w:rsid w:val="003B4331"/>
    <w:rsid w:val="003B461F"/>
    <w:rsid w:val="003B5A32"/>
    <w:rsid w:val="003C3490"/>
    <w:rsid w:val="003C4BE8"/>
    <w:rsid w:val="003C7E62"/>
    <w:rsid w:val="003D6920"/>
    <w:rsid w:val="003E38BA"/>
    <w:rsid w:val="003E4C91"/>
    <w:rsid w:val="003F313C"/>
    <w:rsid w:val="003F37FC"/>
    <w:rsid w:val="003F3890"/>
    <w:rsid w:val="003F4B2C"/>
    <w:rsid w:val="003F551C"/>
    <w:rsid w:val="003F72ED"/>
    <w:rsid w:val="003F7D23"/>
    <w:rsid w:val="00407C13"/>
    <w:rsid w:val="00410638"/>
    <w:rsid w:val="0041501E"/>
    <w:rsid w:val="004159C3"/>
    <w:rsid w:val="004225C6"/>
    <w:rsid w:val="00432A58"/>
    <w:rsid w:val="00433C0C"/>
    <w:rsid w:val="00434617"/>
    <w:rsid w:val="00436778"/>
    <w:rsid w:val="00440900"/>
    <w:rsid w:val="00441BF6"/>
    <w:rsid w:val="004441A0"/>
    <w:rsid w:val="0045078A"/>
    <w:rsid w:val="0045086D"/>
    <w:rsid w:val="00460FB3"/>
    <w:rsid w:val="00461976"/>
    <w:rsid w:val="00476240"/>
    <w:rsid w:val="00476439"/>
    <w:rsid w:val="0047735C"/>
    <w:rsid w:val="004776BC"/>
    <w:rsid w:val="0048139F"/>
    <w:rsid w:val="00481E40"/>
    <w:rsid w:val="00484ECE"/>
    <w:rsid w:val="004915CB"/>
    <w:rsid w:val="004924DC"/>
    <w:rsid w:val="00493F18"/>
    <w:rsid w:val="004A14E4"/>
    <w:rsid w:val="004A3212"/>
    <w:rsid w:val="004A5494"/>
    <w:rsid w:val="004A61C5"/>
    <w:rsid w:val="004A77DF"/>
    <w:rsid w:val="004B1417"/>
    <w:rsid w:val="004B48DF"/>
    <w:rsid w:val="004B55B7"/>
    <w:rsid w:val="004B6468"/>
    <w:rsid w:val="004B7125"/>
    <w:rsid w:val="004C26B0"/>
    <w:rsid w:val="004C384C"/>
    <w:rsid w:val="004C3867"/>
    <w:rsid w:val="004C4CD0"/>
    <w:rsid w:val="004C5FBF"/>
    <w:rsid w:val="004C70DC"/>
    <w:rsid w:val="004D0211"/>
    <w:rsid w:val="004D0794"/>
    <w:rsid w:val="004E02EB"/>
    <w:rsid w:val="004E326C"/>
    <w:rsid w:val="004F06F5"/>
    <w:rsid w:val="004F16F7"/>
    <w:rsid w:val="004F33A0"/>
    <w:rsid w:val="0050689D"/>
    <w:rsid w:val="005108C0"/>
    <w:rsid w:val="00511873"/>
    <w:rsid w:val="00512A2F"/>
    <w:rsid w:val="00513B7E"/>
    <w:rsid w:val="00515C74"/>
    <w:rsid w:val="00515FFA"/>
    <w:rsid w:val="005173AF"/>
    <w:rsid w:val="0052007E"/>
    <w:rsid w:val="0052337A"/>
    <w:rsid w:val="00525137"/>
    <w:rsid w:val="005251DD"/>
    <w:rsid w:val="00532CE7"/>
    <w:rsid w:val="0053324C"/>
    <w:rsid w:val="00534A28"/>
    <w:rsid w:val="00541508"/>
    <w:rsid w:val="00543498"/>
    <w:rsid w:val="00551238"/>
    <w:rsid w:val="0055599F"/>
    <w:rsid w:val="00556D68"/>
    <w:rsid w:val="00563EB8"/>
    <w:rsid w:val="005647BF"/>
    <w:rsid w:val="00564AF1"/>
    <w:rsid w:val="0057364B"/>
    <w:rsid w:val="00574773"/>
    <w:rsid w:val="00583FFD"/>
    <w:rsid w:val="005911BE"/>
    <w:rsid w:val="00592E3B"/>
    <w:rsid w:val="00593152"/>
    <w:rsid w:val="005A10F2"/>
    <w:rsid w:val="005A21E0"/>
    <w:rsid w:val="005A28FF"/>
    <w:rsid w:val="005A2C7B"/>
    <w:rsid w:val="005A3DF8"/>
    <w:rsid w:val="005A5549"/>
    <w:rsid w:val="005A7666"/>
    <w:rsid w:val="005B08EB"/>
    <w:rsid w:val="005B121D"/>
    <w:rsid w:val="005C06ED"/>
    <w:rsid w:val="005C2609"/>
    <w:rsid w:val="005D3386"/>
    <w:rsid w:val="005D5802"/>
    <w:rsid w:val="005D7119"/>
    <w:rsid w:val="005D7890"/>
    <w:rsid w:val="005E2A7C"/>
    <w:rsid w:val="005E7C78"/>
    <w:rsid w:val="005F18C5"/>
    <w:rsid w:val="005F3EB1"/>
    <w:rsid w:val="005F46D8"/>
    <w:rsid w:val="005F5469"/>
    <w:rsid w:val="00600079"/>
    <w:rsid w:val="006003D1"/>
    <w:rsid w:val="00601A2E"/>
    <w:rsid w:val="0060404F"/>
    <w:rsid w:val="00604307"/>
    <w:rsid w:val="0060487F"/>
    <w:rsid w:val="00604EAD"/>
    <w:rsid w:val="006104FB"/>
    <w:rsid w:val="0061249B"/>
    <w:rsid w:val="00612A2F"/>
    <w:rsid w:val="00616E05"/>
    <w:rsid w:val="006226B8"/>
    <w:rsid w:val="00624093"/>
    <w:rsid w:val="0063201A"/>
    <w:rsid w:val="006350D5"/>
    <w:rsid w:val="006404A7"/>
    <w:rsid w:val="006451E4"/>
    <w:rsid w:val="00645B33"/>
    <w:rsid w:val="00650330"/>
    <w:rsid w:val="006516CB"/>
    <w:rsid w:val="006558BD"/>
    <w:rsid w:val="00657E87"/>
    <w:rsid w:val="00664803"/>
    <w:rsid w:val="00665BA4"/>
    <w:rsid w:val="00666D91"/>
    <w:rsid w:val="00667AF2"/>
    <w:rsid w:val="006710C9"/>
    <w:rsid w:val="00674D89"/>
    <w:rsid w:val="00675E37"/>
    <w:rsid w:val="00680001"/>
    <w:rsid w:val="0068174E"/>
    <w:rsid w:val="00681DCE"/>
    <w:rsid w:val="0068260E"/>
    <w:rsid w:val="006836CB"/>
    <w:rsid w:val="00695BEF"/>
    <w:rsid w:val="006977F6"/>
    <w:rsid w:val="00697A13"/>
    <w:rsid w:val="006A109C"/>
    <w:rsid w:val="006A3E08"/>
    <w:rsid w:val="006A73A6"/>
    <w:rsid w:val="006B0F92"/>
    <w:rsid w:val="006B344A"/>
    <w:rsid w:val="006B4B7B"/>
    <w:rsid w:val="006B78D8"/>
    <w:rsid w:val="006C113F"/>
    <w:rsid w:val="006C123E"/>
    <w:rsid w:val="006C1752"/>
    <w:rsid w:val="006C33B2"/>
    <w:rsid w:val="006C56D4"/>
    <w:rsid w:val="006C6924"/>
    <w:rsid w:val="006C7CA6"/>
    <w:rsid w:val="006D3E8A"/>
    <w:rsid w:val="006D61F6"/>
    <w:rsid w:val="006D64C2"/>
    <w:rsid w:val="006E279A"/>
    <w:rsid w:val="006E313B"/>
    <w:rsid w:val="006E7227"/>
    <w:rsid w:val="006F2595"/>
    <w:rsid w:val="006F438E"/>
    <w:rsid w:val="006F5416"/>
    <w:rsid w:val="00705242"/>
    <w:rsid w:val="00706AD4"/>
    <w:rsid w:val="00707150"/>
    <w:rsid w:val="007140BE"/>
    <w:rsid w:val="00716E3F"/>
    <w:rsid w:val="007211F5"/>
    <w:rsid w:val="007240E2"/>
    <w:rsid w:val="00725BB5"/>
    <w:rsid w:val="00730AE8"/>
    <w:rsid w:val="00730F1B"/>
    <w:rsid w:val="00741493"/>
    <w:rsid w:val="0074369B"/>
    <w:rsid w:val="00750EF8"/>
    <w:rsid w:val="00752180"/>
    <w:rsid w:val="00753CAB"/>
    <w:rsid w:val="00755202"/>
    <w:rsid w:val="00755D3A"/>
    <w:rsid w:val="007578D3"/>
    <w:rsid w:val="007609C6"/>
    <w:rsid w:val="0076175D"/>
    <w:rsid w:val="00763B85"/>
    <w:rsid w:val="0076521E"/>
    <w:rsid w:val="007661E9"/>
    <w:rsid w:val="00775F45"/>
    <w:rsid w:val="00776169"/>
    <w:rsid w:val="00776527"/>
    <w:rsid w:val="00780EF1"/>
    <w:rsid w:val="00783C17"/>
    <w:rsid w:val="00785232"/>
    <w:rsid w:val="00790764"/>
    <w:rsid w:val="0079453C"/>
    <w:rsid w:val="00794677"/>
    <w:rsid w:val="007A516D"/>
    <w:rsid w:val="007B6689"/>
    <w:rsid w:val="007C13A4"/>
    <w:rsid w:val="007C6BBD"/>
    <w:rsid w:val="007C7BAE"/>
    <w:rsid w:val="007D0C24"/>
    <w:rsid w:val="007D40DF"/>
    <w:rsid w:val="007E29B4"/>
    <w:rsid w:val="007E435A"/>
    <w:rsid w:val="007E7E61"/>
    <w:rsid w:val="007F0845"/>
    <w:rsid w:val="007F708D"/>
    <w:rsid w:val="00801E13"/>
    <w:rsid w:val="00807C82"/>
    <w:rsid w:val="00816905"/>
    <w:rsid w:val="00821FF6"/>
    <w:rsid w:val="00822574"/>
    <w:rsid w:val="00825C4D"/>
    <w:rsid w:val="0083143E"/>
    <w:rsid w:val="00831CDE"/>
    <w:rsid w:val="00833BF2"/>
    <w:rsid w:val="00834304"/>
    <w:rsid w:val="00834FAA"/>
    <w:rsid w:val="00836086"/>
    <w:rsid w:val="00846121"/>
    <w:rsid w:val="0084708F"/>
    <w:rsid w:val="008477C8"/>
    <w:rsid w:val="00847931"/>
    <w:rsid w:val="0085114D"/>
    <w:rsid w:val="00852217"/>
    <w:rsid w:val="00855408"/>
    <w:rsid w:val="00856D65"/>
    <w:rsid w:val="00861B41"/>
    <w:rsid w:val="00861BE3"/>
    <w:rsid w:val="00863434"/>
    <w:rsid w:val="00865E4C"/>
    <w:rsid w:val="008701E4"/>
    <w:rsid w:val="00875A32"/>
    <w:rsid w:val="00876086"/>
    <w:rsid w:val="008873D4"/>
    <w:rsid w:val="0089296D"/>
    <w:rsid w:val="00893E85"/>
    <w:rsid w:val="00894031"/>
    <w:rsid w:val="00895508"/>
    <w:rsid w:val="008B7C02"/>
    <w:rsid w:val="008B7D2B"/>
    <w:rsid w:val="008C0049"/>
    <w:rsid w:val="008C0E88"/>
    <w:rsid w:val="008D0A60"/>
    <w:rsid w:val="008D0DBD"/>
    <w:rsid w:val="008D1E6A"/>
    <w:rsid w:val="008D2A16"/>
    <w:rsid w:val="008E0DC9"/>
    <w:rsid w:val="008E2C57"/>
    <w:rsid w:val="008E31FF"/>
    <w:rsid w:val="008E6F06"/>
    <w:rsid w:val="008E7FC9"/>
    <w:rsid w:val="008F029B"/>
    <w:rsid w:val="008F3FC9"/>
    <w:rsid w:val="008F585B"/>
    <w:rsid w:val="009003A8"/>
    <w:rsid w:val="00902500"/>
    <w:rsid w:val="00902EFF"/>
    <w:rsid w:val="00906401"/>
    <w:rsid w:val="0091155E"/>
    <w:rsid w:val="00912A92"/>
    <w:rsid w:val="0091728D"/>
    <w:rsid w:val="0092180B"/>
    <w:rsid w:val="00921F14"/>
    <w:rsid w:val="00924AC8"/>
    <w:rsid w:val="0092597A"/>
    <w:rsid w:val="00930FB1"/>
    <w:rsid w:val="0093139F"/>
    <w:rsid w:val="00932443"/>
    <w:rsid w:val="00937AE2"/>
    <w:rsid w:val="00942C19"/>
    <w:rsid w:val="0094427A"/>
    <w:rsid w:val="00945245"/>
    <w:rsid w:val="009540B7"/>
    <w:rsid w:val="0095759C"/>
    <w:rsid w:val="00974923"/>
    <w:rsid w:val="00980D3D"/>
    <w:rsid w:val="00987A30"/>
    <w:rsid w:val="00992CF3"/>
    <w:rsid w:val="009942B6"/>
    <w:rsid w:val="00994868"/>
    <w:rsid w:val="009968D6"/>
    <w:rsid w:val="009A1CAB"/>
    <w:rsid w:val="009A60D1"/>
    <w:rsid w:val="009A7B2E"/>
    <w:rsid w:val="009B6FD3"/>
    <w:rsid w:val="009C03C8"/>
    <w:rsid w:val="009C1750"/>
    <w:rsid w:val="009C2E29"/>
    <w:rsid w:val="009C3ED8"/>
    <w:rsid w:val="009C554B"/>
    <w:rsid w:val="009C719E"/>
    <w:rsid w:val="009D3ACD"/>
    <w:rsid w:val="009E5273"/>
    <w:rsid w:val="009E5DDB"/>
    <w:rsid w:val="009F46EA"/>
    <w:rsid w:val="009F4CA7"/>
    <w:rsid w:val="00A10D66"/>
    <w:rsid w:val="00A14114"/>
    <w:rsid w:val="00A16413"/>
    <w:rsid w:val="00A16E1D"/>
    <w:rsid w:val="00A17D5B"/>
    <w:rsid w:val="00A230A8"/>
    <w:rsid w:val="00A23E43"/>
    <w:rsid w:val="00A25216"/>
    <w:rsid w:val="00A27420"/>
    <w:rsid w:val="00A30F65"/>
    <w:rsid w:val="00A31C07"/>
    <w:rsid w:val="00A329DF"/>
    <w:rsid w:val="00A35142"/>
    <w:rsid w:val="00A35EA6"/>
    <w:rsid w:val="00A40EAC"/>
    <w:rsid w:val="00A418BC"/>
    <w:rsid w:val="00A46DE0"/>
    <w:rsid w:val="00A4750C"/>
    <w:rsid w:val="00A50D73"/>
    <w:rsid w:val="00A51F19"/>
    <w:rsid w:val="00A52CAD"/>
    <w:rsid w:val="00A537F0"/>
    <w:rsid w:val="00A53FC7"/>
    <w:rsid w:val="00A55161"/>
    <w:rsid w:val="00A62CE1"/>
    <w:rsid w:val="00A6741E"/>
    <w:rsid w:val="00A75E40"/>
    <w:rsid w:val="00A77D1D"/>
    <w:rsid w:val="00A84923"/>
    <w:rsid w:val="00A857C0"/>
    <w:rsid w:val="00A90FED"/>
    <w:rsid w:val="00AA2996"/>
    <w:rsid w:val="00AA52BF"/>
    <w:rsid w:val="00AA559A"/>
    <w:rsid w:val="00AB2AF1"/>
    <w:rsid w:val="00AB5421"/>
    <w:rsid w:val="00AC45BD"/>
    <w:rsid w:val="00AD168E"/>
    <w:rsid w:val="00AD306C"/>
    <w:rsid w:val="00AD68C4"/>
    <w:rsid w:val="00AE09B3"/>
    <w:rsid w:val="00AE1A83"/>
    <w:rsid w:val="00AE7FB2"/>
    <w:rsid w:val="00B00913"/>
    <w:rsid w:val="00B01593"/>
    <w:rsid w:val="00B023F2"/>
    <w:rsid w:val="00B10A4D"/>
    <w:rsid w:val="00B120A1"/>
    <w:rsid w:val="00B121D2"/>
    <w:rsid w:val="00B14BC1"/>
    <w:rsid w:val="00B17E71"/>
    <w:rsid w:val="00B17FDE"/>
    <w:rsid w:val="00B20632"/>
    <w:rsid w:val="00B2379C"/>
    <w:rsid w:val="00B2687D"/>
    <w:rsid w:val="00B30358"/>
    <w:rsid w:val="00B32DDB"/>
    <w:rsid w:val="00B34528"/>
    <w:rsid w:val="00B34CC9"/>
    <w:rsid w:val="00B402FC"/>
    <w:rsid w:val="00B40FF9"/>
    <w:rsid w:val="00B42470"/>
    <w:rsid w:val="00B439DA"/>
    <w:rsid w:val="00B46604"/>
    <w:rsid w:val="00B530CD"/>
    <w:rsid w:val="00B55F5E"/>
    <w:rsid w:val="00B57338"/>
    <w:rsid w:val="00B5752E"/>
    <w:rsid w:val="00B63A11"/>
    <w:rsid w:val="00B64C24"/>
    <w:rsid w:val="00B6608F"/>
    <w:rsid w:val="00B679FB"/>
    <w:rsid w:val="00B76D1E"/>
    <w:rsid w:val="00B80EC6"/>
    <w:rsid w:val="00B84CF6"/>
    <w:rsid w:val="00B86F03"/>
    <w:rsid w:val="00B92D1D"/>
    <w:rsid w:val="00B938C5"/>
    <w:rsid w:val="00B95940"/>
    <w:rsid w:val="00BA0DD3"/>
    <w:rsid w:val="00BA6C2B"/>
    <w:rsid w:val="00BB2F03"/>
    <w:rsid w:val="00BB46F3"/>
    <w:rsid w:val="00BB4CB1"/>
    <w:rsid w:val="00BB4F98"/>
    <w:rsid w:val="00BC0E31"/>
    <w:rsid w:val="00BC5C12"/>
    <w:rsid w:val="00BC7154"/>
    <w:rsid w:val="00BC731E"/>
    <w:rsid w:val="00BD163C"/>
    <w:rsid w:val="00BD2211"/>
    <w:rsid w:val="00BD366B"/>
    <w:rsid w:val="00BD6D50"/>
    <w:rsid w:val="00BE18B9"/>
    <w:rsid w:val="00BE2495"/>
    <w:rsid w:val="00BE468E"/>
    <w:rsid w:val="00BE6186"/>
    <w:rsid w:val="00BF1578"/>
    <w:rsid w:val="00C21405"/>
    <w:rsid w:val="00C21F94"/>
    <w:rsid w:val="00C27913"/>
    <w:rsid w:val="00C33B68"/>
    <w:rsid w:val="00C36A79"/>
    <w:rsid w:val="00C401D2"/>
    <w:rsid w:val="00C405D4"/>
    <w:rsid w:val="00C4412A"/>
    <w:rsid w:val="00C4513B"/>
    <w:rsid w:val="00C466D2"/>
    <w:rsid w:val="00C517C6"/>
    <w:rsid w:val="00C5390B"/>
    <w:rsid w:val="00C54697"/>
    <w:rsid w:val="00C60191"/>
    <w:rsid w:val="00C6152B"/>
    <w:rsid w:val="00C73885"/>
    <w:rsid w:val="00C747B1"/>
    <w:rsid w:val="00C805DC"/>
    <w:rsid w:val="00C82191"/>
    <w:rsid w:val="00C83134"/>
    <w:rsid w:val="00C85545"/>
    <w:rsid w:val="00C90CF4"/>
    <w:rsid w:val="00C92EB6"/>
    <w:rsid w:val="00C93389"/>
    <w:rsid w:val="00C96D08"/>
    <w:rsid w:val="00CA6AB4"/>
    <w:rsid w:val="00CB259D"/>
    <w:rsid w:val="00CB4930"/>
    <w:rsid w:val="00CC2E7D"/>
    <w:rsid w:val="00CC71EC"/>
    <w:rsid w:val="00CD10A5"/>
    <w:rsid w:val="00CD2076"/>
    <w:rsid w:val="00CD29B5"/>
    <w:rsid w:val="00CD6331"/>
    <w:rsid w:val="00CE153B"/>
    <w:rsid w:val="00CE670B"/>
    <w:rsid w:val="00CF1C4C"/>
    <w:rsid w:val="00CF4908"/>
    <w:rsid w:val="00CF51EC"/>
    <w:rsid w:val="00CF73AE"/>
    <w:rsid w:val="00D040DD"/>
    <w:rsid w:val="00D050F8"/>
    <w:rsid w:val="00D075BE"/>
    <w:rsid w:val="00D1005A"/>
    <w:rsid w:val="00D11854"/>
    <w:rsid w:val="00D13986"/>
    <w:rsid w:val="00D21D83"/>
    <w:rsid w:val="00D235B7"/>
    <w:rsid w:val="00D25F28"/>
    <w:rsid w:val="00D26071"/>
    <w:rsid w:val="00D27973"/>
    <w:rsid w:val="00D279B8"/>
    <w:rsid w:val="00D32F90"/>
    <w:rsid w:val="00D35E1A"/>
    <w:rsid w:val="00D50F46"/>
    <w:rsid w:val="00D52BE2"/>
    <w:rsid w:val="00D57677"/>
    <w:rsid w:val="00D66223"/>
    <w:rsid w:val="00D8084C"/>
    <w:rsid w:val="00D915EA"/>
    <w:rsid w:val="00D93CE2"/>
    <w:rsid w:val="00D943C6"/>
    <w:rsid w:val="00D965EC"/>
    <w:rsid w:val="00DA7C0C"/>
    <w:rsid w:val="00DB08A9"/>
    <w:rsid w:val="00DB2EC8"/>
    <w:rsid w:val="00DC37E3"/>
    <w:rsid w:val="00DC5B3B"/>
    <w:rsid w:val="00DD129F"/>
    <w:rsid w:val="00DE4C19"/>
    <w:rsid w:val="00DF42FF"/>
    <w:rsid w:val="00DF7AD4"/>
    <w:rsid w:val="00E01C0E"/>
    <w:rsid w:val="00E03F9A"/>
    <w:rsid w:val="00E04694"/>
    <w:rsid w:val="00E04F27"/>
    <w:rsid w:val="00E102BD"/>
    <w:rsid w:val="00E11DE1"/>
    <w:rsid w:val="00E12B1E"/>
    <w:rsid w:val="00E17262"/>
    <w:rsid w:val="00E212C9"/>
    <w:rsid w:val="00E253A2"/>
    <w:rsid w:val="00E3309D"/>
    <w:rsid w:val="00E453F9"/>
    <w:rsid w:val="00E47EBA"/>
    <w:rsid w:val="00E50156"/>
    <w:rsid w:val="00E53470"/>
    <w:rsid w:val="00E539F6"/>
    <w:rsid w:val="00E6519D"/>
    <w:rsid w:val="00E67696"/>
    <w:rsid w:val="00E711D1"/>
    <w:rsid w:val="00E71A58"/>
    <w:rsid w:val="00E72A7A"/>
    <w:rsid w:val="00E733C7"/>
    <w:rsid w:val="00E75C94"/>
    <w:rsid w:val="00E76E61"/>
    <w:rsid w:val="00E924B2"/>
    <w:rsid w:val="00E93820"/>
    <w:rsid w:val="00E94A86"/>
    <w:rsid w:val="00E96143"/>
    <w:rsid w:val="00E972A9"/>
    <w:rsid w:val="00EA0840"/>
    <w:rsid w:val="00EA0C68"/>
    <w:rsid w:val="00EA17B0"/>
    <w:rsid w:val="00EA32BC"/>
    <w:rsid w:val="00EA405F"/>
    <w:rsid w:val="00EB4511"/>
    <w:rsid w:val="00EC03D7"/>
    <w:rsid w:val="00EC25F0"/>
    <w:rsid w:val="00ED62C6"/>
    <w:rsid w:val="00ED64C1"/>
    <w:rsid w:val="00EE3446"/>
    <w:rsid w:val="00EE3E78"/>
    <w:rsid w:val="00EE4B1B"/>
    <w:rsid w:val="00EF150D"/>
    <w:rsid w:val="00EF1F5A"/>
    <w:rsid w:val="00EF47BF"/>
    <w:rsid w:val="00F04811"/>
    <w:rsid w:val="00F0488C"/>
    <w:rsid w:val="00F10F11"/>
    <w:rsid w:val="00F15AAA"/>
    <w:rsid w:val="00F15BEF"/>
    <w:rsid w:val="00F160CE"/>
    <w:rsid w:val="00F162B3"/>
    <w:rsid w:val="00F24407"/>
    <w:rsid w:val="00F24FAA"/>
    <w:rsid w:val="00F3364D"/>
    <w:rsid w:val="00F33E56"/>
    <w:rsid w:val="00F433FE"/>
    <w:rsid w:val="00F437CC"/>
    <w:rsid w:val="00F44537"/>
    <w:rsid w:val="00F46502"/>
    <w:rsid w:val="00F47067"/>
    <w:rsid w:val="00F525EB"/>
    <w:rsid w:val="00F55E08"/>
    <w:rsid w:val="00F63DDE"/>
    <w:rsid w:val="00F63FB7"/>
    <w:rsid w:val="00F6421B"/>
    <w:rsid w:val="00F649D2"/>
    <w:rsid w:val="00F6602B"/>
    <w:rsid w:val="00F73A0C"/>
    <w:rsid w:val="00F756DB"/>
    <w:rsid w:val="00F84E7D"/>
    <w:rsid w:val="00F85066"/>
    <w:rsid w:val="00F859D0"/>
    <w:rsid w:val="00F87A4D"/>
    <w:rsid w:val="00FA5D4D"/>
    <w:rsid w:val="00FB0EE2"/>
    <w:rsid w:val="00FB542E"/>
    <w:rsid w:val="00FC0359"/>
    <w:rsid w:val="00FC0E5F"/>
    <w:rsid w:val="00FC1A95"/>
    <w:rsid w:val="00FC56DE"/>
    <w:rsid w:val="00FC684B"/>
    <w:rsid w:val="00FD3265"/>
    <w:rsid w:val="00FD4916"/>
    <w:rsid w:val="00FE2F78"/>
    <w:rsid w:val="00FE6609"/>
    <w:rsid w:val="00FF3EEC"/>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qFormat="1"/>
    <w:lsdException w:name="caption" w:uiPriority="35" w:qFormat="1"/>
    <w:lsdException w:name="footnote reference" w:uiPriority="0"/>
    <w:lsdException w:name="List"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64FA0"/>
    <w:pPr>
      <w:spacing w:after="240" w:line="276" w:lineRule="auto"/>
      <w:jc w:val="both"/>
    </w:pPr>
    <w:rPr>
      <w:rFonts w:ascii="Arial" w:eastAsia="Times New Roman" w:hAnsi="Arial"/>
      <w:szCs w:val="24"/>
      <w:lang w:eastAsia="cs-CZ"/>
    </w:rPr>
  </w:style>
  <w:style w:type="paragraph" w:styleId="Nadpis1">
    <w:name w:val="heading 1"/>
    <w:next w:val="Normln"/>
    <w:link w:val="Nadpis1Char"/>
    <w:uiPriority w:val="9"/>
    <w:qFormat/>
    <w:rsid w:val="00A25216"/>
    <w:pPr>
      <w:keepNext/>
      <w:keepLines/>
      <w:spacing w:after="100" w:line="276" w:lineRule="auto"/>
      <w:contextualSpacing/>
      <w:outlineLvl w:val="0"/>
    </w:pPr>
    <w:rPr>
      <w:rFonts w:ascii="Arial" w:eastAsia="MS Gothic" w:hAnsi="Arial"/>
      <w:b/>
      <w:bCs/>
      <w:color w:val="71818C"/>
      <w:sz w:val="32"/>
      <w:szCs w:val="28"/>
      <w:lang w:eastAsia="cs-CZ"/>
    </w:rPr>
  </w:style>
  <w:style w:type="paragraph" w:styleId="Nadpis2">
    <w:name w:val="heading 2"/>
    <w:next w:val="Normln"/>
    <w:link w:val="Nadpis2Char"/>
    <w:uiPriority w:val="9"/>
    <w:qFormat/>
    <w:rsid w:val="00A25216"/>
    <w:pPr>
      <w:keepNext/>
      <w:keepLines/>
      <w:spacing w:line="276" w:lineRule="auto"/>
      <w:outlineLvl w:val="1"/>
    </w:pPr>
    <w:rPr>
      <w:rFonts w:ascii="Arial" w:eastAsia="MS Gothic" w:hAnsi="Arial"/>
      <w:b/>
      <w:bCs/>
      <w:color w:val="71818C"/>
      <w:sz w:val="28"/>
      <w:szCs w:val="26"/>
      <w:lang w:eastAsia="cs-CZ"/>
    </w:rPr>
  </w:style>
  <w:style w:type="paragraph" w:styleId="Nadpis3">
    <w:name w:val="heading 3"/>
    <w:next w:val="Normln"/>
    <w:link w:val="Nadpis3Char"/>
    <w:uiPriority w:val="9"/>
    <w:qFormat/>
    <w:rsid w:val="00A25216"/>
    <w:pPr>
      <w:keepNext/>
      <w:keepLines/>
      <w:spacing w:line="276" w:lineRule="auto"/>
      <w:outlineLvl w:val="2"/>
    </w:pPr>
    <w:rPr>
      <w:rFonts w:ascii="Arial" w:eastAsia="MS Gothic" w:hAnsi="Arial"/>
      <w:b/>
      <w:bCs/>
      <w:color w:val="71818C"/>
      <w:sz w:val="24"/>
      <w:szCs w:val="24"/>
      <w:lang w:eastAsia="cs-CZ"/>
    </w:rPr>
  </w:style>
  <w:style w:type="paragraph" w:styleId="Nadpis4">
    <w:name w:val="heading 4"/>
    <w:next w:val="Normln"/>
    <w:link w:val="Nadpis4Char"/>
    <w:uiPriority w:val="9"/>
    <w:qFormat/>
    <w:rsid w:val="00A25216"/>
    <w:pPr>
      <w:keepNext/>
      <w:keepLines/>
      <w:spacing w:line="276" w:lineRule="auto"/>
      <w:outlineLvl w:val="3"/>
    </w:pPr>
    <w:rPr>
      <w:rFonts w:ascii="Arial" w:eastAsia="MS Gothic" w:hAnsi="Arial"/>
      <w:b/>
      <w:bCs/>
      <w:iCs/>
      <w:color w:val="71818C"/>
      <w:szCs w:val="24"/>
      <w:lang w:eastAsia="cs-CZ"/>
    </w:rPr>
  </w:style>
  <w:style w:type="paragraph" w:styleId="Nadpis5">
    <w:name w:val="heading 5"/>
    <w:basedOn w:val="Normln"/>
    <w:next w:val="Normln"/>
    <w:link w:val="Nadpis5Char"/>
    <w:uiPriority w:val="9"/>
    <w:semiHidden/>
    <w:unhideWhenUsed/>
    <w:rsid w:val="007A516D"/>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A516D"/>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A516D"/>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A516D"/>
    <w:pPr>
      <w:keepNext/>
      <w:keepLines/>
      <w:numPr>
        <w:ilvl w:val="7"/>
        <w:numId w:val="14"/>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7A516D"/>
    <w:pPr>
      <w:numPr>
        <w:ilvl w:val="8"/>
        <w:numId w:val="14"/>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364FA0"/>
    <w:rPr>
      <w:rFonts w:ascii="Arial" w:eastAsia="MS Gothic" w:hAnsi="Arial"/>
      <w:b/>
      <w:bCs/>
      <w:color w:val="71818C"/>
      <w:sz w:val="32"/>
      <w:szCs w:val="28"/>
      <w:lang w:eastAsia="cs-CZ"/>
    </w:rPr>
  </w:style>
  <w:style w:type="character" w:customStyle="1" w:styleId="Nadpis2Char">
    <w:name w:val="Nadpis 2 Char"/>
    <w:link w:val="Nadpis2"/>
    <w:uiPriority w:val="9"/>
    <w:qFormat/>
    <w:rsid w:val="00364FA0"/>
    <w:rPr>
      <w:rFonts w:ascii="Arial" w:eastAsia="MS Gothic" w:hAnsi="Arial"/>
      <w:b/>
      <w:bCs/>
      <w:color w:val="71818C"/>
      <w:sz w:val="28"/>
      <w:szCs w:val="26"/>
      <w:lang w:eastAsia="cs-CZ"/>
    </w:rPr>
  </w:style>
  <w:style w:type="character" w:customStyle="1" w:styleId="Nadpis3Char">
    <w:name w:val="Nadpis 3 Char"/>
    <w:link w:val="Nadpis3"/>
    <w:uiPriority w:val="9"/>
    <w:rsid w:val="00364FA0"/>
    <w:rPr>
      <w:rFonts w:ascii="Arial" w:eastAsia="MS Gothic" w:hAnsi="Arial"/>
      <w:b/>
      <w:bCs/>
      <w:color w:val="71818C"/>
      <w:sz w:val="24"/>
      <w:szCs w:val="24"/>
      <w:lang w:eastAsia="cs-CZ"/>
    </w:rPr>
  </w:style>
  <w:style w:type="character" w:customStyle="1" w:styleId="Nadpis4Char">
    <w:name w:val="Nadpis 4 Char"/>
    <w:link w:val="Nadpis4"/>
    <w:uiPriority w:val="9"/>
    <w:rsid w:val="00364FA0"/>
    <w:rPr>
      <w:rFonts w:ascii="Arial" w:eastAsia="MS Gothic" w:hAnsi="Arial"/>
      <w:b/>
      <w:bCs/>
      <w:iCs/>
      <w:color w:val="71818C"/>
      <w:szCs w:val="24"/>
      <w:lang w:eastAsia="cs-CZ"/>
    </w:rPr>
  </w:style>
  <w:style w:type="character" w:customStyle="1" w:styleId="Nadpis9Char">
    <w:name w:val="Nadpis 9 Char"/>
    <w:link w:val="Nadpis9"/>
    <w:uiPriority w:val="9"/>
    <w:semiHidden/>
    <w:rsid w:val="007A516D"/>
    <w:rPr>
      <w:rFonts w:ascii="Cambria" w:eastAsia="Times New Roman" w:hAnsi="Cambria"/>
      <w:sz w:val="22"/>
      <w:szCs w:val="22"/>
      <w:lang w:eastAsia="cs-CZ"/>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EA0840"/>
    <w:rPr>
      <w:noProof/>
      <w:lang w:eastAsia="en-US"/>
    </w:rPr>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846121"/>
    <w:pPr>
      <w:spacing w:after="80" w:line="288" w:lineRule="auto"/>
    </w:pPr>
    <w:rPr>
      <w:rFonts w:ascii="Arial" w:eastAsia="Times New Roman" w:hAnsi="Arial"/>
      <w:b/>
      <w:color w:val="71818C"/>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A-Box1">
    <w:name w:val="A-Box 1"/>
    <w:next w:val="Normln"/>
    <w:qFormat/>
    <w:rsid w:val="00F84E7D"/>
    <w:pPr>
      <w:shd w:val="clear" w:color="auto" w:fill="EAECEE"/>
      <w:spacing w:before="240" w:after="240" w:line="276" w:lineRule="auto"/>
      <w:contextualSpacing/>
      <w:jc w:val="both"/>
    </w:pPr>
    <w:rPr>
      <w:rFonts w:ascii="Arial" w:hAnsi="Arial" w:cs="Arial"/>
      <w:lang w:eastAsia="cs-CZ"/>
    </w:rPr>
  </w:style>
  <w:style w:type="paragraph" w:customStyle="1" w:styleId="A-Box2">
    <w:name w:val="A-Box 2"/>
    <w:next w:val="Normln"/>
    <w:qFormat/>
    <w:rsid w:val="00D075BE"/>
    <w:pPr>
      <w:spacing w:before="240" w:after="240" w:line="276" w:lineRule="auto"/>
      <w:contextualSpacing/>
      <w:jc w:val="both"/>
    </w:pPr>
    <w:rPr>
      <w:rFonts w:ascii="Arial" w:hAnsi="Arial" w:cs="Arial"/>
      <w:color w:val="71818C"/>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846121"/>
    <w:pPr>
      <w:spacing w:line="288" w:lineRule="auto"/>
    </w:pPr>
    <w:rPr>
      <w:rFonts w:ascii="Arial" w:eastAsia="Times New Roman" w:hAnsi="Arial"/>
      <w:b/>
      <w:bCs/>
      <w:caps/>
      <w:color w:val="71818C"/>
      <w:kern w:val="28"/>
      <w:sz w:val="56"/>
      <w:szCs w:val="32"/>
      <w:lang w:eastAsia="cs-CZ"/>
    </w:rPr>
  </w:style>
  <w:style w:type="character" w:customStyle="1" w:styleId="NzevChar">
    <w:name w:val="Název Char"/>
    <w:link w:val="Nzev"/>
    <w:uiPriority w:val="10"/>
    <w:rsid w:val="00846121"/>
    <w:rPr>
      <w:rFonts w:ascii="Arial" w:eastAsia="Times New Roman" w:hAnsi="Arial"/>
      <w:b/>
      <w:bCs/>
      <w:caps/>
      <w:color w:val="71818C"/>
      <w:kern w:val="28"/>
      <w:sz w:val="56"/>
      <w:szCs w:val="32"/>
    </w:rPr>
  </w:style>
  <w:style w:type="paragraph" w:styleId="Podtitul">
    <w:name w:val="Subtitle"/>
    <w:link w:val="PodtitulChar"/>
    <w:uiPriority w:val="11"/>
    <w:qFormat/>
    <w:rsid w:val="00846121"/>
    <w:pPr>
      <w:spacing w:line="288" w:lineRule="auto"/>
    </w:pPr>
    <w:rPr>
      <w:rFonts w:ascii="Arial" w:eastAsia="Times New Roman" w:hAnsi="Arial" w:cs="Arial"/>
      <w:b/>
      <w:color w:val="71818C"/>
      <w:sz w:val="28"/>
      <w:szCs w:val="24"/>
      <w:lang w:eastAsia="cs-CZ"/>
    </w:rPr>
  </w:style>
  <w:style w:type="character" w:customStyle="1" w:styleId="PodtitulChar">
    <w:name w:val="Podtitul Char"/>
    <w:link w:val="Podtitul"/>
    <w:uiPriority w:val="11"/>
    <w:rsid w:val="00846121"/>
    <w:rPr>
      <w:rFonts w:ascii="Arial" w:eastAsia="Times New Roman" w:hAnsi="Arial" w:cs="Arial"/>
      <w:b/>
      <w:color w:val="71818C"/>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7A516D"/>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7A516D"/>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7A516D"/>
    <w:rPr>
      <w:rFonts w:asciiTheme="majorHAnsi" w:eastAsiaTheme="majorEastAsia" w:hAnsiTheme="majorHAnsi" w:cstheme="majorBidi"/>
      <w:i/>
      <w:iCs/>
      <w:color w:val="404040" w:themeColor="text1" w:themeTint="BF"/>
      <w:szCs w:val="24"/>
      <w:lang w:eastAsia="cs-CZ"/>
    </w:rPr>
  </w:style>
  <w:style w:type="character" w:customStyle="1" w:styleId="Nadpis8Char">
    <w:name w:val="Nadpis 8 Char"/>
    <w:basedOn w:val="Standardnpsmoodstavce"/>
    <w:link w:val="Nadpis8"/>
    <w:uiPriority w:val="9"/>
    <w:semiHidden/>
    <w:rsid w:val="007A516D"/>
    <w:rPr>
      <w:rFonts w:asciiTheme="majorHAnsi" w:eastAsiaTheme="majorEastAsia" w:hAnsiTheme="majorHAnsi" w:cstheme="majorBidi"/>
      <w:color w:val="404040" w:themeColor="text1" w:themeTint="BF"/>
      <w:lang w:eastAsia="cs-CZ"/>
    </w:rPr>
  </w:style>
  <w:style w:type="paragraph" w:styleId="Textpoznpodarou">
    <w:name w:val="footnote text"/>
    <w:aliases w:val="Text pozn. pod čarou_martin_ang"/>
    <w:basedOn w:val="Normln"/>
    <w:link w:val="TextpoznpodarouChar"/>
    <w:qFormat/>
    <w:rsid w:val="008E7FC9"/>
    <w:pPr>
      <w:spacing w:after="0" w:line="240" w:lineRule="auto"/>
      <w:jc w:val="left"/>
    </w:pPr>
    <w:rPr>
      <w:rFonts w:eastAsia="Calibri"/>
      <w:szCs w:val="20"/>
    </w:rPr>
  </w:style>
  <w:style w:type="character" w:customStyle="1" w:styleId="TextpoznpodarouChar">
    <w:name w:val="Text pozn. pod čarou Char"/>
    <w:aliases w:val="Text pozn. pod čarou_martin_ang Char"/>
    <w:basedOn w:val="Standardnpsmoodstavce"/>
    <w:link w:val="Textpoznpodarou"/>
    <w:qFormat/>
    <w:rsid w:val="008E7FC9"/>
    <w:rPr>
      <w:rFonts w:ascii="Arial" w:hAnsi="Arial"/>
      <w:lang w:eastAsia="cs-CZ"/>
    </w:rPr>
  </w:style>
  <w:style w:type="paragraph" w:styleId="Bezmezer">
    <w:name w:val="No Spacing"/>
    <w:uiPriority w:val="1"/>
    <w:qFormat/>
    <w:rsid w:val="00AD68C4"/>
    <w:pPr>
      <w:jc w:val="both"/>
    </w:pPr>
    <w:rPr>
      <w:rFonts w:ascii="Arial" w:eastAsia="Times New Roman" w:hAnsi="Arial"/>
      <w:szCs w:val="24"/>
      <w:lang w:eastAsia="cs-CZ"/>
    </w:rPr>
  </w:style>
  <w:style w:type="paragraph" w:customStyle="1" w:styleId="Marginlie">
    <w:name w:val="Marginálie"/>
    <w:basedOn w:val="Normln"/>
    <w:qFormat/>
    <w:rsid w:val="0089296D"/>
    <w:pPr>
      <w:spacing w:after="0"/>
      <w:jc w:val="left"/>
    </w:pPr>
    <w:rPr>
      <w:spacing w:val="-2"/>
      <w:sz w:val="16"/>
      <w:szCs w:val="16"/>
    </w:rPr>
  </w:style>
  <w:style w:type="paragraph" w:styleId="Odstavecseseznamem">
    <w:name w:val="List Paragraph"/>
    <w:basedOn w:val="Normln"/>
    <w:uiPriority w:val="34"/>
    <w:rsid w:val="006B0F92"/>
    <w:pPr>
      <w:ind w:left="720"/>
      <w:contextualSpacing/>
    </w:pPr>
  </w:style>
  <w:style w:type="paragraph" w:customStyle="1" w:styleId="Normalodrka">
    <w:name w:val="Normal odrážka"/>
    <w:qFormat/>
    <w:rsid w:val="006B0F92"/>
    <w:pPr>
      <w:numPr>
        <w:numId w:val="20"/>
      </w:numPr>
      <w:spacing w:after="240" w:line="276" w:lineRule="auto"/>
      <w:ind w:left="357" w:hanging="357"/>
      <w:jc w:val="both"/>
    </w:pPr>
    <w:rPr>
      <w:rFonts w:ascii="Arial" w:eastAsia="Times New Roman" w:hAnsi="Arial"/>
      <w:szCs w:val="24"/>
      <w:lang w:eastAsia="cs-CZ"/>
    </w:rPr>
  </w:style>
  <w:style w:type="paragraph" w:customStyle="1" w:styleId="Box1">
    <w:name w:val="Box 1"/>
    <w:next w:val="Normln"/>
    <w:qFormat/>
    <w:rsid w:val="00A17D5B"/>
    <w:pPr>
      <w:shd w:val="clear" w:color="auto" w:fill="EBEBEB"/>
      <w:spacing w:before="240" w:after="240" w:line="276" w:lineRule="auto"/>
      <w:ind w:left="709"/>
      <w:contextualSpacing/>
    </w:pPr>
    <w:rPr>
      <w:rFonts w:ascii="Arial" w:hAnsi="Arial" w:cs="Arial"/>
      <w:lang w:eastAsia="cs-CZ"/>
    </w:rPr>
  </w:style>
  <w:style w:type="paragraph" w:customStyle="1" w:styleId="Box2">
    <w:name w:val="Box 2"/>
    <w:next w:val="Normln"/>
    <w:qFormat/>
    <w:rsid w:val="00A17D5B"/>
    <w:pPr>
      <w:spacing w:before="240" w:after="240" w:line="276" w:lineRule="auto"/>
      <w:ind w:left="709"/>
      <w:contextualSpacing/>
    </w:pPr>
    <w:rPr>
      <w:rFonts w:ascii="Arial" w:hAnsi="Arial" w:cs="Arial"/>
      <w:b/>
      <w:color w:val="71818C"/>
      <w:lang w:eastAsia="cs-CZ"/>
    </w:rPr>
  </w:style>
  <w:style w:type="character" w:styleId="Odkaznakoment">
    <w:name w:val="annotation reference"/>
    <w:basedOn w:val="Standardnpsmoodstavce"/>
    <w:uiPriority w:val="99"/>
    <w:semiHidden/>
    <w:unhideWhenUsed/>
    <w:rsid w:val="00E76E61"/>
    <w:rPr>
      <w:sz w:val="16"/>
      <w:szCs w:val="16"/>
    </w:rPr>
  </w:style>
  <w:style w:type="paragraph" w:styleId="Textkomente">
    <w:name w:val="annotation text"/>
    <w:basedOn w:val="Normln"/>
    <w:link w:val="TextkomenteChar"/>
    <w:uiPriority w:val="99"/>
    <w:semiHidden/>
    <w:unhideWhenUsed/>
    <w:rsid w:val="00E76E61"/>
    <w:pPr>
      <w:spacing w:line="240" w:lineRule="auto"/>
    </w:pPr>
    <w:rPr>
      <w:szCs w:val="20"/>
    </w:rPr>
  </w:style>
  <w:style w:type="character" w:customStyle="1" w:styleId="TextkomenteChar">
    <w:name w:val="Text komentáře Char"/>
    <w:basedOn w:val="Standardnpsmoodstavce"/>
    <w:link w:val="Textkomente"/>
    <w:uiPriority w:val="99"/>
    <w:semiHidden/>
    <w:rsid w:val="00E76E61"/>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E76E61"/>
    <w:rPr>
      <w:b/>
      <w:bCs/>
    </w:rPr>
  </w:style>
  <w:style w:type="character" w:customStyle="1" w:styleId="PedmtkomenteChar">
    <w:name w:val="Předmět komentáře Char"/>
    <w:basedOn w:val="TextkomenteChar"/>
    <w:link w:val="Pedmtkomente"/>
    <w:uiPriority w:val="99"/>
    <w:semiHidden/>
    <w:rsid w:val="00E76E61"/>
    <w:rPr>
      <w:rFonts w:ascii="Arial" w:eastAsia="Times New Roman" w:hAnsi="Arial"/>
      <w:b/>
      <w:bCs/>
      <w:lang w:eastAsia="cs-CZ"/>
    </w:rPr>
  </w:style>
  <w:style w:type="paragraph" w:customStyle="1" w:styleId="Nadpis11">
    <w:name w:val="Nadpis 11"/>
    <w:basedOn w:val="Normln"/>
    <w:uiPriority w:val="9"/>
    <w:qFormat/>
    <w:rsid w:val="00F46502"/>
    <w:pPr>
      <w:keepNext/>
      <w:keepLines/>
      <w:spacing w:after="100"/>
      <w:contextualSpacing/>
      <w:jc w:val="left"/>
      <w:outlineLvl w:val="0"/>
    </w:pPr>
    <w:rPr>
      <w:rFonts w:eastAsia="MS Gothic"/>
      <w:b/>
      <w:bCs/>
      <w:color w:val="71818C"/>
      <w:sz w:val="32"/>
      <w:szCs w:val="28"/>
    </w:rPr>
  </w:style>
  <w:style w:type="paragraph" w:customStyle="1" w:styleId="Nadpis21">
    <w:name w:val="Nadpis 21"/>
    <w:basedOn w:val="Normln"/>
    <w:uiPriority w:val="9"/>
    <w:qFormat/>
    <w:rsid w:val="00F46502"/>
    <w:pPr>
      <w:keepNext/>
      <w:keepLines/>
      <w:spacing w:after="0"/>
      <w:jc w:val="left"/>
      <w:outlineLvl w:val="1"/>
    </w:pPr>
    <w:rPr>
      <w:rFonts w:eastAsia="MS Gothic"/>
      <w:b/>
      <w:bCs/>
      <w:color w:val="71818C"/>
      <w:sz w:val="28"/>
      <w:szCs w:val="26"/>
    </w:rPr>
  </w:style>
  <w:style w:type="paragraph" w:customStyle="1" w:styleId="Textpoznpodarou1">
    <w:name w:val="Text pozn. pod čarou1"/>
    <w:basedOn w:val="Normln"/>
    <w:rsid w:val="00F46502"/>
    <w:pPr>
      <w:spacing w:after="0" w:line="240" w:lineRule="auto"/>
      <w:jc w:val="left"/>
    </w:pPr>
    <w:rPr>
      <w:rFonts w:eastAsia="Calibri"/>
      <w:color w:val="00000A"/>
      <w:szCs w:val="20"/>
    </w:rPr>
  </w:style>
  <w:style w:type="character" w:customStyle="1" w:styleId="TextpoznpodarouChar1">
    <w:name w:val="Text pozn. pod čarou Char1"/>
    <w:aliases w:val="Text pozn. pod čarou_martin_ang Char1"/>
    <w:basedOn w:val="Standardnpsmoodstavce"/>
    <w:semiHidden/>
    <w:rsid w:val="00F46502"/>
    <w:rPr>
      <w:rFonts w:ascii="Arial" w:eastAsia="Times New Roman" w:hAnsi="Arial" w:cs="Times New Roman"/>
      <w:color w:val="00000A"/>
      <w:szCs w:val="20"/>
      <w:lang w:eastAsia="cs-CZ"/>
    </w:rPr>
  </w:style>
  <w:style w:type="character" w:styleId="Znakapoznpodarou">
    <w:name w:val="footnote reference"/>
    <w:basedOn w:val="Standardnpsmoodstavce"/>
    <w:rsid w:val="00F46502"/>
    <w:rPr>
      <w:rFonts w:cs="Times New Roman"/>
      <w:vertAlign w:val="superscript"/>
    </w:rPr>
  </w:style>
  <w:style w:type="character" w:customStyle="1" w:styleId="odkaz-style-wrapper">
    <w:name w:val="odkaz-style-wrapper"/>
    <w:basedOn w:val="Standardnpsmoodstavce"/>
    <w:rsid w:val="00BE6186"/>
  </w:style>
  <w:style w:type="paragraph" w:customStyle="1" w:styleId="Nadpis110">
    <w:name w:val="Nadpis 11"/>
    <w:basedOn w:val="Normln"/>
    <w:uiPriority w:val="9"/>
    <w:qFormat/>
    <w:rsid w:val="00BE6186"/>
    <w:pPr>
      <w:keepNext/>
      <w:keepLines/>
      <w:spacing w:after="100"/>
      <w:contextualSpacing/>
      <w:jc w:val="left"/>
      <w:outlineLvl w:val="0"/>
    </w:pPr>
    <w:rPr>
      <w:rFonts w:eastAsia="MS Gothic"/>
      <w:b/>
      <w:bCs/>
      <w:color w:val="71818C"/>
      <w:sz w:val="32"/>
      <w:szCs w:val="28"/>
    </w:rPr>
  </w:style>
  <w:style w:type="paragraph" w:customStyle="1" w:styleId="Nadpis210">
    <w:name w:val="Nadpis 21"/>
    <w:basedOn w:val="Normln"/>
    <w:uiPriority w:val="9"/>
    <w:qFormat/>
    <w:rsid w:val="00BE6186"/>
    <w:pPr>
      <w:keepNext/>
      <w:keepLines/>
      <w:spacing w:after="0"/>
      <w:jc w:val="left"/>
      <w:outlineLvl w:val="1"/>
    </w:pPr>
    <w:rPr>
      <w:rFonts w:eastAsia="MS Gothic"/>
      <w:b/>
      <w:bCs/>
      <w:color w:val="71818C"/>
      <w:sz w:val="28"/>
      <w:szCs w:val="26"/>
    </w:rPr>
  </w:style>
  <w:style w:type="paragraph" w:customStyle="1" w:styleId="Textpoznpodarou10">
    <w:name w:val="Text pozn. pod čarou1"/>
    <w:basedOn w:val="Normln"/>
    <w:rsid w:val="00BE6186"/>
    <w:pPr>
      <w:spacing w:after="0" w:line="240" w:lineRule="auto"/>
      <w:jc w:val="left"/>
    </w:pPr>
    <w:rPr>
      <w:rFonts w:eastAsia="Calibri"/>
      <w:color w:val="00000A"/>
      <w:szCs w:val="20"/>
    </w:rPr>
  </w:style>
  <w:style w:type="paragraph" w:styleId="Normlnweb">
    <w:name w:val="Normal (Web)"/>
    <w:basedOn w:val="Normln"/>
    <w:uiPriority w:val="99"/>
    <w:unhideWhenUsed/>
    <w:rsid w:val="00C96D08"/>
    <w:pPr>
      <w:spacing w:before="100" w:beforeAutospacing="1" w:after="100" w:afterAutospacing="1" w:line="240" w:lineRule="auto"/>
      <w:jc w:val="left"/>
    </w:pPr>
    <w:rPr>
      <w:rFonts w:ascii="Times New Roman" w:hAnsi="Times New Roman"/>
      <w:sz w:val="24"/>
    </w:rPr>
  </w:style>
  <w:style w:type="paragraph" w:styleId="Zkladntext">
    <w:name w:val="Body Text"/>
    <w:basedOn w:val="Normln"/>
    <w:link w:val="ZkladntextChar"/>
    <w:semiHidden/>
    <w:rsid w:val="004C5FBF"/>
    <w:pPr>
      <w:widowControl w:val="0"/>
      <w:suppressAutoHyphens/>
      <w:autoSpaceDE w:val="0"/>
      <w:autoSpaceDN w:val="0"/>
      <w:adjustRightInd w:val="0"/>
      <w:spacing w:before="120" w:after="0" w:line="215" w:lineRule="exact"/>
    </w:pPr>
    <w:rPr>
      <w:rFonts w:ascii="Times New Roman CE obyèejné" w:hAnsi="Times New Roman CE obyèejné"/>
      <w:szCs w:val="20"/>
    </w:rPr>
  </w:style>
  <w:style w:type="character" w:customStyle="1" w:styleId="ZkladntextChar">
    <w:name w:val="Základní text Char"/>
    <w:basedOn w:val="Standardnpsmoodstavce"/>
    <w:link w:val="Zkladntext"/>
    <w:semiHidden/>
    <w:rsid w:val="004C5FBF"/>
    <w:rPr>
      <w:rFonts w:ascii="Times New Roman CE obyèejné" w:eastAsia="Times New Roman" w:hAnsi="Times New Roman CE obyèejné"/>
      <w:lang w:eastAsia="cs-CZ"/>
    </w:rPr>
  </w:style>
  <w:style w:type="character" w:customStyle="1" w:styleId="content">
    <w:name w:val="content"/>
    <w:basedOn w:val="Standardnpsmoodstavce"/>
    <w:rsid w:val="003C4BE8"/>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49615720">
      <w:bodyDiv w:val="1"/>
      <w:marLeft w:val="60"/>
      <w:marRight w:val="60"/>
      <w:marTop w:val="60"/>
      <w:marBottom w:val="15"/>
      <w:divBdr>
        <w:top w:val="none" w:sz="0" w:space="0" w:color="auto"/>
        <w:left w:val="none" w:sz="0" w:space="0" w:color="auto"/>
        <w:bottom w:val="none" w:sz="0" w:space="0" w:color="auto"/>
        <w:right w:val="none" w:sz="0" w:space="0" w:color="auto"/>
      </w:divBdr>
      <w:divsChild>
        <w:div w:id="658968227">
          <w:marLeft w:val="0"/>
          <w:marRight w:val="0"/>
          <w:marTop w:val="0"/>
          <w:marBottom w:val="0"/>
          <w:divBdr>
            <w:top w:val="none" w:sz="0" w:space="0" w:color="auto"/>
            <w:left w:val="none" w:sz="0" w:space="0" w:color="auto"/>
            <w:bottom w:val="none" w:sz="0" w:space="0" w:color="auto"/>
            <w:right w:val="none" w:sz="0" w:space="0" w:color="auto"/>
          </w:divBdr>
        </w:div>
      </w:divsChild>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04515303">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932319695">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12266825">
      <w:bodyDiv w:val="1"/>
      <w:marLeft w:val="60"/>
      <w:marRight w:val="60"/>
      <w:marTop w:val="60"/>
      <w:marBottom w:val="15"/>
      <w:divBdr>
        <w:top w:val="none" w:sz="0" w:space="0" w:color="auto"/>
        <w:left w:val="none" w:sz="0" w:space="0" w:color="auto"/>
        <w:bottom w:val="none" w:sz="0" w:space="0" w:color="auto"/>
        <w:right w:val="none" w:sz="0" w:space="0" w:color="auto"/>
      </w:divBdr>
      <w:divsChild>
        <w:div w:id="1418138374">
          <w:marLeft w:val="0"/>
          <w:marRight w:val="0"/>
          <w:marTop w:val="0"/>
          <w:marBottom w:val="0"/>
          <w:divBdr>
            <w:top w:val="none" w:sz="0" w:space="0" w:color="auto"/>
            <w:left w:val="none" w:sz="0" w:space="0" w:color="auto"/>
            <w:bottom w:val="none" w:sz="0" w:space="0" w:color="auto"/>
            <w:right w:val="none" w:sz="0" w:space="0" w:color="auto"/>
          </w:divBdr>
        </w:div>
      </w:divsChild>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940479751">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Anal&#253;za\Ro&#269;n&#237;%20anal&#253;za%202018\Ana&#253;za%20ekonomick&#233;ho%20v&#253;voje%20v%20roce%202017.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Dokumenty\Anal&#253;za\Ro&#269;n&#237;%20anal&#253;za%202018\Investice\odv&#283;tvov&#28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Dokumenty\Anal&#253;za\Ro&#269;n&#237;%20anal&#253;za%202018\Investice\THFK_V_bc_CZ.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ukupova31519\AppData\Local\Temp\nama_10_gdp.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7.880065856129688E-2"/>
          <c:y val="3.9316672295395698E-2"/>
          <c:w val="0.89995482944951444"/>
          <c:h val="0.76052572329168477"/>
        </c:manualLayout>
      </c:layout>
      <c:barChart>
        <c:barDir val="col"/>
        <c:grouping val="stacked"/>
        <c:ser>
          <c:idx val="1"/>
          <c:order val="0"/>
          <c:tx>
            <c:strRef>
              <c:f>sektory!$J$2</c:f>
              <c:strCache>
                <c:ptCount val="1"/>
                <c:pt idx="0">
                  <c:v>Finanční instituce</c:v>
                </c:pt>
              </c:strCache>
            </c:strRef>
          </c:tx>
          <c:spPr>
            <a:solidFill>
              <a:srgbClr val="E8AFB2"/>
            </a:solidFill>
            <a:ln>
              <a:noFill/>
            </a:ln>
          </c:spPr>
          <c:cat>
            <c:numRef>
              <c:f>sektory!$G$12:$G$21</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sektory!$J$12:$J$21</c:f>
              <c:numCache>
                <c:formatCode>0.0</c:formatCode>
                <c:ptCount val="10"/>
                <c:pt idx="0">
                  <c:v>6.2569999999999997</c:v>
                </c:pt>
                <c:pt idx="1">
                  <c:v>-7.6649999999999645</c:v>
                </c:pt>
                <c:pt idx="2">
                  <c:v>0.73100000000000065</c:v>
                </c:pt>
                <c:pt idx="3">
                  <c:v>1.1140000000000001</c:v>
                </c:pt>
                <c:pt idx="4">
                  <c:v>0.22500000000000003</c:v>
                </c:pt>
                <c:pt idx="5">
                  <c:v>-1.9640000000000071</c:v>
                </c:pt>
                <c:pt idx="6">
                  <c:v>0.77900000000000458</c:v>
                </c:pt>
                <c:pt idx="7">
                  <c:v>2.68</c:v>
                </c:pt>
                <c:pt idx="8">
                  <c:v>6.8879999999999955</c:v>
                </c:pt>
                <c:pt idx="9">
                  <c:v>5.3849999999999945</c:v>
                </c:pt>
              </c:numCache>
            </c:numRef>
          </c:val>
          <c:extLst xmlns:c16r2="http://schemas.microsoft.com/office/drawing/2015/06/chart">
            <c:ext xmlns:c16="http://schemas.microsoft.com/office/drawing/2014/chart" uri="{C3380CC4-5D6E-409C-BE32-E72D297353CC}">
              <c16:uniqueId val="{00000000-BEAB-44B7-BC8E-C059686CFA81}"/>
            </c:ext>
          </c:extLst>
        </c:ser>
        <c:ser>
          <c:idx val="2"/>
          <c:order val="1"/>
          <c:tx>
            <c:strRef>
              <c:f>sektory!$K$2</c:f>
              <c:strCache>
                <c:ptCount val="1"/>
                <c:pt idx="0">
                  <c:v>Vládní instituce</c:v>
                </c:pt>
              </c:strCache>
            </c:strRef>
          </c:tx>
          <c:spPr>
            <a:solidFill>
              <a:srgbClr val="BD1B21"/>
            </a:solidFill>
            <a:ln>
              <a:noFill/>
            </a:ln>
          </c:spPr>
          <c:cat>
            <c:numRef>
              <c:f>sektory!$G$12:$G$21</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sektory!$K$12:$K$21</c:f>
              <c:numCache>
                <c:formatCode>0.0</c:formatCode>
                <c:ptCount val="10"/>
                <c:pt idx="0">
                  <c:v>29.742999999999867</c:v>
                </c:pt>
                <c:pt idx="1">
                  <c:v>24.873000000000001</c:v>
                </c:pt>
                <c:pt idx="2">
                  <c:v>-34.633000000000003</c:v>
                </c:pt>
                <c:pt idx="3">
                  <c:v>-21.411999999999999</c:v>
                </c:pt>
                <c:pt idx="4">
                  <c:v>-11.676</c:v>
                </c:pt>
                <c:pt idx="5">
                  <c:v>-16.98699999999986</c:v>
                </c:pt>
                <c:pt idx="6">
                  <c:v>25.594000000000001</c:v>
                </c:pt>
                <c:pt idx="7">
                  <c:v>58.33</c:v>
                </c:pt>
                <c:pt idx="8">
                  <c:v>-81.111000000000004</c:v>
                </c:pt>
                <c:pt idx="9">
                  <c:v>13.335000000000004</c:v>
                </c:pt>
              </c:numCache>
            </c:numRef>
          </c:val>
          <c:extLst xmlns:c16r2="http://schemas.microsoft.com/office/drawing/2015/06/chart">
            <c:ext xmlns:c16="http://schemas.microsoft.com/office/drawing/2014/chart" uri="{C3380CC4-5D6E-409C-BE32-E72D297353CC}">
              <c16:uniqueId val="{00000001-BEAB-44B7-BC8E-C059686CFA81}"/>
            </c:ext>
          </c:extLst>
        </c:ser>
        <c:ser>
          <c:idx val="3"/>
          <c:order val="2"/>
          <c:tx>
            <c:strRef>
              <c:f>sektory!$L$2</c:f>
              <c:strCache>
                <c:ptCount val="1"/>
                <c:pt idx="0">
                  <c:v>Domácnosti a NISD</c:v>
                </c:pt>
              </c:strCache>
            </c:strRef>
          </c:tx>
          <c:spPr>
            <a:solidFill>
              <a:srgbClr val="A6CDE8"/>
            </a:solidFill>
            <a:ln>
              <a:noFill/>
            </a:ln>
          </c:spPr>
          <c:cat>
            <c:numRef>
              <c:f>sektory!$G$12:$G$21</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sektory!$L$12:$L$21</c:f>
              <c:numCache>
                <c:formatCode>0.0</c:formatCode>
                <c:ptCount val="10"/>
                <c:pt idx="0">
                  <c:v>-2.6019999999999999</c:v>
                </c:pt>
                <c:pt idx="1">
                  <c:v>-7.4870000000000001</c:v>
                </c:pt>
                <c:pt idx="2">
                  <c:v>25.919999999999987</c:v>
                </c:pt>
                <c:pt idx="3">
                  <c:v>-30.218</c:v>
                </c:pt>
                <c:pt idx="4">
                  <c:v>-17.670000000000005</c:v>
                </c:pt>
                <c:pt idx="5">
                  <c:v>-2.36</c:v>
                </c:pt>
                <c:pt idx="6">
                  <c:v>13.192</c:v>
                </c:pt>
                <c:pt idx="7">
                  <c:v>13.599</c:v>
                </c:pt>
                <c:pt idx="8">
                  <c:v>19.302</c:v>
                </c:pt>
                <c:pt idx="9">
                  <c:v>12.159000000000002</c:v>
                </c:pt>
              </c:numCache>
            </c:numRef>
          </c:val>
          <c:extLst xmlns:c16r2="http://schemas.microsoft.com/office/drawing/2015/06/chart">
            <c:ext xmlns:c16="http://schemas.microsoft.com/office/drawing/2014/chart" uri="{C3380CC4-5D6E-409C-BE32-E72D297353CC}">
              <c16:uniqueId val="{00000002-BEAB-44B7-BC8E-C059686CFA81}"/>
            </c:ext>
          </c:extLst>
        </c:ser>
        <c:ser>
          <c:idx val="0"/>
          <c:order val="3"/>
          <c:tx>
            <c:strRef>
              <c:f>sektory!$I$2</c:f>
              <c:strCache>
                <c:ptCount val="1"/>
                <c:pt idx="0">
                  <c:v>Nefinanční podniky</c:v>
                </c:pt>
              </c:strCache>
            </c:strRef>
          </c:tx>
          <c:spPr>
            <a:solidFill>
              <a:srgbClr val="0071BC"/>
            </a:solidFill>
            <a:ln>
              <a:noFill/>
            </a:ln>
          </c:spPr>
          <c:cat>
            <c:numRef>
              <c:f>sektory!$G$12:$G$21</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sektory!$I$12:$I$21</c:f>
              <c:numCache>
                <c:formatCode>0.0</c:formatCode>
                <c:ptCount val="10"/>
                <c:pt idx="0">
                  <c:v>-0.49800000000000183</c:v>
                </c:pt>
                <c:pt idx="1">
                  <c:v>-111.627</c:v>
                </c:pt>
                <c:pt idx="2">
                  <c:v>10.873000000000006</c:v>
                </c:pt>
                <c:pt idx="3">
                  <c:v>51.347999999999999</c:v>
                </c:pt>
                <c:pt idx="4">
                  <c:v>14.047000000000001</c:v>
                </c:pt>
                <c:pt idx="5">
                  <c:v>-3.5430000000000001</c:v>
                </c:pt>
                <c:pt idx="6">
                  <c:v>17.420999999999989</c:v>
                </c:pt>
                <c:pt idx="7">
                  <c:v>57.622000000000163</c:v>
                </c:pt>
                <c:pt idx="8">
                  <c:v>27.331000000000031</c:v>
                </c:pt>
                <c:pt idx="9">
                  <c:v>26.541</c:v>
                </c:pt>
              </c:numCache>
            </c:numRef>
          </c:val>
          <c:extLst xmlns:c16r2="http://schemas.microsoft.com/office/drawing/2015/06/chart">
            <c:ext xmlns:c16="http://schemas.microsoft.com/office/drawing/2014/chart" uri="{C3380CC4-5D6E-409C-BE32-E72D297353CC}">
              <c16:uniqueId val="{00000003-BEAB-44B7-BC8E-C059686CFA81}"/>
            </c:ext>
          </c:extLst>
        </c:ser>
        <c:gapWidth val="92"/>
        <c:overlap val="100"/>
        <c:axId val="150401792"/>
        <c:axId val="150403328"/>
      </c:barChart>
      <c:lineChart>
        <c:grouping val="stacked"/>
        <c:ser>
          <c:idx val="4"/>
          <c:order val="4"/>
          <c:tx>
            <c:strRef>
              <c:f>sektory!$H$2</c:f>
              <c:strCache>
                <c:ptCount val="1"/>
                <c:pt idx="0">
                  <c:v>Celkem</c:v>
                </c:pt>
              </c:strCache>
            </c:strRef>
          </c:tx>
          <c:spPr>
            <a:ln w="28440">
              <a:solidFill>
                <a:schemeClr val="tx1"/>
              </a:solidFill>
              <a:round/>
            </a:ln>
          </c:spPr>
          <c:marker>
            <c:symbol val="none"/>
          </c:marker>
          <c:cat>
            <c:numRef>
              <c:f>sektory!$G$12:$G$21</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sektory!$H$12:$H$21</c:f>
              <c:numCache>
                <c:formatCode>0.0</c:formatCode>
                <c:ptCount val="10"/>
                <c:pt idx="0">
                  <c:v>32.9</c:v>
                </c:pt>
                <c:pt idx="1">
                  <c:v>-101.90600000000002</c:v>
                </c:pt>
                <c:pt idx="2">
                  <c:v>2.8909999999999987</c:v>
                </c:pt>
                <c:pt idx="3">
                  <c:v>0.83200000000000063</c:v>
                </c:pt>
                <c:pt idx="4">
                  <c:v>-15.074</c:v>
                </c:pt>
                <c:pt idx="5">
                  <c:v>-24.853999999999999</c:v>
                </c:pt>
                <c:pt idx="6">
                  <c:v>56.986000000000004</c:v>
                </c:pt>
                <c:pt idx="7">
                  <c:v>132.23099999999999</c:v>
                </c:pt>
                <c:pt idx="8">
                  <c:v>-27.59</c:v>
                </c:pt>
                <c:pt idx="9">
                  <c:v>57.42</c:v>
                </c:pt>
              </c:numCache>
            </c:numRef>
          </c:val>
          <c:extLst xmlns:c16r2="http://schemas.microsoft.com/office/drawing/2015/06/chart">
            <c:ext xmlns:c16="http://schemas.microsoft.com/office/drawing/2014/chart" uri="{C3380CC4-5D6E-409C-BE32-E72D297353CC}">
              <c16:uniqueId val="{00000004-BEAB-44B7-BC8E-C059686CFA81}"/>
            </c:ext>
          </c:extLst>
        </c:ser>
        <c:hiLowLines>
          <c:spPr>
            <a:ln>
              <a:noFill/>
            </a:ln>
          </c:spPr>
        </c:hiLowLines>
        <c:marker val="1"/>
        <c:axId val="150974464"/>
        <c:axId val="150976000"/>
      </c:lineChart>
      <c:catAx>
        <c:axId val="150401792"/>
        <c:scaling>
          <c:orientation val="minMax"/>
        </c:scaling>
        <c:axPos val="b"/>
        <c:numFmt formatCode="General" sourceLinked="1"/>
        <c:tickLblPos val="low"/>
        <c:spPr>
          <a:ln w="9360">
            <a:solidFill>
              <a:srgbClr val="878787"/>
            </a:solidFill>
            <a:round/>
          </a:ln>
        </c:spPr>
        <c:crossAx val="150403328"/>
        <c:crosses val="autoZero"/>
        <c:auto val="1"/>
        <c:lblAlgn val="ctr"/>
        <c:lblOffset val="100"/>
      </c:catAx>
      <c:valAx>
        <c:axId val="150403328"/>
        <c:scaling>
          <c:orientation val="minMax"/>
        </c:scaling>
        <c:axPos val="l"/>
        <c:majorGridlines>
          <c:spPr>
            <a:ln w="9360">
              <a:solidFill>
                <a:srgbClr val="878787"/>
              </a:solidFill>
              <a:round/>
            </a:ln>
          </c:spPr>
        </c:majorGridlines>
        <c:numFmt formatCode="#,##0" sourceLinked="0"/>
        <c:tickLblPos val="nextTo"/>
        <c:spPr>
          <a:ln w="9360">
            <a:solidFill>
              <a:srgbClr val="878787"/>
            </a:solidFill>
            <a:round/>
          </a:ln>
        </c:spPr>
        <c:crossAx val="150401792"/>
        <c:crosses val="autoZero"/>
        <c:crossBetween val="between"/>
      </c:valAx>
      <c:catAx>
        <c:axId val="150974464"/>
        <c:scaling>
          <c:orientation val="minMax"/>
        </c:scaling>
        <c:delete val="1"/>
        <c:axPos val="b"/>
        <c:numFmt formatCode="General" sourceLinked="1"/>
        <c:tickLblPos val="none"/>
        <c:crossAx val="150976000"/>
        <c:crosses val="autoZero"/>
        <c:auto val="1"/>
        <c:lblAlgn val="ctr"/>
        <c:lblOffset val="100"/>
      </c:catAx>
      <c:valAx>
        <c:axId val="150976000"/>
        <c:scaling>
          <c:orientation val="minMax"/>
        </c:scaling>
        <c:delete val="1"/>
        <c:axPos val="l"/>
        <c:majorGridlines>
          <c:spPr>
            <a:ln w="9360">
              <a:solidFill>
                <a:srgbClr val="878787"/>
              </a:solidFill>
              <a:round/>
            </a:ln>
          </c:spPr>
        </c:majorGridlines>
        <c:numFmt formatCode="#,##0" sourceLinked="0"/>
        <c:tickLblPos val="none"/>
        <c:crossAx val="150974464"/>
        <c:crosses val="autoZero"/>
        <c:crossBetween val="between"/>
      </c:valAx>
      <c:spPr>
        <a:solidFill>
          <a:srgbClr val="FFFFFF"/>
        </a:solidFill>
        <a:ln>
          <a:solidFill>
            <a:sysClr val="windowText" lastClr="000000"/>
          </a:solidFill>
        </a:ln>
      </c:spPr>
    </c:plotArea>
    <c:legend>
      <c:legendPos val="r"/>
      <c:layout>
        <c:manualLayout>
          <c:xMode val="edge"/>
          <c:yMode val="edge"/>
          <c:x val="7.804626815265113E-2"/>
          <c:y val="0.87488798829224357"/>
          <c:w val="0.90050827423167845"/>
          <c:h val="0.11161628954182162"/>
        </c:manualLayout>
      </c:layout>
      <c:spPr>
        <a:noFill/>
        <a:ln>
          <a:solidFill>
            <a:schemeClr val="tx1"/>
          </a:solidFill>
        </a:ln>
      </c:spPr>
    </c:legend>
    <c:plotVisOnly val="1"/>
    <c:dispBlanksAs val="gap"/>
  </c:chart>
  <c:spPr>
    <a:solidFill>
      <a:srgbClr val="FFFFFF"/>
    </a:solidFill>
    <a:ln>
      <a:noFill/>
    </a:ln>
  </c:spPr>
  <c:txPr>
    <a:bodyPr/>
    <a:lstStyle/>
    <a:p>
      <a:pPr>
        <a:defRPr sz="800" baseline="0">
          <a:latin typeface="Arial" pitchFamily="34" charset="0"/>
        </a:defRPr>
      </a:pPr>
      <a:endParaRPr lang="cs-CZ"/>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7.8800658561296866E-2"/>
          <c:y val="3.9316672295395698E-2"/>
          <c:w val="0.89479462174940894"/>
          <c:h val="0.73364150624789892"/>
        </c:manualLayout>
      </c:layout>
      <c:barChart>
        <c:barDir val="col"/>
        <c:grouping val="stacked"/>
        <c:ser>
          <c:idx val="7"/>
          <c:order val="1"/>
          <c:tx>
            <c:strRef>
              <c:f>THFK_V_bc_CZ!$A$33:$B$33</c:f>
              <c:strCache>
                <c:ptCount val="1"/>
                <c:pt idx="0">
                  <c:v>Ostatní investice*</c:v>
                </c:pt>
              </c:strCache>
            </c:strRef>
          </c:tx>
          <c:spPr>
            <a:solidFill>
              <a:srgbClr val="808080"/>
            </a:solidFill>
          </c:spPr>
          <c:cat>
            <c:numRef>
              <c:f>THFK_V_bc_CZ!$J$25:$S$25</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THFK_V_bc_CZ!$J$33:$S$33</c:f>
              <c:numCache>
                <c:formatCode>General</c:formatCode>
                <c:ptCount val="10"/>
                <c:pt idx="0">
                  <c:v>-0.73400000000000065</c:v>
                </c:pt>
                <c:pt idx="1">
                  <c:v>0.90899999999999992</c:v>
                </c:pt>
                <c:pt idx="2">
                  <c:v>1.228</c:v>
                </c:pt>
                <c:pt idx="3">
                  <c:v>1.212</c:v>
                </c:pt>
                <c:pt idx="4">
                  <c:v>-0.35300000000000031</c:v>
                </c:pt>
                <c:pt idx="5">
                  <c:v>-3.1789999999999994</c:v>
                </c:pt>
                <c:pt idx="6">
                  <c:v>-0.91300000000000003</c:v>
                </c:pt>
                <c:pt idx="7">
                  <c:v>9.7860000000000014</c:v>
                </c:pt>
                <c:pt idx="8">
                  <c:v>-9.1989999999999998</c:v>
                </c:pt>
                <c:pt idx="9">
                  <c:v>8.6000000000000021E-2</c:v>
                </c:pt>
              </c:numCache>
            </c:numRef>
          </c:val>
          <c:extLst xmlns:c16r2="http://schemas.microsoft.com/office/drawing/2015/06/chart">
            <c:ext xmlns:c16="http://schemas.microsoft.com/office/drawing/2014/chart" uri="{C3380CC4-5D6E-409C-BE32-E72D297353CC}">
              <c16:uniqueId val="{00000000-CFF7-440E-97B4-30A7FBB3212C}"/>
            </c:ext>
          </c:extLst>
        </c:ser>
        <c:ser>
          <c:idx val="1"/>
          <c:order val="2"/>
          <c:tx>
            <c:strRef>
              <c:f>THFK_V_bc_CZ!$A$27:$B$27</c:f>
              <c:strCache>
                <c:ptCount val="1"/>
                <c:pt idx="0">
                  <c:v>Obydlí</c:v>
                </c:pt>
              </c:strCache>
            </c:strRef>
          </c:tx>
          <c:spPr>
            <a:solidFill>
              <a:srgbClr val="BD1B21"/>
            </a:solidFill>
          </c:spPr>
          <c:cat>
            <c:numRef>
              <c:f>THFK_V_bc_CZ!$J$25:$S$25</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THFK_V_bc_CZ!$J$27:$S$27</c:f>
              <c:numCache>
                <c:formatCode>General</c:formatCode>
                <c:ptCount val="10"/>
                <c:pt idx="0">
                  <c:v>2.7829999999999999</c:v>
                </c:pt>
                <c:pt idx="1">
                  <c:v>-11.797999999999998</c:v>
                </c:pt>
                <c:pt idx="2">
                  <c:v>12.31</c:v>
                </c:pt>
                <c:pt idx="3">
                  <c:v>-12.42</c:v>
                </c:pt>
                <c:pt idx="4">
                  <c:v>1.35</c:v>
                </c:pt>
                <c:pt idx="5">
                  <c:v>-16.372</c:v>
                </c:pt>
                <c:pt idx="6">
                  <c:v>11.922000000000002</c:v>
                </c:pt>
                <c:pt idx="7">
                  <c:v>19.391999999999999</c:v>
                </c:pt>
                <c:pt idx="8">
                  <c:v>11.277000000000001</c:v>
                </c:pt>
                <c:pt idx="9">
                  <c:v>19.873999999999999</c:v>
                </c:pt>
              </c:numCache>
            </c:numRef>
          </c:val>
          <c:extLst xmlns:c16r2="http://schemas.microsoft.com/office/drawing/2015/06/chart">
            <c:ext xmlns:c16="http://schemas.microsoft.com/office/drawing/2014/chart" uri="{C3380CC4-5D6E-409C-BE32-E72D297353CC}">
              <c16:uniqueId val="{00000001-CFF7-440E-97B4-30A7FBB3212C}"/>
            </c:ext>
          </c:extLst>
        </c:ser>
        <c:ser>
          <c:idx val="6"/>
          <c:order val="3"/>
          <c:tx>
            <c:strRef>
              <c:f>THFK_V_bc_CZ!$A$32:$B$32</c:f>
              <c:strCache>
                <c:ptCount val="1"/>
                <c:pt idx="0">
                  <c:v>Produkty duševního vlastnictví</c:v>
                </c:pt>
              </c:strCache>
            </c:strRef>
          </c:tx>
          <c:spPr>
            <a:solidFill>
              <a:srgbClr val="A6CDE8"/>
            </a:solidFill>
          </c:spPr>
          <c:cat>
            <c:numRef>
              <c:f>THFK_V_bc_CZ!$J$25:$S$25</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THFK_V_bc_CZ!$J$32:$S$32</c:f>
              <c:numCache>
                <c:formatCode>General</c:formatCode>
                <c:ptCount val="10"/>
                <c:pt idx="0">
                  <c:v>8.7680000000000025</c:v>
                </c:pt>
                <c:pt idx="1">
                  <c:v>0.65900000000000503</c:v>
                </c:pt>
                <c:pt idx="2">
                  <c:v>-12.014000000000001</c:v>
                </c:pt>
                <c:pt idx="3">
                  <c:v>13.474</c:v>
                </c:pt>
                <c:pt idx="4">
                  <c:v>15.11</c:v>
                </c:pt>
                <c:pt idx="5">
                  <c:v>-1.1659999999999919</c:v>
                </c:pt>
                <c:pt idx="6">
                  <c:v>7.0679999999999845</c:v>
                </c:pt>
                <c:pt idx="7">
                  <c:v>24.143000000000001</c:v>
                </c:pt>
                <c:pt idx="8">
                  <c:v>11.579000000000002</c:v>
                </c:pt>
                <c:pt idx="9">
                  <c:v>11.747999999999999</c:v>
                </c:pt>
              </c:numCache>
            </c:numRef>
          </c:val>
          <c:extLst xmlns:c16r2="http://schemas.microsoft.com/office/drawing/2015/06/chart">
            <c:ext xmlns:c16="http://schemas.microsoft.com/office/drawing/2014/chart" uri="{C3380CC4-5D6E-409C-BE32-E72D297353CC}">
              <c16:uniqueId val="{00000002-CFF7-440E-97B4-30A7FBB3212C}"/>
            </c:ext>
          </c:extLst>
        </c:ser>
        <c:ser>
          <c:idx val="2"/>
          <c:order val="4"/>
          <c:tx>
            <c:strRef>
              <c:f>THFK_V_bc_CZ!$A$28:$B$28</c:f>
              <c:strCache>
                <c:ptCount val="1"/>
                <c:pt idx="0">
                  <c:v>Ostatní budovy a stavby</c:v>
                </c:pt>
              </c:strCache>
            </c:strRef>
          </c:tx>
          <c:spPr>
            <a:solidFill>
              <a:srgbClr val="E8AFB2"/>
            </a:solidFill>
          </c:spPr>
          <c:cat>
            <c:numRef>
              <c:f>THFK_V_bc_CZ!$J$25:$S$25</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THFK_V_bc_CZ!$J$28:$S$28</c:f>
              <c:numCache>
                <c:formatCode>General</c:formatCode>
                <c:ptCount val="10"/>
                <c:pt idx="0">
                  <c:v>12.630999999999998</c:v>
                </c:pt>
                <c:pt idx="1">
                  <c:v>-12.271000000000001</c:v>
                </c:pt>
                <c:pt idx="2">
                  <c:v>-18.803000000000001</c:v>
                </c:pt>
                <c:pt idx="3">
                  <c:v>-9.261000000000001</c:v>
                </c:pt>
                <c:pt idx="4">
                  <c:v>-16.933</c:v>
                </c:pt>
                <c:pt idx="5">
                  <c:v>-10.499000000000002</c:v>
                </c:pt>
                <c:pt idx="6">
                  <c:v>-3.92</c:v>
                </c:pt>
                <c:pt idx="7">
                  <c:v>28.265999999999853</c:v>
                </c:pt>
                <c:pt idx="8">
                  <c:v>-38.123000000000012</c:v>
                </c:pt>
                <c:pt idx="9">
                  <c:v>13.88</c:v>
                </c:pt>
              </c:numCache>
            </c:numRef>
          </c:val>
          <c:extLst xmlns:c16r2="http://schemas.microsoft.com/office/drawing/2015/06/chart">
            <c:ext xmlns:c16="http://schemas.microsoft.com/office/drawing/2014/chart" uri="{C3380CC4-5D6E-409C-BE32-E72D297353CC}">
              <c16:uniqueId val="{00000003-CFF7-440E-97B4-30A7FBB3212C}"/>
            </c:ext>
          </c:extLst>
        </c:ser>
        <c:ser>
          <c:idx val="3"/>
          <c:order val="5"/>
          <c:tx>
            <c:strRef>
              <c:f>THFK_V_bc_CZ!$A$29:$B$29</c:f>
              <c:strCache>
                <c:ptCount val="1"/>
                <c:pt idx="0">
                  <c:v>Stroje a zařízení</c:v>
                </c:pt>
              </c:strCache>
            </c:strRef>
          </c:tx>
          <c:spPr>
            <a:solidFill>
              <a:srgbClr val="0071BC"/>
            </a:solidFill>
          </c:spPr>
          <c:cat>
            <c:numRef>
              <c:f>THFK_V_bc_CZ!$J$25:$S$25</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THFK_V_bc_CZ!$J$29:$S$29</c:f>
              <c:numCache>
                <c:formatCode>General</c:formatCode>
                <c:ptCount val="10"/>
                <c:pt idx="0">
                  <c:v>9.4520000000000248</c:v>
                </c:pt>
                <c:pt idx="1">
                  <c:v>-79.405000000000001</c:v>
                </c:pt>
                <c:pt idx="2">
                  <c:v>20.170000000000005</c:v>
                </c:pt>
                <c:pt idx="3">
                  <c:v>7.8269999999999955</c:v>
                </c:pt>
                <c:pt idx="4">
                  <c:v>-14.247999999999999</c:v>
                </c:pt>
                <c:pt idx="5">
                  <c:v>6.3619999999999965</c:v>
                </c:pt>
                <c:pt idx="6">
                  <c:v>42.829000000000001</c:v>
                </c:pt>
                <c:pt idx="7">
                  <c:v>50.644000000000005</c:v>
                </c:pt>
                <c:pt idx="8">
                  <c:v>-3.1240000000000001</c:v>
                </c:pt>
                <c:pt idx="9">
                  <c:v>11.832000000000004</c:v>
                </c:pt>
              </c:numCache>
            </c:numRef>
          </c:val>
          <c:extLst xmlns:c16r2="http://schemas.microsoft.com/office/drawing/2015/06/chart">
            <c:ext xmlns:c16="http://schemas.microsoft.com/office/drawing/2014/chart" uri="{C3380CC4-5D6E-409C-BE32-E72D297353CC}">
              <c16:uniqueId val="{00000004-CFF7-440E-97B4-30A7FBB3212C}"/>
            </c:ext>
          </c:extLst>
        </c:ser>
        <c:gapWidth val="95"/>
        <c:overlap val="100"/>
        <c:axId val="156634496"/>
        <c:axId val="156648576"/>
      </c:barChart>
      <c:lineChart>
        <c:grouping val="standard"/>
        <c:ser>
          <c:idx val="0"/>
          <c:order val="0"/>
          <c:tx>
            <c:strRef>
              <c:f>THFK_V_bc_CZ!$A$26:$B$26</c:f>
              <c:strCache>
                <c:ptCount val="1"/>
                <c:pt idx="0">
                  <c:v>Celkem</c:v>
                </c:pt>
              </c:strCache>
            </c:strRef>
          </c:tx>
          <c:spPr>
            <a:ln>
              <a:solidFill>
                <a:prstClr val="black"/>
              </a:solidFill>
            </a:ln>
          </c:spPr>
          <c:marker>
            <c:symbol val="none"/>
          </c:marker>
          <c:cat>
            <c:numRef>
              <c:f>THFK_V_bc_CZ!$J$25:$S$25</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THFK_V_bc_CZ!$J$26:$S$26</c:f>
              <c:numCache>
                <c:formatCode>General</c:formatCode>
                <c:ptCount val="10"/>
                <c:pt idx="0">
                  <c:v>32.9</c:v>
                </c:pt>
                <c:pt idx="1">
                  <c:v>-101.90600000000002</c:v>
                </c:pt>
                <c:pt idx="2">
                  <c:v>2.8909999999999987</c:v>
                </c:pt>
                <c:pt idx="3">
                  <c:v>0.83200000000000063</c:v>
                </c:pt>
                <c:pt idx="4">
                  <c:v>-15.074</c:v>
                </c:pt>
                <c:pt idx="5">
                  <c:v>-24.853999999999999</c:v>
                </c:pt>
                <c:pt idx="6">
                  <c:v>56.986000000000004</c:v>
                </c:pt>
                <c:pt idx="7">
                  <c:v>132.23099999999999</c:v>
                </c:pt>
                <c:pt idx="8">
                  <c:v>-27.59</c:v>
                </c:pt>
                <c:pt idx="9">
                  <c:v>57.42</c:v>
                </c:pt>
              </c:numCache>
            </c:numRef>
          </c:val>
          <c:extLst xmlns:c16r2="http://schemas.microsoft.com/office/drawing/2015/06/chart">
            <c:ext xmlns:c16="http://schemas.microsoft.com/office/drawing/2014/chart" uri="{C3380CC4-5D6E-409C-BE32-E72D297353CC}">
              <c16:uniqueId val="{00000005-CFF7-440E-97B4-30A7FBB3212C}"/>
            </c:ext>
          </c:extLst>
        </c:ser>
        <c:marker val="1"/>
        <c:axId val="156634496"/>
        <c:axId val="156648576"/>
      </c:lineChart>
      <c:catAx>
        <c:axId val="156634496"/>
        <c:scaling>
          <c:orientation val="minMax"/>
        </c:scaling>
        <c:axPos val="b"/>
        <c:numFmt formatCode="General" sourceLinked="1"/>
        <c:tickLblPos val="low"/>
        <c:crossAx val="156648576"/>
        <c:crosses val="autoZero"/>
        <c:auto val="1"/>
        <c:lblAlgn val="ctr"/>
        <c:lblOffset val="100"/>
      </c:catAx>
      <c:valAx>
        <c:axId val="156648576"/>
        <c:scaling>
          <c:orientation val="minMax"/>
          <c:min val="-125"/>
        </c:scaling>
        <c:axPos val="l"/>
        <c:majorGridlines/>
        <c:numFmt formatCode="General" sourceLinked="1"/>
        <c:tickLblPos val="nextTo"/>
        <c:crossAx val="156634496"/>
        <c:crosses val="autoZero"/>
        <c:crossBetween val="between"/>
        <c:majorUnit val="25"/>
      </c:valAx>
      <c:spPr>
        <a:ln>
          <a:solidFill>
            <a:prstClr val="black"/>
          </a:solidFill>
        </a:ln>
      </c:spPr>
    </c:plotArea>
    <c:legend>
      <c:legendPos val="r"/>
      <c:layout>
        <c:manualLayout>
          <c:xMode val="edge"/>
          <c:yMode val="edge"/>
          <c:x val="7.5566742654508634E-2"/>
          <c:y val="0.83929021726894604"/>
          <c:w val="0.90030711752786219"/>
          <c:h val="0.15421816953732115"/>
        </c:manualLayout>
      </c:layout>
      <c:spPr>
        <a:ln>
          <a:solidFill>
            <a:prstClr val="black"/>
          </a:solidFill>
        </a:ln>
      </c:spPr>
    </c:legend>
    <c:plotVisOnly val="1"/>
    <c:dispBlanksAs val="gap"/>
  </c:chart>
  <c:spPr>
    <a:ln>
      <a:noFill/>
    </a:ln>
  </c:spPr>
  <c:txPr>
    <a:bodyPr/>
    <a:lstStyle/>
    <a:p>
      <a:pPr>
        <a:defRPr sz="800" baseline="0">
          <a:latin typeface="Arial" pitchFamily="34" charset="0"/>
        </a:defRPr>
      </a:pPr>
      <a:endParaRPr lang="cs-CZ"/>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6.6871833839918973E-2"/>
          <c:y val="3.9316672295395698E-2"/>
          <c:w val="0.91746897163120456"/>
          <c:h val="0.66871552403467827"/>
        </c:manualLayout>
      </c:layout>
      <c:barChart>
        <c:barDir val="col"/>
        <c:grouping val="clustered"/>
        <c:ser>
          <c:idx val="0"/>
          <c:order val="0"/>
          <c:tx>
            <c:strRef>
              <c:f>Data!$J$10</c:f>
              <c:strCache>
                <c:ptCount val="1"/>
                <c:pt idx="0">
                  <c:v>2016</c:v>
                </c:pt>
              </c:strCache>
            </c:strRef>
          </c:tx>
          <c:cat>
            <c:strRef>
              <c:f>Data!$A$11:$A$39</c:f>
              <c:strCache>
                <c:ptCount val="29"/>
                <c:pt idx="0">
                  <c:v>Kypr</c:v>
                </c:pt>
                <c:pt idx="1">
                  <c:v>Maďarsko</c:v>
                </c:pt>
                <c:pt idx="2">
                  <c:v>Lotyšsko</c:v>
                </c:pt>
                <c:pt idx="3">
                  <c:v>Estonsko</c:v>
                </c:pt>
                <c:pt idx="4">
                  <c:v>Slovinsko</c:v>
                </c:pt>
                <c:pt idx="5">
                  <c:v>Řecko</c:v>
                </c:pt>
                <c:pt idx="6">
                  <c:v>Portugalsko</c:v>
                </c:pt>
                <c:pt idx="7">
                  <c:v>Litva</c:v>
                </c:pt>
                <c:pt idx="8">
                  <c:v>Nizozemí</c:v>
                </c:pt>
                <c:pt idx="9">
                  <c:v>Švédsko</c:v>
                </c:pt>
                <c:pt idx="10">
                  <c:v>Španělsko</c:v>
                </c:pt>
                <c:pt idx="11">
                  <c:v>Rakousko</c:v>
                </c:pt>
                <c:pt idx="12">
                  <c:v>Rumunsko</c:v>
                </c:pt>
                <c:pt idx="13">
                  <c:v>Dánsko</c:v>
                </c:pt>
                <c:pt idx="14">
                  <c:v>Francie</c:v>
                </c:pt>
                <c:pt idx="15">
                  <c:v>Finsko</c:v>
                </c:pt>
                <c:pt idx="16">
                  <c:v>Bulharsko</c:v>
                </c:pt>
                <c:pt idx="17">
                  <c:v>Chorvatsko</c:v>
                </c:pt>
                <c:pt idx="18">
                  <c:v>Itálie</c:v>
                </c:pt>
                <c:pt idx="19">
                  <c:v>Polsko</c:v>
                </c:pt>
                <c:pt idx="20">
                  <c:v>Velká Británie</c:v>
                </c:pt>
                <c:pt idx="21">
                  <c:v>ČR</c:v>
                </c:pt>
                <c:pt idx="22">
                  <c:v>Německo</c:v>
                </c:pt>
                <c:pt idx="23">
                  <c:v>Slovensko</c:v>
                </c:pt>
                <c:pt idx="24">
                  <c:v>EU 28</c:v>
                </c:pt>
                <c:pt idx="25">
                  <c:v>Lucembursko</c:v>
                </c:pt>
                <c:pt idx="26">
                  <c:v>Belgie</c:v>
                </c:pt>
                <c:pt idx="27">
                  <c:v>Malta</c:v>
                </c:pt>
                <c:pt idx="28">
                  <c:v>Irsko</c:v>
                </c:pt>
              </c:strCache>
            </c:strRef>
          </c:cat>
          <c:val>
            <c:numRef>
              <c:f>Data!$J$11:$J$39</c:f>
              <c:numCache>
                <c:formatCode>#,##0.0</c:formatCode>
                <c:ptCount val="29"/>
                <c:pt idx="0">
                  <c:v>35</c:v>
                </c:pt>
                <c:pt idx="1">
                  <c:v>-10.6</c:v>
                </c:pt>
                <c:pt idx="2">
                  <c:v>-15</c:v>
                </c:pt>
                <c:pt idx="3">
                  <c:v>-1.2</c:v>
                </c:pt>
                <c:pt idx="4">
                  <c:v>-3.6</c:v>
                </c:pt>
                <c:pt idx="5">
                  <c:v>1.6</c:v>
                </c:pt>
                <c:pt idx="6">
                  <c:v>1.5</c:v>
                </c:pt>
                <c:pt idx="7">
                  <c:v>-0.5</c:v>
                </c:pt>
                <c:pt idx="8">
                  <c:v>-7.3</c:v>
                </c:pt>
                <c:pt idx="9">
                  <c:v>5.6</c:v>
                </c:pt>
                <c:pt idx="10">
                  <c:v>3.3</c:v>
                </c:pt>
                <c:pt idx="11">
                  <c:v>3.7</c:v>
                </c:pt>
                <c:pt idx="12">
                  <c:v>-2.1</c:v>
                </c:pt>
                <c:pt idx="13">
                  <c:v>6</c:v>
                </c:pt>
                <c:pt idx="14">
                  <c:v>2.8</c:v>
                </c:pt>
                <c:pt idx="15">
                  <c:v>8.5</c:v>
                </c:pt>
                <c:pt idx="16">
                  <c:v>-6.6</c:v>
                </c:pt>
                <c:pt idx="17">
                  <c:v>6.5</c:v>
                </c:pt>
                <c:pt idx="18">
                  <c:v>3.2</c:v>
                </c:pt>
                <c:pt idx="19">
                  <c:v>-8.2000000000000011</c:v>
                </c:pt>
                <c:pt idx="20">
                  <c:v>2.2999999999999998</c:v>
                </c:pt>
                <c:pt idx="21">
                  <c:v>-3.1</c:v>
                </c:pt>
                <c:pt idx="22">
                  <c:v>3.1</c:v>
                </c:pt>
                <c:pt idx="23">
                  <c:v>-8.3000000000000007</c:v>
                </c:pt>
                <c:pt idx="24">
                  <c:v>2.9</c:v>
                </c:pt>
                <c:pt idx="25">
                  <c:v>0.5</c:v>
                </c:pt>
                <c:pt idx="26">
                  <c:v>3.8</c:v>
                </c:pt>
                <c:pt idx="27">
                  <c:v>1.7</c:v>
                </c:pt>
                <c:pt idx="28">
                  <c:v>51.4</c:v>
                </c:pt>
              </c:numCache>
            </c:numRef>
          </c:val>
          <c:extLst xmlns:c16r2="http://schemas.microsoft.com/office/drawing/2015/06/chart">
            <c:ext xmlns:c16="http://schemas.microsoft.com/office/drawing/2014/chart" uri="{C3380CC4-5D6E-409C-BE32-E72D297353CC}">
              <c16:uniqueId val="{00000000-B39F-4EB4-9F8F-2BC66CE5F295}"/>
            </c:ext>
          </c:extLst>
        </c:ser>
        <c:ser>
          <c:idx val="1"/>
          <c:order val="1"/>
          <c:tx>
            <c:strRef>
              <c:f>Data!$K$10</c:f>
              <c:strCache>
                <c:ptCount val="1"/>
                <c:pt idx="0">
                  <c:v>2017</c:v>
                </c:pt>
              </c:strCache>
            </c:strRef>
          </c:tx>
          <c:cat>
            <c:strRef>
              <c:f>Data!$A$11:$A$39</c:f>
              <c:strCache>
                <c:ptCount val="29"/>
                <c:pt idx="0">
                  <c:v>Kypr</c:v>
                </c:pt>
                <c:pt idx="1">
                  <c:v>Maďarsko</c:v>
                </c:pt>
                <c:pt idx="2">
                  <c:v>Lotyšsko</c:v>
                </c:pt>
                <c:pt idx="3">
                  <c:v>Estonsko</c:v>
                </c:pt>
                <c:pt idx="4">
                  <c:v>Slovinsko</c:v>
                </c:pt>
                <c:pt idx="5">
                  <c:v>Řecko</c:v>
                </c:pt>
                <c:pt idx="6">
                  <c:v>Portugalsko</c:v>
                </c:pt>
                <c:pt idx="7">
                  <c:v>Litva</c:v>
                </c:pt>
                <c:pt idx="8">
                  <c:v>Nizozemí</c:v>
                </c:pt>
                <c:pt idx="9">
                  <c:v>Švédsko</c:v>
                </c:pt>
                <c:pt idx="10">
                  <c:v>Španělsko</c:v>
                </c:pt>
                <c:pt idx="11">
                  <c:v>Rakousko</c:v>
                </c:pt>
                <c:pt idx="12">
                  <c:v>Rumunsko</c:v>
                </c:pt>
                <c:pt idx="13">
                  <c:v>Dánsko</c:v>
                </c:pt>
                <c:pt idx="14">
                  <c:v>Francie</c:v>
                </c:pt>
                <c:pt idx="15">
                  <c:v>Finsko</c:v>
                </c:pt>
                <c:pt idx="16">
                  <c:v>Bulharsko</c:v>
                </c:pt>
                <c:pt idx="17">
                  <c:v>Chorvatsko</c:v>
                </c:pt>
                <c:pt idx="18">
                  <c:v>Itálie</c:v>
                </c:pt>
                <c:pt idx="19">
                  <c:v>Polsko</c:v>
                </c:pt>
                <c:pt idx="20">
                  <c:v>Velká Británie</c:v>
                </c:pt>
                <c:pt idx="21">
                  <c:v>ČR</c:v>
                </c:pt>
                <c:pt idx="22">
                  <c:v>Německo</c:v>
                </c:pt>
                <c:pt idx="23">
                  <c:v>Slovensko</c:v>
                </c:pt>
                <c:pt idx="24">
                  <c:v>EU 28</c:v>
                </c:pt>
                <c:pt idx="25">
                  <c:v>Lucembursko</c:v>
                </c:pt>
                <c:pt idx="26">
                  <c:v>Belgie</c:v>
                </c:pt>
                <c:pt idx="27">
                  <c:v>Malta</c:v>
                </c:pt>
                <c:pt idx="28">
                  <c:v>Irsko</c:v>
                </c:pt>
              </c:strCache>
            </c:strRef>
          </c:cat>
          <c:val>
            <c:numRef>
              <c:f>Data!$K$11:$K$39</c:f>
              <c:numCache>
                <c:formatCode>#,##0.0</c:formatCode>
                <c:ptCount val="29"/>
                <c:pt idx="0">
                  <c:v>27.8</c:v>
                </c:pt>
                <c:pt idx="1">
                  <c:v>16.8</c:v>
                </c:pt>
                <c:pt idx="2">
                  <c:v>16</c:v>
                </c:pt>
                <c:pt idx="3">
                  <c:v>13.1</c:v>
                </c:pt>
                <c:pt idx="4">
                  <c:v>10.3</c:v>
                </c:pt>
                <c:pt idx="5">
                  <c:v>9.6</c:v>
                </c:pt>
                <c:pt idx="6">
                  <c:v>9.2000000000000011</c:v>
                </c:pt>
                <c:pt idx="7">
                  <c:v>7.3</c:v>
                </c:pt>
                <c:pt idx="8">
                  <c:v>6.1</c:v>
                </c:pt>
                <c:pt idx="9">
                  <c:v>5.9</c:v>
                </c:pt>
                <c:pt idx="10">
                  <c:v>5</c:v>
                </c:pt>
                <c:pt idx="11">
                  <c:v>4.9000000000000004</c:v>
                </c:pt>
                <c:pt idx="12">
                  <c:v>4.7</c:v>
                </c:pt>
                <c:pt idx="13">
                  <c:v>4.5</c:v>
                </c:pt>
                <c:pt idx="14">
                  <c:v>4.5</c:v>
                </c:pt>
                <c:pt idx="15">
                  <c:v>4</c:v>
                </c:pt>
                <c:pt idx="16">
                  <c:v>3.8</c:v>
                </c:pt>
                <c:pt idx="17">
                  <c:v>3.8</c:v>
                </c:pt>
                <c:pt idx="18">
                  <c:v>3.8</c:v>
                </c:pt>
                <c:pt idx="19">
                  <c:v>3.4</c:v>
                </c:pt>
                <c:pt idx="20">
                  <c:v>3.4</c:v>
                </c:pt>
                <c:pt idx="21">
                  <c:v>3.3</c:v>
                </c:pt>
                <c:pt idx="22">
                  <c:v>3.3</c:v>
                </c:pt>
                <c:pt idx="23">
                  <c:v>3.2</c:v>
                </c:pt>
                <c:pt idx="24">
                  <c:v>3.1</c:v>
                </c:pt>
                <c:pt idx="25">
                  <c:v>1.9000000000000001</c:v>
                </c:pt>
                <c:pt idx="26">
                  <c:v>0.70000000000000062</c:v>
                </c:pt>
                <c:pt idx="27">
                  <c:v>-7.6</c:v>
                </c:pt>
                <c:pt idx="28">
                  <c:v>-31</c:v>
                </c:pt>
              </c:numCache>
            </c:numRef>
          </c:val>
          <c:extLst xmlns:c16r2="http://schemas.microsoft.com/office/drawing/2015/06/chart">
            <c:ext xmlns:c16="http://schemas.microsoft.com/office/drawing/2014/chart" uri="{C3380CC4-5D6E-409C-BE32-E72D297353CC}">
              <c16:uniqueId val="{00000001-B39F-4EB4-9F8F-2BC66CE5F295}"/>
            </c:ext>
          </c:extLst>
        </c:ser>
        <c:gapWidth val="92"/>
        <c:axId val="156666496"/>
        <c:axId val="156668288"/>
      </c:barChart>
      <c:catAx>
        <c:axId val="156666496"/>
        <c:scaling>
          <c:orientation val="minMax"/>
        </c:scaling>
        <c:axPos val="b"/>
        <c:numFmt formatCode="General" sourceLinked="0"/>
        <c:tickLblPos val="low"/>
        <c:crossAx val="156668288"/>
        <c:crosses val="autoZero"/>
        <c:auto val="1"/>
        <c:lblAlgn val="ctr"/>
        <c:lblOffset val="100"/>
      </c:catAx>
      <c:valAx>
        <c:axId val="156668288"/>
        <c:scaling>
          <c:orientation val="minMax"/>
          <c:max val="55"/>
          <c:min val="-35"/>
        </c:scaling>
        <c:axPos val="l"/>
        <c:majorGridlines/>
        <c:numFmt formatCode="#,##0" sourceLinked="0"/>
        <c:tickLblPos val="nextTo"/>
        <c:crossAx val="156666496"/>
        <c:crosses val="autoZero"/>
        <c:crossBetween val="between"/>
        <c:majorUnit val="5"/>
      </c:valAx>
      <c:spPr>
        <a:ln>
          <a:solidFill>
            <a:prstClr val="black"/>
          </a:solidFill>
        </a:ln>
      </c:spPr>
    </c:plotArea>
    <c:legend>
      <c:legendPos val="r"/>
      <c:layout>
        <c:manualLayout>
          <c:xMode val="edge"/>
          <c:yMode val="edge"/>
          <c:x val="6.7547492401215811E-2"/>
          <c:y val="0.93303529213103764"/>
          <c:w val="0.91636841438703143"/>
          <c:h val="4.8935607339862693E-2"/>
        </c:manualLayout>
      </c:layout>
      <c:spPr>
        <a:ln>
          <a:solidFill>
            <a:prstClr val="black"/>
          </a:solidFill>
        </a:ln>
      </c:spPr>
    </c:legend>
    <c:plotVisOnly val="1"/>
    <c:dispBlanksAs val="gap"/>
  </c:chart>
  <c:spPr>
    <a:ln>
      <a:noFill/>
    </a:ln>
  </c:spPr>
  <c:txPr>
    <a:bodyPr/>
    <a:lstStyle/>
    <a:p>
      <a:pPr>
        <a:defRPr sz="800" baseline="0">
          <a:latin typeface="Arial" pitchFamily="34" charset="0"/>
        </a:defRPr>
      </a:pPr>
      <a:endParaRPr lang="cs-CZ"/>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AC378-17FA-4549-BB34-BAE8611E4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Anaýza ekonomického vývoje v roce 2017.dotx</Template>
  <TotalTime>1</TotalTime>
  <Pages>3</Pages>
  <Words>1015</Words>
  <Characters>5995</Characters>
  <Application>Microsoft Office Word</Application>
  <DocSecurity>0</DocSecurity>
  <Lines>49</Lines>
  <Paragraphs>13</Paragraphs>
  <ScaleCrop>false</ScaleCrop>
  <HeadingPairs>
    <vt:vector size="6" baseType="variant">
      <vt:variant>
        <vt:lpstr>Název</vt:lpstr>
      </vt:variant>
      <vt:variant>
        <vt:i4>1</vt:i4>
      </vt:variant>
      <vt:variant>
        <vt:lpstr>Title</vt:lpstr>
      </vt:variant>
      <vt:variant>
        <vt:i4>1</vt:i4>
      </vt:variant>
      <vt:variant>
        <vt:lpstr>Headings</vt:lpstr>
      </vt:variant>
      <vt:variant>
        <vt:i4>8</vt:i4>
      </vt:variant>
    </vt:vector>
  </HeadingPairs>
  <TitlesOfParts>
    <vt:vector size="10" baseType="lpstr">
      <vt:lpstr/>
      <vt:lpstr/>
      <vt:lpstr>Styl: Nadpis 1</vt:lpstr>
      <vt:lpstr>    Styl: Nadpis 2</vt:lpstr>
      <vt:lpstr>        Styl: Nadpis 3</vt:lpstr>
      <vt:lpstr>        Styl: Nadpis 3</vt:lpstr>
      <vt:lpstr>    Styl: Nadpis 2</vt:lpstr>
      <vt:lpstr>        Styl: Nadpis 3</vt:lpstr>
      <vt:lpstr>    Styl: Nadpis 2</vt:lpstr>
      <vt:lpstr>        Styl: Nadpis 3</vt:lpstr>
    </vt:vector>
  </TitlesOfParts>
  <Company>CSU</Company>
  <LinksUpToDate>false</LinksUpToDate>
  <CharactersWithSpaces>6997</CharactersWithSpaces>
  <SharedDoc>false</SharedDoc>
  <HLinks>
    <vt:vector size="18" baseType="variant">
      <vt:variant>
        <vt:i4>7602181</vt:i4>
      </vt:variant>
      <vt:variant>
        <vt:i4>11092</vt:i4>
      </vt:variant>
      <vt:variant>
        <vt:i4>1025</vt:i4>
      </vt:variant>
      <vt:variant>
        <vt:i4>1</vt:i4>
      </vt:variant>
      <vt:variant>
        <vt:lpwstr>msoFAAF</vt:lpwstr>
      </vt:variant>
      <vt:variant>
        <vt:lpwstr/>
      </vt:variant>
      <vt:variant>
        <vt:i4>7995509</vt:i4>
      </vt:variant>
      <vt:variant>
        <vt:i4>-1</vt:i4>
      </vt:variant>
      <vt:variant>
        <vt:i4>2058</vt:i4>
      </vt:variant>
      <vt:variant>
        <vt:i4>1</vt:i4>
      </vt:variant>
      <vt:variant>
        <vt:lpwstr>CSU RGB CZ logo-02</vt:lpwstr>
      </vt:variant>
      <vt:variant>
        <vt:lpwstr/>
      </vt:variant>
      <vt:variant>
        <vt:i4>7929973</vt:i4>
      </vt:variant>
      <vt:variant>
        <vt:i4>-1</vt:i4>
      </vt:variant>
      <vt:variant>
        <vt:i4>2059</vt:i4>
      </vt:variant>
      <vt:variant>
        <vt:i4>1</vt:i4>
      </vt:variant>
      <vt:variant>
        <vt:lpwstr>CSU RGB CZ logo-01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Karolína Súkupová</dc:creator>
  <cp:lastModifiedBy>kamenicky3604</cp:lastModifiedBy>
  <cp:revision>3</cp:revision>
  <cp:lastPrinted>2014-07-17T14:07:00Z</cp:lastPrinted>
  <dcterms:created xsi:type="dcterms:W3CDTF">2018-10-29T15:29:00Z</dcterms:created>
  <dcterms:modified xsi:type="dcterms:W3CDTF">2018-10-29T15:30:00Z</dcterms:modified>
</cp:coreProperties>
</file>