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56C5D" w14:textId="77777777" w:rsidR="00235129" w:rsidRDefault="00235129" w:rsidP="006B1B24">
      <w:pPr>
        <w:jc w:val="both"/>
        <w:rPr>
          <w:rFonts w:eastAsia="MS Gothic"/>
          <w:b/>
          <w:bCs/>
          <w:i/>
          <w:color w:val="009471"/>
          <w:sz w:val="32"/>
          <w:szCs w:val="28"/>
          <w:lang w:val="en-GB"/>
        </w:rPr>
      </w:pPr>
      <w:bookmarkStart w:id="0" w:name="_Toc444112497"/>
      <w:r w:rsidRPr="00235129">
        <w:rPr>
          <w:rFonts w:eastAsia="MS Gothic"/>
          <w:b/>
          <w:bCs/>
          <w:i/>
          <w:color w:val="009471"/>
          <w:sz w:val="32"/>
          <w:szCs w:val="28"/>
          <w:lang w:val="en-GB"/>
        </w:rPr>
        <w:t>Commentary</w:t>
      </w:r>
    </w:p>
    <w:p w14:paraId="27AED2CB" w14:textId="79ACD5F0" w:rsidR="00BA6735" w:rsidRPr="00BA6735" w:rsidRDefault="00FF28CD" w:rsidP="006B1B24">
      <w:pPr>
        <w:jc w:val="both"/>
        <w:rPr>
          <w:i/>
          <w:lang w:val="en-GB"/>
        </w:rPr>
      </w:pPr>
      <w:r>
        <w:rPr>
          <w:i/>
          <w:lang w:val="en-GB"/>
        </w:rPr>
        <w:t>E</w:t>
      </w:r>
      <w:r w:rsidR="00BA6735" w:rsidRPr="00BA6735">
        <w:rPr>
          <w:i/>
          <w:lang w:val="en-GB"/>
        </w:rPr>
        <w:t>stimated economic result of Czech agriculture for 2025 reached CZK 26,546.6 million, representing a year</w:t>
      </w:r>
      <w:r w:rsidR="00BA6735" w:rsidRPr="00BA6735">
        <w:rPr>
          <w:rFonts w:ascii="Cambria Math" w:hAnsi="Cambria Math" w:cs="Cambria Math"/>
          <w:i/>
          <w:lang w:val="en-GB"/>
        </w:rPr>
        <w:t>‑</w:t>
      </w:r>
      <w:r w:rsidR="00BA6735" w:rsidRPr="00BA6735">
        <w:rPr>
          <w:i/>
          <w:lang w:val="en-GB"/>
        </w:rPr>
        <w:t>on</w:t>
      </w:r>
      <w:r w:rsidR="00BA6735" w:rsidRPr="00BA6735">
        <w:rPr>
          <w:rFonts w:ascii="Cambria Math" w:hAnsi="Cambria Math" w:cs="Cambria Math"/>
          <w:i/>
          <w:lang w:val="en-GB"/>
        </w:rPr>
        <w:t>‑</w:t>
      </w:r>
      <w:r w:rsidR="00BA6735" w:rsidRPr="00BA6735">
        <w:rPr>
          <w:i/>
          <w:lang w:val="en-GB"/>
        </w:rPr>
        <w:t>year increase of 110.2%. This is the highest value of entrepreneurial income since 2004.</w:t>
      </w:r>
    </w:p>
    <w:p w14:paraId="78D96C4A" w14:textId="46CF20E5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According to preliminary results, the output of the agricultural industry at basic current prices reached CZK 193,360.3 million in 2025, of which crop </w:t>
      </w:r>
      <w:r w:rsidR="00EC703D">
        <w:rPr>
          <w:i/>
          <w:lang w:val="en-GB"/>
        </w:rPr>
        <w:t>output</w:t>
      </w:r>
      <w:r w:rsidRPr="00BA6735">
        <w:rPr>
          <w:i/>
          <w:lang w:val="en-GB"/>
        </w:rPr>
        <w:t xml:space="preserve"> accounted for CZK 98,506.3 million, animal </w:t>
      </w:r>
      <w:r w:rsidR="00AD5106">
        <w:rPr>
          <w:i/>
          <w:lang w:val="en-GB"/>
        </w:rPr>
        <w:t>output</w:t>
      </w:r>
      <w:r w:rsidRPr="00BA6735">
        <w:rPr>
          <w:i/>
          <w:lang w:val="en-GB"/>
        </w:rPr>
        <w:t xml:space="preserve"> CZK 81,384.2 million, agricultural services </w:t>
      </w:r>
      <w:r w:rsidR="00AD5106" w:rsidRPr="00AD5106">
        <w:rPr>
          <w:i/>
          <w:lang w:val="en-GB"/>
        </w:rPr>
        <w:t>output</w:t>
      </w:r>
      <w:r w:rsidR="00AD5106" w:rsidRPr="00AD5106">
        <w:rPr>
          <w:i/>
          <w:lang w:val="en-GB"/>
        </w:rPr>
        <w:t xml:space="preserve"> </w:t>
      </w:r>
      <w:r w:rsidRPr="00BA6735">
        <w:rPr>
          <w:i/>
          <w:lang w:val="en-GB"/>
        </w:rPr>
        <w:t>CZK 6,771.6 million, and inseparable non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agricultural secondary activities CZK 6,698.3 million.</w:t>
      </w:r>
    </w:p>
    <w:p w14:paraId="481C5C14" w14:textId="08269428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The value of crop </w:t>
      </w:r>
      <w:r w:rsidR="008415F9" w:rsidRPr="008415F9">
        <w:rPr>
          <w:i/>
          <w:lang w:val="en-GB"/>
        </w:rPr>
        <w:t>output</w:t>
      </w:r>
      <w:r w:rsidRPr="00BA6735">
        <w:rPr>
          <w:i/>
          <w:lang w:val="en-GB"/>
        </w:rPr>
        <w:t xml:space="preserve"> increased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year by 7.7%. A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year increase in production value occurred for cereals (+8.4%), industrial crops (+2.3%), fo</w:t>
      </w:r>
      <w:r w:rsidR="00E57A52">
        <w:rPr>
          <w:i/>
          <w:lang w:val="en-GB"/>
        </w:rPr>
        <w:t>rage plants</w:t>
      </w:r>
      <w:r w:rsidRPr="00BA6735">
        <w:rPr>
          <w:i/>
          <w:lang w:val="en-GB"/>
        </w:rPr>
        <w:t xml:space="preserve"> (+2.9%), fresh vegetables (+14.1%), fruit (+195.8%), and wine (+50.7%). A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year decline was recorded for potatoes (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1.4%).</w:t>
      </w:r>
    </w:p>
    <w:p w14:paraId="03053539" w14:textId="3622B2F8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>The increase in crop production value was mainly due to good harvests. Compared with the previous year, harvests increased for most crop commodities: wheat (+13.2%), barley (+10.8%), oats (+35.4%), grain maize (+12.7%), rape</w:t>
      </w:r>
      <w:r w:rsidR="00595D23">
        <w:rPr>
          <w:i/>
          <w:lang w:val="en-GB"/>
        </w:rPr>
        <w:t xml:space="preserve"> </w:t>
      </w:r>
      <w:r w:rsidRPr="00BA6735">
        <w:rPr>
          <w:i/>
          <w:lang w:val="en-GB"/>
        </w:rPr>
        <w:t xml:space="preserve">seed (+7.9%), sunflower (+43.5%), </w:t>
      </w:r>
      <w:r w:rsidR="00122E47">
        <w:rPr>
          <w:i/>
          <w:lang w:val="en-GB"/>
        </w:rPr>
        <w:t>p</w:t>
      </w:r>
      <w:r w:rsidR="00122E47" w:rsidRPr="00122E47">
        <w:rPr>
          <w:i/>
          <w:lang w:val="en-GB"/>
        </w:rPr>
        <w:t>rotein crops</w:t>
      </w:r>
      <w:r w:rsidRPr="00BA6735">
        <w:rPr>
          <w:i/>
          <w:lang w:val="en-GB"/>
        </w:rPr>
        <w:t xml:space="preserve"> (+15.1%), and hops (+6.4%). Vegetable (+18.6%) and potato</w:t>
      </w:r>
      <w:r w:rsidR="005217FD">
        <w:rPr>
          <w:i/>
          <w:lang w:val="en-GB"/>
        </w:rPr>
        <w:t>es</w:t>
      </w:r>
      <w:r w:rsidRPr="00BA6735">
        <w:rPr>
          <w:i/>
          <w:lang w:val="en-GB"/>
        </w:rPr>
        <w:t xml:space="preserve"> (+12.0%) yields also increased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 xml:space="preserve">year, while their prices fell (vegetables 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 xml:space="preserve">3.6%, potatoes 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12.1%). A significant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year increase occurred in fruit (+197.1%) and wine (+37.1%) harvests. Sugar beet recorded both a decrease in harvest (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7.9%) and price (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17.2%).</w:t>
      </w:r>
    </w:p>
    <w:p w14:paraId="79D789E5" w14:textId="3859245B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The value of animal </w:t>
      </w:r>
      <w:r w:rsidR="00EB6ADE">
        <w:rPr>
          <w:i/>
          <w:lang w:val="en-GB"/>
        </w:rPr>
        <w:t>output</w:t>
      </w:r>
      <w:r w:rsidRPr="00BA6735">
        <w:rPr>
          <w:i/>
          <w:lang w:val="en-GB"/>
        </w:rPr>
        <w:t xml:space="preserve"> increased by 15.5% compared with 2024. Production value rose for cattle (+36.4%) and poultry (+9.1%), while it declined for pigs (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4.3%). The value of animal products increased by 16.7%, with higher production of milk (+14.1%) and eggs (+43.6%).</w:t>
      </w:r>
    </w:p>
    <w:p w14:paraId="5CD20D41" w14:textId="12EFFC96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The increase in animal </w:t>
      </w:r>
      <w:r w:rsidR="005F4CDC">
        <w:rPr>
          <w:i/>
          <w:lang w:val="en-GB"/>
        </w:rPr>
        <w:t>output</w:t>
      </w:r>
      <w:r w:rsidRPr="00BA6735">
        <w:rPr>
          <w:i/>
          <w:lang w:val="en-GB"/>
        </w:rPr>
        <w:t xml:space="preserve"> value was mainly driven by higher prices of cattle (+33.6%), poultry (+12.3%), milk (+16.8%), and eggs (+36.0%). Pig prices, on the other hand, declined (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10.0</w:t>
      </w:r>
      <w:r w:rsidRPr="00965FE9">
        <w:rPr>
          <w:i/>
          <w:lang w:val="en-GB"/>
        </w:rPr>
        <w:t>%).</w:t>
      </w:r>
    </w:p>
    <w:p w14:paraId="01535926" w14:textId="348DAA1F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In the output of the agricultural industry at basic current prices in 2025, the share of crop production (50.9%) predominated over animal production (42.1%). </w:t>
      </w:r>
      <w:r w:rsidR="0069280C" w:rsidRPr="0069280C">
        <w:rPr>
          <w:i/>
          <w:lang w:val="en-GB"/>
        </w:rPr>
        <w:t>Agricultural work carried out by contractors, i.e. the agricultural services output, accounted for 3.5% and inseparable non-agricultural secondary activities, covering also renewable energy production, for 3.</w:t>
      </w:r>
      <w:r w:rsidR="0069280C">
        <w:rPr>
          <w:i/>
          <w:lang w:val="en-GB"/>
        </w:rPr>
        <w:t>5</w:t>
      </w:r>
      <w:r w:rsidR="0069280C" w:rsidRPr="0069280C">
        <w:rPr>
          <w:i/>
          <w:lang w:val="en-GB"/>
        </w:rPr>
        <w:t>%.</w:t>
      </w:r>
    </w:p>
    <w:p w14:paraId="758FB4CF" w14:textId="4FE20FBF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Within crop </w:t>
      </w:r>
      <w:r w:rsidR="00730A33">
        <w:rPr>
          <w:i/>
          <w:lang w:val="en-GB"/>
        </w:rPr>
        <w:t>output</w:t>
      </w:r>
      <w:r w:rsidRPr="00BA6735">
        <w:rPr>
          <w:i/>
          <w:lang w:val="en-GB"/>
        </w:rPr>
        <w:t xml:space="preserve">, the largest components were cereals (39.9%), industrial crops (22.6%), and </w:t>
      </w:r>
      <w:r w:rsidR="006C1337">
        <w:rPr>
          <w:i/>
          <w:lang w:val="en-GB"/>
        </w:rPr>
        <w:t>forage plants</w:t>
      </w:r>
      <w:r w:rsidR="006C1337" w:rsidRPr="006C1337">
        <w:rPr>
          <w:i/>
          <w:lang w:val="en-GB"/>
        </w:rPr>
        <w:t xml:space="preserve"> </w:t>
      </w:r>
      <w:r w:rsidRPr="00BA6735">
        <w:rPr>
          <w:i/>
          <w:lang w:val="en-GB"/>
        </w:rPr>
        <w:t xml:space="preserve">(14.9%); within animal </w:t>
      </w:r>
      <w:r w:rsidR="00A26973">
        <w:rPr>
          <w:i/>
          <w:lang w:val="en-GB"/>
        </w:rPr>
        <w:t>output</w:t>
      </w:r>
      <w:r w:rsidRPr="00BA6735">
        <w:rPr>
          <w:i/>
          <w:lang w:val="en-GB"/>
        </w:rPr>
        <w:t xml:space="preserve">, milk production predominated (54.5%), followed by cattle </w:t>
      </w:r>
      <w:r w:rsidR="006D7542" w:rsidRPr="006D7542">
        <w:rPr>
          <w:i/>
          <w:lang w:val="en-GB"/>
        </w:rPr>
        <w:t>for slaughter</w:t>
      </w:r>
      <w:r w:rsidRPr="00BA6735">
        <w:rPr>
          <w:i/>
          <w:lang w:val="en-GB"/>
        </w:rPr>
        <w:t xml:space="preserve"> (15.6%), pig</w:t>
      </w:r>
      <w:r w:rsidR="006D7542">
        <w:rPr>
          <w:i/>
          <w:lang w:val="en-GB"/>
        </w:rPr>
        <w:t>s</w:t>
      </w:r>
      <w:r w:rsidRPr="00BA6735">
        <w:rPr>
          <w:i/>
          <w:lang w:val="en-GB"/>
        </w:rPr>
        <w:t xml:space="preserve"> </w:t>
      </w:r>
      <w:r w:rsidR="006D7542" w:rsidRPr="006D7542">
        <w:rPr>
          <w:i/>
          <w:lang w:val="en-GB"/>
        </w:rPr>
        <w:t>for slaughter</w:t>
      </w:r>
      <w:r w:rsidRPr="00BA6735">
        <w:rPr>
          <w:i/>
          <w:lang w:val="en-GB"/>
        </w:rPr>
        <w:t xml:space="preserve"> (11.6%), and poultry </w:t>
      </w:r>
      <w:r w:rsidR="006D7542">
        <w:rPr>
          <w:i/>
          <w:lang w:val="en-GB"/>
        </w:rPr>
        <w:t>(</w:t>
      </w:r>
      <w:r w:rsidRPr="00BA6735">
        <w:rPr>
          <w:i/>
          <w:lang w:val="en-GB"/>
        </w:rPr>
        <w:t>10.7%).</w:t>
      </w:r>
    </w:p>
    <w:p w14:paraId="25185746" w14:textId="100DD2AA" w:rsidR="00BA6735" w:rsidRPr="00BA6735" w:rsidRDefault="00706ACF" w:rsidP="006B1B24">
      <w:pPr>
        <w:jc w:val="both"/>
        <w:rPr>
          <w:i/>
          <w:lang w:val="en-GB"/>
        </w:rPr>
      </w:pPr>
      <w:r w:rsidRPr="00706ACF">
        <w:rPr>
          <w:i/>
          <w:lang w:val="en-GB"/>
        </w:rPr>
        <w:t>The production value includes subsidies</w:t>
      </w:r>
      <w:r>
        <w:rPr>
          <w:i/>
          <w:lang w:val="en-GB"/>
        </w:rPr>
        <w:t xml:space="preserve"> on products</w:t>
      </w:r>
      <w:r w:rsidR="00BA6735" w:rsidRPr="00BA6735">
        <w:rPr>
          <w:i/>
          <w:lang w:val="en-GB"/>
        </w:rPr>
        <w:t>; their total volume decreased year</w:t>
      </w:r>
      <w:r w:rsidR="00BA6735" w:rsidRPr="00BA6735">
        <w:rPr>
          <w:rFonts w:ascii="Cambria Math" w:hAnsi="Cambria Math" w:cs="Cambria Math"/>
          <w:i/>
          <w:lang w:val="en-GB"/>
        </w:rPr>
        <w:t>‑</w:t>
      </w:r>
      <w:r w:rsidR="00BA6735" w:rsidRPr="00BA6735">
        <w:rPr>
          <w:i/>
          <w:lang w:val="en-GB"/>
        </w:rPr>
        <w:t>on</w:t>
      </w:r>
      <w:r w:rsidR="00BA6735" w:rsidRPr="00BA6735">
        <w:rPr>
          <w:rFonts w:ascii="Cambria Math" w:hAnsi="Cambria Math" w:cs="Cambria Math"/>
          <w:i/>
          <w:lang w:val="en-GB"/>
        </w:rPr>
        <w:t>‑</w:t>
      </w:r>
      <w:r w:rsidR="00BA6735" w:rsidRPr="00BA6735">
        <w:rPr>
          <w:i/>
          <w:lang w:val="en-GB"/>
        </w:rPr>
        <w:t>year by 2.1%.</w:t>
      </w:r>
    </w:p>
    <w:p w14:paraId="31D8D100" w14:textId="40BF144C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>Intermediate consumption increased slightly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 xml:space="preserve">year by 1.5% to CZK 117,750.0 million. Its share in agricultural output (excluding </w:t>
      </w:r>
      <w:r w:rsidR="00E77105" w:rsidRPr="00E77105">
        <w:rPr>
          <w:i/>
          <w:lang w:val="en-GB"/>
        </w:rPr>
        <w:t>subsidies on products</w:t>
      </w:r>
      <w:r w:rsidRPr="00BA6735">
        <w:rPr>
          <w:i/>
          <w:lang w:val="en-GB"/>
        </w:rPr>
        <w:t xml:space="preserve">) amounted to 61.5%. Intermediate consumption consisted mainly of </w:t>
      </w:r>
      <w:r w:rsidR="00861496" w:rsidRPr="00861496">
        <w:rPr>
          <w:i/>
          <w:lang w:val="en-GB"/>
        </w:rPr>
        <w:t xml:space="preserve">animal </w:t>
      </w:r>
      <w:proofErr w:type="spellStart"/>
      <w:r w:rsidR="00861496" w:rsidRPr="00861496">
        <w:rPr>
          <w:i/>
          <w:lang w:val="en-GB"/>
        </w:rPr>
        <w:t>feedingstuffs</w:t>
      </w:r>
      <w:proofErr w:type="spellEnd"/>
      <w:r w:rsidRPr="00BA6735">
        <w:rPr>
          <w:i/>
          <w:lang w:val="en-GB"/>
        </w:rPr>
        <w:t xml:space="preserve"> (30.7%) and energy and lubricant</w:t>
      </w:r>
      <w:r w:rsidR="00861496">
        <w:rPr>
          <w:i/>
          <w:lang w:val="en-GB"/>
        </w:rPr>
        <w:t xml:space="preserve"> consumption</w:t>
      </w:r>
      <w:r w:rsidRPr="00BA6735">
        <w:rPr>
          <w:i/>
          <w:lang w:val="en-GB"/>
        </w:rPr>
        <w:t xml:space="preserve"> (16.3%). Gross </w:t>
      </w:r>
      <w:proofErr w:type="gramStart"/>
      <w:r w:rsidRPr="00BA6735">
        <w:rPr>
          <w:i/>
          <w:lang w:val="en-GB"/>
        </w:rPr>
        <w:t>value added</w:t>
      </w:r>
      <w:proofErr w:type="gramEnd"/>
      <w:r w:rsidRPr="00BA6735">
        <w:rPr>
          <w:i/>
          <w:lang w:val="en-GB"/>
        </w:rPr>
        <w:t xml:space="preserve"> reached CZK 75,610.3 million, representing a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year increase of 28.9%.</w:t>
      </w:r>
    </w:p>
    <w:p w14:paraId="65D6CC28" w14:textId="09C60669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In constant 2000 prices, agricultural output reached CZK 116,057.4 million in 2025, an increase of 5.8% compared with the previous year. </w:t>
      </w:r>
      <w:r w:rsidR="00CD52B6" w:rsidRPr="00CD52B6">
        <w:rPr>
          <w:i/>
          <w:lang w:val="en-GB"/>
        </w:rPr>
        <w:t xml:space="preserve">The value of crop output </w:t>
      </w:r>
      <w:r w:rsidRPr="00BA6735">
        <w:rPr>
          <w:i/>
          <w:lang w:val="en-GB"/>
        </w:rPr>
        <w:t>increased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 xml:space="preserve">year by 10.8% to CZK 60,118.2 million. </w:t>
      </w:r>
      <w:r w:rsidR="001A0F12" w:rsidRPr="001A0F12">
        <w:rPr>
          <w:i/>
          <w:lang w:val="en-GB"/>
        </w:rPr>
        <w:t xml:space="preserve">The value of animal output </w:t>
      </w:r>
      <w:r w:rsidRPr="00BA6735">
        <w:rPr>
          <w:i/>
          <w:lang w:val="en-GB"/>
        </w:rPr>
        <w:t xml:space="preserve">rose slightly by 0.6% to CZK 49,615.6 million. Output values in constant prices are directly influenced by </w:t>
      </w:r>
      <w:r w:rsidR="007906FE" w:rsidRPr="007906FE">
        <w:rPr>
          <w:i/>
          <w:lang w:val="en-GB"/>
        </w:rPr>
        <w:t>the volume of production</w:t>
      </w:r>
      <w:r w:rsidRPr="00BA6735">
        <w:rPr>
          <w:i/>
          <w:lang w:val="en-GB"/>
        </w:rPr>
        <w:t>.</w:t>
      </w:r>
    </w:p>
    <w:p w14:paraId="7C630E98" w14:textId="00E9021A" w:rsidR="00BA6735" w:rsidRPr="00BA6735" w:rsidRDefault="00BA6735" w:rsidP="006B1B24">
      <w:pPr>
        <w:jc w:val="both"/>
        <w:rPr>
          <w:i/>
          <w:lang w:val="en-GB"/>
        </w:rPr>
      </w:pPr>
      <w:r w:rsidRPr="00BA6735">
        <w:rPr>
          <w:i/>
          <w:lang w:val="en-GB"/>
        </w:rPr>
        <w:t xml:space="preserve">The estimated </w:t>
      </w:r>
      <w:proofErr w:type="gramStart"/>
      <w:r w:rsidRPr="00BA6735">
        <w:rPr>
          <w:i/>
          <w:lang w:val="en-GB"/>
        </w:rPr>
        <w:t>amount</w:t>
      </w:r>
      <w:proofErr w:type="gramEnd"/>
      <w:r w:rsidRPr="00BA6735">
        <w:rPr>
          <w:i/>
          <w:lang w:val="en-GB"/>
        </w:rPr>
        <w:t xml:space="preserve"> of other subsidies</w:t>
      </w:r>
      <w:r w:rsidR="002603D4">
        <w:rPr>
          <w:i/>
          <w:lang w:val="en-GB"/>
        </w:rPr>
        <w:t xml:space="preserve"> on production</w:t>
      </w:r>
      <w:r w:rsidRPr="00BA6735">
        <w:rPr>
          <w:i/>
          <w:lang w:val="en-GB"/>
        </w:rPr>
        <w:t xml:space="preserve"> for 2025 reached CZK 33,492.5 million, a year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on</w:t>
      </w:r>
      <w:r w:rsidRPr="00BA6735">
        <w:rPr>
          <w:rFonts w:ascii="Cambria Math" w:hAnsi="Cambria Math" w:cs="Cambria Math"/>
          <w:i/>
          <w:lang w:val="en-GB"/>
        </w:rPr>
        <w:t>‑</w:t>
      </w:r>
      <w:r w:rsidRPr="00BA6735">
        <w:rPr>
          <w:i/>
          <w:lang w:val="en-GB"/>
        </w:rPr>
        <w:t>year increase of 0.8%.</w:t>
      </w:r>
    </w:p>
    <w:p w14:paraId="2B15B7F3" w14:textId="0DBE0D25" w:rsidR="00BA6735" w:rsidRPr="00BA6735" w:rsidRDefault="00BA6735" w:rsidP="006B1B24">
      <w:pPr>
        <w:rPr>
          <w:i/>
          <w:lang w:val="en-GB"/>
        </w:rPr>
      </w:pPr>
      <w:r w:rsidRPr="00BA6735">
        <w:rPr>
          <w:i/>
          <w:lang w:val="en-GB"/>
        </w:rPr>
        <w:lastRenderedPageBreak/>
        <w:t xml:space="preserve">Compared with 2024, </w:t>
      </w:r>
      <w:r w:rsidR="00AF63CD">
        <w:rPr>
          <w:i/>
          <w:lang w:val="en-GB"/>
        </w:rPr>
        <w:t xml:space="preserve">the </w:t>
      </w:r>
      <w:r w:rsidRPr="00BA6735">
        <w:rPr>
          <w:i/>
          <w:lang w:val="en-GB"/>
        </w:rPr>
        <w:t xml:space="preserve">compensation of employees was higher (+3.5%), while the estimated number of </w:t>
      </w:r>
      <w:r w:rsidR="00A57D85">
        <w:rPr>
          <w:i/>
          <w:lang w:val="en-GB"/>
        </w:rPr>
        <w:t>full-</w:t>
      </w:r>
      <w:r w:rsidR="00AF63CD" w:rsidRPr="00AF63CD">
        <w:rPr>
          <w:i/>
          <w:lang w:val="en-GB"/>
        </w:rPr>
        <w:t xml:space="preserve">time equivalent workers </w:t>
      </w:r>
      <w:r w:rsidRPr="00BA6735">
        <w:rPr>
          <w:i/>
          <w:lang w:val="en-GB"/>
        </w:rPr>
        <w:t xml:space="preserve">decreased </w:t>
      </w:r>
      <w:r w:rsidR="00A57D85" w:rsidRPr="00A57D85">
        <w:rPr>
          <w:i/>
          <w:lang w:val="en-GB"/>
        </w:rPr>
        <w:t>year</w:t>
      </w:r>
      <w:r w:rsidR="00A57D85" w:rsidRPr="00A57D85">
        <w:rPr>
          <w:rFonts w:ascii="Cambria Math" w:hAnsi="Cambria Math" w:cs="Cambria Math"/>
          <w:i/>
          <w:lang w:val="en-GB"/>
        </w:rPr>
        <w:t>‑</w:t>
      </w:r>
      <w:r w:rsidR="00A57D85" w:rsidRPr="00A57D85">
        <w:rPr>
          <w:i/>
          <w:lang w:val="en-GB"/>
        </w:rPr>
        <w:t>on</w:t>
      </w:r>
      <w:r w:rsidR="00A57D85" w:rsidRPr="00A57D85">
        <w:rPr>
          <w:rFonts w:ascii="Cambria Math" w:hAnsi="Cambria Math" w:cs="Cambria Math"/>
          <w:i/>
          <w:lang w:val="en-GB"/>
        </w:rPr>
        <w:t>‑</w:t>
      </w:r>
      <w:r w:rsidR="00A57D85" w:rsidRPr="00A57D85">
        <w:rPr>
          <w:i/>
          <w:lang w:val="en-GB"/>
        </w:rPr>
        <w:t>year</w:t>
      </w:r>
      <w:r w:rsidR="00A57D85" w:rsidRPr="00A57D85">
        <w:rPr>
          <w:i/>
          <w:lang w:val="en-GB"/>
        </w:rPr>
        <w:t xml:space="preserve"> </w:t>
      </w:r>
      <w:r w:rsidRPr="00BA6735">
        <w:rPr>
          <w:i/>
          <w:lang w:val="en-GB"/>
        </w:rPr>
        <w:t>by 0.2%.</w:t>
      </w:r>
      <w:bookmarkEnd w:id="0"/>
    </w:p>
    <w:sectPr w:rsidR="00BA6735" w:rsidRPr="00BA6735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9B33" w14:textId="77777777" w:rsidR="00AC24D7" w:rsidRDefault="00AC24D7" w:rsidP="00E71A58">
      <w:r>
        <w:separator/>
      </w:r>
    </w:p>
  </w:endnote>
  <w:endnote w:type="continuationSeparator" w:id="0">
    <w:p w14:paraId="27C46B3A" w14:textId="77777777" w:rsidR="00AC24D7" w:rsidRDefault="00AC24D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DEEAD" w14:textId="11619E5D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1C0F7C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A1077C">
      <w:rPr>
        <w:szCs w:val="16"/>
      </w:rPr>
      <w:t>202</w:t>
    </w:r>
    <w:r w:rsidR="00BA6735">
      <w:rPr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ABA6" w14:textId="091BB23C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A1077C">
      <w:rPr>
        <w:rStyle w:val="ZpatChar"/>
        <w:szCs w:val="16"/>
      </w:rPr>
      <w:t>202</w:t>
    </w:r>
    <w:r w:rsidR="00BA6735">
      <w:rPr>
        <w:rStyle w:val="ZpatChar"/>
        <w:szCs w:val="16"/>
      </w:rPr>
      <w:t>6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1C0F7C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46C52" w14:textId="77777777" w:rsidR="00AC24D7" w:rsidRDefault="00AC24D7" w:rsidP="00E71A58">
      <w:r>
        <w:separator/>
      </w:r>
    </w:p>
  </w:footnote>
  <w:footnote w:type="continuationSeparator" w:id="0">
    <w:p w14:paraId="427837F3" w14:textId="77777777" w:rsidR="00AC24D7" w:rsidRDefault="00AC24D7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51B7" w14:textId="15526D23" w:rsidR="00CB3022" w:rsidRPr="002767A3" w:rsidRDefault="00CB3022" w:rsidP="00CB3022">
    <w:pPr>
      <w:pStyle w:val="Zhlav"/>
    </w:pPr>
    <w:r>
      <w:t>SOUHRNNÝ ZEMĚDĚLSKÝ ÚČET předběžné výsledky za rok 202</w:t>
    </w:r>
    <w:r w:rsidR="00BA6735">
      <w:t>5</w:t>
    </w:r>
  </w:p>
  <w:p w14:paraId="0694B99E" w14:textId="08B53450" w:rsidR="00CB3022" w:rsidRPr="009809BF" w:rsidRDefault="00CB3022" w:rsidP="00CB3022">
    <w:pPr>
      <w:pStyle w:val="Zhlav"/>
      <w:rPr>
        <w:i/>
      </w:rPr>
    </w:pPr>
    <w:r w:rsidRPr="009809BF">
      <w:rPr>
        <w:i/>
      </w:rPr>
      <w:t xml:space="preserve">/ ECONOMIC ACCOUNTS FOR </w:t>
    </w:r>
    <w:r w:rsidRPr="009809BF">
      <w:rPr>
        <w:i/>
        <w:lang w:val="en-GB"/>
      </w:rPr>
      <w:t>AGRICULTURE The Preliminary Results for the year 202</w:t>
    </w:r>
    <w:r w:rsidR="00BA6735">
      <w:rPr>
        <w:i/>
        <w:lang w:val="en-GB"/>
      </w:rPr>
      <w:t>5</w:t>
    </w:r>
  </w:p>
  <w:p w14:paraId="12A1979A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D1D3C" w14:textId="2976DFEC" w:rsidR="00F9393D" w:rsidRPr="002767A3" w:rsidRDefault="00F9393D" w:rsidP="00F9393D">
    <w:pPr>
      <w:pStyle w:val="Zhlav"/>
    </w:pPr>
    <w:r>
      <w:t xml:space="preserve">SOUHRNNÝ ZEMĚDĚLSKÝ ÚČET </w:t>
    </w:r>
    <w:r w:rsidR="007A23B8">
      <w:t>předběžné výsledky za rok 202</w:t>
    </w:r>
    <w:r w:rsidR="00BA6735">
      <w:t>5</w:t>
    </w:r>
  </w:p>
  <w:p w14:paraId="43E75DA4" w14:textId="560B0819" w:rsidR="00F9393D" w:rsidRPr="009809BF" w:rsidRDefault="00F9393D" w:rsidP="00F9393D">
    <w:pPr>
      <w:pStyle w:val="Zhlav"/>
      <w:rPr>
        <w:i/>
      </w:rPr>
    </w:pPr>
    <w:r w:rsidRPr="009809BF">
      <w:rPr>
        <w:i/>
      </w:rPr>
      <w:t xml:space="preserve">/ ECONOMIC ACCOUNTS FOR </w:t>
    </w:r>
    <w:r w:rsidRPr="009809BF">
      <w:rPr>
        <w:i/>
        <w:lang w:val="en-GB"/>
      </w:rPr>
      <w:t xml:space="preserve">AGRICULTURE </w:t>
    </w:r>
    <w:r w:rsidR="007A23B8" w:rsidRPr="009809BF">
      <w:rPr>
        <w:i/>
        <w:lang w:val="en-GB"/>
      </w:rPr>
      <w:t>The Preliminary Results for the year 202</w:t>
    </w:r>
    <w:r w:rsidR="00BA6735">
      <w:rPr>
        <w:i/>
        <w:lang w:val="en-GB"/>
      </w:rPr>
      <w:t>5</w:t>
    </w:r>
  </w:p>
  <w:p w14:paraId="1E002410" w14:textId="77777777" w:rsidR="00B5752E" w:rsidRPr="00F9393D" w:rsidRDefault="00B5752E" w:rsidP="00F93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88554">
    <w:abstractNumId w:val="11"/>
  </w:num>
  <w:num w:numId="2" w16cid:durableId="844629145">
    <w:abstractNumId w:val="8"/>
  </w:num>
  <w:num w:numId="3" w16cid:durableId="1069378821">
    <w:abstractNumId w:val="3"/>
  </w:num>
  <w:num w:numId="4" w16cid:durableId="350451863">
    <w:abstractNumId w:val="2"/>
  </w:num>
  <w:num w:numId="5" w16cid:durableId="1132359466">
    <w:abstractNumId w:val="1"/>
  </w:num>
  <w:num w:numId="6" w16cid:durableId="1057699622">
    <w:abstractNumId w:val="0"/>
  </w:num>
  <w:num w:numId="7" w16cid:durableId="30347636">
    <w:abstractNumId w:val="9"/>
  </w:num>
  <w:num w:numId="8" w16cid:durableId="1770420113">
    <w:abstractNumId w:val="7"/>
  </w:num>
  <w:num w:numId="9" w16cid:durableId="241378521">
    <w:abstractNumId w:val="6"/>
  </w:num>
  <w:num w:numId="10" w16cid:durableId="1696038315">
    <w:abstractNumId w:val="5"/>
  </w:num>
  <w:num w:numId="11" w16cid:durableId="106436665">
    <w:abstractNumId w:val="4"/>
  </w:num>
  <w:num w:numId="12" w16cid:durableId="1607804948">
    <w:abstractNumId w:val="10"/>
  </w:num>
  <w:num w:numId="13" w16cid:durableId="18972307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73F4A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1C66"/>
    <w:rsid w:val="000E6FBD"/>
    <w:rsid w:val="000F75D4"/>
    <w:rsid w:val="00100F5C"/>
    <w:rsid w:val="00104C4C"/>
    <w:rsid w:val="0012192F"/>
    <w:rsid w:val="00122E47"/>
    <w:rsid w:val="00125D69"/>
    <w:rsid w:val="001405FA"/>
    <w:rsid w:val="001425C3"/>
    <w:rsid w:val="0016256B"/>
    <w:rsid w:val="00163793"/>
    <w:rsid w:val="001706D6"/>
    <w:rsid w:val="001714F2"/>
    <w:rsid w:val="00172143"/>
    <w:rsid w:val="00184B08"/>
    <w:rsid w:val="00185010"/>
    <w:rsid w:val="001A0F12"/>
    <w:rsid w:val="001A1AB9"/>
    <w:rsid w:val="001A1C8D"/>
    <w:rsid w:val="001A552F"/>
    <w:rsid w:val="001B2CA9"/>
    <w:rsid w:val="001B3110"/>
    <w:rsid w:val="001B4729"/>
    <w:rsid w:val="001B6C09"/>
    <w:rsid w:val="001C05CD"/>
    <w:rsid w:val="001C0F7C"/>
    <w:rsid w:val="001C400A"/>
    <w:rsid w:val="001D68B2"/>
    <w:rsid w:val="001E0532"/>
    <w:rsid w:val="001E6F37"/>
    <w:rsid w:val="001F4597"/>
    <w:rsid w:val="0020305E"/>
    <w:rsid w:val="002118B9"/>
    <w:rsid w:val="00217C5B"/>
    <w:rsid w:val="0022139E"/>
    <w:rsid w:val="002252E0"/>
    <w:rsid w:val="002255F6"/>
    <w:rsid w:val="00227850"/>
    <w:rsid w:val="00227A53"/>
    <w:rsid w:val="00230C6E"/>
    <w:rsid w:val="00235129"/>
    <w:rsid w:val="00236443"/>
    <w:rsid w:val="002436BA"/>
    <w:rsid w:val="00244A15"/>
    <w:rsid w:val="00247319"/>
    <w:rsid w:val="0024799E"/>
    <w:rsid w:val="00253C0F"/>
    <w:rsid w:val="002603D4"/>
    <w:rsid w:val="00271465"/>
    <w:rsid w:val="0028293C"/>
    <w:rsid w:val="00285412"/>
    <w:rsid w:val="00296670"/>
    <w:rsid w:val="002978AA"/>
    <w:rsid w:val="002A16D4"/>
    <w:rsid w:val="002A230C"/>
    <w:rsid w:val="002B0A30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13DA"/>
    <w:rsid w:val="0044376F"/>
    <w:rsid w:val="004441A0"/>
    <w:rsid w:val="0045391E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36EC"/>
    <w:rsid w:val="004F06F5"/>
    <w:rsid w:val="004F0FA5"/>
    <w:rsid w:val="004F33A0"/>
    <w:rsid w:val="0050781D"/>
    <w:rsid w:val="005108C0"/>
    <w:rsid w:val="00511873"/>
    <w:rsid w:val="00512A2F"/>
    <w:rsid w:val="00513B7E"/>
    <w:rsid w:val="00515C74"/>
    <w:rsid w:val="0052007E"/>
    <w:rsid w:val="005217FD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0D2A"/>
    <w:rsid w:val="0057364B"/>
    <w:rsid w:val="00574773"/>
    <w:rsid w:val="00583FFD"/>
    <w:rsid w:val="005911BE"/>
    <w:rsid w:val="00593152"/>
    <w:rsid w:val="00595D23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129"/>
    <w:rsid w:val="005E7C78"/>
    <w:rsid w:val="005F1117"/>
    <w:rsid w:val="005F3EB1"/>
    <w:rsid w:val="005F4CDC"/>
    <w:rsid w:val="005F5469"/>
    <w:rsid w:val="0060041C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5CE2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03C8"/>
    <w:rsid w:val="0069280C"/>
    <w:rsid w:val="00694C4E"/>
    <w:rsid w:val="00695BEF"/>
    <w:rsid w:val="006977F6"/>
    <w:rsid w:val="00697A13"/>
    <w:rsid w:val="006A109C"/>
    <w:rsid w:val="006B1B24"/>
    <w:rsid w:val="006B344A"/>
    <w:rsid w:val="006B78D8"/>
    <w:rsid w:val="006C113F"/>
    <w:rsid w:val="006C123E"/>
    <w:rsid w:val="006C1337"/>
    <w:rsid w:val="006C56D4"/>
    <w:rsid w:val="006C6924"/>
    <w:rsid w:val="006C7CA6"/>
    <w:rsid w:val="006D3E8A"/>
    <w:rsid w:val="006D61F6"/>
    <w:rsid w:val="006D7542"/>
    <w:rsid w:val="006E279A"/>
    <w:rsid w:val="006E313B"/>
    <w:rsid w:val="006E5280"/>
    <w:rsid w:val="006F107C"/>
    <w:rsid w:val="006F5416"/>
    <w:rsid w:val="006F6B1A"/>
    <w:rsid w:val="00706ACF"/>
    <w:rsid w:val="00706AD4"/>
    <w:rsid w:val="007140BE"/>
    <w:rsid w:val="007202BA"/>
    <w:rsid w:val="007211F5"/>
    <w:rsid w:val="00725BB5"/>
    <w:rsid w:val="00730A33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6FE"/>
    <w:rsid w:val="00790764"/>
    <w:rsid w:val="0079453C"/>
    <w:rsid w:val="00794677"/>
    <w:rsid w:val="0079585A"/>
    <w:rsid w:val="007A23B8"/>
    <w:rsid w:val="007B6689"/>
    <w:rsid w:val="007D40DF"/>
    <w:rsid w:val="007E7E61"/>
    <w:rsid w:val="007F0845"/>
    <w:rsid w:val="00807C82"/>
    <w:rsid w:val="00807F64"/>
    <w:rsid w:val="00816513"/>
    <w:rsid w:val="00816905"/>
    <w:rsid w:val="00821FF6"/>
    <w:rsid w:val="00825C4D"/>
    <w:rsid w:val="0083143E"/>
    <w:rsid w:val="00831CDE"/>
    <w:rsid w:val="00832DB9"/>
    <w:rsid w:val="00834304"/>
    <w:rsid w:val="00834FAA"/>
    <w:rsid w:val="00835A6B"/>
    <w:rsid w:val="00836086"/>
    <w:rsid w:val="008415F9"/>
    <w:rsid w:val="0084708F"/>
    <w:rsid w:val="008477C8"/>
    <w:rsid w:val="0085114D"/>
    <w:rsid w:val="00852217"/>
    <w:rsid w:val="00855408"/>
    <w:rsid w:val="00856D65"/>
    <w:rsid w:val="00861496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556C5"/>
    <w:rsid w:val="00965FE9"/>
    <w:rsid w:val="00973A2C"/>
    <w:rsid w:val="00974923"/>
    <w:rsid w:val="009809BF"/>
    <w:rsid w:val="00980D3D"/>
    <w:rsid w:val="00987A30"/>
    <w:rsid w:val="00992CF3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9F7A0A"/>
    <w:rsid w:val="00A05A42"/>
    <w:rsid w:val="00A1077C"/>
    <w:rsid w:val="00A10D66"/>
    <w:rsid w:val="00A14114"/>
    <w:rsid w:val="00A16413"/>
    <w:rsid w:val="00A23E43"/>
    <w:rsid w:val="00A26973"/>
    <w:rsid w:val="00A30F65"/>
    <w:rsid w:val="00A36E67"/>
    <w:rsid w:val="00A418BC"/>
    <w:rsid w:val="00A46DE0"/>
    <w:rsid w:val="00A50D73"/>
    <w:rsid w:val="00A52CAD"/>
    <w:rsid w:val="00A53FC7"/>
    <w:rsid w:val="00A57D85"/>
    <w:rsid w:val="00A62CE1"/>
    <w:rsid w:val="00A6741E"/>
    <w:rsid w:val="00A75E40"/>
    <w:rsid w:val="00A77D1D"/>
    <w:rsid w:val="00A857C0"/>
    <w:rsid w:val="00AA2996"/>
    <w:rsid w:val="00AA52BF"/>
    <w:rsid w:val="00AA559A"/>
    <w:rsid w:val="00AB2AF1"/>
    <w:rsid w:val="00AC24D7"/>
    <w:rsid w:val="00AD306C"/>
    <w:rsid w:val="00AD5106"/>
    <w:rsid w:val="00AE09B3"/>
    <w:rsid w:val="00AE1A83"/>
    <w:rsid w:val="00AF46DC"/>
    <w:rsid w:val="00AF63CD"/>
    <w:rsid w:val="00B00913"/>
    <w:rsid w:val="00B01593"/>
    <w:rsid w:val="00B10A4D"/>
    <w:rsid w:val="00B17E71"/>
    <w:rsid w:val="00B17FDE"/>
    <w:rsid w:val="00B2379C"/>
    <w:rsid w:val="00B24DCE"/>
    <w:rsid w:val="00B2687D"/>
    <w:rsid w:val="00B32DDB"/>
    <w:rsid w:val="00B34528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A6735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A53A9"/>
    <w:rsid w:val="00CB3022"/>
    <w:rsid w:val="00CB4930"/>
    <w:rsid w:val="00CC2E7D"/>
    <w:rsid w:val="00CD10A5"/>
    <w:rsid w:val="00CD2076"/>
    <w:rsid w:val="00CD4754"/>
    <w:rsid w:val="00CD52B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44479"/>
    <w:rsid w:val="00D50F46"/>
    <w:rsid w:val="00D55763"/>
    <w:rsid w:val="00D61DCA"/>
    <w:rsid w:val="00D66223"/>
    <w:rsid w:val="00D8084C"/>
    <w:rsid w:val="00DA6B83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17A7B"/>
    <w:rsid w:val="00E253A2"/>
    <w:rsid w:val="00E3309D"/>
    <w:rsid w:val="00E50156"/>
    <w:rsid w:val="00E53470"/>
    <w:rsid w:val="00E539F6"/>
    <w:rsid w:val="00E57A52"/>
    <w:rsid w:val="00E6519D"/>
    <w:rsid w:val="00E67696"/>
    <w:rsid w:val="00E71A58"/>
    <w:rsid w:val="00E72A7A"/>
    <w:rsid w:val="00E75C94"/>
    <w:rsid w:val="00E77105"/>
    <w:rsid w:val="00E93820"/>
    <w:rsid w:val="00EA0C68"/>
    <w:rsid w:val="00EA32BC"/>
    <w:rsid w:val="00EB3701"/>
    <w:rsid w:val="00EB4511"/>
    <w:rsid w:val="00EB6ADE"/>
    <w:rsid w:val="00EC03D7"/>
    <w:rsid w:val="00EC703D"/>
    <w:rsid w:val="00ED62C6"/>
    <w:rsid w:val="00ED64C1"/>
    <w:rsid w:val="00EE3446"/>
    <w:rsid w:val="00EE3E78"/>
    <w:rsid w:val="00EE4B1B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357A1"/>
    <w:rsid w:val="00F437CC"/>
    <w:rsid w:val="00F47067"/>
    <w:rsid w:val="00F525EB"/>
    <w:rsid w:val="00F55680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28CD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3A9E1D5E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45FB7-8461-42F7-8FF0-8EDDFE4B34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4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3731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39</cp:revision>
  <cp:lastPrinted>2024-09-25T09:37:00Z</cp:lastPrinted>
  <dcterms:created xsi:type="dcterms:W3CDTF">2026-03-19T08:46:00Z</dcterms:created>
  <dcterms:modified xsi:type="dcterms:W3CDTF">2026-03-19T09:46:00Z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