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 xml:space="preserve">Index spotřebitelských cen (rozklad </w:t>
      </w:r>
      <w:r w:rsidR="00000C79">
        <w:t xml:space="preserve">meziměsíčního </w:t>
      </w:r>
      <w:r w:rsidRPr="00B668FD">
        <w:t>přírůstku)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month-on-month)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550" w:rsidRDefault="00141550" w:rsidP="00E71A58">
      <w:r>
        <w:separator/>
      </w:r>
    </w:p>
  </w:endnote>
  <w:endnote w:type="continuationSeparator" w:id="0">
    <w:p w:rsidR="00141550" w:rsidRDefault="0014155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D43C98">
      <w:rPr>
        <w:szCs w:val="16"/>
      </w:rPr>
      <w:t>září</w:t>
    </w:r>
    <w:r>
      <w:rPr>
        <w:rStyle w:val="ZpatChar"/>
        <w:szCs w:val="16"/>
      </w:rPr>
      <w:t xml:space="preserve"> 20</w:t>
    </w:r>
    <w:r w:rsidR="00FC5576">
      <w:rPr>
        <w:rStyle w:val="ZpatChar"/>
        <w:szCs w:val="16"/>
      </w:rPr>
      <w:t>20</w:t>
    </w:r>
    <w:r w:rsidRPr="00F1639F">
      <w:rPr>
        <w:rStyle w:val="ZpatChar"/>
        <w:szCs w:val="16"/>
      </w:rPr>
      <w:t xml:space="preserve"> / </w:t>
    </w:r>
    <w:r w:rsidR="00D43C98">
      <w:rPr>
        <w:rStyle w:val="ZpatChar"/>
        <w:i/>
        <w:szCs w:val="16"/>
      </w:rPr>
      <w:t>September</w:t>
    </w:r>
    <w:r w:rsidR="00787490">
      <w:rPr>
        <w:rStyle w:val="ZpatChar"/>
        <w:i/>
        <w:szCs w:val="16"/>
      </w:rPr>
      <w:t xml:space="preserve"> 20</w:t>
    </w:r>
    <w:r w:rsidR="00FC5576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550" w:rsidRDefault="00141550" w:rsidP="00E71A58">
      <w:r>
        <w:separator/>
      </w:r>
    </w:p>
  </w:footnote>
  <w:footnote w:type="continuationSeparator" w:id="0">
    <w:p w:rsidR="00141550" w:rsidRDefault="0014155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C79"/>
    <w:rsid w:val="0000209D"/>
    <w:rsid w:val="00003589"/>
    <w:rsid w:val="00004D5A"/>
    <w:rsid w:val="000056D5"/>
    <w:rsid w:val="0000767A"/>
    <w:rsid w:val="00010702"/>
    <w:rsid w:val="00011485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672"/>
    <w:rsid w:val="00062EC5"/>
    <w:rsid w:val="00062F22"/>
    <w:rsid w:val="000712B3"/>
    <w:rsid w:val="0008263E"/>
    <w:rsid w:val="00082C19"/>
    <w:rsid w:val="00085395"/>
    <w:rsid w:val="00087634"/>
    <w:rsid w:val="00087F2B"/>
    <w:rsid w:val="00090FCA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5637"/>
    <w:rsid w:val="000E6605"/>
    <w:rsid w:val="000E6FBD"/>
    <w:rsid w:val="000F4094"/>
    <w:rsid w:val="00100F5C"/>
    <w:rsid w:val="00101053"/>
    <w:rsid w:val="00104C4C"/>
    <w:rsid w:val="0012192F"/>
    <w:rsid w:val="00122F92"/>
    <w:rsid w:val="00125D69"/>
    <w:rsid w:val="001405FA"/>
    <w:rsid w:val="00141550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928B4"/>
    <w:rsid w:val="001A552F"/>
    <w:rsid w:val="001B2B92"/>
    <w:rsid w:val="001B2CA9"/>
    <w:rsid w:val="001B3110"/>
    <w:rsid w:val="001B4729"/>
    <w:rsid w:val="001B47EB"/>
    <w:rsid w:val="001B6C09"/>
    <w:rsid w:val="001C05CD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6BA"/>
    <w:rsid w:val="00243DC5"/>
    <w:rsid w:val="00244A15"/>
    <w:rsid w:val="002450CB"/>
    <w:rsid w:val="00247319"/>
    <w:rsid w:val="0024799E"/>
    <w:rsid w:val="00253C0F"/>
    <w:rsid w:val="002657E0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2BE8"/>
    <w:rsid w:val="002E4E4C"/>
    <w:rsid w:val="002E57D3"/>
    <w:rsid w:val="00304771"/>
    <w:rsid w:val="003052D4"/>
    <w:rsid w:val="00306C5B"/>
    <w:rsid w:val="0031679C"/>
    <w:rsid w:val="0032007B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D7EAC"/>
    <w:rsid w:val="003E4C91"/>
    <w:rsid w:val="003E5DD1"/>
    <w:rsid w:val="003F13A3"/>
    <w:rsid w:val="003F313C"/>
    <w:rsid w:val="003F500F"/>
    <w:rsid w:val="003F551C"/>
    <w:rsid w:val="003F56A9"/>
    <w:rsid w:val="0040674D"/>
    <w:rsid w:val="00407C13"/>
    <w:rsid w:val="00410638"/>
    <w:rsid w:val="00412229"/>
    <w:rsid w:val="00412F33"/>
    <w:rsid w:val="004137BE"/>
    <w:rsid w:val="0043275C"/>
    <w:rsid w:val="00432A58"/>
    <w:rsid w:val="00434617"/>
    <w:rsid w:val="00440900"/>
    <w:rsid w:val="004441A0"/>
    <w:rsid w:val="00456FF3"/>
    <w:rsid w:val="00476240"/>
    <w:rsid w:val="00476439"/>
    <w:rsid w:val="0047735C"/>
    <w:rsid w:val="004776BA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3D53"/>
    <w:rsid w:val="00515C74"/>
    <w:rsid w:val="0052007E"/>
    <w:rsid w:val="0052337A"/>
    <w:rsid w:val="00523A94"/>
    <w:rsid w:val="00525137"/>
    <w:rsid w:val="005251DD"/>
    <w:rsid w:val="005313BF"/>
    <w:rsid w:val="00532CE7"/>
    <w:rsid w:val="0053324C"/>
    <w:rsid w:val="00534715"/>
    <w:rsid w:val="00534A28"/>
    <w:rsid w:val="005412DF"/>
    <w:rsid w:val="00541508"/>
    <w:rsid w:val="00543849"/>
    <w:rsid w:val="00543B3A"/>
    <w:rsid w:val="00545765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95048"/>
    <w:rsid w:val="005A0D85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5F4024"/>
    <w:rsid w:val="00604307"/>
    <w:rsid w:val="0060487F"/>
    <w:rsid w:val="00604EAD"/>
    <w:rsid w:val="006104FB"/>
    <w:rsid w:val="00612A2F"/>
    <w:rsid w:val="00616E05"/>
    <w:rsid w:val="00624093"/>
    <w:rsid w:val="006357B4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1171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32E1"/>
    <w:rsid w:val="00787490"/>
    <w:rsid w:val="00790764"/>
    <w:rsid w:val="007940E9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02DA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02D6"/>
    <w:rsid w:val="00861B41"/>
    <w:rsid w:val="00863434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B7C02"/>
    <w:rsid w:val="008B7D2B"/>
    <w:rsid w:val="008C0049"/>
    <w:rsid w:val="008C0E88"/>
    <w:rsid w:val="008C21B4"/>
    <w:rsid w:val="008C4AAF"/>
    <w:rsid w:val="008D1E6A"/>
    <w:rsid w:val="008D2A16"/>
    <w:rsid w:val="008D4DAD"/>
    <w:rsid w:val="008D6E64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468AA"/>
    <w:rsid w:val="00956240"/>
    <w:rsid w:val="00956AC1"/>
    <w:rsid w:val="0096343A"/>
    <w:rsid w:val="0097104F"/>
    <w:rsid w:val="0097156E"/>
    <w:rsid w:val="00974923"/>
    <w:rsid w:val="00980D3D"/>
    <w:rsid w:val="00985AA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47143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D306C"/>
    <w:rsid w:val="00AE09B3"/>
    <w:rsid w:val="00AE1A83"/>
    <w:rsid w:val="00AE56CF"/>
    <w:rsid w:val="00AF5344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0253"/>
    <w:rsid w:val="00B71AA6"/>
    <w:rsid w:val="00B76024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05F47"/>
    <w:rsid w:val="00C06F3D"/>
    <w:rsid w:val="00C21F94"/>
    <w:rsid w:val="00C23510"/>
    <w:rsid w:val="00C27913"/>
    <w:rsid w:val="00C33B68"/>
    <w:rsid w:val="00C36A79"/>
    <w:rsid w:val="00C405D4"/>
    <w:rsid w:val="00C4513B"/>
    <w:rsid w:val="00C47683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C3728"/>
    <w:rsid w:val="00CD10A5"/>
    <w:rsid w:val="00CD2076"/>
    <w:rsid w:val="00CD24A2"/>
    <w:rsid w:val="00CD311C"/>
    <w:rsid w:val="00CE670B"/>
    <w:rsid w:val="00CF0706"/>
    <w:rsid w:val="00CF51EC"/>
    <w:rsid w:val="00CF73AE"/>
    <w:rsid w:val="00D040DD"/>
    <w:rsid w:val="00D06793"/>
    <w:rsid w:val="00D12A2B"/>
    <w:rsid w:val="00D13986"/>
    <w:rsid w:val="00D25F28"/>
    <w:rsid w:val="00D276FA"/>
    <w:rsid w:val="00D27973"/>
    <w:rsid w:val="00D43C98"/>
    <w:rsid w:val="00D45215"/>
    <w:rsid w:val="00D50F46"/>
    <w:rsid w:val="00D66223"/>
    <w:rsid w:val="00D674B1"/>
    <w:rsid w:val="00D762C0"/>
    <w:rsid w:val="00D80734"/>
    <w:rsid w:val="00D8084C"/>
    <w:rsid w:val="00DA4E55"/>
    <w:rsid w:val="00DA7C0C"/>
    <w:rsid w:val="00DA7D71"/>
    <w:rsid w:val="00DB2EC8"/>
    <w:rsid w:val="00DB5695"/>
    <w:rsid w:val="00DC5B3B"/>
    <w:rsid w:val="00DD129F"/>
    <w:rsid w:val="00DD1FAB"/>
    <w:rsid w:val="00DD263B"/>
    <w:rsid w:val="00DD685B"/>
    <w:rsid w:val="00DE4D1F"/>
    <w:rsid w:val="00DF42FF"/>
    <w:rsid w:val="00DF5B53"/>
    <w:rsid w:val="00E01C0E"/>
    <w:rsid w:val="00E03F9A"/>
    <w:rsid w:val="00E04694"/>
    <w:rsid w:val="00E061E4"/>
    <w:rsid w:val="00E116BB"/>
    <w:rsid w:val="00E12B1E"/>
    <w:rsid w:val="00E141B9"/>
    <w:rsid w:val="00E145DC"/>
    <w:rsid w:val="00E17262"/>
    <w:rsid w:val="00E17D21"/>
    <w:rsid w:val="00E253A2"/>
    <w:rsid w:val="00E2708E"/>
    <w:rsid w:val="00E32B18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16F"/>
    <w:rsid w:val="00E71212"/>
    <w:rsid w:val="00E71A58"/>
    <w:rsid w:val="00E72A7A"/>
    <w:rsid w:val="00E75C94"/>
    <w:rsid w:val="00E83A91"/>
    <w:rsid w:val="00E933EE"/>
    <w:rsid w:val="00E93820"/>
    <w:rsid w:val="00E96E34"/>
    <w:rsid w:val="00EA0C68"/>
    <w:rsid w:val="00EA14A6"/>
    <w:rsid w:val="00EA278E"/>
    <w:rsid w:val="00EB07AC"/>
    <w:rsid w:val="00EB62C2"/>
    <w:rsid w:val="00EC03D7"/>
    <w:rsid w:val="00EC2111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A6195"/>
    <w:rsid w:val="00FC0134"/>
    <w:rsid w:val="00FC0E5F"/>
    <w:rsid w:val="00FC1A95"/>
    <w:rsid w:val="00FC5576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68B6802"/>
  <w15:docId w15:val="{8DD5E5C8-610A-4E05-AE19-6331C5E1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F4F3E-87A2-4B56-94C1-868935916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113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95</cp:revision>
  <cp:lastPrinted>2017-01-18T13:33:00Z</cp:lastPrinted>
  <dcterms:created xsi:type="dcterms:W3CDTF">2017-02-13T12:00:00Z</dcterms:created>
  <dcterms:modified xsi:type="dcterms:W3CDTF">2020-09-24T11:34:00Z</dcterms:modified>
</cp:coreProperties>
</file>