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7C" w:rsidRPr="00F22E2F" w:rsidRDefault="007F2B7C">
      <w:pPr>
        <w:pStyle w:val="Normlnweb"/>
        <w:spacing w:before="0" w:beforeAutospacing="0" w:after="0" w:afterAutospacing="0"/>
        <w:jc w:val="center"/>
        <w:rPr>
          <w:rFonts w:ascii="Arial" w:hAnsi="Arial" w:cs="Arial"/>
          <w:i/>
          <w:iCs/>
          <w:color w:val="auto"/>
          <w:szCs w:val="17"/>
          <w:lang w:val="en-GB"/>
        </w:rPr>
      </w:pPr>
      <w:r w:rsidRPr="00F22E2F">
        <w:rPr>
          <w:rFonts w:ascii="Arial" w:hAnsi="Arial" w:cs="Arial"/>
          <w:b/>
          <w:bCs/>
          <w:i/>
          <w:iCs/>
          <w:color w:val="auto"/>
          <w:szCs w:val="17"/>
          <w:lang w:val="en-GB"/>
        </w:rPr>
        <w:t xml:space="preserve">9. </w:t>
      </w:r>
      <w:r w:rsidR="00030105" w:rsidRPr="00F22E2F">
        <w:rPr>
          <w:rFonts w:ascii="Arial" w:hAnsi="Arial" w:cs="Arial"/>
          <w:b/>
          <w:bCs/>
          <w:i/>
          <w:iCs/>
          <w:color w:val="auto"/>
          <w:szCs w:val="17"/>
          <w:lang w:val="en-GB"/>
        </w:rPr>
        <w:t xml:space="preserve">HOUSEHOLD </w:t>
      </w:r>
      <w:r w:rsidRPr="00F22E2F">
        <w:rPr>
          <w:rFonts w:ascii="Arial" w:hAnsi="Arial" w:cs="Arial"/>
          <w:b/>
          <w:bCs/>
          <w:i/>
          <w:iCs/>
          <w:color w:val="auto"/>
          <w:szCs w:val="17"/>
          <w:lang w:val="en-GB"/>
        </w:rPr>
        <w:t>INCOME AND EXPENDITURE</w:t>
      </w:r>
    </w:p>
    <w:p w:rsidR="007F2B7C" w:rsidRPr="00F22E2F" w:rsidRDefault="007F2B7C">
      <w:pPr>
        <w:pStyle w:val="Normlnweb"/>
        <w:spacing w:before="0" w:beforeAutospacing="0" w:after="0" w:afterAutospacing="0"/>
        <w:ind w:left="1797" w:hanging="1797"/>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ind w:firstLine="709"/>
        <w:jc w:val="both"/>
        <w:rPr>
          <w:rFonts w:ascii="Arial" w:hAnsi="Arial" w:cs="Arial"/>
          <w:i/>
          <w:iCs/>
          <w:color w:val="auto"/>
          <w:sz w:val="20"/>
          <w:szCs w:val="17"/>
          <w:lang w:val="en-GB"/>
        </w:rPr>
      </w:pPr>
      <w:r w:rsidRPr="00F22E2F">
        <w:rPr>
          <w:rFonts w:ascii="Arial" w:hAnsi="Arial" w:cs="Arial"/>
          <w:i/>
          <w:iCs/>
          <w:color w:val="auto"/>
          <w:sz w:val="20"/>
          <w:szCs w:val="17"/>
          <w:lang w:val="en-GB"/>
        </w:rPr>
        <w:t>The source of data in this chapter is social surveys carried out in households.</w:t>
      </w:r>
    </w:p>
    <w:p w:rsidR="007F2B7C" w:rsidRPr="00F22E2F" w:rsidRDefault="007F2B7C">
      <w:pPr>
        <w:pStyle w:val="Normlnweb"/>
        <w:spacing w:before="120" w:beforeAutospacing="0" w:after="0" w:afterAutospacing="0"/>
        <w:ind w:firstLine="709"/>
        <w:jc w:val="both"/>
        <w:rPr>
          <w:rFonts w:ascii="Arial" w:hAnsi="Arial" w:cs="Arial"/>
          <w:i/>
          <w:iCs/>
          <w:color w:val="auto"/>
          <w:sz w:val="20"/>
          <w:szCs w:val="17"/>
          <w:lang w:val="en-GB"/>
        </w:rPr>
      </w:pPr>
      <w:r w:rsidRPr="00F22E2F">
        <w:rPr>
          <w:rFonts w:ascii="Arial" w:hAnsi="Arial" w:cs="Arial"/>
          <w:i/>
          <w:iCs/>
          <w:color w:val="auto"/>
          <w:sz w:val="20"/>
          <w:szCs w:val="17"/>
          <w:lang w:val="en-GB"/>
        </w:rPr>
        <w:t>The sample survey of the </w:t>
      </w:r>
      <w:r w:rsidRPr="00F22E2F">
        <w:rPr>
          <w:rFonts w:ascii="Arial" w:hAnsi="Arial" w:cs="Arial"/>
          <w:b/>
          <w:i/>
          <w:iCs/>
          <w:color w:val="auto"/>
          <w:sz w:val="20"/>
          <w:szCs w:val="17"/>
          <w:lang w:val="en-GB"/>
        </w:rPr>
        <w:t xml:space="preserve">Living Conditions Survey (LCS) </w:t>
      </w:r>
      <w:r w:rsidRPr="00F22E2F">
        <w:rPr>
          <w:rFonts w:ascii="Arial" w:hAnsi="Arial" w:cs="Arial"/>
          <w:i/>
          <w:iCs/>
          <w:color w:val="auto"/>
          <w:sz w:val="20"/>
          <w:szCs w:val="17"/>
          <w:lang w:val="en-GB"/>
        </w:rPr>
        <w:t>is carried out every year within the programme of the </w:t>
      </w:r>
      <w:r w:rsidRPr="00F22E2F">
        <w:rPr>
          <w:rFonts w:ascii="Arial" w:hAnsi="Arial" w:cs="Arial"/>
          <w:b/>
          <w:i/>
          <w:iCs/>
          <w:color w:val="auto"/>
          <w:sz w:val="20"/>
          <w:szCs w:val="17"/>
          <w:lang w:val="en-GB"/>
        </w:rPr>
        <w:t>EU-SILC</w:t>
      </w:r>
      <w:r w:rsidRPr="00F22E2F">
        <w:rPr>
          <w:rFonts w:ascii="Arial" w:hAnsi="Arial" w:cs="Arial"/>
          <w:i/>
          <w:iCs/>
          <w:color w:val="auto"/>
          <w:sz w:val="20"/>
          <w:szCs w:val="17"/>
          <w:lang w:val="en-GB"/>
        </w:rPr>
        <w:t xml:space="preserve"> (European Union – Statistics on Income and Living Conditions) in randomly sampled </w:t>
      </w:r>
      <w:r w:rsidR="004C0922">
        <w:rPr>
          <w:rFonts w:ascii="Arial" w:hAnsi="Arial" w:cs="Arial"/>
          <w:i/>
          <w:iCs/>
          <w:color w:val="auto"/>
          <w:sz w:val="20"/>
          <w:szCs w:val="17"/>
          <w:lang w:val="en-GB"/>
        </w:rPr>
        <w:t>private</w:t>
      </w:r>
      <w:r w:rsidR="004C0922" w:rsidRPr="00F22E2F">
        <w:rPr>
          <w:rFonts w:ascii="Arial" w:hAnsi="Arial" w:cs="Arial"/>
          <w:i/>
          <w:iCs/>
          <w:color w:val="auto"/>
          <w:sz w:val="20"/>
          <w:szCs w:val="17"/>
          <w:lang w:val="en-GB"/>
        </w:rPr>
        <w:t xml:space="preserve"> </w:t>
      </w:r>
      <w:r w:rsidRPr="00F22E2F">
        <w:rPr>
          <w:rFonts w:ascii="Arial" w:hAnsi="Arial" w:cs="Arial"/>
          <w:i/>
          <w:iCs/>
          <w:color w:val="auto"/>
          <w:sz w:val="20"/>
          <w:szCs w:val="17"/>
          <w:lang w:val="en-GB"/>
        </w:rPr>
        <w:t xml:space="preserve">households of the Czech Republic. The method of the four-year sample rotation is used; a quarter of the observed households is changed every year. The aim of the survey is to obtain data on social conditions of the population comparable with the other EU countries over a long term. The data in tables </w:t>
      </w:r>
      <w:r w:rsidRPr="00F22E2F">
        <w:rPr>
          <w:rFonts w:ascii="Arial" w:hAnsi="Arial" w:cs="Arial"/>
          <w:b/>
          <w:i/>
          <w:iCs/>
          <w:color w:val="auto"/>
          <w:sz w:val="20"/>
          <w:szCs w:val="17"/>
          <w:lang w:val="en-GB"/>
        </w:rPr>
        <w:t>9</w:t>
      </w:r>
      <w:r w:rsidRPr="00F22E2F">
        <w:rPr>
          <w:rFonts w:ascii="Arial" w:hAnsi="Arial" w:cs="Arial"/>
          <w:i/>
          <w:iCs/>
          <w:color w:val="auto"/>
          <w:sz w:val="20"/>
          <w:szCs w:val="17"/>
          <w:lang w:val="en-GB"/>
        </w:rPr>
        <w:t xml:space="preserve">-1 to </w:t>
      </w:r>
      <w:r w:rsidRPr="00F22E2F">
        <w:rPr>
          <w:rFonts w:ascii="Arial" w:hAnsi="Arial" w:cs="Arial"/>
          <w:b/>
          <w:i/>
          <w:iCs/>
          <w:color w:val="auto"/>
          <w:sz w:val="20"/>
          <w:szCs w:val="17"/>
          <w:lang w:val="en-GB"/>
        </w:rPr>
        <w:t>9</w:t>
      </w:r>
      <w:r w:rsidRPr="00F22E2F">
        <w:rPr>
          <w:rFonts w:ascii="Arial" w:hAnsi="Arial" w:cs="Arial"/>
          <w:i/>
          <w:iCs/>
          <w:color w:val="auto"/>
          <w:sz w:val="20"/>
          <w:szCs w:val="17"/>
          <w:lang w:val="en-GB"/>
        </w:rPr>
        <w:t>-</w:t>
      </w:r>
      <w:r w:rsidR="00C5704F">
        <w:rPr>
          <w:rFonts w:ascii="Arial" w:hAnsi="Arial" w:cs="Arial"/>
          <w:i/>
          <w:iCs/>
          <w:color w:val="auto"/>
          <w:sz w:val="20"/>
          <w:szCs w:val="17"/>
          <w:lang w:val="en-GB"/>
        </w:rPr>
        <w:t>3</w:t>
      </w:r>
      <w:r w:rsidR="00C5704F" w:rsidRPr="00F22E2F">
        <w:rPr>
          <w:rFonts w:ascii="Arial" w:hAnsi="Arial" w:cs="Arial"/>
          <w:i/>
          <w:iCs/>
          <w:color w:val="auto"/>
          <w:sz w:val="20"/>
          <w:szCs w:val="17"/>
          <w:lang w:val="en-GB"/>
        </w:rPr>
        <w:t xml:space="preserve"> </w:t>
      </w:r>
      <w:r w:rsidRPr="00F22E2F">
        <w:rPr>
          <w:rFonts w:ascii="Arial" w:hAnsi="Arial" w:cs="Arial"/>
          <w:i/>
          <w:iCs/>
          <w:color w:val="auto"/>
          <w:sz w:val="20"/>
          <w:szCs w:val="17"/>
          <w:lang w:val="en-GB"/>
        </w:rPr>
        <w:t xml:space="preserve">were processed for </w:t>
      </w:r>
      <w:r w:rsidR="004C0922">
        <w:rPr>
          <w:rFonts w:ascii="Arial" w:hAnsi="Arial" w:cs="Arial"/>
          <w:i/>
          <w:iCs/>
          <w:color w:val="auto"/>
          <w:sz w:val="20"/>
          <w:szCs w:val="17"/>
          <w:lang w:val="en-GB"/>
        </w:rPr>
        <w:t>8</w:t>
      </w:r>
      <w:r w:rsidR="004C0922" w:rsidRPr="003463C3">
        <w:rPr>
          <w:rFonts w:ascii="Arial" w:hAnsi="Arial" w:cs="Arial"/>
          <w:i/>
          <w:iCs/>
          <w:color w:val="auto"/>
          <w:sz w:val="20"/>
          <w:szCs w:val="17"/>
          <w:lang w:val="en-GB"/>
        </w:rPr>
        <w:t> </w:t>
      </w:r>
      <w:r w:rsidR="004C0922">
        <w:rPr>
          <w:rFonts w:ascii="Arial" w:hAnsi="Arial" w:cs="Arial"/>
          <w:i/>
          <w:iCs/>
          <w:color w:val="auto"/>
          <w:sz w:val="20"/>
          <w:szCs w:val="17"/>
          <w:lang w:val="en-GB"/>
        </w:rPr>
        <w:t>507</w:t>
      </w:r>
      <w:r w:rsidR="004C0922" w:rsidRPr="003463C3">
        <w:rPr>
          <w:rFonts w:ascii="Arial" w:hAnsi="Arial" w:cs="Arial"/>
          <w:i/>
          <w:iCs/>
          <w:color w:val="auto"/>
          <w:sz w:val="20"/>
          <w:szCs w:val="17"/>
          <w:lang w:val="en-GB"/>
        </w:rPr>
        <w:t xml:space="preserve"> </w:t>
      </w:r>
      <w:r w:rsidRPr="003463C3">
        <w:rPr>
          <w:rFonts w:ascii="Arial" w:hAnsi="Arial" w:cs="Arial"/>
          <w:i/>
          <w:iCs/>
          <w:color w:val="auto"/>
          <w:sz w:val="20"/>
          <w:szCs w:val="17"/>
          <w:lang w:val="en-GB"/>
        </w:rPr>
        <w:t>private</w:t>
      </w:r>
      <w:r w:rsidRPr="00F22E2F">
        <w:rPr>
          <w:rFonts w:ascii="Arial" w:hAnsi="Arial" w:cs="Arial"/>
          <w:i/>
          <w:iCs/>
          <w:color w:val="auto"/>
          <w:sz w:val="20"/>
          <w:szCs w:val="17"/>
          <w:lang w:val="en-GB"/>
        </w:rPr>
        <w:t xml:space="preserve"> households from all regions of the Czech Republic. Incomes of persons and of households were observed for the whole year </w:t>
      </w:r>
      <w:r w:rsidR="004C0922">
        <w:rPr>
          <w:rFonts w:ascii="Arial" w:hAnsi="Arial" w:cs="Arial"/>
          <w:i/>
          <w:iCs/>
          <w:color w:val="auto"/>
          <w:sz w:val="20"/>
          <w:szCs w:val="17"/>
          <w:lang w:val="en-GB"/>
        </w:rPr>
        <w:t>2015</w:t>
      </w:r>
      <w:r w:rsidR="00774875">
        <w:rPr>
          <w:rFonts w:ascii="Arial" w:hAnsi="Arial" w:cs="Arial"/>
          <w:i/>
          <w:iCs/>
          <w:color w:val="auto"/>
          <w:sz w:val="20"/>
          <w:szCs w:val="17"/>
          <w:lang w:val="en-GB"/>
        </w:rPr>
        <w:t>; the demographic data refer to the survey period in </w:t>
      </w:r>
      <w:r w:rsidR="00C5704F">
        <w:rPr>
          <w:rFonts w:ascii="Arial" w:hAnsi="Arial" w:cs="Arial"/>
          <w:i/>
          <w:iCs/>
          <w:color w:val="auto"/>
          <w:sz w:val="20"/>
          <w:szCs w:val="17"/>
          <w:lang w:val="en-GB"/>
        </w:rPr>
        <w:t>201</w:t>
      </w:r>
      <w:r w:rsidR="004C0922">
        <w:rPr>
          <w:rFonts w:ascii="Arial" w:hAnsi="Arial" w:cs="Arial"/>
          <w:i/>
          <w:iCs/>
          <w:color w:val="auto"/>
          <w:sz w:val="20"/>
          <w:szCs w:val="17"/>
          <w:lang w:val="en-GB"/>
        </w:rPr>
        <w:t>6</w:t>
      </w:r>
      <w:r w:rsidR="00774875">
        <w:rPr>
          <w:rFonts w:ascii="Arial" w:hAnsi="Arial" w:cs="Arial"/>
          <w:i/>
          <w:iCs/>
          <w:color w:val="auto"/>
          <w:sz w:val="20"/>
          <w:szCs w:val="17"/>
          <w:lang w:val="en-GB"/>
        </w:rPr>
        <w:t xml:space="preserve">. The data obtained are grossed up to the whole population of the Czech Republic. </w:t>
      </w:r>
    </w:p>
    <w:p w:rsidR="004317D9" w:rsidRDefault="007F2B7C">
      <w:pPr>
        <w:pStyle w:val="Normlnweb"/>
        <w:spacing w:before="120" w:beforeAutospacing="0" w:after="0" w:afterAutospacing="0"/>
        <w:ind w:firstLine="709"/>
        <w:jc w:val="both"/>
        <w:rPr>
          <w:rFonts w:ascii="Arial" w:hAnsi="Arial" w:cs="Arial"/>
          <w:i/>
          <w:iCs/>
          <w:color w:val="auto"/>
          <w:sz w:val="20"/>
          <w:szCs w:val="17"/>
          <w:lang w:val="en-GB"/>
        </w:rPr>
      </w:pPr>
      <w:r w:rsidRPr="00F22E2F">
        <w:rPr>
          <w:rFonts w:ascii="Arial" w:hAnsi="Arial" w:cs="Arial"/>
          <w:i/>
          <w:iCs/>
          <w:color w:val="auto"/>
          <w:sz w:val="20"/>
          <w:szCs w:val="17"/>
          <w:lang w:val="en-GB"/>
        </w:rPr>
        <w:t>The sample survey of the </w:t>
      </w:r>
      <w:r w:rsidRPr="00F22E2F">
        <w:rPr>
          <w:rFonts w:ascii="Arial" w:hAnsi="Arial" w:cs="Arial"/>
          <w:b/>
          <w:i/>
          <w:iCs/>
          <w:color w:val="auto"/>
          <w:sz w:val="20"/>
          <w:szCs w:val="17"/>
          <w:lang w:val="en-GB"/>
        </w:rPr>
        <w:t>Household Budget Survey (HBS)</w:t>
      </w:r>
      <w:r w:rsidRPr="00F22E2F">
        <w:rPr>
          <w:rFonts w:ascii="Arial" w:hAnsi="Arial" w:cs="Arial"/>
          <w:i/>
          <w:iCs/>
          <w:color w:val="auto"/>
          <w:sz w:val="20"/>
          <w:szCs w:val="17"/>
          <w:lang w:val="en-GB"/>
        </w:rPr>
        <w:t xml:space="preserve"> monitors economy of households and provides information on the amounts of </w:t>
      </w:r>
      <w:r w:rsidR="004C0922">
        <w:rPr>
          <w:rFonts w:ascii="Arial" w:hAnsi="Arial" w:cs="Arial"/>
          <w:i/>
          <w:iCs/>
          <w:color w:val="auto"/>
          <w:sz w:val="20"/>
          <w:szCs w:val="17"/>
          <w:lang w:val="en-GB"/>
        </w:rPr>
        <w:t xml:space="preserve">their </w:t>
      </w:r>
      <w:r w:rsidRPr="00F22E2F">
        <w:rPr>
          <w:rFonts w:ascii="Arial" w:hAnsi="Arial" w:cs="Arial"/>
          <w:i/>
          <w:iCs/>
          <w:color w:val="auto"/>
          <w:sz w:val="20"/>
          <w:szCs w:val="17"/>
          <w:lang w:val="en-GB"/>
        </w:rPr>
        <w:t xml:space="preserve">expenditure and the consumption structure. </w:t>
      </w:r>
      <w:r w:rsidR="004C0922" w:rsidRPr="00F22E2F">
        <w:rPr>
          <w:rFonts w:ascii="Arial" w:hAnsi="Arial" w:cs="Arial"/>
          <w:i/>
          <w:iCs/>
          <w:color w:val="auto"/>
          <w:sz w:val="20"/>
          <w:szCs w:val="17"/>
          <w:lang w:val="en-GB"/>
        </w:rPr>
        <w:t>The sampling unit and the reporting unit of the survey is a private household.</w:t>
      </w:r>
      <w:r w:rsidR="004C0922">
        <w:rPr>
          <w:rFonts w:ascii="Arial" w:hAnsi="Arial" w:cs="Arial"/>
          <w:i/>
          <w:iCs/>
          <w:color w:val="auto"/>
          <w:sz w:val="20"/>
          <w:szCs w:val="17"/>
          <w:lang w:val="en-GB"/>
        </w:rPr>
        <w:t xml:space="preserve"> </w:t>
      </w:r>
      <w:r w:rsidRPr="00F22E2F">
        <w:rPr>
          <w:rFonts w:ascii="Arial" w:hAnsi="Arial" w:cs="Arial"/>
          <w:i/>
          <w:iCs/>
          <w:color w:val="auto"/>
          <w:sz w:val="20"/>
          <w:szCs w:val="17"/>
          <w:lang w:val="en-GB"/>
        </w:rPr>
        <w:t xml:space="preserve">The reporting households of the HBS </w:t>
      </w:r>
      <w:r w:rsidR="004C0922">
        <w:rPr>
          <w:rFonts w:ascii="Arial" w:hAnsi="Arial" w:cs="Arial"/>
          <w:i/>
          <w:iCs/>
          <w:color w:val="auto"/>
          <w:sz w:val="20"/>
          <w:szCs w:val="17"/>
          <w:lang w:val="en-GB"/>
        </w:rPr>
        <w:t>we</w:t>
      </w:r>
      <w:r w:rsidRPr="00F22E2F">
        <w:rPr>
          <w:rFonts w:ascii="Arial" w:hAnsi="Arial" w:cs="Arial"/>
          <w:i/>
          <w:iCs/>
          <w:color w:val="auto"/>
          <w:sz w:val="20"/>
          <w:szCs w:val="17"/>
          <w:lang w:val="en-GB"/>
        </w:rPr>
        <w:t xml:space="preserve">re </w:t>
      </w:r>
      <w:r w:rsidR="004C0922">
        <w:rPr>
          <w:rFonts w:ascii="Arial" w:hAnsi="Arial" w:cs="Arial"/>
          <w:i/>
          <w:iCs/>
          <w:color w:val="auto"/>
          <w:sz w:val="20"/>
          <w:szCs w:val="17"/>
          <w:lang w:val="en-GB"/>
        </w:rPr>
        <w:t xml:space="preserve">in 2016 </w:t>
      </w:r>
      <w:r w:rsidRPr="00F22E2F">
        <w:rPr>
          <w:rFonts w:ascii="Arial" w:hAnsi="Arial" w:cs="Arial"/>
          <w:i/>
          <w:iCs/>
          <w:color w:val="auto"/>
          <w:sz w:val="20"/>
          <w:szCs w:val="17"/>
          <w:lang w:val="en-GB"/>
        </w:rPr>
        <w:t>selected by a purposive quota sampling</w:t>
      </w:r>
      <w:r w:rsidR="004C0922">
        <w:rPr>
          <w:rFonts w:ascii="Arial" w:hAnsi="Arial" w:cs="Arial"/>
          <w:i/>
          <w:iCs/>
          <w:color w:val="auto"/>
          <w:sz w:val="20"/>
          <w:szCs w:val="17"/>
          <w:lang w:val="en-GB"/>
        </w:rPr>
        <w:t xml:space="preserve"> results of this are published</w:t>
      </w:r>
      <w:r w:rsidRPr="00F22E2F">
        <w:rPr>
          <w:rFonts w:ascii="Arial" w:hAnsi="Arial" w:cs="Arial"/>
          <w:i/>
          <w:iCs/>
          <w:color w:val="auto"/>
          <w:sz w:val="20"/>
          <w:szCs w:val="17"/>
          <w:lang w:val="en-GB"/>
        </w:rPr>
        <w:t xml:space="preserve">. </w:t>
      </w:r>
      <w:r w:rsidR="004C0922">
        <w:rPr>
          <w:rFonts w:ascii="Arial" w:hAnsi="Arial" w:cs="Arial"/>
          <w:i/>
          <w:iCs/>
          <w:color w:val="auto"/>
          <w:sz w:val="20"/>
          <w:szCs w:val="17"/>
          <w:lang w:val="en-GB"/>
        </w:rPr>
        <w:t xml:space="preserve">In the same year, however, a pilot survey of the HBS, based on random selection and integrated into the Living Conditions Survey, was carried out. Therefore, for capacity reasons, the sample created by the </w:t>
      </w:r>
      <w:r w:rsidR="004C0922" w:rsidRPr="00F22E2F">
        <w:rPr>
          <w:rFonts w:ascii="Arial" w:hAnsi="Arial" w:cs="Arial"/>
          <w:i/>
          <w:iCs/>
          <w:color w:val="auto"/>
          <w:sz w:val="20"/>
          <w:szCs w:val="17"/>
          <w:lang w:val="en-GB"/>
        </w:rPr>
        <w:t>purposive quota sampling</w:t>
      </w:r>
      <w:r w:rsidR="004C0922">
        <w:rPr>
          <w:rFonts w:ascii="Arial" w:hAnsi="Arial" w:cs="Arial"/>
          <w:i/>
          <w:iCs/>
          <w:color w:val="auto"/>
          <w:sz w:val="20"/>
          <w:szCs w:val="17"/>
          <w:lang w:val="en-GB"/>
        </w:rPr>
        <w:t xml:space="preserve"> was</w:t>
      </w:r>
      <w:r w:rsidR="00853C10">
        <w:rPr>
          <w:rFonts w:ascii="Arial" w:hAnsi="Arial" w:cs="Arial"/>
          <w:i/>
          <w:iCs/>
          <w:color w:val="auto"/>
          <w:sz w:val="20"/>
          <w:szCs w:val="17"/>
          <w:lang w:val="en-GB"/>
        </w:rPr>
        <w:t>, compared to previous years,</w:t>
      </w:r>
      <w:r w:rsidR="004C0922">
        <w:rPr>
          <w:rFonts w:ascii="Arial" w:hAnsi="Arial" w:cs="Arial"/>
          <w:i/>
          <w:iCs/>
          <w:color w:val="auto"/>
          <w:sz w:val="20"/>
          <w:szCs w:val="17"/>
          <w:lang w:val="en-GB"/>
        </w:rPr>
        <w:t xml:space="preserve"> reduced to 1 600 households and </w:t>
      </w:r>
      <w:r w:rsidR="00774875">
        <w:rPr>
          <w:rFonts w:ascii="Arial" w:hAnsi="Arial" w:cs="Arial"/>
          <w:i/>
          <w:iCs/>
          <w:color w:val="auto"/>
          <w:sz w:val="20"/>
          <w:szCs w:val="17"/>
          <w:lang w:val="en-GB"/>
        </w:rPr>
        <w:t xml:space="preserve">was selected the way that its composition by chosen sampling attributes corresponds to the structure of households in the Czech Republic. The quota frame was the results of the Living Conditions Survey. </w:t>
      </w:r>
    </w:p>
    <w:p w:rsidR="007F2B7C" w:rsidRPr="00F22E2F" w:rsidRDefault="00774875">
      <w:pPr>
        <w:pStyle w:val="Normlnweb"/>
        <w:spacing w:before="120" w:beforeAutospacing="0" w:after="0" w:afterAutospacing="0"/>
        <w:ind w:firstLine="708"/>
        <w:jc w:val="both"/>
        <w:rPr>
          <w:rFonts w:ascii="Arial" w:hAnsi="Arial" w:cs="Arial"/>
          <w:i/>
          <w:iCs/>
          <w:color w:val="auto"/>
          <w:sz w:val="20"/>
          <w:szCs w:val="17"/>
          <w:lang w:val="en-GB"/>
        </w:rPr>
      </w:pPr>
      <w:r>
        <w:rPr>
          <w:rFonts w:ascii="Arial" w:hAnsi="Arial" w:cs="Arial"/>
          <w:i/>
          <w:iCs/>
          <w:color w:val="auto"/>
          <w:sz w:val="20"/>
          <w:szCs w:val="17"/>
          <w:lang w:val="en-GB"/>
        </w:rPr>
        <w:t>As of 2006 the basic sampling attribute is a </w:t>
      </w:r>
      <w:r>
        <w:rPr>
          <w:rFonts w:ascii="Arial" w:hAnsi="Arial" w:cs="Arial"/>
          <w:b/>
          <w:i/>
          <w:iCs/>
          <w:color w:val="auto"/>
          <w:sz w:val="20"/>
          <w:szCs w:val="17"/>
          <w:lang w:val="en-GB"/>
        </w:rPr>
        <w:t>group of households</w:t>
      </w:r>
      <w:r>
        <w:rPr>
          <w:rFonts w:ascii="Arial" w:hAnsi="Arial" w:cs="Arial"/>
          <w:i/>
          <w:iCs/>
          <w:color w:val="auto"/>
          <w:sz w:val="20"/>
          <w:szCs w:val="17"/>
          <w:lang w:val="en-GB"/>
        </w:rPr>
        <w:t xml:space="preserve"> derived from economic activity and status in employment of </w:t>
      </w:r>
      <w:r w:rsidR="00F1333A">
        <w:rPr>
          <w:rFonts w:ascii="Arial" w:hAnsi="Arial" w:cs="Arial"/>
          <w:i/>
          <w:iCs/>
          <w:color w:val="auto"/>
          <w:sz w:val="20"/>
          <w:szCs w:val="17"/>
          <w:lang w:val="en-GB"/>
        </w:rPr>
        <w:t xml:space="preserve">the </w:t>
      </w:r>
      <w:r>
        <w:rPr>
          <w:rFonts w:ascii="Arial" w:hAnsi="Arial" w:cs="Arial"/>
          <w:i/>
          <w:iCs/>
          <w:color w:val="auto"/>
          <w:sz w:val="20"/>
          <w:szCs w:val="17"/>
          <w:lang w:val="en-GB"/>
        </w:rPr>
        <w:t xml:space="preserve">head of household. </w:t>
      </w:r>
      <w:r w:rsidR="00F1333A">
        <w:rPr>
          <w:rFonts w:ascii="Arial" w:hAnsi="Arial" w:cs="Arial"/>
          <w:i/>
          <w:iCs/>
          <w:color w:val="auto"/>
          <w:sz w:val="20"/>
          <w:szCs w:val="17"/>
          <w:lang w:val="en-GB"/>
        </w:rPr>
        <w:t>The h</w:t>
      </w:r>
      <w:r>
        <w:rPr>
          <w:rFonts w:ascii="Arial" w:hAnsi="Arial" w:cs="Arial"/>
          <w:i/>
          <w:iCs/>
          <w:color w:val="auto"/>
          <w:sz w:val="20"/>
          <w:szCs w:val="17"/>
          <w:lang w:val="en-GB"/>
        </w:rPr>
        <w:t xml:space="preserve">ead of household of two-parent families is always the male, in lone-parent families mostly the parent. In non-family households the person with the highest income is considered to be </w:t>
      </w:r>
      <w:r w:rsidR="00F1333A">
        <w:rPr>
          <w:rFonts w:ascii="Arial" w:hAnsi="Arial" w:cs="Arial"/>
          <w:i/>
          <w:iCs/>
          <w:color w:val="auto"/>
          <w:sz w:val="20"/>
          <w:szCs w:val="17"/>
          <w:lang w:val="en-GB"/>
        </w:rPr>
        <w:t xml:space="preserve">the </w:t>
      </w:r>
      <w:r>
        <w:rPr>
          <w:rFonts w:ascii="Arial" w:hAnsi="Arial" w:cs="Arial"/>
          <w:i/>
          <w:iCs/>
          <w:color w:val="auto"/>
          <w:sz w:val="20"/>
          <w:szCs w:val="17"/>
          <w:lang w:val="en-GB"/>
        </w:rPr>
        <w:t xml:space="preserve">head of household. </w:t>
      </w:r>
    </w:p>
    <w:p w:rsidR="007F2B7C" w:rsidRPr="00F22E2F" w:rsidRDefault="00774875">
      <w:pPr>
        <w:pStyle w:val="Normlnweb"/>
        <w:spacing w:before="120" w:beforeAutospacing="0" w:after="0" w:afterAutospacing="0"/>
        <w:ind w:firstLine="708"/>
        <w:jc w:val="both"/>
        <w:rPr>
          <w:rFonts w:ascii="Arial" w:hAnsi="Arial" w:cs="Arial"/>
          <w:i/>
          <w:iCs/>
          <w:color w:val="auto"/>
          <w:sz w:val="20"/>
          <w:szCs w:val="17"/>
          <w:lang w:val="en-GB"/>
        </w:rPr>
      </w:pPr>
      <w:r>
        <w:rPr>
          <w:rFonts w:ascii="Arial" w:hAnsi="Arial" w:cs="Arial"/>
          <w:i/>
          <w:iCs/>
          <w:color w:val="auto"/>
          <w:sz w:val="20"/>
          <w:szCs w:val="17"/>
          <w:lang w:val="en-GB"/>
        </w:rPr>
        <w:t xml:space="preserve">Households with economically active heads are classified by the head of household status in employment, employee households also by the head educational attainment. Households with economically inactive heads are divided depending on whether any of the other household members is economically active, or, potentially, head of household is a pensioner. </w:t>
      </w:r>
    </w:p>
    <w:p w:rsidR="007F2B7C" w:rsidRPr="00F22E2F" w:rsidRDefault="00774875">
      <w:pPr>
        <w:pStyle w:val="Normlnweb"/>
        <w:spacing w:before="120" w:beforeAutospacing="0" w:after="0" w:afterAutospacing="0"/>
        <w:ind w:firstLine="708"/>
        <w:jc w:val="both"/>
        <w:rPr>
          <w:rFonts w:ascii="Arial" w:hAnsi="Arial" w:cs="Arial"/>
          <w:i/>
          <w:iCs/>
          <w:color w:val="auto"/>
          <w:sz w:val="20"/>
          <w:szCs w:val="17"/>
          <w:lang w:val="en-GB"/>
        </w:rPr>
      </w:pPr>
      <w:r>
        <w:rPr>
          <w:rFonts w:ascii="Arial" w:hAnsi="Arial" w:cs="Arial"/>
          <w:i/>
          <w:iCs/>
          <w:color w:val="auto"/>
          <w:sz w:val="20"/>
          <w:szCs w:val="17"/>
          <w:lang w:val="en-GB"/>
        </w:rPr>
        <w:t>Additional sampling criteria are used for the three most important household groups (employee households, self-employed households, and pensioner households without economically active members) as follows:</w:t>
      </w:r>
    </w:p>
    <w:p w:rsidR="007F2B7C" w:rsidRPr="00F22E2F" w:rsidRDefault="00774875">
      <w:pPr>
        <w:pStyle w:val="Normlnweb"/>
        <w:spacing w:before="120" w:beforeAutospacing="0" w:after="0" w:afterAutospacing="0"/>
        <w:ind w:left="170" w:hanging="170"/>
        <w:jc w:val="both"/>
        <w:rPr>
          <w:rFonts w:ascii="Arial" w:hAnsi="Arial" w:cs="Arial"/>
          <w:i/>
          <w:iCs/>
          <w:color w:val="auto"/>
          <w:sz w:val="20"/>
          <w:szCs w:val="17"/>
          <w:lang w:val="en-GB"/>
        </w:rPr>
      </w:pPr>
      <w:r>
        <w:rPr>
          <w:rFonts w:ascii="Arial" w:hAnsi="Arial" w:cs="Arial"/>
          <w:i/>
          <w:iCs/>
          <w:color w:val="auto"/>
          <w:sz w:val="20"/>
          <w:szCs w:val="17"/>
          <w:lang w:val="en-GB"/>
        </w:rPr>
        <w:t>– net money income per household member and the number of dependent children for employee households and self-employed households;</w:t>
      </w:r>
    </w:p>
    <w:p w:rsidR="007F2B7C" w:rsidRPr="00F22E2F" w:rsidRDefault="00774875">
      <w:pPr>
        <w:pStyle w:val="Normlnweb"/>
        <w:spacing w:before="120" w:beforeAutospacing="0" w:after="0" w:afterAutospacing="0"/>
        <w:ind w:left="170" w:hanging="170"/>
        <w:jc w:val="both"/>
        <w:rPr>
          <w:rFonts w:ascii="Arial" w:hAnsi="Arial" w:cs="Arial"/>
          <w:i/>
          <w:iCs/>
          <w:color w:val="auto"/>
          <w:sz w:val="20"/>
          <w:szCs w:val="17"/>
          <w:lang w:val="en-GB"/>
        </w:rPr>
      </w:pPr>
      <w:r>
        <w:rPr>
          <w:rFonts w:ascii="Arial" w:hAnsi="Arial" w:cs="Arial"/>
          <w:i/>
          <w:iCs/>
          <w:color w:val="auto"/>
          <w:sz w:val="20"/>
          <w:szCs w:val="17"/>
          <w:lang w:val="en-GB"/>
        </w:rPr>
        <w:t xml:space="preserve">– pension income per household member and number of household members (in one-person households also </w:t>
      </w:r>
      <w:r w:rsidR="009F77C7">
        <w:rPr>
          <w:rFonts w:ascii="Arial" w:hAnsi="Arial" w:cs="Arial"/>
          <w:i/>
          <w:iCs/>
          <w:color w:val="auto"/>
          <w:sz w:val="20"/>
          <w:szCs w:val="17"/>
          <w:lang w:val="en-GB"/>
        </w:rPr>
        <w:t>sex</w:t>
      </w:r>
      <w:r>
        <w:rPr>
          <w:rFonts w:ascii="Arial" w:hAnsi="Arial" w:cs="Arial"/>
          <w:i/>
          <w:iCs/>
          <w:color w:val="auto"/>
          <w:sz w:val="20"/>
          <w:szCs w:val="17"/>
          <w:lang w:val="en-GB"/>
        </w:rPr>
        <w:t xml:space="preserve">) for pensioner households without economically active members.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 xml:space="preserve">The sampling attribute of </w:t>
      </w:r>
      <w:r>
        <w:rPr>
          <w:rFonts w:ascii="Arial" w:hAnsi="Arial" w:cs="Arial"/>
          <w:b/>
          <w:i/>
          <w:iCs/>
          <w:color w:val="auto"/>
          <w:sz w:val="20"/>
          <w:szCs w:val="17"/>
          <w:lang w:val="en-GB"/>
        </w:rPr>
        <w:t>municipality size and type of house</w:t>
      </w:r>
      <w:r>
        <w:rPr>
          <w:rFonts w:ascii="Arial" w:hAnsi="Arial" w:cs="Arial"/>
          <w:i/>
          <w:iCs/>
          <w:color w:val="auto"/>
          <w:sz w:val="20"/>
          <w:szCs w:val="17"/>
          <w:lang w:val="en-GB"/>
        </w:rPr>
        <w:t xml:space="preserve"> applies to all household groups while separate quotas by municipality size and type of house are prescribed for the above most important household groups.</w:t>
      </w:r>
    </w:p>
    <w:p w:rsidR="007F2B7C" w:rsidRPr="00F22E2F" w:rsidRDefault="007F2B7C">
      <w:pPr>
        <w:pStyle w:val="Normlnweb"/>
        <w:spacing w:before="0" w:beforeAutospacing="0" w:after="0" w:afterAutospacing="0"/>
        <w:ind w:left="720" w:hanging="72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ind w:left="720" w:hanging="720"/>
        <w:jc w:val="both"/>
        <w:rPr>
          <w:rFonts w:ascii="Arial" w:hAnsi="Arial" w:cs="Arial"/>
          <w:i/>
          <w:iCs/>
          <w:color w:val="auto"/>
          <w:sz w:val="20"/>
          <w:szCs w:val="17"/>
          <w:lang w:val="en-GB"/>
        </w:rPr>
      </w:pPr>
    </w:p>
    <w:p w:rsidR="007F2B7C" w:rsidRPr="00F22E2F" w:rsidRDefault="00774875">
      <w:pPr>
        <w:pStyle w:val="Normlnweb"/>
        <w:spacing w:before="0" w:beforeAutospacing="0" w:after="0" w:afterAutospacing="0"/>
        <w:jc w:val="both"/>
        <w:rPr>
          <w:rFonts w:ascii="Arial" w:hAnsi="Arial" w:cs="Arial"/>
          <w:b/>
          <w:i/>
          <w:iCs/>
          <w:color w:val="auto"/>
          <w:sz w:val="20"/>
          <w:szCs w:val="17"/>
          <w:lang w:val="en-GB"/>
        </w:rPr>
      </w:pPr>
      <w:r>
        <w:rPr>
          <w:rFonts w:ascii="Arial" w:hAnsi="Arial" w:cs="Arial"/>
          <w:b/>
          <w:i/>
          <w:iCs/>
          <w:color w:val="auto"/>
          <w:sz w:val="20"/>
          <w:szCs w:val="17"/>
          <w:lang w:val="en-GB"/>
        </w:rPr>
        <w:t>Notes on indicators and breakdowns</w:t>
      </w:r>
    </w:p>
    <w:p w:rsidR="007F2B7C" w:rsidRPr="00F22E2F" w:rsidRDefault="007F2B7C">
      <w:pPr>
        <w:pStyle w:val="Normlnweb"/>
        <w:spacing w:before="120" w:beforeAutospacing="0" w:after="0" w:afterAutospacing="0"/>
        <w:ind w:firstLine="709"/>
        <w:jc w:val="both"/>
        <w:rPr>
          <w:rFonts w:ascii="Arial" w:hAnsi="Arial" w:cs="Arial"/>
          <w:i/>
          <w:iCs/>
          <w:color w:val="auto"/>
          <w:sz w:val="20"/>
          <w:szCs w:val="17"/>
          <w:lang w:val="en-GB"/>
        </w:rPr>
      </w:pPr>
      <w:r w:rsidRPr="00F22E2F">
        <w:rPr>
          <w:rFonts w:ascii="Arial" w:hAnsi="Arial" w:cs="Arial"/>
          <w:i/>
          <w:iCs/>
          <w:color w:val="auto"/>
          <w:sz w:val="20"/>
          <w:szCs w:val="17"/>
          <w:lang w:val="en-GB"/>
        </w:rPr>
        <w:t>A</w:t>
      </w:r>
      <w:r w:rsidR="00FE1483">
        <w:rPr>
          <w:rFonts w:ascii="Arial" w:hAnsi="Arial" w:cs="Arial"/>
          <w:i/>
          <w:iCs/>
          <w:color w:val="auto"/>
          <w:sz w:val="20"/>
          <w:szCs w:val="17"/>
          <w:lang w:val="en-GB"/>
        </w:rPr>
        <w:t> </w:t>
      </w:r>
      <w:r w:rsidRPr="00F22E2F">
        <w:rPr>
          <w:rFonts w:ascii="Arial" w:hAnsi="Arial" w:cs="Arial"/>
          <w:b/>
          <w:i/>
          <w:iCs/>
          <w:color w:val="auto"/>
          <w:sz w:val="20"/>
          <w:szCs w:val="17"/>
          <w:lang w:val="en-GB"/>
        </w:rPr>
        <w:t>private household</w:t>
      </w:r>
      <w:r w:rsidRPr="00F22E2F">
        <w:rPr>
          <w:rFonts w:ascii="Arial" w:hAnsi="Arial" w:cs="Arial"/>
          <w:i/>
          <w:iCs/>
          <w:color w:val="auto"/>
          <w:sz w:val="20"/>
          <w:szCs w:val="17"/>
          <w:lang w:val="en-GB"/>
        </w:rPr>
        <w:t xml:space="preserve"> is a set of persons who share </w:t>
      </w:r>
      <w:r w:rsidR="00E63940">
        <w:rPr>
          <w:rFonts w:ascii="Arial" w:hAnsi="Arial" w:cs="Arial"/>
          <w:i/>
          <w:iCs/>
          <w:color w:val="auto"/>
          <w:sz w:val="20"/>
          <w:szCs w:val="17"/>
          <w:lang w:val="en-GB"/>
        </w:rPr>
        <w:t xml:space="preserve">a </w:t>
      </w:r>
      <w:r w:rsidRPr="00F22E2F">
        <w:rPr>
          <w:rFonts w:ascii="Arial" w:hAnsi="Arial" w:cs="Arial"/>
          <w:i/>
          <w:iCs/>
          <w:color w:val="auto"/>
          <w:sz w:val="20"/>
          <w:szCs w:val="17"/>
          <w:lang w:val="en-GB"/>
        </w:rPr>
        <w:t>dwelling and basic expenditure (on nutrition, household operation, maintenance of the dwelling, etc.).</w:t>
      </w:r>
    </w:p>
    <w:p w:rsidR="007F2B7C" w:rsidRPr="00F22E2F" w:rsidRDefault="007F2B7C">
      <w:pPr>
        <w:pStyle w:val="Normlnweb"/>
        <w:spacing w:before="120" w:beforeAutospacing="0" w:after="0" w:afterAutospacing="0"/>
        <w:ind w:firstLine="720"/>
        <w:jc w:val="both"/>
        <w:rPr>
          <w:rFonts w:ascii="Arial" w:hAnsi="Arial" w:cs="Arial"/>
          <w:i/>
          <w:iCs/>
          <w:color w:val="auto"/>
          <w:sz w:val="20"/>
          <w:szCs w:val="17"/>
          <w:lang w:val="en-GB"/>
        </w:rPr>
      </w:pPr>
      <w:r w:rsidRPr="00F22E2F">
        <w:rPr>
          <w:rFonts w:ascii="Arial" w:hAnsi="Arial" w:cs="Arial"/>
          <w:b/>
          <w:bCs/>
          <w:i/>
          <w:iCs/>
          <w:color w:val="auto"/>
          <w:sz w:val="20"/>
          <w:szCs w:val="17"/>
          <w:lang w:val="en-GB"/>
        </w:rPr>
        <w:t xml:space="preserve">Working persons </w:t>
      </w:r>
      <w:r w:rsidRPr="00F22E2F">
        <w:rPr>
          <w:rFonts w:ascii="Arial" w:hAnsi="Arial" w:cs="Arial"/>
          <w:i/>
          <w:iCs/>
          <w:color w:val="auto"/>
          <w:sz w:val="20"/>
          <w:szCs w:val="17"/>
          <w:lang w:val="en-GB"/>
        </w:rPr>
        <w:t xml:space="preserve">are persons, who were in a paid employment (employees) or in self-employment (own-account workers, family workers) all the year, or most of the year. </w:t>
      </w:r>
      <w:r w:rsidR="00FE1483">
        <w:rPr>
          <w:rFonts w:ascii="Arial" w:hAnsi="Arial" w:cs="Arial"/>
          <w:i/>
          <w:iCs/>
          <w:color w:val="auto"/>
          <w:sz w:val="20"/>
          <w:szCs w:val="17"/>
          <w:lang w:val="en-GB"/>
        </w:rPr>
        <w:t>The </w:t>
      </w:r>
      <w:r w:rsidR="00774875">
        <w:rPr>
          <w:rFonts w:ascii="Arial" w:hAnsi="Arial" w:cs="Arial"/>
          <w:i/>
          <w:iCs/>
          <w:color w:val="auto"/>
          <w:sz w:val="20"/>
          <w:szCs w:val="17"/>
          <w:lang w:val="en-GB"/>
        </w:rPr>
        <w:t xml:space="preserve">type of work activities, if they are permanent, temporary, seasonal, or occasional, is not decisive for persons to be classified to this category. </w:t>
      </w:r>
      <w:r w:rsidR="00FE1483">
        <w:rPr>
          <w:rFonts w:ascii="Arial" w:hAnsi="Arial" w:cs="Arial"/>
          <w:i/>
          <w:iCs/>
          <w:color w:val="auto"/>
          <w:sz w:val="20"/>
          <w:szCs w:val="17"/>
          <w:lang w:val="en-GB"/>
        </w:rPr>
        <w:t>The </w:t>
      </w:r>
      <w:r w:rsidR="00774875">
        <w:rPr>
          <w:rFonts w:ascii="Arial" w:hAnsi="Arial" w:cs="Arial"/>
          <w:i/>
          <w:iCs/>
          <w:color w:val="auto"/>
          <w:sz w:val="20"/>
          <w:szCs w:val="17"/>
          <w:lang w:val="en-GB"/>
        </w:rPr>
        <w:t xml:space="preserve">decisive factor is </w:t>
      </w:r>
      <w:r w:rsidR="00FE1483">
        <w:rPr>
          <w:rFonts w:ascii="Arial" w:hAnsi="Arial" w:cs="Arial"/>
          <w:i/>
          <w:iCs/>
          <w:color w:val="auto"/>
          <w:sz w:val="20"/>
          <w:szCs w:val="17"/>
          <w:lang w:val="en-GB"/>
        </w:rPr>
        <w:t>the </w:t>
      </w:r>
      <w:r w:rsidR="00774875">
        <w:rPr>
          <w:rFonts w:ascii="Arial" w:hAnsi="Arial" w:cs="Arial"/>
          <w:i/>
          <w:iCs/>
          <w:color w:val="auto"/>
          <w:sz w:val="20"/>
          <w:szCs w:val="17"/>
          <w:lang w:val="en-GB"/>
        </w:rPr>
        <w:t xml:space="preserve">persons have some type of a formal relation to their employment (including vacations, sick leaves, parental leaves, etc.). This category also includes persons who have regular income from employment or self-employment and are studying, receiving pension or parental benefits. On </w:t>
      </w:r>
      <w:r w:rsidR="00FE1483">
        <w:rPr>
          <w:rFonts w:ascii="Arial" w:hAnsi="Arial" w:cs="Arial"/>
          <w:i/>
          <w:iCs/>
          <w:color w:val="auto"/>
          <w:sz w:val="20"/>
          <w:szCs w:val="17"/>
          <w:lang w:val="en-GB"/>
        </w:rPr>
        <w:t>the </w:t>
      </w:r>
      <w:r w:rsidR="00774875">
        <w:rPr>
          <w:rFonts w:ascii="Arial" w:hAnsi="Arial" w:cs="Arial"/>
          <w:i/>
          <w:iCs/>
          <w:color w:val="auto"/>
          <w:sz w:val="20"/>
          <w:szCs w:val="17"/>
          <w:lang w:val="en-GB"/>
        </w:rPr>
        <w:t xml:space="preserve">contrary, persons, who were unemployed all the year, or most of the year, are not included. </w:t>
      </w:r>
    </w:p>
    <w:p w:rsidR="007F2B7C" w:rsidRPr="00F22E2F" w:rsidRDefault="00774875">
      <w:pPr>
        <w:pStyle w:val="Normlnweb"/>
        <w:spacing w:before="120" w:beforeAutospacing="0" w:after="0" w:afterAutospacing="0"/>
        <w:ind w:firstLine="720"/>
        <w:jc w:val="both"/>
        <w:rPr>
          <w:rFonts w:ascii="Arial" w:hAnsi="Arial" w:cs="Arial"/>
          <w:i/>
          <w:iCs/>
          <w:color w:val="auto"/>
          <w:sz w:val="20"/>
          <w:szCs w:val="17"/>
          <w:lang w:val="en-GB"/>
        </w:rPr>
      </w:pPr>
      <w:r>
        <w:rPr>
          <w:rFonts w:ascii="Arial" w:hAnsi="Arial" w:cs="Arial"/>
          <w:bCs/>
          <w:i/>
          <w:iCs/>
          <w:color w:val="auto"/>
          <w:sz w:val="20"/>
          <w:szCs w:val="17"/>
          <w:lang w:val="en-GB"/>
        </w:rPr>
        <w:lastRenderedPageBreak/>
        <w:t>The </w:t>
      </w:r>
      <w:r>
        <w:rPr>
          <w:rFonts w:ascii="Arial" w:hAnsi="Arial" w:cs="Arial"/>
          <w:b/>
          <w:bCs/>
          <w:i/>
          <w:iCs/>
          <w:color w:val="auto"/>
          <w:sz w:val="20"/>
          <w:szCs w:val="17"/>
          <w:lang w:val="en-GB"/>
        </w:rPr>
        <w:t>dependent child</w:t>
      </w:r>
      <w:r>
        <w:rPr>
          <w:rFonts w:ascii="Arial" w:hAnsi="Arial" w:cs="Arial"/>
          <w:bCs/>
          <w:i/>
          <w:iCs/>
          <w:color w:val="auto"/>
          <w:sz w:val="20"/>
          <w:szCs w:val="17"/>
          <w:lang w:val="en-GB"/>
        </w:rPr>
        <w:t xml:space="preserve"> </w:t>
      </w:r>
      <w:r>
        <w:rPr>
          <w:rFonts w:ascii="Arial" w:hAnsi="Arial" w:cs="Arial"/>
          <w:i/>
          <w:iCs/>
          <w:color w:val="auto"/>
          <w:sz w:val="20"/>
          <w:szCs w:val="17"/>
          <w:lang w:val="en-GB"/>
        </w:rPr>
        <w:t xml:space="preserve">is a child up to 26 years of age if he/she is permanently schooling or training for his/her future occupation even if he/she has </w:t>
      </w:r>
      <w:r w:rsidR="00F22E2F">
        <w:rPr>
          <w:rFonts w:ascii="Arial" w:hAnsi="Arial" w:cs="Arial"/>
          <w:i/>
          <w:iCs/>
          <w:color w:val="auto"/>
          <w:sz w:val="20"/>
          <w:szCs w:val="17"/>
          <w:lang w:val="en-GB"/>
        </w:rPr>
        <w:t>his/her</w:t>
      </w:r>
      <w:r w:rsidR="00162544" w:rsidRPr="00F22E2F">
        <w:rPr>
          <w:rFonts w:ascii="Arial" w:hAnsi="Arial" w:cs="Arial"/>
          <w:i/>
          <w:iCs/>
          <w:color w:val="auto"/>
          <w:sz w:val="20"/>
          <w:szCs w:val="17"/>
          <w:lang w:val="en-GB"/>
        </w:rPr>
        <w:t xml:space="preserve"> own income (orphan pension, scholarship, social benefits, income from short-term work activi</w:t>
      </w:r>
      <w:r>
        <w:rPr>
          <w:rFonts w:ascii="Arial" w:hAnsi="Arial" w:cs="Arial"/>
          <w:i/>
          <w:iCs/>
          <w:color w:val="auto"/>
          <w:sz w:val="20"/>
          <w:szCs w:val="17"/>
          <w:lang w:val="en-GB"/>
        </w:rPr>
        <w:t xml:space="preserve">ties), and then a child who is unable to undergo such schooling or training due to his/her mental or physical state and has not been granted </w:t>
      </w:r>
      <w:r w:rsidR="00FE1483">
        <w:rPr>
          <w:rFonts w:ascii="Arial" w:hAnsi="Arial" w:cs="Arial"/>
          <w:i/>
          <w:iCs/>
          <w:color w:val="auto"/>
          <w:sz w:val="20"/>
          <w:szCs w:val="17"/>
          <w:lang w:val="en-GB"/>
        </w:rPr>
        <w:t>the </w:t>
      </w:r>
      <w:r>
        <w:rPr>
          <w:rFonts w:ascii="Arial" w:hAnsi="Arial" w:cs="Arial"/>
          <w:i/>
          <w:iCs/>
          <w:color w:val="auto"/>
          <w:sz w:val="20"/>
          <w:szCs w:val="17"/>
          <w:lang w:val="en-GB"/>
        </w:rPr>
        <w:t xml:space="preserve">disability pension yet. </w:t>
      </w:r>
    </w:p>
    <w:p w:rsidR="007F2B7C" w:rsidRPr="00F22E2F" w:rsidRDefault="007F2B7C">
      <w:pPr>
        <w:pStyle w:val="Normlnweb"/>
        <w:spacing w:before="120" w:beforeAutospacing="0" w:after="0" w:afterAutospacing="0"/>
        <w:ind w:firstLine="708"/>
        <w:jc w:val="both"/>
        <w:rPr>
          <w:rFonts w:ascii="Arial" w:hAnsi="Arial" w:cs="Arial"/>
          <w:i/>
          <w:iCs/>
          <w:color w:val="auto"/>
          <w:sz w:val="20"/>
          <w:szCs w:val="17"/>
          <w:lang w:val="en-GB"/>
        </w:rPr>
      </w:pPr>
      <w:r w:rsidRPr="00F22E2F">
        <w:rPr>
          <w:rFonts w:ascii="Arial" w:hAnsi="Arial" w:cs="Arial"/>
          <w:b/>
          <w:i/>
          <w:iCs/>
          <w:color w:val="auto"/>
          <w:sz w:val="20"/>
          <w:szCs w:val="17"/>
          <w:lang w:val="en-GB"/>
        </w:rPr>
        <w:t xml:space="preserve">Equivalent sizes </w:t>
      </w:r>
      <w:r w:rsidRPr="00F22E2F">
        <w:rPr>
          <w:rFonts w:ascii="Arial" w:hAnsi="Arial" w:cs="Arial"/>
          <w:i/>
          <w:iCs/>
          <w:color w:val="auto"/>
          <w:sz w:val="20"/>
          <w:szCs w:val="17"/>
          <w:lang w:val="en-GB"/>
        </w:rPr>
        <w:t xml:space="preserve">represent the composition of households calculated by weights of consumption of respective household members. The weights of equivalent sizes, as defined in the OECD equivalence scale, are as follows: first adult in the household = 1.0; any other adult (aged 13+) = 0.7; any child (aged 0–13) = 0.5. The weights of equivalent sizes, as defined in the OECD-modified scale, are as follows: first adult in the household = 1.0; any other adult (aged 13+) = 0.5; </w:t>
      </w:r>
      <w:r w:rsidR="00774875">
        <w:rPr>
          <w:rFonts w:ascii="Arial" w:hAnsi="Arial" w:cs="Arial"/>
          <w:i/>
          <w:iCs/>
          <w:color w:val="auto"/>
          <w:sz w:val="20"/>
          <w:szCs w:val="17"/>
          <w:lang w:val="en-GB"/>
        </w:rPr>
        <w:t xml:space="preserve">any child (aged 0–13) = 0.3. </w:t>
      </w:r>
    </w:p>
    <w:p w:rsidR="002665EC" w:rsidRPr="00F22E2F" w:rsidRDefault="002665E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74875">
      <w:pPr>
        <w:pStyle w:val="Normlnweb"/>
        <w:spacing w:before="0" w:beforeAutospacing="0" w:after="0" w:afterAutospacing="0"/>
        <w:ind w:firstLine="720"/>
        <w:jc w:val="both"/>
        <w:rPr>
          <w:rFonts w:ascii="Arial" w:hAnsi="Arial" w:cs="Arial"/>
          <w:b/>
          <w:i/>
          <w:iCs/>
          <w:color w:val="auto"/>
          <w:sz w:val="20"/>
          <w:szCs w:val="17"/>
          <w:lang w:val="en-GB"/>
        </w:rPr>
      </w:pPr>
      <w:r>
        <w:rPr>
          <w:rFonts w:ascii="Arial" w:hAnsi="Arial" w:cs="Arial"/>
          <w:i/>
          <w:iCs/>
          <w:color w:val="auto"/>
          <w:sz w:val="20"/>
          <w:szCs w:val="17"/>
          <w:lang w:val="en-GB"/>
        </w:rPr>
        <w:t xml:space="preserve">Basic division of households by </w:t>
      </w:r>
      <w:r w:rsidR="001519FA" w:rsidRPr="001519FA">
        <w:rPr>
          <w:rFonts w:ascii="Arial" w:hAnsi="Arial" w:cs="Arial"/>
          <w:b/>
          <w:i/>
          <w:iCs/>
          <w:color w:val="auto"/>
          <w:sz w:val="20"/>
          <w:szCs w:val="17"/>
          <w:lang w:val="en-GB"/>
        </w:rPr>
        <w:t>activity</w:t>
      </w:r>
      <w:r w:rsidR="005272CA">
        <w:rPr>
          <w:rFonts w:ascii="Arial" w:hAnsi="Arial" w:cs="Arial"/>
          <w:i/>
          <w:iCs/>
          <w:color w:val="auto"/>
          <w:sz w:val="20"/>
          <w:szCs w:val="17"/>
          <w:lang w:val="en-GB"/>
        </w:rPr>
        <w:t xml:space="preserve"> </w:t>
      </w:r>
      <w:r>
        <w:rPr>
          <w:rFonts w:ascii="Arial" w:hAnsi="Arial" w:cs="Arial"/>
          <w:b/>
          <w:i/>
          <w:iCs/>
          <w:color w:val="auto"/>
          <w:sz w:val="20"/>
          <w:szCs w:val="17"/>
          <w:lang w:val="en-GB"/>
        </w:rPr>
        <w:t>status of the head of household:</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
          <w:i/>
          <w:iCs/>
          <w:color w:val="auto"/>
          <w:sz w:val="20"/>
          <w:szCs w:val="17"/>
          <w:lang w:val="en-GB"/>
        </w:rPr>
        <w:t>Households, total</w:t>
      </w:r>
      <w:r>
        <w:rPr>
          <w:rFonts w:ascii="Arial" w:hAnsi="Arial" w:cs="Arial"/>
          <w:i/>
          <w:iCs/>
          <w:color w:val="auto"/>
          <w:sz w:val="20"/>
          <w:szCs w:val="17"/>
          <w:lang w:val="en-GB"/>
        </w:rPr>
        <w:t xml:space="preserve"> in the Living Conditions Survey represent the average household in the Czech Republic. Since 2006 the HBS sample has included all types of households represented in the population. The weight of each household group corresponds to their percentage found in the Living Conditions Survey. The number of pensioner households without economically active members was reduced for the Household Budget Survey and yet this disproportion is eliminated by weight adjustment in the data processing.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
          <w:i/>
          <w:iCs/>
          <w:color w:val="auto"/>
          <w:sz w:val="20"/>
          <w:szCs w:val="17"/>
          <w:lang w:val="en-GB"/>
        </w:rPr>
        <w:t>Employee households</w:t>
      </w:r>
      <w:r>
        <w:rPr>
          <w:rFonts w:ascii="Arial" w:hAnsi="Arial" w:cs="Arial"/>
          <w:i/>
          <w:iCs/>
          <w:color w:val="auto"/>
          <w:sz w:val="20"/>
          <w:szCs w:val="17"/>
          <w:lang w:val="en-GB"/>
        </w:rPr>
        <w:t xml:space="preserve"> are households where </w:t>
      </w:r>
      <w:r w:rsidR="00F1333A">
        <w:rPr>
          <w:rFonts w:ascii="Arial" w:hAnsi="Arial" w:cs="Arial"/>
          <w:i/>
          <w:iCs/>
          <w:color w:val="auto"/>
          <w:sz w:val="20"/>
          <w:szCs w:val="17"/>
          <w:lang w:val="en-GB"/>
        </w:rPr>
        <w:t xml:space="preserve">the </w:t>
      </w:r>
      <w:r>
        <w:rPr>
          <w:rFonts w:ascii="Arial" w:hAnsi="Arial" w:cs="Arial"/>
          <w:i/>
          <w:iCs/>
          <w:color w:val="auto"/>
          <w:sz w:val="20"/>
          <w:szCs w:val="17"/>
          <w:lang w:val="en-GB"/>
        </w:rPr>
        <w:t>head of household</w:t>
      </w:r>
      <w:r>
        <w:rPr>
          <w:rFonts w:ascii="Arial" w:hAnsi="Arial" w:cs="Arial"/>
          <w:bCs/>
          <w:i/>
          <w:iCs/>
          <w:color w:val="auto"/>
          <w:sz w:val="20"/>
          <w:szCs w:val="17"/>
          <w:lang w:val="en-GB"/>
        </w:rPr>
        <w:t xml:space="preserve"> </w:t>
      </w:r>
      <w:r>
        <w:rPr>
          <w:rFonts w:ascii="Arial" w:hAnsi="Arial" w:cs="Arial"/>
          <w:i/>
          <w:iCs/>
          <w:color w:val="auto"/>
          <w:sz w:val="20"/>
          <w:szCs w:val="17"/>
          <w:lang w:val="en-GB"/>
        </w:rPr>
        <w:t xml:space="preserve">is in an employment or service relations under employment contract, contract for work, or contract of services. Working members of producer cooperatives (including agricultural cooperatives), partners of limited liability companies, and partners of limited partnerships, who work for the company under employment contract and receive remuneration are also classified as employees.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
          <w:i/>
          <w:iCs/>
          <w:color w:val="auto"/>
          <w:sz w:val="20"/>
          <w:szCs w:val="17"/>
          <w:lang w:val="en-GB"/>
        </w:rPr>
        <w:t>Self-employed households</w:t>
      </w:r>
      <w:r>
        <w:rPr>
          <w:rFonts w:ascii="Arial" w:hAnsi="Arial" w:cs="Arial"/>
          <w:i/>
          <w:iCs/>
          <w:color w:val="auto"/>
          <w:sz w:val="20"/>
          <w:szCs w:val="17"/>
          <w:lang w:val="en-GB"/>
        </w:rPr>
        <w:t xml:space="preserve"> are households, which head of household is a self-employed person, that means persons undertaking a self-employing business. These persons may do business on the basis of the trade licence or special regulations, may be partners of a joint venture under contract (limited liability companies, trading companies and partnerships), unless they work for the company under an employment contract, furthermore, they may be freelancers (physicians, barristers, solicitors, and tax consultants), and persons working for royalties and professional fees (artists, interpreters).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
          <w:i/>
          <w:iCs/>
          <w:color w:val="auto"/>
          <w:sz w:val="20"/>
          <w:szCs w:val="17"/>
          <w:lang w:val="en-GB"/>
        </w:rPr>
        <w:t>Unemployed households</w:t>
      </w:r>
      <w:r>
        <w:rPr>
          <w:rFonts w:ascii="Arial" w:hAnsi="Arial" w:cs="Arial"/>
          <w:i/>
          <w:iCs/>
          <w:color w:val="auto"/>
          <w:sz w:val="20"/>
          <w:szCs w:val="17"/>
          <w:lang w:val="en-GB"/>
        </w:rPr>
        <w:t xml:space="preserve"> are households, which head of household is in no paid job, but wants to work, that means he/she actively seeks a job or plans to undertake business, or intends to seek a job. It does not matter whether he/she receives social security benefits for job applicants or not.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
          <w:i/>
          <w:iCs/>
          <w:color w:val="auto"/>
          <w:sz w:val="20"/>
          <w:szCs w:val="17"/>
          <w:lang w:val="en-GB"/>
        </w:rPr>
        <w:t>Pensioner households</w:t>
      </w:r>
      <w:r>
        <w:rPr>
          <w:rFonts w:ascii="Arial" w:hAnsi="Arial" w:cs="Arial"/>
          <w:i/>
          <w:iCs/>
          <w:color w:val="auto"/>
          <w:sz w:val="20"/>
          <w:szCs w:val="17"/>
          <w:lang w:val="en-GB"/>
        </w:rPr>
        <w:t xml:space="preserve"> have </w:t>
      </w:r>
      <w:r w:rsidR="00F1333A">
        <w:rPr>
          <w:rFonts w:ascii="Arial" w:hAnsi="Arial" w:cs="Arial"/>
          <w:i/>
          <w:iCs/>
          <w:color w:val="auto"/>
          <w:sz w:val="20"/>
          <w:szCs w:val="17"/>
          <w:lang w:val="en-GB"/>
        </w:rPr>
        <w:t xml:space="preserve">the </w:t>
      </w:r>
      <w:r>
        <w:rPr>
          <w:rFonts w:ascii="Arial" w:hAnsi="Arial" w:cs="Arial"/>
          <w:i/>
          <w:iCs/>
          <w:color w:val="auto"/>
          <w:sz w:val="20"/>
          <w:szCs w:val="17"/>
          <w:lang w:val="en-GB"/>
        </w:rPr>
        <w:t xml:space="preserve">head of household that receives a pension (except orphan’s pension) and does not work at all, or his/her economic activity is limited. From the Living Conditions Survey (Tables </w:t>
      </w:r>
      <w:r>
        <w:rPr>
          <w:rFonts w:ascii="Arial" w:hAnsi="Arial" w:cs="Arial"/>
          <w:b/>
          <w:i/>
          <w:iCs/>
          <w:color w:val="auto"/>
          <w:sz w:val="20"/>
          <w:szCs w:val="17"/>
          <w:lang w:val="en-GB"/>
        </w:rPr>
        <w:t>9</w:t>
      </w:r>
      <w:r>
        <w:rPr>
          <w:rFonts w:ascii="Arial" w:hAnsi="Arial" w:cs="Arial"/>
          <w:i/>
          <w:iCs/>
          <w:color w:val="auto"/>
          <w:sz w:val="20"/>
          <w:szCs w:val="17"/>
          <w:lang w:val="en-GB"/>
        </w:rPr>
        <w:t xml:space="preserve">-1 </w:t>
      </w:r>
      <w:r w:rsidR="00853C10">
        <w:rPr>
          <w:rFonts w:ascii="Arial" w:hAnsi="Arial" w:cs="Arial"/>
          <w:i/>
          <w:iCs/>
          <w:color w:val="auto"/>
          <w:sz w:val="20"/>
          <w:szCs w:val="17"/>
          <w:lang w:val="en-GB"/>
        </w:rPr>
        <w:t xml:space="preserve">and </w:t>
      </w:r>
      <w:r>
        <w:rPr>
          <w:rFonts w:ascii="Arial" w:hAnsi="Arial" w:cs="Arial"/>
          <w:b/>
          <w:i/>
          <w:iCs/>
          <w:color w:val="auto"/>
          <w:sz w:val="20"/>
          <w:szCs w:val="17"/>
          <w:lang w:val="en-GB"/>
        </w:rPr>
        <w:t>9</w:t>
      </w:r>
      <w:r>
        <w:rPr>
          <w:rFonts w:ascii="Arial" w:hAnsi="Arial" w:cs="Arial"/>
          <w:i/>
          <w:iCs/>
          <w:color w:val="auto"/>
          <w:sz w:val="20"/>
          <w:szCs w:val="17"/>
          <w:lang w:val="en-GB"/>
        </w:rPr>
        <w:t>-</w:t>
      </w:r>
      <w:r w:rsidR="00853C10">
        <w:rPr>
          <w:rFonts w:ascii="Arial" w:hAnsi="Arial" w:cs="Arial"/>
          <w:i/>
          <w:iCs/>
          <w:color w:val="auto"/>
          <w:sz w:val="20"/>
          <w:szCs w:val="17"/>
          <w:lang w:val="en-GB"/>
        </w:rPr>
        <w:t>2</w:t>
      </w:r>
      <w:r>
        <w:rPr>
          <w:rFonts w:ascii="Arial" w:hAnsi="Arial" w:cs="Arial"/>
          <w:i/>
          <w:iCs/>
          <w:color w:val="auto"/>
          <w:sz w:val="20"/>
          <w:szCs w:val="17"/>
          <w:lang w:val="en-GB"/>
        </w:rPr>
        <w:t xml:space="preserve">) results released are for </w:t>
      </w:r>
      <w:r>
        <w:rPr>
          <w:rFonts w:ascii="Arial" w:hAnsi="Arial" w:cs="Arial"/>
          <w:b/>
          <w:i/>
          <w:iCs/>
          <w:color w:val="auto"/>
          <w:sz w:val="20"/>
          <w:szCs w:val="17"/>
          <w:lang w:val="en-GB"/>
        </w:rPr>
        <w:t>pensioner households without working members.</w:t>
      </w:r>
      <w:r>
        <w:rPr>
          <w:rFonts w:ascii="Arial" w:hAnsi="Arial" w:cs="Arial"/>
          <w:i/>
          <w:iCs/>
          <w:color w:val="auto"/>
          <w:sz w:val="20"/>
          <w:szCs w:val="17"/>
          <w:lang w:val="en-GB"/>
        </w:rPr>
        <w:t xml:space="preserve"> These households involve all households in which head of household receives a pensions and is neither working (at all or works at a limited extent) and nor other household members work while the decisive factor is they actually do some work activity or not (that means they may be unemployed). On the</w:t>
      </w:r>
      <w:r w:rsidR="00EF24BD">
        <w:rPr>
          <w:rFonts w:ascii="Arial" w:hAnsi="Arial" w:cs="Arial"/>
          <w:i/>
          <w:iCs/>
          <w:color w:val="auto"/>
          <w:sz w:val="20"/>
          <w:szCs w:val="17"/>
          <w:lang w:val="en-GB"/>
        </w:rPr>
        <w:t> </w:t>
      </w:r>
      <w:r>
        <w:rPr>
          <w:rFonts w:ascii="Arial" w:hAnsi="Arial" w:cs="Arial"/>
          <w:i/>
          <w:iCs/>
          <w:color w:val="auto"/>
          <w:sz w:val="20"/>
          <w:szCs w:val="17"/>
          <w:lang w:val="en-GB"/>
        </w:rPr>
        <w:t xml:space="preserve">contrary, </w:t>
      </w:r>
      <w:r w:rsidR="008A5610">
        <w:rPr>
          <w:rFonts w:ascii="Arial" w:hAnsi="Arial" w:cs="Arial"/>
          <w:i/>
          <w:iCs/>
          <w:color w:val="auto"/>
          <w:sz w:val="20"/>
          <w:szCs w:val="17"/>
          <w:lang w:val="en-GB"/>
        </w:rPr>
        <w:t xml:space="preserve">Table </w:t>
      </w:r>
      <w:r w:rsidR="008A5610">
        <w:rPr>
          <w:rFonts w:ascii="Arial" w:hAnsi="Arial" w:cs="Arial"/>
          <w:b/>
          <w:i/>
          <w:iCs/>
          <w:color w:val="auto"/>
          <w:sz w:val="20"/>
          <w:szCs w:val="17"/>
          <w:lang w:val="en-GB"/>
        </w:rPr>
        <w:t>9</w:t>
      </w:r>
      <w:r w:rsidR="008A5610">
        <w:rPr>
          <w:rFonts w:ascii="Arial" w:hAnsi="Arial" w:cs="Arial"/>
          <w:i/>
          <w:iCs/>
          <w:color w:val="auto"/>
          <w:sz w:val="20"/>
          <w:szCs w:val="17"/>
          <w:lang w:val="en-GB"/>
        </w:rPr>
        <w:t xml:space="preserve">-5, </w:t>
      </w:r>
      <w:r>
        <w:rPr>
          <w:rFonts w:ascii="Arial" w:hAnsi="Arial" w:cs="Arial"/>
          <w:i/>
          <w:iCs/>
          <w:color w:val="auto"/>
          <w:sz w:val="20"/>
          <w:szCs w:val="17"/>
          <w:lang w:val="en-GB"/>
        </w:rPr>
        <w:t>demonstrating results of the Household Budget Survey</w:t>
      </w:r>
      <w:r w:rsidR="008A5610">
        <w:rPr>
          <w:rFonts w:ascii="Arial" w:hAnsi="Arial" w:cs="Arial"/>
          <w:i/>
          <w:iCs/>
          <w:color w:val="auto"/>
          <w:sz w:val="20"/>
          <w:szCs w:val="17"/>
          <w:lang w:val="en-GB"/>
        </w:rPr>
        <w:t>,</w:t>
      </w:r>
      <w:r>
        <w:rPr>
          <w:rFonts w:ascii="Arial" w:hAnsi="Arial" w:cs="Arial"/>
          <w:i/>
          <w:iCs/>
          <w:color w:val="auto"/>
          <w:sz w:val="20"/>
          <w:szCs w:val="17"/>
          <w:lang w:val="en-GB"/>
        </w:rPr>
        <w:t xml:space="preserve"> show</w:t>
      </w:r>
      <w:r w:rsidR="008A5610">
        <w:rPr>
          <w:rFonts w:ascii="Arial" w:hAnsi="Arial" w:cs="Arial"/>
          <w:i/>
          <w:iCs/>
          <w:color w:val="auto"/>
          <w:sz w:val="20"/>
          <w:szCs w:val="17"/>
          <w:lang w:val="en-GB"/>
        </w:rPr>
        <w:t>s</w:t>
      </w:r>
      <w:r>
        <w:rPr>
          <w:rFonts w:ascii="Arial" w:hAnsi="Arial" w:cs="Arial"/>
          <w:i/>
          <w:iCs/>
          <w:color w:val="auto"/>
          <w:sz w:val="20"/>
          <w:szCs w:val="17"/>
          <w:lang w:val="en-GB"/>
        </w:rPr>
        <w:t xml:space="preserve"> a special category of </w:t>
      </w:r>
      <w:r>
        <w:rPr>
          <w:rFonts w:ascii="Arial" w:hAnsi="Arial" w:cs="Arial"/>
          <w:b/>
          <w:i/>
          <w:iCs/>
          <w:color w:val="auto"/>
          <w:sz w:val="20"/>
          <w:szCs w:val="17"/>
          <w:lang w:val="en-GB"/>
        </w:rPr>
        <w:t>pensioner households without economically active members</w:t>
      </w:r>
      <w:r>
        <w:rPr>
          <w:rFonts w:ascii="Arial" w:hAnsi="Arial" w:cs="Arial"/>
          <w:i/>
          <w:iCs/>
          <w:color w:val="auto"/>
          <w:sz w:val="20"/>
          <w:szCs w:val="17"/>
          <w:lang w:val="en-GB"/>
        </w:rPr>
        <w:t xml:space="preserve">, which includes households, in which, besides </w:t>
      </w:r>
      <w:r w:rsidR="00F1333A">
        <w:rPr>
          <w:rFonts w:ascii="Arial" w:hAnsi="Arial" w:cs="Arial"/>
          <w:i/>
          <w:iCs/>
          <w:color w:val="auto"/>
          <w:sz w:val="20"/>
          <w:szCs w:val="17"/>
          <w:lang w:val="en-GB"/>
        </w:rPr>
        <w:t xml:space="preserve">the </w:t>
      </w:r>
      <w:r>
        <w:rPr>
          <w:rFonts w:ascii="Arial" w:hAnsi="Arial" w:cs="Arial"/>
          <w:i/>
          <w:iCs/>
          <w:color w:val="auto"/>
          <w:sz w:val="20"/>
          <w:szCs w:val="17"/>
          <w:lang w:val="en-GB"/>
        </w:rPr>
        <w:t xml:space="preserve">head of household, also other household members are economically inactive at all, or their economic activity is limited. </w:t>
      </w:r>
    </w:p>
    <w:p w:rsidR="00444301" w:rsidRPr="00F22E2F" w:rsidRDefault="00444301" w:rsidP="00444301">
      <w:pPr>
        <w:pStyle w:val="Normlnweb"/>
        <w:spacing w:before="0" w:beforeAutospacing="0" w:after="0" w:afterAutospacing="0"/>
        <w:jc w:val="both"/>
        <w:rPr>
          <w:rFonts w:ascii="Arial" w:hAnsi="Arial" w:cs="Arial"/>
          <w:bCs/>
          <w:i/>
          <w:iCs/>
          <w:color w:val="auto"/>
          <w:sz w:val="20"/>
          <w:szCs w:val="17"/>
          <w:lang w:val="en-GB"/>
        </w:rPr>
      </w:pPr>
    </w:p>
    <w:p w:rsidR="00444301" w:rsidRPr="00F22E2F" w:rsidRDefault="00444301" w:rsidP="00444301">
      <w:pPr>
        <w:pStyle w:val="Normlnweb"/>
        <w:spacing w:before="0" w:beforeAutospacing="0" w:after="0" w:afterAutospacing="0"/>
        <w:jc w:val="both"/>
        <w:rPr>
          <w:rFonts w:ascii="Arial" w:hAnsi="Arial" w:cs="Arial"/>
          <w:bCs/>
          <w:i/>
          <w:iCs/>
          <w:color w:val="auto"/>
          <w:sz w:val="20"/>
          <w:szCs w:val="17"/>
          <w:lang w:val="en-GB"/>
        </w:rPr>
      </w:pPr>
    </w:p>
    <w:p w:rsidR="007F2B7C" w:rsidRPr="00F22E2F" w:rsidRDefault="00774875" w:rsidP="00444301">
      <w:pPr>
        <w:pStyle w:val="Normlnweb"/>
        <w:spacing w:before="0" w:beforeAutospacing="0" w:after="0" w:afterAutospacing="0"/>
        <w:ind w:firstLine="709"/>
        <w:jc w:val="both"/>
        <w:rPr>
          <w:rFonts w:ascii="Arial" w:hAnsi="Arial" w:cs="Arial"/>
          <w:i/>
          <w:iCs/>
          <w:color w:val="auto"/>
          <w:sz w:val="20"/>
          <w:szCs w:val="17"/>
          <w:lang w:val="en-GB"/>
        </w:rPr>
      </w:pPr>
      <w:r>
        <w:rPr>
          <w:rFonts w:ascii="Arial" w:hAnsi="Arial" w:cs="Arial"/>
          <w:b/>
          <w:bCs/>
          <w:i/>
          <w:iCs/>
          <w:color w:val="auto"/>
          <w:sz w:val="20"/>
          <w:szCs w:val="17"/>
          <w:lang w:val="en-GB"/>
        </w:rPr>
        <w:t>Two-parent families</w:t>
      </w:r>
      <w:r>
        <w:rPr>
          <w:rFonts w:ascii="Arial" w:hAnsi="Arial" w:cs="Arial"/>
          <w:i/>
          <w:iCs/>
          <w:color w:val="auto"/>
          <w:sz w:val="20"/>
          <w:szCs w:val="17"/>
          <w:lang w:val="en-GB"/>
        </w:rPr>
        <w:t xml:space="preserve"> are families of married couples or </w:t>
      </w:r>
      <w:r>
        <w:rPr>
          <w:rFonts w:ascii="Arial" w:hAnsi="Arial" w:cs="Arial"/>
          <w:i/>
          <w:color w:val="auto"/>
          <w:sz w:val="20"/>
          <w:szCs w:val="17"/>
          <w:lang w:val="en-GB"/>
        </w:rPr>
        <w:t>established unmarried couples</w:t>
      </w:r>
      <w:r>
        <w:rPr>
          <w:rFonts w:ascii="Arial" w:hAnsi="Arial" w:cs="Arial"/>
          <w:i/>
          <w:iCs/>
          <w:color w:val="auto"/>
          <w:sz w:val="20"/>
          <w:szCs w:val="17"/>
          <w:lang w:val="en-GB"/>
        </w:rPr>
        <w:t xml:space="preserve"> </w:t>
      </w:r>
      <w:r w:rsidR="00853C10">
        <w:rPr>
          <w:rFonts w:ascii="Arial" w:hAnsi="Arial" w:cs="Arial"/>
          <w:i/>
          <w:iCs/>
          <w:color w:val="auto"/>
          <w:sz w:val="20"/>
          <w:szCs w:val="17"/>
          <w:lang w:val="en-GB"/>
        </w:rPr>
        <w:t xml:space="preserve">of cohabitants </w:t>
      </w:r>
      <w:r>
        <w:rPr>
          <w:rFonts w:ascii="Arial" w:hAnsi="Arial" w:cs="Arial"/>
          <w:i/>
          <w:iCs/>
          <w:color w:val="auto"/>
          <w:sz w:val="20"/>
          <w:szCs w:val="17"/>
          <w:lang w:val="en-GB"/>
        </w:rPr>
        <w:t xml:space="preserve">with or without dependent children, while other persons may also be included. </w:t>
      </w:r>
      <w:r>
        <w:rPr>
          <w:rFonts w:ascii="Arial" w:hAnsi="Arial" w:cs="Arial"/>
          <w:b/>
          <w:bCs/>
          <w:i/>
          <w:iCs/>
          <w:color w:val="auto"/>
          <w:sz w:val="20"/>
          <w:szCs w:val="17"/>
          <w:lang w:val="en-GB"/>
        </w:rPr>
        <w:t>Two-parent nuclear families</w:t>
      </w:r>
      <w:r>
        <w:rPr>
          <w:rFonts w:ascii="Arial" w:hAnsi="Arial" w:cs="Arial"/>
          <w:i/>
          <w:iCs/>
          <w:color w:val="auto"/>
          <w:sz w:val="20"/>
          <w:szCs w:val="17"/>
          <w:lang w:val="en-GB"/>
        </w:rPr>
        <w:t xml:space="preserve"> are families of parents</w:t>
      </w:r>
      <w:r w:rsidR="008920D8">
        <w:rPr>
          <w:rFonts w:ascii="Arial" w:hAnsi="Arial" w:cs="Arial"/>
          <w:i/>
          <w:iCs/>
          <w:color w:val="auto"/>
          <w:sz w:val="20"/>
          <w:szCs w:val="17"/>
          <w:lang w:val="en-GB"/>
        </w:rPr>
        <w:t>/cohabitants</w:t>
      </w:r>
      <w:r>
        <w:rPr>
          <w:rFonts w:ascii="Arial" w:hAnsi="Arial" w:cs="Arial"/>
          <w:i/>
          <w:iCs/>
          <w:color w:val="auto"/>
          <w:sz w:val="20"/>
          <w:szCs w:val="17"/>
          <w:lang w:val="en-GB"/>
        </w:rPr>
        <w:t xml:space="preserve"> and dependent children.</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
          <w:bCs/>
          <w:i/>
          <w:iCs/>
          <w:color w:val="auto"/>
          <w:sz w:val="20"/>
          <w:szCs w:val="17"/>
          <w:lang w:val="en-GB"/>
        </w:rPr>
        <w:t xml:space="preserve">Lone-parent families </w:t>
      </w:r>
      <w:r>
        <w:rPr>
          <w:rFonts w:ascii="Arial" w:hAnsi="Arial" w:cs="Arial"/>
          <w:bCs/>
          <w:i/>
          <w:iCs/>
          <w:color w:val="auto"/>
          <w:sz w:val="20"/>
          <w:szCs w:val="17"/>
          <w:lang w:val="en-GB"/>
        </w:rPr>
        <w:t xml:space="preserve">are families of a single parent and one child, at least, while other persons may also be included. </w:t>
      </w:r>
      <w:r>
        <w:rPr>
          <w:rFonts w:ascii="Arial" w:hAnsi="Arial" w:cs="Arial"/>
          <w:b/>
          <w:bCs/>
          <w:i/>
          <w:iCs/>
          <w:color w:val="auto"/>
          <w:sz w:val="20"/>
          <w:szCs w:val="17"/>
          <w:lang w:val="en-GB"/>
        </w:rPr>
        <w:t>Lone-parent nuclear families</w:t>
      </w:r>
      <w:r>
        <w:rPr>
          <w:rFonts w:ascii="Arial" w:hAnsi="Arial" w:cs="Arial"/>
          <w:i/>
          <w:iCs/>
          <w:color w:val="auto"/>
          <w:sz w:val="20"/>
          <w:szCs w:val="17"/>
          <w:lang w:val="en-GB"/>
        </w:rPr>
        <w:t xml:space="preserve"> are families of a parent and a dependent child or children.</w:t>
      </w:r>
    </w:p>
    <w:p w:rsidR="007F2B7C" w:rsidRPr="00F22E2F" w:rsidRDefault="00774875" w:rsidP="00444301">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bCs/>
          <w:i/>
          <w:iCs/>
          <w:color w:val="auto"/>
          <w:sz w:val="20"/>
          <w:szCs w:val="17"/>
          <w:lang w:val="en-GB"/>
        </w:rPr>
        <w:t>The </w:t>
      </w:r>
      <w:r>
        <w:rPr>
          <w:rFonts w:ascii="Arial" w:hAnsi="Arial" w:cs="Arial"/>
          <w:b/>
          <w:bCs/>
          <w:i/>
          <w:iCs/>
          <w:color w:val="auto"/>
          <w:sz w:val="20"/>
          <w:szCs w:val="17"/>
          <w:lang w:val="en-GB"/>
        </w:rPr>
        <w:t>gross money income</w:t>
      </w:r>
      <w:r>
        <w:rPr>
          <w:rFonts w:ascii="Arial" w:hAnsi="Arial" w:cs="Arial"/>
          <w:bCs/>
          <w:i/>
          <w:iCs/>
          <w:color w:val="auto"/>
          <w:sz w:val="20"/>
          <w:szCs w:val="17"/>
          <w:lang w:val="en-GB"/>
        </w:rPr>
        <w:t xml:space="preserve"> includes </w:t>
      </w:r>
      <w:r>
        <w:rPr>
          <w:rFonts w:ascii="Arial" w:hAnsi="Arial" w:cs="Arial"/>
          <w:i/>
          <w:iCs/>
          <w:color w:val="auto"/>
          <w:sz w:val="20"/>
          <w:szCs w:val="17"/>
          <w:lang w:val="en-GB"/>
        </w:rPr>
        <w:t xml:space="preserve">income from employment or self-employment as a principal or secondary activity, all kinds of regular or irregular social income granted to the household as a whole or to its respective members and all other one-off or extraordinary money </w:t>
      </w:r>
      <w:r>
        <w:rPr>
          <w:rFonts w:ascii="Arial" w:hAnsi="Arial" w:cs="Arial"/>
          <w:i/>
          <w:iCs/>
          <w:color w:val="auto"/>
          <w:sz w:val="20"/>
          <w:szCs w:val="17"/>
          <w:lang w:val="en-GB"/>
        </w:rPr>
        <w:lastRenderedPageBreak/>
        <w:t xml:space="preserve">income (from capital assets, occasional renting, life and other insurance, inheritance, competition and contest, etc.). </w:t>
      </w:r>
    </w:p>
    <w:p w:rsidR="007F2B7C" w:rsidRPr="00F22E2F" w:rsidRDefault="00774875">
      <w:pPr>
        <w:pStyle w:val="Normlnweb"/>
        <w:spacing w:before="120" w:beforeAutospacing="0" w:after="0" w:afterAutospacing="0"/>
        <w:ind w:firstLine="708"/>
        <w:jc w:val="both"/>
        <w:rPr>
          <w:rFonts w:ascii="Arial" w:hAnsi="Arial" w:cs="Arial"/>
          <w:i/>
          <w:iCs/>
          <w:color w:val="auto"/>
          <w:sz w:val="20"/>
          <w:szCs w:val="17"/>
          <w:lang w:val="en-GB"/>
        </w:rPr>
      </w:pPr>
      <w:r>
        <w:rPr>
          <w:rFonts w:ascii="Arial" w:hAnsi="Arial" w:cs="Arial"/>
          <w:bCs/>
          <w:i/>
          <w:iCs/>
          <w:color w:val="auto"/>
          <w:sz w:val="20"/>
          <w:szCs w:val="17"/>
          <w:lang w:val="en-GB"/>
        </w:rPr>
        <w:t>The </w:t>
      </w:r>
      <w:r>
        <w:rPr>
          <w:rFonts w:ascii="Arial" w:hAnsi="Arial" w:cs="Arial"/>
          <w:b/>
          <w:i/>
          <w:iCs/>
          <w:color w:val="auto"/>
          <w:sz w:val="20"/>
          <w:szCs w:val="17"/>
          <w:lang w:val="en-GB"/>
        </w:rPr>
        <w:t xml:space="preserve">net money income </w:t>
      </w:r>
      <w:r>
        <w:rPr>
          <w:rFonts w:ascii="Arial" w:hAnsi="Arial" w:cs="Arial"/>
          <w:i/>
          <w:iCs/>
          <w:color w:val="auto"/>
          <w:sz w:val="20"/>
          <w:szCs w:val="17"/>
          <w:lang w:val="en-GB"/>
        </w:rPr>
        <w:t>is obtained from the gross money income by subtracting compulsory health and social insurance contributions and income taxes</w:t>
      </w:r>
      <w:r w:rsidR="009F77C7">
        <w:rPr>
          <w:rFonts w:ascii="Arial" w:hAnsi="Arial" w:cs="Arial"/>
          <w:i/>
          <w:iCs/>
          <w:color w:val="auto"/>
          <w:sz w:val="20"/>
          <w:szCs w:val="17"/>
          <w:lang w:val="en-GB"/>
        </w:rPr>
        <w:t xml:space="preserve"> and adding the tax bonus for </w:t>
      </w:r>
      <w:r w:rsidR="009F77C7" w:rsidRPr="008E70F0">
        <w:rPr>
          <w:rFonts w:ascii="Arial" w:hAnsi="Arial" w:cs="Arial"/>
          <w:i/>
          <w:iCs/>
          <w:color w:val="auto"/>
          <w:sz w:val="20"/>
          <w:szCs w:val="17"/>
          <w:lang w:val="en-GB"/>
        </w:rPr>
        <w:t xml:space="preserve">children </w:t>
      </w:r>
      <w:r w:rsidR="008F401C" w:rsidRPr="008F401C">
        <w:rPr>
          <w:rFonts w:ascii="Arial" w:hAnsi="Arial" w:cs="Arial"/>
          <w:i/>
          <w:iCs/>
          <w:color w:val="auto"/>
          <w:sz w:val="20"/>
          <w:szCs w:val="17"/>
          <w:lang w:val="en-GB"/>
        </w:rPr>
        <w:t>(boni pour enfant)</w:t>
      </w:r>
      <w:r>
        <w:rPr>
          <w:rFonts w:ascii="Arial" w:hAnsi="Arial" w:cs="Arial"/>
          <w:i/>
          <w:iCs/>
          <w:color w:val="auto"/>
          <w:sz w:val="20"/>
          <w:szCs w:val="17"/>
          <w:lang w:val="en-GB"/>
        </w:rPr>
        <w:t xml:space="preserve">. </w:t>
      </w:r>
    </w:p>
    <w:p w:rsidR="007F2B7C" w:rsidRPr="00F22E2F" w:rsidRDefault="00774875">
      <w:pPr>
        <w:pStyle w:val="Normlnweb"/>
        <w:spacing w:before="120" w:beforeAutospacing="0" w:after="0" w:afterAutospacing="0"/>
        <w:ind w:firstLine="708"/>
        <w:jc w:val="both"/>
        <w:rPr>
          <w:rFonts w:ascii="Arial" w:hAnsi="Arial" w:cs="Arial"/>
          <w:i/>
          <w:iCs/>
          <w:color w:val="auto"/>
          <w:sz w:val="20"/>
          <w:szCs w:val="17"/>
          <w:lang w:val="en-GB"/>
        </w:rPr>
      </w:pPr>
      <w:r>
        <w:rPr>
          <w:rFonts w:ascii="Arial" w:hAnsi="Arial" w:cs="Arial"/>
          <w:bCs/>
          <w:i/>
          <w:iCs/>
          <w:color w:val="auto"/>
          <w:sz w:val="20"/>
          <w:szCs w:val="17"/>
          <w:lang w:val="en-GB"/>
        </w:rPr>
        <w:t>The </w:t>
      </w:r>
      <w:r>
        <w:rPr>
          <w:rFonts w:ascii="Arial" w:hAnsi="Arial" w:cs="Arial"/>
          <w:b/>
          <w:i/>
          <w:iCs/>
          <w:color w:val="auto"/>
          <w:sz w:val="20"/>
          <w:szCs w:val="17"/>
          <w:lang w:val="en-GB"/>
        </w:rPr>
        <w:t xml:space="preserve">income from work </w:t>
      </w:r>
      <w:r>
        <w:rPr>
          <w:rFonts w:ascii="Arial" w:hAnsi="Arial" w:cs="Arial"/>
          <w:i/>
          <w:iCs/>
          <w:color w:val="auto"/>
          <w:sz w:val="20"/>
          <w:szCs w:val="17"/>
          <w:lang w:val="en-GB"/>
        </w:rPr>
        <w:t xml:space="preserve">shall mean the income from work in employment, service or membership relationship and the income from self-employment or other gainful activity. </w:t>
      </w:r>
    </w:p>
    <w:p w:rsidR="007F2B7C" w:rsidRPr="00F22E2F" w:rsidRDefault="00774875">
      <w:pPr>
        <w:pStyle w:val="Normlnweb"/>
        <w:spacing w:before="120" w:beforeAutospacing="0" w:after="0" w:afterAutospacing="0"/>
        <w:ind w:firstLine="708"/>
        <w:jc w:val="both"/>
        <w:rPr>
          <w:rFonts w:ascii="Arial" w:hAnsi="Arial" w:cs="Arial"/>
          <w:i/>
          <w:iCs/>
          <w:color w:val="auto"/>
          <w:sz w:val="20"/>
          <w:szCs w:val="17"/>
          <w:lang w:val="en-GB"/>
        </w:rPr>
      </w:pPr>
      <w:r>
        <w:rPr>
          <w:rFonts w:ascii="Arial" w:hAnsi="Arial" w:cs="Arial"/>
          <w:i/>
          <w:iCs/>
          <w:color w:val="auto"/>
          <w:sz w:val="20"/>
          <w:szCs w:val="17"/>
          <w:lang w:val="en-GB"/>
        </w:rPr>
        <w:t xml:space="preserve">In order to ensure international comparability of statistical indicators, since 1999 </w:t>
      </w:r>
      <w:r w:rsidR="008F401C" w:rsidRPr="008F401C">
        <w:rPr>
          <w:rFonts w:ascii="Arial" w:hAnsi="Arial" w:cs="Arial"/>
          <w:b/>
          <w:bCs/>
          <w:i/>
          <w:iCs/>
          <w:color w:val="auto"/>
          <w:sz w:val="20"/>
          <w:szCs w:val="17"/>
          <w:lang w:val="en-GB"/>
        </w:rPr>
        <w:t>consumption expenditure</w:t>
      </w:r>
      <w:r>
        <w:rPr>
          <w:rFonts w:ascii="Arial" w:hAnsi="Arial" w:cs="Arial"/>
          <w:i/>
          <w:iCs/>
          <w:color w:val="auto"/>
          <w:sz w:val="20"/>
          <w:szCs w:val="17"/>
          <w:lang w:val="en-GB"/>
        </w:rPr>
        <w:t xml:space="preserve"> items have been arranged in accordance with the national version of the Classification of Individual Consumption by Purpose (CZ-COICOP) of the international standard of COICOP, see the Statistical Classifications and Nomenclatures in Force at the beginning of this Yearbook, which is obligatory for all statistical surveys. </w:t>
      </w:r>
      <w:r w:rsidR="007B318D">
        <w:rPr>
          <w:rFonts w:ascii="Arial" w:hAnsi="Arial" w:cs="Arial"/>
          <w:i/>
          <w:iCs/>
          <w:color w:val="auto"/>
          <w:sz w:val="20"/>
          <w:szCs w:val="17"/>
          <w:lang w:val="en-GB"/>
        </w:rPr>
        <w:t xml:space="preserve">Detailed contents of </w:t>
      </w:r>
      <w:r w:rsidR="00212036">
        <w:rPr>
          <w:rFonts w:ascii="Arial" w:hAnsi="Arial" w:cs="Arial"/>
          <w:i/>
          <w:iCs/>
          <w:color w:val="auto"/>
          <w:sz w:val="20"/>
          <w:szCs w:val="17"/>
          <w:lang w:val="en-GB"/>
        </w:rPr>
        <w:t xml:space="preserve">its twelve </w:t>
      </w:r>
      <w:r w:rsidR="007B318D">
        <w:rPr>
          <w:rFonts w:ascii="Arial" w:hAnsi="Arial" w:cs="Arial"/>
          <w:i/>
          <w:iCs/>
          <w:color w:val="auto"/>
          <w:sz w:val="20"/>
          <w:szCs w:val="17"/>
          <w:lang w:val="en-GB"/>
        </w:rPr>
        <w:t xml:space="preserve">basic </w:t>
      </w:r>
      <w:r w:rsidR="00212036">
        <w:rPr>
          <w:rFonts w:ascii="Arial" w:hAnsi="Arial" w:cs="Arial"/>
          <w:i/>
          <w:iCs/>
          <w:color w:val="auto"/>
          <w:sz w:val="20"/>
          <w:szCs w:val="17"/>
          <w:lang w:val="en-GB"/>
        </w:rPr>
        <w:t>divisions</w:t>
      </w:r>
      <w:r w:rsidR="007B318D">
        <w:rPr>
          <w:rFonts w:ascii="Arial" w:hAnsi="Arial" w:cs="Arial"/>
          <w:i/>
          <w:iCs/>
          <w:color w:val="auto"/>
          <w:sz w:val="20"/>
          <w:szCs w:val="17"/>
          <w:lang w:val="en-GB"/>
        </w:rPr>
        <w:t xml:space="preserve"> are available in </w:t>
      </w:r>
      <w:r w:rsidR="00F6053B">
        <w:rPr>
          <w:rFonts w:ascii="Arial" w:hAnsi="Arial" w:cs="Arial"/>
          <w:i/>
          <w:iCs/>
          <w:color w:val="auto"/>
          <w:sz w:val="20"/>
          <w:szCs w:val="17"/>
          <w:lang w:val="en-GB"/>
        </w:rPr>
        <w:t>the a</w:t>
      </w:r>
      <w:r w:rsidR="00212036">
        <w:rPr>
          <w:rFonts w:ascii="Arial" w:hAnsi="Arial" w:cs="Arial"/>
          <w:i/>
          <w:iCs/>
          <w:color w:val="auto"/>
          <w:sz w:val="20"/>
          <w:szCs w:val="17"/>
          <w:lang w:val="en-GB"/>
        </w:rPr>
        <w:t>fore</w:t>
      </w:r>
      <w:r w:rsidR="00F6053B">
        <w:rPr>
          <w:rFonts w:ascii="Arial" w:hAnsi="Arial" w:cs="Arial"/>
          <w:i/>
          <w:iCs/>
          <w:color w:val="auto"/>
          <w:sz w:val="20"/>
          <w:szCs w:val="17"/>
          <w:lang w:val="en-GB"/>
        </w:rPr>
        <w:t xml:space="preserve">mentioned </w:t>
      </w:r>
      <w:r w:rsidR="007B318D">
        <w:rPr>
          <w:rFonts w:ascii="Arial" w:hAnsi="Arial" w:cs="Arial"/>
          <w:i/>
          <w:iCs/>
          <w:color w:val="auto"/>
          <w:sz w:val="20"/>
          <w:szCs w:val="17"/>
          <w:lang w:val="en-GB"/>
        </w:rPr>
        <w:t xml:space="preserve">classification. </w:t>
      </w: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74875" w:rsidP="00FE1483">
      <w:pPr>
        <w:pStyle w:val="Normlnweb"/>
        <w:spacing w:before="0" w:beforeAutospacing="0" w:after="0" w:afterAutospacing="0"/>
        <w:jc w:val="both"/>
        <w:rPr>
          <w:rFonts w:ascii="Arial" w:hAnsi="Arial" w:cs="Arial"/>
          <w:b/>
          <w:i/>
          <w:iCs/>
          <w:color w:val="auto"/>
          <w:sz w:val="20"/>
          <w:szCs w:val="17"/>
          <w:lang w:val="en-GB"/>
        </w:rPr>
      </w:pPr>
      <w:r>
        <w:rPr>
          <w:rFonts w:ascii="Arial" w:hAnsi="Arial" w:cs="Arial"/>
          <w:b/>
          <w:i/>
          <w:iCs/>
          <w:color w:val="auto"/>
          <w:sz w:val="20"/>
          <w:szCs w:val="17"/>
          <w:lang w:val="en-GB"/>
        </w:rPr>
        <w:t>Notes on Tables</w:t>
      </w:r>
    </w:p>
    <w:p w:rsidR="007F2B7C" w:rsidRPr="00F22E2F" w:rsidRDefault="007F2B7C" w:rsidP="00FE1483">
      <w:pPr>
        <w:pStyle w:val="Normlnweb"/>
        <w:spacing w:before="0" w:beforeAutospacing="0" w:after="0" w:afterAutospacing="0"/>
        <w:ind w:left="1797" w:hanging="1797"/>
        <w:jc w:val="both"/>
        <w:rPr>
          <w:rFonts w:ascii="Arial" w:hAnsi="Arial" w:cs="Arial"/>
          <w:i/>
          <w:iCs/>
          <w:color w:val="auto"/>
          <w:sz w:val="20"/>
          <w:szCs w:val="17"/>
          <w:lang w:val="en-GB"/>
        </w:rPr>
      </w:pPr>
    </w:p>
    <w:p w:rsidR="007F2B7C" w:rsidRPr="00F22E2F" w:rsidRDefault="007F2B7C" w:rsidP="00FE1483">
      <w:pPr>
        <w:pStyle w:val="Normlnweb"/>
        <w:spacing w:before="0" w:beforeAutospacing="0" w:after="0" w:afterAutospacing="0"/>
        <w:ind w:left="1797" w:hanging="1797"/>
        <w:jc w:val="both"/>
        <w:rPr>
          <w:rFonts w:ascii="Arial" w:hAnsi="Arial" w:cs="Arial"/>
          <w:i/>
          <w:iCs/>
          <w:color w:val="auto"/>
          <w:sz w:val="20"/>
          <w:szCs w:val="17"/>
          <w:lang w:val="en-GB"/>
        </w:rPr>
      </w:pPr>
    </w:p>
    <w:p w:rsidR="007F2B7C" w:rsidRPr="00F22E2F" w:rsidRDefault="00774875" w:rsidP="00FE1483">
      <w:pPr>
        <w:pStyle w:val="Normlnweb"/>
        <w:spacing w:before="0" w:beforeAutospacing="0" w:after="0" w:afterAutospacing="0"/>
        <w:ind w:left="709" w:hanging="709"/>
        <w:jc w:val="both"/>
        <w:rPr>
          <w:rFonts w:ascii="Arial" w:hAnsi="Arial" w:cs="Arial"/>
          <w:i/>
          <w:iCs/>
          <w:color w:val="auto"/>
          <w:sz w:val="20"/>
          <w:szCs w:val="17"/>
          <w:lang w:val="en-GB"/>
        </w:rPr>
      </w:pPr>
      <w:r>
        <w:rPr>
          <w:rFonts w:ascii="Arial" w:hAnsi="Arial" w:cs="Arial"/>
          <w:i/>
          <w:iCs/>
          <w:color w:val="auto"/>
          <w:sz w:val="20"/>
          <w:szCs w:val="17"/>
          <w:lang w:val="en-GB"/>
        </w:rPr>
        <w:t xml:space="preserve">Table </w:t>
      </w:r>
      <w:r>
        <w:rPr>
          <w:rFonts w:ascii="Arial" w:hAnsi="Arial" w:cs="Arial"/>
          <w:b/>
          <w:i/>
          <w:iCs/>
          <w:color w:val="auto"/>
          <w:sz w:val="20"/>
          <w:szCs w:val="17"/>
          <w:lang w:val="en-GB"/>
        </w:rPr>
        <w:t>9</w:t>
      </w:r>
      <w:r>
        <w:rPr>
          <w:rFonts w:ascii="Arial" w:hAnsi="Arial" w:cs="Arial"/>
          <w:i/>
          <w:iCs/>
          <w:color w:val="auto"/>
          <w:sz w:val="20"/>
          <w:szCs w:val="17"/>
          <w:lang w:val="en-GB"/>
        </w:rPr>
        <w:t xml:space="preserve">-1 </w:t>
      </w:r>
      <w:r>
        <w:rPr>
          <w:rFonts w:ascii="Arial" w:hAnsi="Arial" w:cs="Arial"/>
          <w:b/>
          <w:i/>
          <w:iCs/>
          <w:color w:val="auto"/>
          <w:sz w:val="20"/>
          <w:szCs w:val="17"/>
          <w:lang w:val="en-GB"/>
        </w:rPr>
        <w:t>Income, at-risk-of-poverty rate, and housing costs of private households</w:t>
      </w:r>
    </w:p>
    <w:p w:rsidR="007F2B7C" w:rsidRPr="00F22E2F" w:rsidRDefault="00774875" w:rsidP="00E90E2F">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 xml:space="preserve">The data time series from the Living Conditions Survey gives especially the trend in income and selected income characteristics, development in income poverty according to the EU methodology, and trend in housing costs. The at-risk-of-poverty threshold is set at 60% of the median equivalised disposable income. </w:t>
      </w:r>
    </w:p>
    <w:p w:rsidR="007F2B7C" w:rsidRPr="00F22E2F" w:rsidRDefault="007F2B7C">
      <w:pPr>
        <w:pStyle w:val="Normlnweb"/>
        <w:spacing w:before="0" w:beforeAutospacing="0" w:after="0" w:afterAutospacing="0"/>
        <w:ind w:left="709" w:hanging="709"/>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ind w:left="709" w:hanging="709"/>
        <w:jc w:val="both"/>
        <w:rPr>
          <w:rFonts w:ascii="Arial" w:hAnsi="Arial" w:cs="Arial"/>
          <w:i/>
          <w:iCs/>
          <w:color w:val="auto"/>
          <w:sz w:val="20"/>
          <w:szCs w:val="17"/>
          <w:lang w:val="en-GB"/>
        </w:rPr>
      </w:pPr>
    </w:p>
    <w:p w:rsidR="007F2B7C" w:rsidRPr="00F22E2F" w:rsidRDefault="007F2B7C" w:rsidP="00DD3032">
      <w:pPr>
        <w:pStyle w:val="Normlnweb"/>
        <w:spacing w:before="0" w:beforeAutospacing="0" w:after="0" w:afterAutospacing="0"/>
        <w:ind w:left="709" w:hanging="709"/>
        <w:jc w:val="both"/>
        <w:rPr>
          <w:rFonts w:ascii="Arial" w:hAnsi="Arial" w:cs="Arial"/>
          <w:i/>
          <w:iCs/>
          <w:color w:val="auto"/>
          <w:sz w:val="20"/>
          <w:szCs w:val="17"/>
          <w:lang w:val="en-GB"/>
        </w:rPr>
      </w:pPr>
      <w:r w:rsidRPr="00F22E2F">
        <w:rPr>
          <w:rFonts w:ascii="Arial" w:hAnsi="Arial" w:cs="Arial"/>
          <w:i/>
          <w:iCs/>
          <w:color w:val="auto"/>
          <w:sz w:val="20"/>
          <w:szCs w:val="17"/>
          <w:lang w:val="en-GB"/>
        </w:rPr>
        <w:t xml:space="preserve">Table </w:t>
      </w:r>
      <w:r w:rsidR="00774875">
        <w:rPr>
          <w:rFonts w:ascii="Arial" w:hAnsi="Arial" w:cs="Arial"/>
          <w:b/>
          <w:bCs/>
          <w:i/>
          <w:iCs/>
          <w:color w:val="auto"/>
          <w:sz w:val="20"/>
          <w:szCs w:val="17"/>
          <w:lang w:val="en-GB"/>
        </w:rPr>
        <w:t>9</w:t>
      </w:r>
      <w:r w:rsidR="00774875">
        <w:rPr>
          <w:rFonts w:ascii="Arial" w:hAnsi="Arial" w:cs="Arial"/>
          <w:i/>
          <w:iCs/>
          <w:color w:val="auto"/>
          <w:sz w:val="20"/>
          <w:szCs w:val="17"/>
          <w:lang w:val="en-GB"/>
        </w:rPr>
        <w:t xml:space="preserve">-2 </w:t>
      </w:r>
      <w:r w:rsidR="00774875">
        <w:rPr>
          <w:rFonts w:ascii="Arial" w:hAnsi="Arial" w:cs="Arial"/>
          <w:b/>
          <w:i/>
          <w:iCs/>
          <w:color w:val="auto"/>
          <w:sz w:val="20"/>
          <w:szCs w:val="17"/>
          <w:lang w:val="en-GB"/>
        </w:rPr>
        <w:t xml:space="preserve">Private households by activity status of the head of household in </w:t>
      </w:r>
      <w:r w:rsidR="008E70F0">
        <w:rPr>
          <w:rFonts w:ascii="Arial" w:hAnsi="Arial" w:cs="Arial"/>
          <w:b/>
          <w:i/>
          <w:iCs/>
          <w:color w:val="auto"/>
          <w:sz w:val="20"/>
          <w:szCs w:val="17"/>
          <w:lang w:val="en-GB"/>
        </w:rPr>
        <w:t>2016</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Data from the Living Conditions Survey on the composition of households, structure of the household income by source, and decile distribution of households by income.</w:t>
      </w: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74875">
      <w:pPr>
        <w:pStyle w:val="Normlnweb"/>
        <w:spacing w:before="0" w:beforeAutospacing="0" w:after="0" w:afterAutospacing="0"/>
        <w:jc w:val="both"/>
        <w:rPr>
          <w:rFonts w:ascii="Arial" w:hAnsi="Arial" w:cs="Arial"/>
          <w:i/>
          <w:iCs/>
          <w:color w:val="auto"/>
          <w:sz w:val="20"/>
          <w:szCs w:val="17"/>
          <w:lang w:val="en-GB"/>
        </w:rPr>
      </w:pPr>
      <w:r>
        <w:rPr>
          <w:rFonts w:ascii="Arial" w:hAnsi="Arial" w:cs="Arial"/>
          <w:i/>
          <w:iCs/>
          <w:color w:val="auto"/>
          <w:sz w:val="20"/>
          <w:szCs w:val="17"/>
          <w:lang w:val="en-GB"/>
        </w:rPr>
        <w:t xml:space="preserve">Table </w:t>
      </w:r>
      <w:r>
        <w:rPr>
          <w:rFonts w:ascii="Arial" w:hAnsi="Arial" w:cs="Arial"/>
          <w:b/>
          <w:i/>
          <w:iCs/>
          <w:color w:val="auto"/>
          <w:sz w:val="20"/>
          <w:szCs w:val="17"/>
          <w:lang w:val="en-GB"/>
        </w:rPr>
        <w:t>9</w:t>
      </w:r>
      <w:r>
        <w:rPr>
          <w:rFonts w:ascii="Arial" w:hAnsi="Arial" w:cs="Arial"/>
          <w:i/>
          <w:iCs/>
          <w:color w:val="auto"/>
          <w:sz w:val="20"/>
          <w:szCs w:val="17"/>
          <w:lang w:val="en-GB"/>
        </w:rPr>
        <w:t>-</w:t>
      </w:r>
      <w:r w:rsidR="00C2799C">
        <w:rPr>
          <w:rFonts w:ascii="Arial" w:hAnsi="Arial" w:cs="Arial"/>
          <w:i/>
          <w:iCs/>
          <w:color w:val="auto"/>
          <w:sz w:val="20"/>
          <w:szCs w:val="17"/>
          <w:lang w:val="en-GB"/>
        </w:rPr>
        <w:t>3</w:t>
      </w:r>
      <w:r>
        <w:rPr>
          <w:rFonts w:ascii="Arial" w:hAnsi="Arial" w:cs="Arial"/>
          <w:i/>
          <w:iCs/>
          <w:color w:val="auto"/>
          <w:sz w:val="20"/>
          <w:szCs w:val="17"/>
          <w:lang w:val="en-GB"/>
        </w:rPr>
        <w:t xml:space="preserve"> </w:t>
      </w:r>
      <w:r>
        <w:rPr>
          <w:rFonts w:ascii="Arial" w:hAnsi="Arial" w:cs="Arial"/>
          <w:b/>
          <w:i/>
          <w:iCs/>
          <w:color w:val="auto"/>
          <w:sz w:val="20"/>
          <w:szCs w:val="17"/>
          <w:lang w:val="en-GB"/>
        </w:rPr>
        <w:t xml:space="preserve">Persons in households with income below the at-risk-of-poverty threshold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These are data from the Living Conditions Survey processed according to the Eurostat methodology. The table shows the shares of persons at risk of poverty while the at-risk-of-poverty threshold was set at 60% of the median</w:t>
      </w:r>
      <w:r w:rsidR="001865BF">
        <w:rPr>
          <w:rFonts w:ascii="Arial" w:hAnsi="Arial" w:cs="Arial"/>
          <w:i/>
          <w:iCs/>
          <w:color w:val="auto"/>
          <w:sz w:val="20"/>
          <w:szCs w:val="17"/>
          <w:lang w:val="en-GB"/>
        </w:rPr>
        <w:t xml:space="preserve"> </w:t>
      </w:r>
      <w:r>
        <w:rPr>
          <w:rFonts w:ascii="Arial" w:hAnsi="Arial" w:cs="Arial"/>
          <w:i/>
          <w:iCs/>
          <w:color w:val="auto"/>
          <w:sz w:val="20"/>
          <w:szCs w:val="17"/>
          <w:lang w:val="en-GB"/>
        </w:rPr>
        <w:t>e</w:t>
      </w:r>
      <w:r>
        <w:rPr>
          <w:rFonts w:ascii="Arial" w:hAnsi="Arial" w:cs="Arial"/>
          <w:bCs/>
          <w:i/>
          <w:iCs/>
          <w:color w:val="auto"/>
          <w:sz w:val="20"/>
          <w:szCs w:val="17"/>
          <w:lang w:val="en-GB"/>
        </w:rPr>
        <w:t>quivalised</w:t>
      </w:r>
      <w:r>
        <w:rPr>
          <w:rFonts w:ascii="Arial" w:hAnsi="Arial" w:cs="Arial"/>
          <w:i/>
          <w:iCs/>
          <w:color w:val="auto"/>
          <w:sz w:val="20"/>
          <w:szCs w:val="17"/>
          <w:lang w:val="en-GB"/>
        </w:rPr>
        <w:t xml:space="preserve"> disposable income of persons.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 xml:space="preserve">In order to have data in format for better usage the table was changed in 2012 and therefore it does not directly follows to tables published in previous years. Data for respective years are given in a times series. The first row shows total numbers of persons below the at-risk-of-poverty threshold; </w:t>
      </w:r>
      <w:r w:rsidR="00073C0F">
        <w:rPr>
          <w:rFonts w:ascii="Arial" w:hAnsi="Arial" w:cs="Arial"/>
          <w:i/>
          <w:iCs/>
          <w:color w:val="auto"/>
          <w:sz w:val="20"/>
          <w:szCs w:val="17"/>
          <w:lang w:val="en-GB"/>
        </w:rPr>
        <w:t xml:space="preserve">in </w:t>
      </w:r>
      <w:r>
        <w:rPr>
          <w:rFonts w:ascii="Arial" w:hAnsi="Arial" w:cs="Arial"/>
          <w:i/>
          <w:iCs/>
          <w:color w:val="auto"/>
          <w:sz w:val="20"/>
          <w:szCs w:val="17"/>
          <w:lang w:val="en-GB"/>
        </w:rPr>
        <w:t xml:space="preserve">other rows there are their percentage in appropriate subgroup of persons.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The </w:t>
      </w:r>
      <w:r>
        <w:rPr>
          <w:rFonts w:ascii="Arial" w:hAnsi="Arial" w:cs="Arial"/>
          <w:b/>
          <w:i/>
          <w:iCs/>
          <w:color w:val="auto"/>
          <w:sz w:val="20"/>
          <w:szCs w:val="17"/>
          <w:lang w:val="en-GB"/>
        </w:rPr>
        <w:t xml:space="preserve">equivalised disposable income </w:t>
      </w:r>
      <w:r>
        <w:rPr>
          <w:rFonts w:ascii="Arial" w:hAnsi="Arial" w:cs="Arial"/>
          <w:i/>
          <w:iCs/>
          <w:color w:val="auto"/>
          <w:sz w:val="20"/>
          <w:szCs w:val="17"/>
          <w:lang w:val="en-GB"/>
        </w:rPr>
        <w:t xml:space="preserve">is constructed as the ratio of the net disposable household income per the household equivalent size calculated according to the Eurostat methodology. This income is attributed to all persons of the household.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17"/>
          <w:lang w:val="en-GB"/>
        </w:rPr>
        <w:t>The </w:t>
      </w:r>
      <w:r>
        <w:rPr>
          <w:rFonts w:ascii="Arial" w:hAnsi="Arial" w:cs="Arial"/>
          <w:b/>
          <w:i/>
          <w:iCs/>
          <w:color w:val="auto"/>
          <w:sz w:val="20"/>
          <w:szCs w:val="17"/>
          <w:lang w:val="en-GB"/>
        </w:rPr>
        <w:t>education level of a household</w:t>
      </w:r>
      <w:r>
        <w:rPr>
          <w:rFonts w:ascii="Arial" w:hAnsi="Arial" w:cs="Arial"/>
          <w:i/>
          <w:iCs/>
          <w:color w:val="auto"/>
          <w:sz w:val="20"/>
          <w:szCs w:val="17"/>
          <w:lang w:val="en-GB"/>
        </w:rPr>
        <w:t xml:space="preserve"> is determined by the highest educational attainment of the head of household</w:t>
      </w:r>
      <w:r w:rsidR="00073C0F">
        <w:rPr>
          <w:rFonts w:ascii="Arial" w:hAnsi="Arial" w:cs="Arial"/>
          <w:i/>
          <w:iCs/>
          <w:color w:val="auto"/>
          <w:sz w:val="20"/>
          <w:szCs w:val="17"/>
          <w:lang w:val="en-GB"/>
        </w:rPr>
        <w:t xml:space="preserve"> and</w:t>
      </w:r>
      <w:r>
        <w:rPr>
          <w:rFonts w:ascii="Arial" w:hAnsi="Arial" w:cs="Arial"/>
          <w:i/>
          <w:iCs/>
          <w:color w:val="auto"/>
          <w:sz w:val="20"/>
          <w:szCs w:val="17"/>
          <w:lang w:val="en-GB"/>
        </w:rPr>
        <w:t xml:space="preserve"> of his/her </w:t>
      </w:r>
      <w:r w:rsidR="008920D8">
        <w:rPr>
          <w:rFonts w:ascii="Arial" w:hAnsi="Arial" w:cs="Arial"/>
          <w:i/>
          <w:iCs/>
          <w:color w:val="auto"/>
          <w:sz w:val="20"/>
          <w:szCs w:val="17"/>
          <w:lang w:val="en-GB"/>
        </w:rPr>
        <w:t>spouse/cohabitant</w:t>
      </w:r>
      <w:r>
        <w:rPr>
          <w:rFonts w:ascii="Arial" w:hAnsi="Arial" w:cs="Arial"/>
          <w:i/>
          <w:iCs/>
          <w:color w:val="auto"/>
          <w:sz w:val="20"/>
          <w:szCs w:val="17"/>
          <w:lang w:val="en-GB"/>
        </w:rPr>
        <w:t xml:space="preserve">. Households are classified to educational levels as follows: </w:t>
      </w:r>
    </w:p>
    <w:p w:rsidR="007F2B7C" w:rsidRPr="00F22E2F" w:rsidRDefault="00774875">
      <w:pPr>
        <w:pStyle w:val="Normlnweb"/>
        <w:spacing w:before="120" w:beforeAutospacing="0" w:after="0" w:afterAutospacing="0"/>
        <w:jc w:val="both"/>
        <w:rPr>
          <w:rFonts w:ascii="Arial" w:hAnsi="Arial" w:cs="Arial"/>
          <w:i/>
          <w:iCs/>
          <w:color w:val="auto"/>
          <w:sz w:val="20"/>
          <w:szCs w:val="20"/>
          <w:lang w:val="en-GB"/>
        </w:rPr>
      </w:pPr>
      <w:r>
        <w:rPr>
          <w:rFonts w:ascii="Arial" w:hAnsi="Arial" w:cs="Arial"/>
          <w:i/>
          <w:iCs/>
          <w:color w:val="auto"/>
          <w:sz w:val="20"/>
          <w:szCs w:val="20"/>
          <w:lang w:val="en-GB"/>
        </w:rPr>
        <w:t>– </w:t>
      </w:r>
      <w:proofErr w:type="gramStart"/>
      <w:r>
        <w:rPr>
          <w:rFonts w:ascii="Arial" w:hAnsi="Arial" w:cs="Arial"/>
          <w:i/>
          <w:iCs/>
          <w:color w:val="auto"/>
          <w:sz w:val="20"/>
          <w:szCs w:val="20"/>
          <w:lang w:val="en-GB"/>
        </w:rPr>
        <w:t>low</w:t>
      </w:r>
      <w:proofErr w:type="gramEnd"/>
      <w:r>
        <w:rPr>
          <w:rFonts w:ascii="Arial" w:hAnsi="Arial" w:cs="Arial"/>
          <w:i/>
          <w:iCs/>
          <w:color w:val="auto"/>
          <w:sz w:val="20"/>
          <w:szCs w:val="20"/>
          <w:lang w:val="en-GB"/>
        </w:rPr>
        <w:t xml:space="preserve"> level – both </w:t>
      </w:r>
      <w:r w:rsidR="008920D8">
        <w:rPr>
          <w:rFonts w:ascii="Arial" w:hAnsi="Arial" w:cs="Arial"/>
          <w:i/>
          <w:iCs/>
          <w:color w:val="auto"/>
          <w:sz w:val="20"/>
          <w:szCs w:val="20"/>
          <w:lang w:val="en-GB"/>
        </w:rPr>
        <w:t xml:space="preserve">spouses/cohabitants </w:t>
      </w:r>
      <w:r>
        <w:rPr>
          <w:rFonts w:ascii="Arial" w:hAnsi="Arial" w:cs="Arial"/>
          <w:i/>
          <w:iCs/>
          <w:color w:val="auto"/>
          <w:sz w:val="20"/>
          <w:szCs w:val="20"/>
          <w:lang w:val="en-GB"/>
        </w:rPr>
        <w:t>have basic education, or incomplete basic education, respectively;</w:t>
      </w:r>
    </w:p>
    <w:p w:rsidR="007F2B7C" w:rsidRPr="00F22E2F" w:rsidRDefault="00774875">
      <w:pPr>
        <w:pStyle w:val="Normlnweb"/>
        <w:spacing w:before="120" w:beforeAutospacing="0" w:after="0" w:afterAutospacing="0"/>
        <w:ind w:left="170" w:hanging="170"/>
        <w:jc w:val="both"/>
        <w:rPr>
          <w:rFonts w:ascii="Arial" w:hAnsi="Arial" w:cs="Arial"/>
          <w:i/>
          <w:iCs/>
          <w:color w:val="auto"/>
          <w:sz w:val="20"/>
          <w:szCs w:val="20"/>
          <w:lang w:val="en-GB"/>
        </w:rPr>
      </w:pPr>
      <w:r>
        <w:rPr>
          <w:rFonts w:ascii="Arial" w:hAnsi="Arial" w:cs="Arial"/>
          <w:i/>
          <w:iCs/>
          <w:color w:val="auto"/>
          <w:sz w:val="20"/>
          <w:szCs w:val="20"/>
          <w:lang w:val="en-GB"/>
        </w:rPr>
        <w:t>– </w:t>
      </w:r>
      <w:proofErr w:type="gramStart"/>
      <w:r>
        <w:rPr>
          <w:rFonts w:ascii="Arial" w:hAnsi="Arial" w:cs="Arial"/>
          <w:i/>
          <w:iCs/>
          <w:color w:val="auto"/>
          <w:sz w:val="20"/>
          <w:szCs w:val="20"/>
          <w:lang w:val="en-GB"/>
        </w:rPr>
        <w:t>medium</w:t>
      </w:r>
      <w:proofErr w:type="gramEnd"/>
      <w:r>
        <w:rPr>
          <w:rFonts w:ascii="Arial" w:hAnsi="Arial" w:cs="Arial"/>
          <w:i/>
          <w:iCs/>
          <w:color w:val="auto"/>
          <w:sz w:val="20"/>
          <w:szCs w:val="20"/>
          <w:lang w:val="en-GB"/>
        </w:rPr>
        <w:t xml:space="preserve"> level – at least one of the </w:t>
      </w:r>
      <w:r w:rsidR="008920D8">
        <w:rPr>
          <w:rFonts w:ascii="Arial" w:hAnsi="Arial" w:cs="Arial"/>
          <w:i/>
          <w:iCs/>
          <w:color w:val="auto"/>
          <w:sz w:val="20"/>
          <w:szCs w:val="20"/>
          <w:lang w:val="en-GB"/>
        </w:rPr>
        <w:t xml:space="preserve">spouses/cohabitants </w:t>
      </w:r>
      <w:r>
        <w:rPr>
          <w:rFonts w:ascii="Arial" w:hAnsi="Arial" w:cs="Arial"/>
          <w:i/>
          <w:iCs/>
          <w:color w:val="auto"/>
          <w:sz w:val="20"/>
          <w:szCs w:val="20"/>
          <w:lang w:val="en-GB"/>
        </w:rPr>
        <w:t>has completed education higher than basic one and neither of the partners has higher education;</w:t>
      </w:r>
    </w:p>
    <w:p w:rsidR="007F2B7C" w:rsidRPr="00F22E2F" w:rsidRDefault="00774875">
      <w:pPr>
        <w:pStyle w:val="Normlnweb"/>
        <w:spacing w:before="120" w:beforeAutospacing="0" w:after="0" w:afterAutospacing="0"/>
        <w:jc w:val="both"/>
        <w:rPr>
          <w:rFonts w:ascii="Arial" w:hAnsi="Arial" w:cs="Arial"/>
          <w:i/>
          <w:color w:val="auto"/>
          <w:sz w:val="20"/>
          <w:szCs w:val="20"/>
          <w:lang w:val="en-GB"/>
        </w:rPr>
      </w:pPr>
      <w:r>
        <w:rPr>
          <w:rFonts w:ascii="Arial" w:hAnsi="Arial" w:cs="Arial"/>
          <w:i/>
          <w:color w:val="auto"/>
          <w:sz w:val="20"/>
          <w:szCs w:val="20"/>
          <w:lang w:val="en-GB"/>
        </w:rPr>
        <w:t>– </w:t>
      </w:r>
      <w:proofErr w:type="gramStart"/>
      <w:r>
        <w:rPr>
          <w:rFonts w:ascii="Arial" w:hAnsi="Arial" w:cs="Arial"/>
          <w:i/>
          <w:color w:val="auto"/>
          <w:sz w:val="20"/>
          <w:szCs w:val="20"/>
          <w:lang w:val="en-GB"/>
        </w:rPr>
        <w:t>high</w:t>
      </w:r>
      <w:proofErr w:type="gramEnd"/>
      <w:r>
        <w:rPr>
          <w:rFonts w:ascii="Arial" w:hAnsi="Arial" w:cs="Arial"/>
          <w:i/>
          <w:color w:val="auto"/>
          <w:sz w:val="20"/>
          <w:szCs w:val="20"/>
          <w:lang w:val="en-GB"/>
        </w:rPr>
        <w:t xml:space="preserve"> level</w:t>
      </w:r>
      <w:r w:rsidR="00073C0F">
        <w:rPr>
          <w:rFonts w:ascii="Arial" w:hAnsi="Arial" w:cs="Arial"/>
          <w:i/>
          <w:color w:val="auto"/>
          <w:sz w:val="20"/>
          <w:szCs w:val="20"/>
          <w:lang w:val="en-GB"/>
        </w:rPr>
        <w:t xml:space="preserve"> –</w:t>
      </w:r>
      <w:r>
        <w:rPr>
          <w:rFonts w:ascii="Arial" w:hAnsi="Arial" w:cs="Arial"/>
          <w:i/>
          <w:color w:val="auto"/>
          <w:sz w:val="20"/>
          <w:szCs w:val="20"/>
          <w:lang w:val="en-GB"/>
        </w:rPr>
        <w:t xml:space="preserve"> at least one of the </w:t>
      </w:r>
      <w:r w:rsidR="008920D8">
        <w:rPr>
          <w:rFonts w:ascii="Arial" w:hAnsi="Arial" w:cs="Arial"/>
          <w:i/>
          <w:iCs/>
          <w:color w:val="auto"/>
          <w:sz w:val="20"/>
          <w:szCs w:val="20"/>
          <w:lang w:val="en-GB"/>
        </w:rPr>
        <w:t xml:space="preserve">spouses/cohabitants </w:t>
      </w:r>
      <w:r>
        <w:rPr>
          <w:rFonts w:ascii="Arial" w:hAnsi="Arial" w:cs="Arial"/>
          <w:i/>
          <w:color w:val="auto"/>
          <w:sz w:val="20"/>
          <w:szCs w:val="20"/>
          <w:lang w:val="en-GB"/>
        </w:rPr>
        <w:t>completed higher education</w:t>
      </w:r>
      <w:r w:rsidR="008632A5">
        <w:rPr>
          <w:rFonts w:ascii="Arial" w:hAnsi="Arial" w:cs="Arial"/>
          <w:i/>
          <w:color w:val="auto"/>
          <w:sz w:val="20"/>
          <w:szCs w:val="20"/>
          <w:lang w:val="en-GB"/>
        </w:rPr>
        <w:t>,</w:t>
      </w:r>
      <w:r>
        <w:rPr>
          <w:rFonts w:ascii="Arial" w:hAnsi="Arial" w:cs="Arial"/>
          <w:i/>
          <w:color w:val="auto"/>
          <w:sz w:val="20"/>
          <w:szCs w:val="20"/>
          <w:lang w:val="en-GB"/>
        </w:rPr>
        <w:t xml:space="preserve"> including</w:t>
      </w:r>
      <w:r w:rsidR="00FE1483">
        <w:rPr>
          <w:rFonts w:ascii="Arial" w:hAnsi="Arial" w:cs="Arial"/>
          <w:i/>
          <w:color w:val="auto"/>
          <w:sz w:val="20"/>
          <w:szCs w:val="20"/>
          <w:lang w:val="en-GB"/>
        </w:rPr>
        <w:t xml:space="preserve"> bachelor programmes.</w:t>
      </w:r>
    </w:p>
    <w:p w:rsidR="007F2B7C" w:rsidRPr="00F22E2F" w:rsidRDefault="00774875">
      <w:pPr>
        <w:pStyle w:val="Normlnweb"/>
        <w:spacing w:before="120" w:beforeAutospacing="0" w:after="0" w:afterAutospacing="0"/>
        <w:ind w:firstLine="705"/>
        <w:jc w:val="both"/>
        <w:rPr>
          <w:rFonts w:ascii="Arial" w:hAnsi="Arial" w:cs="Arial"/>
          <w:i/>
          <w:iCs/>
          <w:color w:val="auto"/>
          <w:sz w:val="20"/>
          <w:szCs w:val="20"/>
          <w:lang w:val="en-GB"/>
        </w:rPr>
      </w:pPr>
      <w:r>
        <w:rPr>
          <w:rFonts w:ascii="Arial" w:hAnsi="Arial" w:cs="Arial"/>
          <w:i/>
          <w:color w:val="auto"/>
          <w:sz w:val="20"/>
          <w:szCs w:val="20"/>
          <w:lang w:val="en-GB"/>
        </w:rPr>
        <w:t>The definition of the </w:t>
      </w:r>
      <w:r>
        <w:rPr>
          <w:rFonts w:ascii="Arial" w:hAnsi="Arial" w:cs="Arial"/>
          <w:b/>
          <w:i/>
          <w:color w:val="auto"/>
          <w:sz w:val="20"/>
          <w:szCs w:val="20"/>
          <w:lang w:val="en-GB"/>
        </w:rPr>
        <w:t>dependent child</w:t>
      </w:r>
      <w:r>
        <w:rPr>
          <w:rFonts w:ascii="Arial" w:hAnsi="Arial" w:cs="Arial"/>
          <w:i/>
          <w:color w:val="auto"/>
          <w:sz w:val="20"/>
          <w:szCs w:val="20"/>
          <w:lang w:val="en-GB"/>
        </w:rPr>
        <w:t xml:space="preserve"> here differs from the dependent child (national definition) above. This category covers all children aged 0–18 years, and, furthermore, children aged 18–24 years, if they are economically inactive and live with one parent, at least.</w:t>
      </w:r>
      <w:r w:rsidR="007F2B7C" w:rsidRPr="00F22E2F">
        <w:rPr>
          <w:rFonts w:ascii="Arial" w:hAnsi="Arial" w:cs="Arial"/>
          <w:i/>
          <w:iCs/>
          <w:color w:val="auto"/>
          <w:sz w:val="20"/>
          <w:szCs w:val="20"/>
          <w:lang w:val="en-GB"/>
        </w:rPr>
        <w:t xml:space="preserve"> </w:t>
      </w:r>
    </w:p>
    <w:p w:rsidR="007F2B7C" w:rsidRPr="00F22E2F" w:rsidRDefault="007F2B7C">
      <w:pPr>
        <w:pStyle w:val="Normlnweb"/>
        <w:spacing w:before="0" w:beforeAutospacing="0" w:after="0" w:afterAutospacing="0"/>
        <w:jc w:val="both"/>
        <w:rPr>
          <w:rFonts w:ascii="Arial" w:hAnsi="Arial" w:cs="Arial"/>
          <w:i/>
          <w:iCs/>
          <w:color w:val="auto"/>
          <w:sz w:val="20"/>
          <w:szCs w:val="20"/>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20"/>
          <w:lang w:val="en-GB"/>
        </w:rPr>
      </w:pPr>
    </w:p>
    <w:p w:rsidR="007F2B7C" w:rsidRPr="00F22E2F" w:rsidRDefault="00774875">
      <w:pPr>
        <w:pStyle w:val="Normlnweb"/>
        <w:spacing w:before="0" w:beforeAutospacing="0" w:after="0" w:afterAutospacing="0"/>
        <w:jc w:val="both"/>
        <w:rPr>
          <w:rFonts w:ascii="Arial" w:hAnsi="Arial" w:cs="Arial"/>
          <w:i/>
          <w:iCs/>
          <w:color w:val="auto"/>
          <w:sz w:val="20"/>
          <w:szCs w:val="20"/>
          <w:lang w:val="en-GB"/>
        </w:rPr>
      </w:pPr>
      <w:r>
        <w:rPr>
          <w:rFonts w:ascii="Arial" w:hAnsi="Arial" w:cs="Arial"/>
          <w:i/>
          <w:iCs/>
          <w:color w:val="auto"/>
          <w:sz w:val="20"/>
          <w:szCs w:val="20"/>
          <w:lang w:val="en-GB"/>
        </w:rPr>
        <w:t xml:space="preserve">Table </w:t>
      </w:r>
      <w:r>
        <w:rPr>
          <w:rFonts w:ascii="Arial" w:hAnsi="Arial" w:cs="Arial"/>
          <w:b/>
          <w:i/>
          <w:iCs/>
          <w:color w:val="auto"/>
          <w:sz w:val="20"/>
          <w:szCs w:val="20"/>
          <w:lang w:val="en-GB"/>
        </w:rPr>
        <w:t>9</w:t>
      </w:r>
      <w:r>
        <w:rPr>
          <w:rFonts w:ascii="Arial" w:hAnsi="Arial" w:cs="Arial"/>
          <w:i/>
          <w:iCs/>
          <w:color w:val="auto"/>
          <w:sz w:val="20"/>
          <w:szCs w:val="20"/>
          <w:lang w:val="en-GB"/>
        </w:rPr>
        <w:t>-</w:t>
      </w:r>
      <w:r w:rsidR="00C2799C">
        <w:rPr>
          <w:rFonts w:ascii="Arial" w:hAnsi="Arial" w:cs="Arial"/>
          <w:i/>
          <w:iCs/>
          <w:color w:val="auto"/>
          <w:sz w:val="20"/>
          <w:szCs w:val="20"/>
          <w:lang w:val="en-GB"/>
        </w:rPr>
        <w:t>4</w:t>
      </w:r>
      <w:r>
        <w:rPr>
          <w:rFonts w:ascii="Arial" w:hAnsi="Arial" w:cs="Arial"/>
          <w:i/>
          <w:iCs/>
          <w:color w:val="auto"/>
          <w:sz w:val="20"/>
          <w:szCs w:val="20"/>
          <w:lang w:val="en-GB"/>
        </w:rPr>
        <w:t xml:space="preserve"> </w:t>
      </w:r>
      <w:r>
        <w:rPr>
          <w:rFonts w:ascii="Arial" w:hAnsi="Arial" w:cs="Arial"/>
          <w:b/>
          <w:i/>
          <w:iCs/>
          <w:color w:val="auto"/>
          <w:sz w:val="20"/>
          <w:szCs w:val="20"/>
          <w:lang w:val="en-GB"/>
        </w:rPr>
        <w:t>Expenditure and consumption of HBS households</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20"/>
          <w:lang w:val="en-GB"/>
        </w:rPr>
        <w:t xml:space="preserve">The table demonstrates the time series of data on households of </w:t>
      </w:r>
      <w:r>
        <w:rPr>
          <w:rFonts w:ascii="Arial" w:hAnsi="Arial" w:cs="Arial"/>
          <w:i/>
          <w:iCs/>
          <w:color w:val="auto"/>
          <w:sz w:val="20"/>
          <w:szCs w:val="17"/>
          <w:lang w:val="en-GB"/>
        </w:rPr>
        <w:t>the HBS sample.</w:t>
      </w: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19155E" w:rsidRPr="00F22E2F" w:rsidRDefault="0019155E" w:rsidP="0019155E">
      <w:pPr>
        <w:pStyle w:val="Normlnweb"/>
        <w:spacing w:before="0" w:beforeAutospacing="0" w:after="0" w:afterAutospacing="0"/>
        <w:ind w:left="709" w:hanging="709"/>
        <w:jc w:val="both"/>
        <w:rPr>
          <w:rFonts w:ascii="Arial" w:hAnsi="Arial" w:cs="Arial"/>
          <w:b/>
          <w:i/>
          <w:iCs/>
          <w:color w:val="auto"/>
          <w:sz w:val="20"/>
          <w:szCs w:val="17"/>
          <w:lang w:val="en-GB"/>
        </w:rPr>
      </w:pPr>
      <w:r>
        <w:rPr>
          <w:rFonts w:ascii="Arial" w:hAnsi="Arial" w:cs="Arial"/>
          <w:i/>
          <w:iCs/>
          <w:color w:val="auto"/>
          <w:sz w:val="20"/>
          <w:szCs w:val="17"/>
          <w:lang w:val="en-GB"/>
        </w:rPr>
        <w:t xml:space="preserve">Tables </w:t>
      </w:r>
      <w:r>
        <w:rPr>
          <w:rFonts w:ascii="Arial" w:hAnsi="Arial" w:cs="Arial"/>
          <w:b/>
          <w:bCs/>
          <w:i/>
          <w:iCs/>
          <w:color w:val="auto"/>
          <w:sz w:val="20"/>
          <w:szCs w:val="17"/>
          <w:lang w:val="en-GB"/>
        </w:rPr>
        <w:t>9</w:t>
      </w:r>
      <w:r>
        <w:rPr>
          <w:rFonts w:ascii="Arial" w:hAnsi="Arial" w:cs="Arial"/>
          <w:i/>
          <w:iCs/>
          <w:color w:val="auto"/>
          <w:sz w:val="20"/>
          <w:szCs w:val="17"/>
          <w:lang w:val="en-GB"/>
        </w:rPr>
        <w:t xml:space="preserve">-5 </w:t>
      </w:r>
      <w:r>
        <w:rPr>
          <w:rFonts w:ascii="Arial" w:hAnsi="Arial" w:cs="Arial"/>
          <w:b/>
          <w:i/>
          <w:iCs/>
          <w:color w:val="auto"/>
          <w:sz w:val="20"/>
          <w:szCs w:val="17"/>
          <w:lang w:val="en-GB"/>
        </w:rPr>
        <w:t xml:space="preserve">Structure of the HBS household </w:t>
      </w:r>
      <w:r w:rsidR="00DD6609">
        <w:rPr>
          <w:rFonts w:ascii="Arial" w:hAnsi="Arial" w:cs="Arial"/>
          <w:b/>
          <w:i/>
          <w:iCs/>
          <w:color w:val="auto"/>
          <w:sz w:val="20"/>
          <w:szCs w:val="17"/>
          <w:lang w:val="en-GB"/>
        </w:rPr>
        <w:t xml:space="preserve">consumption </w:t>
      </w:r>
      <w:r>
        <w:rPr>
          <w:rFonts w:ascii="Arial" w:hAnsi="Arial" w:cs="Arial"/>
          <w:b/>
          <w:i/>
          <w:iCs/>
          <w:color w:val="auto"/>
          <w:sz w:val="20"/>
          <w:szCs w:val="17"/>
          <w:lang w:val="en-GB"/>
        </w:rPr>
        <w:t xml:space="preserve">expenditure by activity status of the head of household in </w:t>
      </w:r>
      <w:r w:rsidR="00844AB7">
        <w:rPr>
          <w:rFonts w:ascii="Arial" w:hAnsi="Arial" w:cs="Arial"/>
          <w:b/>
          <w:i/>
          <w:iCs/>
          <w:color w:val="auto"/>
          <w:sz w:val="20"/>
          <w:szCs w:val="17"/>
          <w:lang w:val="en-GB"/>
        </w:rPr>
        <w:t>2016</w:t>
      </w:r>
    </w:p>
    <w:p w:rsidR="007F2B7C" w:rsidRPr="00F22E2F" w:rsidRDefault="00774875" w:rsidP="008D4F5C">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20"/>
          <w:lang w:val="en-GB"/>
        </w:rPr>
        <w:t xml:space="preserve">The tables give </w:t>
      </w:r>
      <w:r>
        <w:rPr>
          <w:rFonts w:ascii="Arial" w:hAnsi="Arial" w:cs="Arial"/>
          <w:i/>
          <w:iCs/>
          <w:color w:val="auto"/>
          <w:sz w:val="20"/>
          <w:szCs w:val="17"/>
          <w:lang w:val="en-GB"/>
        </w:rPr>
        <w:t xml:space="preserve">data on households of the HBS sample broken down by status of the head of household. </w:t>
      </w: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F2B7C">
      <w:pPr>
        <w:pStyle w:val="Normlnweb"/>
        <w:spacing w:before="0" w:beforeAutospacing="0" w:after="0" w:afterAutospacing="0"/>
        <w:jc w:val="both"/>
        <w:rPr>
          <w:rFonts w:ascii="Arial" w:hAnsi="Arial" w:cs="Arial"/>
          <w:i/>
          <w:iCs/>
          <w:color w:val="auto"/>
          <w:sz w:val="20"/>
          <w:szCs w:val="17"/>
          <w:lang w:val="en-GB"/>
        </w:rPr>
      </w:pPr>
    </w:p>
    <w:p w:rsidR="007F2B7C" w:rsidRPr="00F22E2F" w:rsidRDefault="00774875">
      <w:pPr>
        <w:pStyle w:val="Normlnweb"/>
        <w:spacing w:before="0" w:beforeAutospacing="0" w:after="0" w:afterAutospacing="0"/>
        <w:ind w:left="709" w:hanging="709"/>
        <w:jc w:val="both"/>
        <w:rPr>
          <w:rFonts w:ascii="Arial" w:hAnsi="Arial" w:cs="Arial"/>
          <w:b/>
          <w:i/>
          <w:iCs/>
          <w:color w:val="auto"/>
          <w:sz w:val="20"/>
          <w:szCs w:val="17"/>
          <w:lang w:val="en-GB"/>
        </w:rPr>
      </w:pPr>
      <w:r>
        <w:rPr>
          <w:rFonts w:ascii="Arial" w:hAnsi="Arial" w:cs="Arial"/>
          <w:i/>
          <w:iCs/>
          <w:color w:val="auto"/>
          <w:sz w:val="20"/>
          <w:szCs w:val="17"/>
          <w:lang w:val="en-GB"/>
        </w:rPr>
        <w:t xml:space="preserve">Table </w:t>
      </w:r>
      <w:r>
        <w:rPr>
          <w:rFonts w:ascii="Arial" w:hAnsi="Arial" w:cs="Arial"/>
          <w:b/>
          <w:i/>
          <w:iCs/>
          <w:color w:val="auto"/>
          <w:sz w:val="20"/>
          <w:szCs w:val="17"/>
          <w:lang w:val="en-GB"/>
        </w:rPr>
        <w:t>9</w:t>
      </w:r>
      <w:r>
        <w:rPr>
          <w:rFonts w:ascii="Arial" w:hAnsi="Arial" w:cs="Arial"/>
          <w:i/>
          <w:iCs/>
          <w:color w:val="auto"/>
          <w:sz w:val="20"/>
          <w:szCs w:val="17"/>
          <w:lang w:val="en-GB"/>
        </w:rPr>
        <w:t>-</w:t>
      </w:r>
      <w:r w:rsidR="00C2799C">
        <w:rPr>
          <w:rFonts w:ascii="Arial" w:hAnsi="Arial" w:cs="Arial"/>
          <w:i/>
          <w:iCs/>
          <w:color w:val="auto"/>
          <w:sz w:val="20"/>
          <w:szCs w:val="17"/>
          <w:lang w:val="en-GB"/>
        </w:rPr>
        <w:t>6</w:t>
      </w:r>
      <w:r>
        <w:rPr>
          <w:rFonts w:ascii="Arial" w:hAnsi="Arial" w:cs="Arial"/>
          <w:i/>
          <w:iCs/>
          <w:color w:val="auto"/>
          <w:sz w:val="20"/>
          <w:szCs w:val="17"/>
          <w:lang w:val="en-GB"/>
        </w:rPr>
        <w:t xml:space="preserve"> </w:t>
      </w:r>
      <w:r>
        <w:rPr>
          <w:rFonts w:ascii="Arial" w:hAnsi="Arial" w:cs="Arial"/>
          <w:b/>
          <w:i/>
          <w:iCs/>
          <w:color w:val="auto"/>
          <w:sz w:val="20"/>
          <w:szCs w:val="17"/>
          <w:lang w:val="en-GB"/>
        </w:rPr>
        <w:t xml:space="preserve">Structure of </w:t>
      </w:r>
      <w:r w:rsidR="00DD6609">
        <w:rPr>
          <w:rFonts w:ascii="Arial" w:hAnsi="Arial" w:cs="Arial"/>
          <w:b/>
          <w:i/>
          <w:iCs/>
          <w:color w:val="auto"/>
          <w:sz w:val="20"/>
          <w:szCs w:val="17"/>
          <w:lang w:val="en-GB"/>
        </w:rPr>
        <w:t xml:space="preserve">consumption </w:t>
      </w:r>
      <w:r>
        <w:rPr>
          <w:rFonts w:ascii="Arial" w:hAnsi="Arial" w:cs="Arial"/>
          <w:b/>
          <w:i/>
          <w:iCs/>
          <w:color w:val="auto"/>
          <w:sz w:val="20"/>
          <w:szCs w:val="17"/>
          <w:lang w:val="en-GB"/>
        </w:rPr>
        <w:t xml:space="preserve">expenditure of HBS households at various income levels </w:t>
      </w:r>
    </w:p>
    <w:p w:rsidR="007F2B7C" w:rsidRPr="00F22E2F" w:rsidRDefault="00774875">
      <w:pPr>
        <w:pStyle w:val="Normlnweb"/>
        <w:spacing w:before="120" w:beforeAutospacing="0" w:after="0" w:afterAutospacing="0"/>
        <w:ind w:firstLine="709"/>
        <w:jc w:val="both"/>
        <w:rPr>
          <w:rFonts w:ascii="Arial" w:hAnsi="Arial" w:cs="Arial"/>
          <w:i/>
          <w:iCs/>
          <w:color w:val="auto"/>
          <w:sz w:val="20"/>
          <w:szCs w:val="17"/>
          <w:lang w:val="en-GB"/>
        </w:rPr>
      </w:pPr>
      <w:r>
        <w:rPr>
          <w:rFonts w:ascii="Arial" w:hAnsi="Arial" w:cs="Arial"/>
          <w:i/>
          <w:iCs/>
          <w:color w:val="auto"/>
          <w:sz w:val="20"/>
          <w:szCs w:val="20"/>
          <w:lang w:val="en-GB"/>
        </w:rPr>
        <w:t xml:space="preserve">The table provides </w:t>
      </w:r>
      <w:r>
        <w:rPr>
          <w:rFonts w:ascii="Arial" w:hAnsi="Arial" w:cs="Arial"/>
          <w:i/>
          <w:iCs/>
          <w:color w:val="auto"/>
          <w:sz w:val="20"/>
          <w:szCs w:val="17"/>
          <w:lang w:val="en-GB"/>
        </w:rPr>
        <w:t xml:space="preserve">data on households of the HBS sample broken down by annual net money income per household member. The group of low-income households contains 20% of households with the lowest net money income per household member. Income of any household classified to this low-income group did not exceed the upper limit given in the table. Similarly, the group of high-income households includes 20% of households with the highest income per household member, which was above the lower limit given in the table. </w:t>
      </w:r>
    </w:p>
    <w:p w:rsidR="00E90E2F" w:rsidRPr="00F22E2F" w:rsidRDefault="00E90E2F" w:rsidP="00E90E2F">
      <w:pPr>
        <w:pStyle w:val="Normlnweb"/>
        <w:spacing w:before="0" w:beforeAutospacing="0" w:after="0" w:afterAutospacing="0"/>
        <w:jc w:val="both"/>
        <w:rPr>
          <w:rFonts w:ascii="Arial" w:hAnsi="Arial" w:cs="Arial"/>
          <w:i/>
          <w:iCs/>
          <w:color w:val="auto"/>
          <w:sz w:val="20"/>
          <w:szCs w:val="17"/>
          <w:lang w:val="en-GB"/>
        </w:rPr>
      </w:pPr>
    </w:p>
    <w:p w:rsidR="00E90E2F" w:rsidRPr="00F22E2F" w:rsidRDefault="00E90E2F" w:rsidP="00E90E2F">
      <w:pPr>
        <w:pStyle w:val="Normlnweb"/>
        <w:spacing w:before="0" w:beforeAutospacing="0" w:after="0" w:afterAutospacing="0"/>
        <w:jc w:val="both"/>
        <w:rPr>
          <w:rFonts w:ascii="Arial" w:hAnsi="Arial" w:cs="Arial"/>
          <w:i/>
          <w:iCs/>
          <w:color w:val="auto"/>
          <w:sz w:val="20"/>
          <w:szCs w:val="17"/>
          <w:lang w:val="en-GB"/>
        </w:rPr>
      </w:pPr>
    </w:p>
    <w:p w:rsidR="007F2B7C" w:rsidRPr="00F22E2F" w:rsidRDefault="00774875" w:rsidP="00E90E2F">
      <w:pPr>
        <w:jc w:val="center"/>
        <w:rPr>
          <w:rFonts w:ascii="Arial" w:hAnsi="Arial" w:cs="Arial"/>
          <w:i/>
          <w:iCs/>
          <w:sz w:val="20"/>
          <w:szCs w:val="17"/>
        </w:rPr>
      </w:pPr>
      <w:r>
        <w:rPr>
          <w:rFonts w:ascii="Arial" w:hAnsi="Arial" w:cs="Arial"/>
          <w:i/>
          <w:iCs/>
          <w:sz w:val="20"/>
          <w:szCs w:val="17"/>
        </w:rPr>
        <w:t>*          *          *</w:t>
      </w:r>
    </w:p>
    <w:p w:rsidR="007F2B7C" w:rsidRPr="00F22E2F" w:rsidRDefault="007F2B7C" w:rsidP="00E90E2F">
      <w:pPr>
        <w:jc w:val="both"/>
        <w:rPr>
          <w:rFonts w:ascii="Arial" w:hAnsi="Arial" w:cs="Arial"/>
          <w:i/>
          <w:iCs/>
          <w:sz w:val="20"/>
          <w:szCs w:val="17"/>
        </w:rPr>
      </w:pPr>
    </w:p>
    <w:p w:rsidR="007F2B7C" w:rsidRPr="00F22E2F" w:rsidRDefault="007F2B7C">
      <w:pPr>
        <w:pStyle w:val="Normlnweb"/>
        <w:spacing w:before="0" w:beforeAutospacing="0" w:after="0" w:afterAutospacing="0"/>
        <w:jc w:val="both"/>
        <w:rPr>
          <w:rFonts w:ascii="Arial" w:hAnsi="Arial"/>
          <w:color w:val="auto"/>
          <w:sz w:val="20"/>
          <w:lang w:val="en-GB"/>
        </w:rPr>
      </w:pPr>
    </w:p>
    <w:p w:rsidR="007F2B7C" w:rsidRPr="00F22E2F" w:rsidRDefault="00774875">
      <w:pPr>
        <w:pStyle w:val="Normlnweb"/>
        <w:spacing w:before="0" w:beforeAutospacing="0" w:after="0" w:afterAutospacing="0"/>
        <w:ind w:firstLine="709"/>
        <w:jc w:val="both"/>
        <w:rPr>
          <w:rFonts w:ascii="Arial" w:hAnsi="Arial" w:cs="Arial"/>
          <w:i/>
          <w:iCs/>
          <w:color w:val="auto"/>
          <w:sz w:val="20"/>
          <w:szCs w:val="20"/>
          <w:lang w:val="en-GB"/>
        </w:rPr>
      </w:pPr>
      <w:r>
        <w:rPr>
          <w:rFonts w:ascii="Arial" w:hAnsi="Arial" w:cs="Arial"/>
          <w:i/>
          <w:iCs/>
          <w:color w:val="auto"/>
          <w:sz w:val="20"/>
          <w:szCs w:val="20"/>
          <w:lang w:val="en-GB"/>
        </w:rPr>
        <w:t xml:space="preserve">Further data </w:t>
      </w:r>
      <w:r w:rsidR="00845E44">
        <w:rPr>
          <w:rFonts w:ascii="Arial" w:hAnsi="Arial" w:cs="Arial"/>
          <w:i/>
          <w:iCs/>
          <w:color w:val="auto"/>
          <w:sz w:val="20"/>
          <w:szCs w:val="20"/>
          <w:lang w:val="en-GB"/>
        </w:rPr>
        <w:t>can be found</w:t>
      </w:r>
      <w:r w:rsidR="00234BDB" w:rsidRPr="00F22E2F">
        <w:rPr>
          <w:rFonts w:ascii="Arial" w:hAnsi="Arial" w:cs="Arial"/>
          <w:i/>
          <w:iCs/>
          <w:color w:val="auto"/>
          <w:sz w:val="20"/>
          <w:szCs w:val="20"/>
          <w:lang w:val="en-GB"/>
        </w:rPr>
        <w:t xml:space="preserve"> </w:t>
      </w:r>
      <w:r w:rsidR="007F2B7C" w:rsidRPr="00F22E2F">
        <w:rPr>
          <w:rFonts w:ascii="Arial" w:hAnsi="Arial" w:cs="Arial"/>
          <w:i/>
          <w:iCs/>
          <w:color w:val="auto"/>
          <w:sz w:val="20"/>
          <w:szCs w:val="20"/>
          <w:lang w:val="en-GB"/>
        </w:rPr>
        <w:t>on the web</w:t>
      </w:r>
      <w:r>
        <w:rPr>
          <w:rFonts w:ascii="Arial" w:hAnsi="Arial" w:cs="Arial"/>
          <w:i/>
          <w:iCs/>
          <w:color w:val="auto"/>
          <w:sz w:val="20"/>
          <w:szCs w:val="20"/>
          <w:lang w:val="en-GB"/>
        </w:rPr>
        <w:t>s</w:t>
      </w:r>
      <w:r w:rsidR="00D05FC7">
        <w:rPr>
          <w:rFonts w:ascii="Arial" w:hAnsi="Arial" w:cs="Arial"/>
          <w:i/>
          <w:iCs/>
          <w:color w:val="auto"/>
          <w:sz w:val="20"/>
          <w:szCs w:val="20"/>
          <w:lang w:val="en-GB"/>
        </w:rPr>
        <w:t>ite</w:t>
      </w:r>
      <w:r>
        <w:rPr>
          <w:rFonts w:ascii="Arial" w:hAnsi="Arial" w:cs="Arial"/>
          <w:i/>
          <w:iCs/>
          <w:color w:val="auto"/>
          <w:sz w:val="20"/>
          <w:szCs w:val="20"/>
          <w:lang w:val="en-GB"/>
        </w:rPr>
        <w:t xml:space="preserve"> of the Czech Statistical Office at:</w:t>
      </w:r>
    </w:p>
    <w:p w:rsidR="007F2B7C" w:rsidRPr="00E779DF" w:rsidRDefault="00774875">
      <w:pPr>
        <w:pStyle w:val="Normlnweb"/>
        <w:spacing w:before="120" w:beforeAutospacing="0" w:after="0" w:afterAutospacing="0"/>
        <w:jc w:val="both"/>
        <w:rPr>
          <w:rFonts w:ascii="Arial" w:hAnsi="Arial" w:cs="Arial"/>
          <w:color w:val="auto"/>
          <w:sz w:val="20"/>
          <w:szCs w:val="20"/>
          <w:lang w:val="en-GB"/>
        </w:rPr>
      </w:pPr>
      <w:r w:rsidRPr="00E779DF">
        <w:rPr>
          <w:rFonts w:ascii="Arial" w:hAnsi="Arial" w:cs="Arial"/>
          <w:color w:val="auto"/>
          <w:sz w:val="20"/>
          <w:szCs w:val="20"/>
          <w:lang w:val="en-GB"/>
        </w:rPr>
        <w:t>– </w:t>
      </w:r>
      <w:hyperlink r:id="rId7" w:history="1">
        <w:r w:rsidR="003463C3" w:rsidRPr="00E779DF">
          <w:rPr>
            <w:rStyle w:val="Hypertextovodkaz"/>
            <w:rFonts w:ascii="Arial" w:hAnsi="Arial" w:cs="Arial"/>
            <w:sz w:val="20"/>
            <w:szCs w:val="20"/>
            <w:lang w:val="en-GB"/>
          </w:rPr>
          <w:t>www.czso.cz/csu/czso/living_conditions_household_income_and_expenditure_stat</w:t>
        </w:r>
      </w:hyperlink>
      <w:r w:rsidR="00D05FC7" w:rsidRPr="00E779DF">
        <w:rPr>
          <w:rFonts w:ascii="Arial" w:hAnsi="Arial" w:cs="Arial"/>
          <w:color w:val="auto"/>
          <w:sz w:val="20"/>
          <w:szCs w:val="20"/>
          <w:lang w:val="en-GB"/>
        </w:rPr>
        <w:t xml:space="preserve"> </w:t>
      </w:r>
    </w:p>
    <w:sectPr w:rsidR="007F2B7C" w:rsidRPr="00E779DF" w:rsidSect="00774875">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DAF" w:rsidRDefault="008F4DAF">
      <w:r>
        <w:separator/>
      </w:r>
    </w:p>
  </w:endnote>
  <w:endnote w:type="continuationSeparator" w:id="0">
    <w:p w:rsidR="008F4DAF" w:rsidRDefault="008F4D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DAF" w:rsidRDefault="008F4DAF">
      <w:r>
        <w:separator/>
      </w:r>
    </w:p>
  </w:footnote>
  <w:footnote w:type="continuationSeparator" w:id="0">
    <w:p w:rsidR="008F4DAF" w:rsidRDefault="008F4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0DF1"/>
    <w:multiLevelType w:val="hybridMultilevel"/>
    <w:tmpl w:val="FC980B8E"/>
    <w:lvl w:ilvl="0" w:tplc="5658D07E">
      <w:start w:val="9"/>
      <w:numFmt w:val="bullet"/>
      <w:lvlText w:val="–"/>
      <w:lvlJc w:val="left"/>
      <w:pPr>
        <w:tabs>
          <w:tab w:val="num" w:pos="360"/>
        </w:tabs>
        <w:ind w:left="360" w:hanging="360"/>
      </w:pPr>
      <w:rPr>
        <w:rFonts w:ascii="Arial" w:eastAsia="Arial Unicode MS" w:hAnsi="Arial" w:cs="Arial" w:hint="default"/>
        <w:i/>
        <w:color w:val="auto"/>
        <w:sz w:val="20"/>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34A00D26"/>
    <w:multiLevelType w:val="hybridMultilevel"/>
    <w:tmpl w:val="2C18E488"/>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nsid w:val="444C6B02"/>
    <w:multiLevelType w:val="hybridMultilevel"/>
    <w:tmpl w:val="8604DC92"/>
    <w:lvl w:ilvl="0" w:tplc="24A64DA0">
      <w:start w:val="2"/>
      <w:numFmt w:val="bullet"/>
      <w:lvlText w:val="-"/>
      <w:lvlJc w:val="left"/>
      <w:pPr>
        <w:tabs>
          <w:tab w:val="num" w:pos="927"/>
        </w:tabs>
        <w:ind w:left="927" w:hanging="360"/>
      </w:pPr>
      <w:rPr>
        <w:rFonts w:ascii="Times New Roman" w:eastAsia="Arial Unicode MS"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3">
    <w:nsid w:val="699849B5"/>
    <w:multiLevelType w:val="hybridMultilevel"/>
    <w:tmpl w:val="C64C0350"/>
    <w:lvl w:ilvl="0" w:tplc="0346DE2C">
      <w:start w:val="9"/>
      <w:numFmt w:val="bullet"/>
      <w:lvlText w:val="-"/>
      <w:lvlJc w:val="left"/>
      <w:pPr>
        <w:tabs>
          <w:tab w:val="num" w:pos="720"/>
        </w:tabs>
        <w:ind w:left="720" w:hanging="360"/>
      </w:pPr>
      <w:rPr>
        <w:rFonts w:ascii="Arial" w:eastAsia="Arial Unicode MS"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C444AC9"/>
    <w:multiLevelType w:val="hybridMultilevel"/>
    <w:tmpl w:val="A88C7C6E"/>
    <w:lvl w:ilvl="0" w:tplc="5F885A84">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D5D48DD"/>
    <w:multiLevelType w:val="hybridMultilevel"/>
    <w:tmpl w:val="0F7693E8"/>
    <w:lvl w:ilvl="0" w:tplc="5B566DA0">
      <w:start w:val="9"/>
      <w:numFmt w:val="bullet"/>
      <w:lvlText w:val="-"/>
      <w:lvlJc w:val="left"/>
      <w:pPr>
        <w:tabs>
          <w:tab w:val="num" w:pos="1413"/>
        </w:tabs>
        <w:ind w:left="1413" w:hanging="705"/>
      </w:pPr>
      <w:rPr>
        <w:rFonts w:ascii="Times New Roman" w:eastAsia="Arial Unicode MS"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nsid w:val="6FA429B8"/>
    <w:multiLevelType w:val="hybridMultilevel"/>
    <w:tmpl w:val="37C28506"/>
    <w:lvl w:ilvl="0" w:tplc="DBE22E72">
      <w:start w:val="9"/>
      <w:numFmt w:val="bullet"/>
      <w:lvlText w:val="–"/>
      <w:lvlJc w:val="left"/>
      <w:pPr>
        <w:tabs>
          <w:tab w:val="num" w:pos="1065"/>
        </w:tabs>
        <w:ind w:left="1065" w:hanging="360"/>
      </w:pPr>
      <w:rPr>
        <w:rFonts w:ascii="Arial" w:eastAsia="Arial Unicode MS" w:hAnsi="Arial"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31A"/>
    <w:rsid w:val="00030105"/>
    <w:rsid w:val="0003172F"/>
    <w:rsid w:val="00060735"/>
    <w:rsid w:val="000737FE"/>
    <w:rsid w:val="00073C0F"/>
    <w:rsid w:val="0007418A"/>
    <w:rsid w:val="000B7546"/>
    <w:rsid w:val="000E1B06"/>
    <w:rsid w:val="000E4735"/>
    <w:rsid w:val="00110E84"/>
    <w:rsid w:val="00124753"/>
    <w:rsid w:val="00134AA4"/>
    <w:rsid w:val="001519FA"/>
    <w:rsid w:val="00162544"/>
    <w:rsid w:val="00171AD9"/>
    <w:rsid w:val="00176A6C"/>
    <w:rsid w:val="0018426C"/>
    <w:rsid w:val="001865BF"/>
    <w:rsid w:val="0019155E"/>
    <w:rsid w:val="00212036"/>
    <w:rsid w:val="002167E6"/>
    <w:rsid w:val="002219EC"/>
    <w:rsid w:val="00234BDB"/>
    <w:rsid w:val="00244D29"/>
    <w:rsid w:val="00252AF7"/>
    <w:rsid w:val="002665EC"/>
    <w:rsid w:val="00266F0A"/>
    <w:rsid w:val="00286F0D"/>
    <w:rsid w:val="002935C0"/>
    <w:rsid w:val="002C571E"/>
    <w:rsid w:val="002D12AE"/>
    <w:rsid w:val="002D1DCB"/>
    <w:rsid w:val="00301755"/>
    <w:rsid w:val="003045BB"/>
    <w:rsid w:val="0033595C"/>
    <w:rsid w:val="003463C3"/>
    <w:rsid w:val="00376EB9"/>
    <w:rsid w:val="00377AA9"/>
    <w:rsid w:val="003B6192"/>
    <w:rsid w:val="00401835"/>
    <w:rsid w:val="004317D9"/>
    <w:rsid w:val="0044182F"/>
    <w:rsid w:val="00442653"/>
    <w:rsid w:val="00444301"/>
    <w:rsid w:val="00475F7F"/>
    <w:rsid w:val="0049475D"/>
    <w:rsid w:val="004A0BD1"/>
    <w:rsid w:val="004C0922"/>
    <w:rsid w:val="005272CA"/>
    <w:rsid w:val="00527394"/>
    <w:rsid w:val="0057207C"/>
    <w:rsid w:val="00597398"/>
    <w:rsid w:val="005C773E"/>
    <w:rsid w:val="005D3AF2"/>
    <w:rsid w:val="005E1A07"/>
    <w:rsid w:val="006219CA"/>
    <w:rsid w:val="00636EF2"/>
    <w:rsid w:val="00642767"/>
    <w:rsid w:val="0064679F"/>
    <w:rsid w:val="00650229"/>
    <w:rsid w:val="00666459"/>
    <w:rsid w:val="006861D8"/>
    <w:rsid w:val="006A1694"/>
    <w:rsid w:val="006A4D3C"/>
    <w:rsid w:val="006C3160"/>
    <w:rsid w:val="007167AE"/>
    <w:rsid w:val="00724817"/>
    <w:rsid w:val="00733704"/>
    <w:rsid w:val="00756184"/>
    <w:rsid w:val="00774875"/>
    <w:rsid w:val="007B318D"/>
    <w:rsid w:val="007B393D"/>
    <w:rsid w:val="007C1B46"/>
    <w:rsid w:val="007C6C8B"/>
    <w:rsid w:val="007F2B7C"/>
    <w:rsid w:val="00804580"/>
    <w:rsid w:val="00807A2C"/>
    <w:rsid w:val="00844AB7"/>
    <w:rsid w:val="00845E44"/>
    <w:rsid w:val="00851C4E"/>
    <w:rsid w:val="00853C10"/>
    <w:rsid w:val="0085790E"/>
    <w:rsid w:val="008632A5"/>
    <w:rsid w:val="008653C5"/>
    <w:rsid w:val="00867D09"/>
    <w:rsid w:val="008764C5"/>
    <w:rsid w:val="008920D8"/>
    <w:rsid w:val="008A3028"/>
    <w:rsid w:val="008A5610"/>
    <w:rsid w:val="008B3BC7"/>
    <w:rsid w:val="008C2A7A"/>
    <w:rsid w:val="008D4F5C"/>
    <w:rsid w:val="008D7C5F"/>
    <w:rsid w:val="008E0490"/>
    <w:rsid w:val="008E70F0"/>
    <w:rsid w:val="008F219A"/>
    <w:rsid w:val="008F401C"/>
    <w:rsid w:val="008F4DAF"/>
    <w:rsid w:val="008F65A1"/>
    <w:rsid w:val="00946291"/>
    <w:rsid w:val="009503E2"/>
    <w:rsid w:val="00964390"/>
    <w:rsid w:val="00975C56"/>
    <w:rsid w:val="009A308B"/>
    <w:rsid w:val="009E5CDE"/>
    <w:rsid w:val="009F77C7"/>
    <w:rsid w:val="00A001C2"/>
    <w:rsid w:val="00A04BA6"/>
    <w:rsid w:val="00A05CD5"/>
    <w:rsid w:val="00A121BD"/>
    <w:rsid w:val="00A27C34"/>
    <w:rsid w:val="00A313D0"/>
    <w:rsid w:val="00A336CD"/>
    <w:rsid w:val="00A3399B"/>
    <w:rsid w:val="00A44FFC"/>
    <w:rsid w:val="00A73699"/>
    <w:rsid w:val="00A808D2"/>
    <w:rsid w:val="00A86DC3"/>
    <w:rsid w:val="00A91A1C"/>
    <w:rsid w:val="00A96D9D"/>
    <w:rsid w:val="00AA6452"/>
    <w:rsid w:val="00AE3BB9"/>
    <w:rsid w:val="00B0638B"/>
    <w:rsid w:val="00B22ED9"/>
    <w:rsid w:val="00B4023B"/>
    <w:rsid w:val="00B71B2C"/>
    <w:rsid w:val="00BF0197"/>
    <w:rsid w:val="00C2799C"/>
    <w:rsid w:val="00C32974"/>
    <w:rsid w:val="00C5639F"/>
    <w:rsid w:val="00C5704F"/>
    <w:rsid w:val="00C603A2"/>
    <w:rsid w:val="00CD28E0"/>
    <w:rsid w:val="00CD3D4F"/>
    <w:rsid w:val="00CD5412"/>
    <w:rsid w:val="00CE508C"/>
    <w:rsid w:val="00CE52BC"/>
    <w:rsid w:val="00CF4BC2"/>
    <w:rsid w:val="00D0068D"/>
    <w:rsid w:val="00D05FC7"/>
    <w:rsid w:val="00D17A3B"/>
    <w:rsid w:val="00D470A1"/>
    <w:rsid w:val="00D613E4"/>
    <w:rsid w:val="00D749B8"/>
    <w:rsid w:val="00D77D67"/>
    <w:rsid w:val="00D80EDC"/>
    <w:rsid w:val="00D87C03"/>
    <w:rsid w:val="00DB30D5"/>
    <w:rsid w:val="00DB5299"/>
    <w:rsid w:val="00DB758D"/>
    <w:rsid w:val="00DD2D9A"/>
    <w:rsid w:val="00DD3032"/>
    <w:rsid w:val="00DD4374"/>
    <w:rsid w:val="00DD6609"/>
    <w:rsid w:val="00DE6BA4"/>
    <w:rsid w:val="00E0561F"/>
    <w:rsid w:val="00E319F2"/>
    <w:rsid w:val="00E4625C"/>
    <w:rsid w:val="00E63940"/>
    <w:rsid w:val="00E779DF"/>
    <w:rsid w:val="00E854CD"/>
    <w:rsid w:val="00E90E2F"/>
    <w:rsid w:val="00EB5DB1"/>
    <w:rsid w:val="00EC5948"/>
    <w:rsid w:val="00ED0E29"/>
    <w:rsid w:val="00ED3401"/>
    <w:rsid w:val="00ED3B40"/>
    <w:rsid w:val="00EF24BD"/>
    <w:rsid w:val="00F1333A"/>
    <w:rsid w:val="00F22E2F"/>
    <w:rsid w:val="00F42211"/>
    <w:rsid w:val="00F5119A"/>
    <w:rsid w:val="00F5487B"/>
    <w:rsid w:val="00F6053B"/>
    <w:rsid w:val="00F63920"/>
    <w:rsid w:val="00F7462F"/>
    <w:rsid w:val="00F9010E"/>
    <w:rsid w:val="00F9731A"/>
    <w:rsid w:val="00FD27C0"/>
    <w:rsid w:val="00FE14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4875"/>
    <w:rPr>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774875"/>
    <w:pPr>
      <w:spacing w:before="100" w:beforeAutospacing="1" w:after="100" w:afterAutospacing="1"/>
    </w:pPr>
    <w:rPr>
      <w:rFonts w:ascii="Arial Unicode MS" w:eastAsia="Arial Unicode MS" w:hAnsi="Arial Unicode MS" w:cs="Arial Unicode MS"/>
      <w:color w:val="0078B3"/>
      <w:lang w:val="cs-CZ"/>
    </w:rPr>
  </w:style>
  <w:style w:type="character" w:styleId="Hypertextovodkaz">
    <w:name w:val="Hyperlink"/>
    <w:basedOn w:val="Standardnpsmoodstavce"/>
    <w:semiHidden/>
    <w:rsid w:val="00774875"/>
    <w:rPr>
      <w:color w:val="0000FF"/>
      <w:u w:val="single"/>
    </w:rPr>
  </w:style>
  <w:style w:type="character" w:styleId="Sledovanodkaz">
    <w:name w:val="FollowedHyperlink"/>
    <w:basedOn w:val="Standardnpsmoodstavce"/>
    <w:semiHidden/>
    <w:rsid w:val="00774875"/>
    <w:rPr>
      <w:color w:val="800080"/>
      <w:u w:val="single"/>
    </w:rPr>
  </w:style>
  <w:style w:type="character" w:styleId="Odkaznakoment">
    <w:name w:val="annotation reference"/>
    <w:basedOn w:val="Standardnpsmoodstavce"/>
    <w:semiHidden/>
    <w:rsid w:val="00774875"/>
    <w:rPr>
      <w:sz w:val="16"/>
      <w:szCs w:val="16"/>
    </w:rPr>
  </w:style>
  <w:style w:type="paragraph" w:styleId="Textkomente">
    <w:name w:val="annotation text"/>
    <w:basedOn w:val="Normln"/>
    <w:semiHidden/>
    <w:rsid w:val="00774875"/>
    <w:rPr>
      <w:sz w:val="20"/>
      <w:szCs w:val="20"/>
    </w:rPr>
  </w:style>
  <w:style w:type="paragraph" w:styleId="Pedmtkomente">
    <w:name w:val="annotation subject"/>
    <w:basedOn w:val="Textkomente"/>
    <w:next w:val="Textkomente"/>
    <w:semiHidden/>
    <w:rsid w:val="00774875"/>
    <w:rPr>
      <w:b/>
      <w:bCs/>
    </w:rPr>
  </w:style>
  <w:style w:type="paragraph" w:styleId="Textbubliny">
    <w:name w:val="Balloon Text"/>
    <w:basedOn w:val="Normln"/>
    <w:semiHidden/>
    <w:rsid w:val="00774875"/>
    <w:rPr>
      <w:rFonts w:ascii="Tahoma" w:hAnsi="Tahoma" w:cs="Tahoma"/>
      <w:sz w:val="16"/>
      <w:szCs w:val="16"/>
    </w:rPr>
  </w:style>
  <w:style w:type="paragraph" w:customStyle="1" w:styleId="Heading2">
    <w:name w:val="Heading 2"/>
    <w:basedOn w:val="Normln"/>
    <w:rsid w:val="00774875"/>
    <w:pPr>
      <w:widowControl w:val="0"/>
      <w:autoSpaceDE w:val="0"/>
      <w:autoSpaceDN w:val="0"/>
      <w:adjustRightInd w:val="0"/>
    </w:pPr>
    <w:rPr>
      <w:rFonts w:ascii="Times" w:hAnsi="Times"/>
      <w:b/>
      <w:bCs/>
      <w:sz w:val="22"/>
      <w:szCs w:val="22"/>
      <w:lang w:val="en-US"/>
    </w:rPr>
  </w:style>
  <w:style w:type="paragraph" w:styleId="Zhlav">
    <w:name w:val="header"/>
    <w:basedOn w:val="Normln"/>
    <w:semiHidden/>
    <w:rsid w:val="00774875"/>
    <w:pPr>
      <w:tabs>
        <w:tab w:val="center" w:pos="4536"/>
        <w:tab w:val="right" w:pos="9072"/>
      </w:tabs>
    </w:pPr>
  </w:style>
  <w:style w:type="paragraph" w:styleId="Zpat">
    <w:name w:val="footer"/>
    <w:basedOn w:val="Normln"/>
    <w:semiHidden/>
    <w:rsid w:val="00774875"/>
    <w:pPr>
      <w:tabs>
        <w:tab w:val="center" w:pos="4536"/>
        <w:tab w:val="right" w:pos="9072"/>
      </w:tabs>
    </w:pPr>
  </w:style>
  <w:style w:type="character" w:styleId="Zvraznn">
    <w:name w:val="Emphasis"/>
    <w:basedOn w:val="Standardnpsmoodstavce"/>
    <w:qFormat/>
    <w:rsid w:val="00774875"/>
    <w:rPr>
      <w:i/>
      <w:iCs/>
    </w:rPr>
  </w:style>
  <w:style w:type="paragraph" w:styleId="Revize">
    <w:name w:val="Revision"/>
    <w:hidden/>
    <w:uiPriority w:val="99"/>
    <w:semiHidden/>
    <w:rsid w:val="00E854CD"/>
    <w:rPr>
      <w:sz w:val="24"/>
      <w:szCs w:val="24"/>
      <w:lang w:val="en-GB"/>
    </w:rPr>
  </w:style>
  <w:style w:type="character" w:customStyle="1" w:styleId="st">
    <w:name w:val="st"/>
    <w:basedOn w:val="Standardnpsmoodstavce"/>
    <w:rsid w:val="009F77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zso.cz/csu/czso/living_conditions_household_income_and_expenditure_s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1948</Words>
  <Characters>11499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Tables 9-1 to 9-6</vt:lpstr>
    </vt:vector>
  </TitlesOfParts>
  <Company>csu</Company>
  <LinksUpToDate>false</LinksUpToDate>
  <CharactersWithSpaces>13421</CharactersWithSpaces>
  <SharedDoc>false</SharedDoc>
  <HLinks>
    <vt:vector size="6" baseType="variant">
      <vt:variant>
        <vt:i4>393247</vt:i4>
      </vt:variant>
      <vt:variant>
        <vt:i4>0</vt:i4>
      </vt:variant>
      <vt:variant>
        <vt:i4>0</vt:i4>
      </vt:variant>
      <vt:variant>
        <vt:i4>5</vt:i4>
      </vt:variant>
      <vt:variant>
        <vt:lpwstr>http://www.czso.cz/eng/redakce.nsf/i/living_conditions_household_income_and_expenditure_stat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 9-1 to 9-6</dc:title>
  <dc:creator>csu</dc:creator>
  <cp:lastModifiedBy>Ing. Venuše Novotná</cp:lastModifiedBy>
  <cp:revision>5</cp:revision>
  <cp:lastPrinted>2016-09-02T08:40:00Z</cp:lastPrinted>
  <dcterms:created xsi:type="dcterms:W3CDTF">2017-07-24T08:31:00Z</dcterms:created>
  <dcterms:modified xsi:type="dcterms:W3CDTF">2017-09-13T09:14:00Z</dcterms:modified>
</cp:coreProperties>
</file>