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8825" w14:textId="77777777" w:rsidR="009D4785" w:rsidRDefault="009D4785" w:rsidP="009D4785">
      <w:pPr>
        <w:pStyle w:val="Nadpis1"/>
      </w:pPr>
      <w:bookmarkStart w:id="0" w:name="_Toc193366677"/>
      <w:bookmarkStart w:id="1" w:name="_Toc224903150"/>
      <w:r>
        <w:t>6. Trh práce</w:t>
      </w:r>
      <w:bookmarkEnd w:id="0"/>
      <w:bookmarkEnd w:id="1"/>
    </w:p>
    <w:tbl>
      <w:tblPr>
        <w:tblW w:w="9674" w:type="dxa"/>
        <w:tblInd w:w="-3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3"/>
        <w:gridCol w:w="189"/>
        <w:gridCol w:w="7772"/>
      </w:tblGrid>
      <w:tr w:rsidR="009D4785" w:rsidRPr="009F0D7F" w14:paraId="6625CA94" w14:textId="77777777" w:rsidTr="00A96D94">
        <w:trPr>
          <w:trHeight w:val="155"/>
        </w:trPr>
        <w:tc>
          <w:tcPr>
            <w:tcW w:w="1713" w:type="dxa"/>
            <w:tcMar>
              <w:left w:w="0" w:type="dxa"/>
            </w:tcMar>
          </w:tcPr>
          <w:p w14:paraId="54EFE82E" w14:textId="77777777" w:rsidR="009D4785" w:rsidRPr="00591803" w:rsidRDefault="009D4785" w:rsidP="00A96D94">
            <w:pPr>
              <w:pStyle w:val="Marginlie"/>
              <w:rPr>
                <w:color w:val="000000" w:themeColor="text1"/>
                <w:spacing w:val="0"/>
              </w:rPr>
            </w:pPr>
            <w:r w:rsidRPr="00591803">
              <w:rPr>
                <w:color w:val="000000" w:themeColor="text1"/>
                <w:spacing w:val="0"/>
              </w:rPr>
              <w:t xml:space="preserve">Pokračoval odvětvově diferencovaný růst zaměstnanosti sycený z významné části ze zahraničí. Mírně ale </w:t>
            </w:r>
            <w:r w:rsidRPr="00591803">
              <w:rPr>
                <w:color w:val="000000" w:themeColor="text1"/>
                <w:spacing w:val="-6"/>
              </w:rPr>
              <w:t>přibylo i nezaměstnaných.</w:t>
            </w:r>
            <w:r w:rsidRPr="00591803">
              <w:rPr>
                <w:color w:val="000000" w:themeColor="text1"/>
                <w:spacing w:val="0"/>
              </w:rPr>
              <w:t xml:space="preserve"> Mzdový růst si udržoval svižné tempo.</w:t>
            </w:r>
          </w:p>
        </w:tc>
        <w:tc>
          <w:tcPr>
            <w:tcW w:w="189" w:type="dxa"/>
            <w:tcMar>
              <w:left w:w="0" w:type="dxa"/>
            </w:tcMar>
          </w:tcPr>
          <w:p w14:paraId="12AB068E" w14:textId="77777777" w:rsidR="009D4785" w:rsidRPr="00591803" w:rsidRDefault="009D4785" w:rsidP="00A96D94">
            <w:pPr>
              <w:pStyle w:val="Textpoznpodarou"/>
              <w:spacing w:after="120"/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462720E5" w14:textId="1983074A" w:rsidR="009D4785" w:rsidRPr="00903591" w:rsidRDefault="009D4785" w:rsidP="00A96D94">
            <w:pPr>
              <w:spacing w:after="200"/>
              <w:rPr>
                <w:color w:val="000000" w:themeColor="text1"/>
                <w:szCs w:val="20"/>
              </w:rPr>
            </w:pPr>
            <w:r w:rsidRPr="00903591">
              <w:rPr>
                <w:color w:val="000000" w:themeColor="text1"/>
                <w:szCs w:val="20"/>
              </w:rPr>
              <w:t xml:space="preserve">Posílení výkonu ekonomiky se v roce 2025 postupně promítalo i do trhu práce. Přetrvával mírný růst počtu zaměstnanců i </w:t>
            </w:r>
            <w:proofErr w:type="spellStart"/>
            <w:r w:rsidRPr="00903591">
              <w:rPr>
                <w:color w:val="000000" w:themeColor="text1"/>
                <w:szCs w:val="20"/>
              </w:rPr>
              <w:t>sebezaměstnaných</w:t>
            </w:r>
            <w:proofErr w:type="spellEnd"/>
            <w:r w:rsidRPr="00903591">
              <w:rPr>
                <w:color w:val="000000" w:themeColor="text1"/>
                <w:szCs w:val="20"/>
              </w:rPr>
              <w:t>, jehož těžiště spočívalo ve službách, které obecně profitovaly z rostoucí tuzemské poptávky. Růst investiční aktivity v</w:t>
            </w:r>
            <w:r>
              <w:rPr>
                <w:color w:val="000000" w:themeColor="text1"/>
                <w:szCs w:val="20"/>
              </w:rPr>
              <w:t> </w:t>
            </w:r>
            <w:r w:rsidRPr="00903591">
              <w:rPr>
                <w:color w:val="000000" w:themeColor="text1"/>
                <w:szCs w:val="20"/>
              </w:rPr>
              <w:t xml:space="preserve">ekonomice se odrazil ve výkonech, zaměstnanosti i mzdách </w:t>
            </w:r>
            <w:r>
              <w:rPr>
                <w:color w:val="000000" w:themeColor="text1"/>
                <w:szCs w:val="20"/>
              </w:rPr>
              <w:t xml:space="preserve">ve </w:t>
            </w:r>
            <w:r w:rsidRPr="00903591">
              <w:rPr>
                <w:color w:val="000000" w:themeColor="text1"/>
                <w:szCs w:val="20"/>
              </w:rPr>
              <w:t>stavebnictví. Ke konci roku se zlepšená situace v průmyslu zčásti promítla i do zaměstnanosti. Ve zvýšené intenzitě pokračoval příliv pracovníků ze zahraničí, vedle Ukrajiny i ze vzdálených asijských států. Očekávání firem v oblasti zaměstnanosti se zlepšovala, pozitivní posun byl patrný v obchodu i stavebnictví a aktuálně i v průmyslu. Nezaměstnanost vč. její dlouhodobé složky se mírně zvýšila. Nabídka volných pracovních míst stagnovala a</w:t>
            </w:r>
            <w:r>
              <w:rPr>
                <w:color w:val="000000" w:themeColor="text1"/>
                <w:szCs w:val="20"/>
              </w:rPr>
              <w:t> </w:t>
            </w:r>
            <w:r w:rsidRPr="00903591">
              <w:rPr>
                <w:color w:val="000000" w:themeColor="text1"/>
                <w:szCs w:val="20"/>
              </w:rPr>
              <w:t xml:space="preserve">přetrvával dlouhodobý strukturální nesoulad nabídky a poptávky. Svižný růst nominálních mezd pokračoval a z jejich </w:t>
            </w:r>
            <w:proofErr w:type="spellStart"/>
            <w:r w:rsidRPr="00903591">
              <w:rPr>
                <w:color w:val="000000" w:themeColor="text1"/>
                <w:szCs w:val="20"/>
              </w:rPr>
              <w:t>mezikvartálních</w:t>
            </w:r>
            <w:proofErr w:type="spellEnd"/>
            <w:r w:rsidRPr="00903591">
              <w:rPr>
                <w:color w:val="000000" w:themeColor="text1"/>
                <w:szCs w:val="20"/>
              </w:rPr>
              <w:t xml:space="preserve"> temp nebyla zatím zřetelně patrná tendence k oslabování dynamiky. Na konci roku zrychlil mzdový růst u nejhůře placených zaměstnanců. Stabilizace cenové hladiny v ekonomice vedla k rychlému růstu reálných mezd, jenž byl od počátku loňského roku patrný ve všech hlavních odvětvích. Kupní síla hrubých zaměstnaneckých výdělků dosáhla na konci roku úrovně ze 4. čtvrtletí roku 2019.</w:t>
            </w:r>
          </w:p>
        </w:tc>
      </w:tr>
      <w:tr w:rsidR="009D4785" w:rsidRPr="009F0D7F" w14:paraId="371A3C2A" w14:textId="77777777" w:rsidTr="00A96D94">
        <w:trPr>
          <w:trHeight w:val="155"/>
        </w:trPr>
        <w:tc>
          <w:tcPr>
            <w:tcW w:w="1713" w:type="dxa"/>
            <w:tcMar>
              <w:left w:w="0" w:type="dxa"/>
            </w:tcMar>
          </w:tcPr>
          <w:p w14:paraId="52D9845A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Zaměstnanost se po většinu loňského roku mezikvartálně zvyšovala. Počet pracujících v Česku se opět posunul na historické maximum.</w:t>
            </w:r>
          </w:p>
        </w:tc>
        <w:tc>
          <w:tcPr>
            <w:tcW w:w="189" w:type="dxa"/>
            <w:tcMar>
              <w:left w:w="0" w:type="dxa"/>
            </w:tcMar>
          </w:tcPr>
          <w:p w14:paraId="7DB762CF" w14:textId="77777777" w:rsidR="009D4785" w:rsidRPr="009F0D7F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7F569189" w14:textId="77777777" w:rsidR="009D4785" w:rsidRPr="00903591" w:rsidRDefault="009D4785" w:rsidP="00A96D94">
            <w:r w:rsidRPr="00903591">
              <w:t>Tempo růstu zaměstnanosti se zpočátku loňského roku zvyšovalo. Celková zaměstnanost</w:t>
            </w:r>
            <w:r w:rsidRPr="00903591">
              <w:rPr>
                <w:color w:val="0D0D0D" w:themeColor="text1" w:themeTint="F2"/>
                <w:vertAlign w:val="superscript"/>
              </w:rPr>
              <w:footnoteReference w:id="1"/>
            </w:r>
            <w:r w:rsidRPr="00903591">
              <w:t xml:space="preserve"> v 1. čtvrtletí 2025 mezikvartálně vzrostla o 0,4 % a v následujícím období o 0,5 %. Na tomto oživení se podílela většina odvětví služeb a také průmysl, kde došlo k</w:t>
            </w:r>
            <w:r>
              <w:t> </w:t>
            </w:r>
            <w:r w:rsidRPr="00903591">
              <w:t>částečné stabilizaci (a ve 2. čtvrtletí se zde počet pracovníků mezikvartálně již nesnižoval). Ve 3. čtvrtletí se však celkové svižné tempo neudrželo a na samém konci roku počet pracovníků pouze stagnoval, především vlivem dílčí korekce v uskupení obchod, doprava, ubytování a pohostinství. Zaměstnanost v celé ekonomice aktuálně čítala rekordních 5,52 mil. osob a proti maximální hodnotě z období poslední konjunktury (4. čtvrtletí 2018) byla vyšší již o 2,7 % (+145 tis.), z rozhodující části díky rozvoji veřejných služeb</w:t>
            </w:r>
            <w:r w:rsidRPr="00903591">
              <w:rPr>
                <w:rStyle w:val="Znakapoznpodarou"/>
              </w:rPr>
              <w:footnoteReference w:id="2"/>
            </w:r>
            <w:r w:rsidRPr="00903591">
              <w:t>.</w:t>
            </w:r>
          </w:p>
        </w:tc>
      </w:tr>
      <w:tr w:rsidR="009D4785" w:rsidRPr="009F0D7F" w14:paraId="4AF93D39" w14:textId="77777777" w:rsidTr="00A96D94">
        <w:trPr>
          <w:trHeight w:val="155"/>
        </w:trPr>
        <w:tc>
          <w:tcPr>
            <w:tcW w:w="1713" w:type="dxa"/>
            <w:tcMar>
              <w:left w:w="0" w:type="dxa"/>
            </w:tcMar>
          </w:tcPr>
          <w:p w14:paraId="0482F9CB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 xml:space="preserve">Na mírném meziročním růstu počtu pracovníků se podíleli zaměstnanci </w:t>
            </w:r>
            <w:r>
              <w:rPr>
                <w:color w:val="0D0D0D" w:themeColor="text1" w:themeTint="F2"/>
                <w:spacing w:val="-4"/>
              </w:rPr>
              <w:br/>
              <w:t xml:space="preserve">i drobní podnikatelé. </w:t>
            </w:r>
          </w:p>
          <w:p w14:paraId="2FB58EC1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633249D1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1B46D09D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06BDC9EA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39F7D64C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73E4F59A" w14:textId="77777777" w:rsidR="009D4785" w:rsidRPr="00630288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630288">
              <w:rPr>
                <w:color w:val="0D0D0D" w:themeColor="text1" w:themeTint="F2"/>
                <w:spacing w:val="0"/>
              </w:rPr>
              <w:t xml:space="preserve">Těžiště růstu zaměstnanosti představovaly veřejné služby. </w:t>
            </w:r>
          </w:p>
          <w:p w14:paraId="31AF068A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8B66AB">
              <w:rPr>
                <w:color w:val="0D0D0D" w:themeColor="text1" w:themeTint="F2"/>
                <w:spacing w:val="0"/>
              </w:rPr>
              <w:lastRenderedPageBreak/>
              <w:t xml:space="preserve">Dařilo se i vyspělejším podnikovým službám, nemovitostem, obchodu </w:t>
            </w:r>
            <w:r w:rsidRPr="008B66AB">
              <w:rPr>
                <w:color w:val="0D0D0D" w:themeColor="text1" w:themeTint="F2"/>
                <w:spacing w:val="0"/>
              </w:rPr>
              <w:br/>
              <w:t>i cestovnímu ruchu.</w:t>
            </w:r>
          </w:p>
          <w:p w14:paraId="229A9DB2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0A08D08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A4F3DCD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5D02CFC4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FE97A6D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B0A9AD6" w14:textId="77777777" w:rsidR="009D4785" w:rsidRPr="008B66AB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0E2EB84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  <w:r w:rsidRPr="008B66AB">
              <w:rPr>
                <w:color w:val="0D0D0D" w:themeColor="text1" w:themeTint="F2"/>
                <w:spacing w:val="0"/>
              </w:rPr>
              <w:t>V oblasti ICT loni přibylo nejméně pracovníků po roce 2012. Ve finančnictví pokračoval úbytek zaměstnaneckých míst.</w:t>
            </w:r>
            <w:r>
              <w:rPr>
                <w:color w:val="0D0D0D" w:themeColor="text1" w:themeTint="F2"/>
                <w:spacing w:val="-4"/>
              </w:rPr>
              <w:t xml:space="preserve"> </w:t>
            </w:r>
          </w:p>
        </w:tc>
        <w:tc>
          <w:tcPr>
            <w:tcW w:w="189" w:type="dxa"/>
            <w:tcMar>
              <w:left w:w="0" w:type="dxa"/>
            </w:tcMar>
          </w:tcPr>
          <w:p w14:paraId="4C7216BF" w14:textId="77777777" w:rsidR="009D4785" w:rsidRPr="009F0D7F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4FDF7786" w14:textId="77777777" w:rsidR="009D4785" w:rsidRPr="00903591" w:rsidRDefault="009D4785" w:rsidP="00A96D94">
            <w:r w:rsidRPr="00903591">
              <w:t>Za rok 2025 celková zaměstnanost posílila o 1,1 %</w:t>
            </w:r>
            <w:r w:rsidRPr="00903591">
              <w:rPr>
                <w:rStyle w:val="Znakapoznpodarou"/>
              </w:rPr>
              <w:footnoteReference w:id="3"/>
            </w:r>
            <w:r w:rsidRPr="00903591">
              <w:t>, když</w:t>
            </w:r>
            <w:r>
              <w:t xml:space="preserve"> se</w:t>
            </w:r>
            <w:r w:rsidRPr="00903591">
              <w:t xml:space="preserve"> zvyšovala popáté v řadě a</w:t>
            </w:r>
            <w:r>
              <w:t> </w:t>
            </w:r>
            <w:r w:rsidRPr="00903591">
              <w:t xml:space="preserve">ve srovnání s předloňským tempem došlo k jejímu mírnému zrychlení. K loňskému růstu přispěli nejen zaměstnanci (+46 tis.), ale i </w:t>
            </w:r>
            <w:proofErr w:type="spellStart"/>
            <w:r w:rsidRPr="00903591">
              <w:t>sebezaměstnaní</w:t>
            </w:r>
            <w:proofErr w:type="spellEnd"/>
            <w:r w:rsidRPr="00903591">
              <w:t xml:space="preserve"> (+12 tis.)</w:t>
            </w:r>
            <w:r w:rsidRPr="00903591">
              <w:rPr>
                <w:rStyle w:val="Znakapoznpodarou"/>
              </w:rPr>
              <w:footnoteReference w:id="4"/>
            </w:r>
            <w:r w:rsidRPr="00903591">
              <w:t xml:space="preserve">, jejichž procentní nárůst byl ale oproti zaměstnancům o polovinu vyšší. Z pohledu odvětví měl pro celkovou dynamiku zaměstnanosti v ekonomice nadále zásadní význam sektor služeb. Jestliže v roce 2023 táhly celkovou zaměstnanost vyspělé podnikové služby (soustředěné hlavně v odvětví profesní, vědecké, technické a administrativní činnosti) </w:t>
            </w:r>
            <w:r>
              <w:br/>
            </w:r>
            <w:r w:rsidRPr="00903591">
              <w:t>a v následujícím období činnosti v oblasti nemovitostí, loni tuto roli převzaly veřejné služby</w:t>
            </w:r>
            <w:r w:rsidRPr="00903591">
              <w:rPr>
                <w:rStyle w:val="Znakapoznpodarou"/>
              </w:rPr>
              <w:footnoteReference w:id="5"/>
            </w:r>
            <w:r w:rsidRPr="00903591">
              <w:t xml:space="preserve">. V nich totiž pracovalo meziročně o 1,8 % více a na tomto nárůstu, nejvyšším za poslední čtyři roky, se podílela všechna odvětví (nejvíce zdravotní a sociální péče). </w:t>
            </w:r>
            <w:r w:rsidRPr="00903591">
              <w:lastRenderedPageBreak/>
              <w:t>Relativně nejvýrazněji se ovšem zvýšila zaměstnanost v menším různorodém odvětví ostatních činnost</w:t>
            </w:r>
            <w:r>
              <w:t>í</w:t>
            </w:r>
            <w:r w:rsidRPr="00903591">
              <w:t xml:space="preserve"> služeb</w:t>
            </w:r>
            <w:r w:rsidRPr="00903591">
              <w:rPr>
                <w:rStyle w:val="Znakapoznpodarou"/>
              </w:rPr>
              <w:footnoteReference w:id="6"/>
            </w:r>
            <w:r w:rsidRPr="00903591">
              <w:t>, kde svižně přibylo podnikatelů (+4,4 %) i zaměstnanců (+4,0 %) a celkový počet pracovníků v tomto odvětví, citelně zasaženém protipandemickými restrikcemi, tak poprvé překonal donedávna rekordní úroveň z předkrizového roku 2018. V uskupení obchod, doprava, ubytování a pohostinství přetrvával loni mírnější růst (+1,0 %). Na jedné straně se dařilo obchodu a aktivitám navázaným na cestovní ruch, současně však ubývala pracovní místa v dopravě a</w:t>
            </w:r>
            <w:r>
              <w:t> </w:t>
            </w:r>
            <w:r w:rsidRPr="00903591">
              <w:t>skladování, což souviselo s přetrvávající slabší dynamikou výkonu v průmyslu. V</w:t>
            </w:r>
            <w:r>
              <w:t> </w:t>
            </w:r>
            <w:r w:rsidRPr="00903591">
              <w:t>profesních, vědeckých, technických a administrativních činnostech, jež soustřeďují zejména specialisty poskytující vyspělé služby převážně pro podnikovou sféru, se zaměstnanost zvýšila o 1,3 %, což bylo nejméně za pos</w:t>
            </w:r>
            <w:r>
              <w:t>l</w:t>
            </w:r>
            <w:r w:rsidRPr="00903591">
              <w:t xml:space="preserve">ední čtyři roky (mj. i vlivem zpomalení růstu v kategorii zaměstnanců). Rychle se rozvíjely činnosti </w:t>
            </w:r>
            <w:r>
              <w:t xml:space="preserve">v </w:t>
            </w:r>
            <w:r w:rsidRPr="00903591">
              <w:t>oblasti nemovitostí (+3,5 %), kde nadále přibývala primárně zaměstnanecká místa. Naproti tomu v nejvyspělejších službách (zařazených do kvartérního sektoru ekonomiky) rostla v posledních čtvrtletích celková zaměstnanost jen slabě – v oblasti ICT za loňský rok jen o 0,5 % (tempo se třetí rok v řadě zmírnilo). Ve finančnictví se dokonce snížila (o 0,2 %, druhý rok v řadě, výhradně vlivem zaměstnanců). Jestliže celkové růstové tempo zaměstnanosti bylo loni v oblasti ICT nejslabší od období recese v roce 2012, u</w:t>
            </w:r>
            <w:r>
              <w:t> </w:t>
            </w:r>
            <w:r w:rsidRPr="00903591">
              <w:t>peněžnictví a pojišťovnictví šlo o potvrzení dlouhodobějšího trendu související</w:t>
            </w:r>
            <w:r>
              <w:t xml:space="preserve">ho </w:t>
            </w:r>
            <w:r w:rsidRPr="00903591">
              <w:t>s rozvojem digitalizace. Obě odvětví tak čelí v dynamicky se měnícím technologickém prostředí výzvám, jak udržet konkurenceschopnost i vysokou produktivitu a současně efektivně využít relativně nákladnou (a ne vždy snadno dostupnou) práci specialistů.</w:t>
            </w:r>
          </w:p>
        </w:tc>
      </w:tr>
      <w:tr w:rsidR="009D4785" w:rsidRPr="009F0D7F" w14:paraId="1AB78386" w14:textId="77777777" w:rsidTr="00A96D94">
        <w:trPr>
          <w:trHeight w:val="155"/>
        </w:trPr>
        <w:tc>
          <w:tcPr>
            <w:tcW w:w="1713" w:type="dxa"/>
            <w:tcMar>
              <w:left w:w="0" w:type="dxa"/>
            </w:tcMar>
          </w:tcPr>
          <w:p w14:paraId="56AEA2F9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  <w:r w:rsidRPr="007928AC">
              <w:rPr>
                <w:color w:val="0D0D0D" w:themeColor="text1" w:themeTint="F2"/>
              </w:rPr>
              <w:lastRenderedPageBreak/>
              <w:t>Ve stavebnictví růst zaměstnanosti zrychlil i díky posílení role drobných podnikatelů.</w:t>
            </w:r>
          </w:p>
          <w:p w14:paraId="04AF208C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4D805886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4FD0F953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1EF9CD88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pacing w:val="-4"/>
              </w:rPr>
              <w:t xml:space="preserve">Pokles zaměstnanosti ve zpracovatelském průmyslu se loni zmírnil </w:t>
            </w:r>
            <w:r>
              <w:rPr>
                <w:color w:val="0D0D0D" w:themeColor="text1" w:themeTint="F2"/>
                <w:spacing w:val="-4"/>
              </w:rPr>
              <w:br/>
              <w:t>a ve 4. čtvrtletí zastavil. Situace v řadě tradičních exportních oborů je ovšem stále obtížná.</w:t>
            </w:r>
          </w:p>
          <w:p w14:paraId="704E8EDA" w14:textId="77777777" w:rsidR="009D4785" w:rsidRPr="007928AC" w:rsidRDefault="009D4785" w:rsidP="00A96D94">
            <w:pPr>
              <w:pStyle w:val="Marginlie"/>
              <w:spacing w:after="120"/>
              <w:rPr>
                <w:color w:val="0D0D0D" w:themeColor="text1" w:themeTint="F2"/>
              </w:rPr>
            </w:pPr>
          </w:p>
        </w:tc>
        <w:tc>
          <w:tcPr>
            <w:tcW w:w="189" w:type="dxa"/>
            <w:tcMar>
              <w:left w:w="0" w:type="dxa"/>
            </w:tcMar>
          </w:tcPr>
          <w:p w14:paraId="10CB4718" w14:textId="77777777" w:rsidR="009D4785" w:rsidRPr="009F0D7F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61732DF9" w14:textId="77777777" w:rsidR="009D4785" w:rsidRPr="00903591" w:rsidRDefault="009D4785" w:rsidP="00A96D94">
            <w:pPr>
              <w:spacing w:after="200"/>
              <w:rPr>
                <w:b/>
                <w:bCs/>
              </w:rPr>
            </w:pPr>
            <w:r w:rsidRPr="00903591">
              <w:rPr>
                <w:color w:val="0D0D0D" w:themeColor="text1" w:themeTint="F2"/>
              </w:rPr>
              <w:t xml:space="preserve">Mimo sektor služeb přibylo </w:t>
            </w:r>
            <w:r w:rsidRPr="00903591">
              <w:t>loni pracovníků pouze ve stavebnictví (+2,5 %)</w:t>
            </w:r>
            <w:r w:rsidRPr="00903591">
              <w:rPr>
                <w:color w:val="0D0D0D" w:themeColor="text1" w:themeTint="F2"/>
              </w:rPr>
              <w:t>. Vysoká zásoba stavebních zakázek vedla během roku k posilování zaměstnanosti (ve 4. čtvrtletí až na 3,5</w:t>
            </w:r>
            <w:r w:rsidRPr="00903591">
              <w:t> </w:t>
            </w:r>
            <w:r w:rsidRPr="00903591">
              <w:rPr>
                <w:color w:val="0D0D0D" w:themeColor="text1" w:themeTint="F2"/>
              </w:rPr>
              <w:t xml:space="preserve">%), na čemž se významně podíleli </w:t>
            </w:r>
            <w:r w:rsidRPr="00903591">
              <w:t>drobní podnikatel</w:t>
            </w:r>
            <w:r w:rsidRPr="00903591">
              <w:rPr>
                <w:color w:val="0D0D0D" w:themeColor="text1" w:themeTint="F2"/>
              </w:rPr>
              <w:t>é. Naopak ve zpracovatelském průmyslu pracovníků meziročně ubývalo třetí rok v řadě.</w:t>
            </w:r>
            <w:r w:rsidRPr="00903591">
              <w:t xml:space="preserve"> Loňský pokles zde však byl relativně mírnější (–0,2 %) a podíleli se</w:t>
            </w:r>
            <w:r>
              <w:t xml:space="preserve"> na</w:t>
            </w:r>
            <w:r w:rsidRPr="00903591">
              <w:t xml:space="preserve"> něm zaměstnanci </w:t>
            </w:r>
            <w:r>
              <w:br/>
            </w:r>
            <w:r w:rsidRPr="00903591">
              <w:t xml:space="preserve">i </w:t>
            </w:r>
            <w:proofErr w:type="spellStart"/>
            <w:r w:rsidRPr="00903591">
              <w:t>sebezaměstnaní</w:t>
            </w:r>
            <w:proofErr w:type="spellEnd"/>
            <w:r w:rsidRPr="00903591">
              <w:t xml:space="preserve">. Ve 4. čtvrtletí 2025 navíc došlo </w:t>
            </w:r>
            <w:r>
              <w:t xml:space="preserve">k </w:t>
            </w:r>
            <w:r w:rsidRPr="00903591">
              <w:t>oživení zahraniční poptávky po zboží a zlepšila se</w:t>
            </w:r>
            <w:r>
              <w:t xml:space="preserve"> i</w:t>
            </w:r>
            <w:r w:rsidRPr="00903591">
              <w:t xml:space="preserve"> domácí investiční aktivita (stroje, zbraně), což se pozitivně odrazilo v zaměstnanosti – ta vzrostla o 0,3 % a zaznamenala první meziroční růst po třinácti čtvrtletích (k pozitivní</w:t>
            </w:r>
            <w:r>
              <w:t>mu</w:t>
            </w:r>
            <w:r w:rsidRPr="00903591">
              <w:t xml:space="preserve"> obratu došlo v segmentu drobných podnikatelů v průmyslu). V ostatním průmyslu se celý loňský rok zaměstnanost po třech letech mírného růstu snížila o 0,4 %. Projevil se dopad prohlubujícího se útlumu v těžbě a dobývání, jenž nebyl kompenzován mírným posílením zaměstnanosti ve vodním a odpadovém hospodářství. V primárním sektoru zemědělství, lesnictví a rybářství se počet pracovníků třetí rok v řadě významně nezměnil, ve srovnání s rokem 2018 byl však o nižší o 6 %.</w:t>
            </w:r>
          </w:p>
        </w:tc>
      </w:tr>
      <w:tr w:rsidR="009D4785" w:rsidRPr="009F0D7F" w14:paraId="095C99DB" w14:textId="77777777" w:rsidTr="00A96D94">
        <w:trPr>
          <w:trHeight w:val="155"/>
        </w:trPr>
        <w:tc>
          <w:tcPr>
            <w:tcW w:w="1713" w:type="dxa"/>
            <w:tcMar>
              <w:left w:w="0" w:type="dxa"/>
            </w:tcMar>
          </w:tcPr>
          <w:p w14:paraId="0D3D6BE6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Odpracovaná doba se zvyšovala rychleji než fyzický počet pracovníků, především ve stavebnictví a vyspělých službách pro podniky.</w:t>
            </w:r>
          </w:p>
        </w:tc>
        <w:tc>
          <w:tcPr>
            <w:tcW w:w="189" w:type="dxa"/>
            <w:tcMar>
              <w:left w:w="0" w:type="dxa"/>
            </w:tcMar>
          </w:tcPr>
          <w:p w14:paraId="0860FD39" w14:textId="77777777" w:rsidR="009D4785" w:rsidRPr="009F0D7F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0BDF1CB2" w14:textId="77777777" w:rsidR="009D4785" w:rsidRPr="00903591" w:rsidRDefault="009D4785" w:rsidP="00A96D94">
            <w:pPr>
              <w:spacing w:after="200"/>
            </w:pPr>
            <w:r w:rsidRPr="00903591">
              <w:t xml:space="preserve">Celkový počet </w:t>
            </w:r>
            <w:r w:rsidRPr="00903591">
              <w:rPr>
                <w:color w:val="0D0D0D" w:themeColor="text1" w:themeTint="F2"/>
              </w:rPr>
              <w:t>odpracovaných hodin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7"/>
            </w:r>
            <w:r w:rsidRPr="00903591">
              <w:rPr>
                <w:color w:val="0D0D0D" w:themeColor="text1" w:themeTint="F2"/>
              </w:rPr>
              <w:t xml:space="preserve"> v ekonomice </w:t>
            </w:r>
            <w:r w:rsidRPr="00903591">
              <w:t>se loni meziročně zvýšil o 2,3 %</w:t>
            </w:r>
            <w:r w:rsidRPr="00903591">
              <w:rPr>
                <w:rStyle w:val="Znakapoznpodarou"/>
              </w:rPr>
              <w:footnoteReference w:id="8"/>
            </w:r>
            <w:r w:rsidRPr="00903591">
              <w:t xml:space="preserve"> a</w:t>
            </w:r>
            <w:r>
              <w:t> </w:t>
            </w:r>
            <w:r w:rsidRPr="00903591">
              <w:t>během roku navíc tempo mírně zrychlovalo. Obdobně jako v předchozích letech (od ústupu pandemie covid</w:t>
            </w:r>
            <w:r>
              <w:t>u</w:t>
            </w:r>
            <w:r w:rsidRPr="00903591">
              <w:t>-19) narůstal počet hodin rychleji než počet zaměstnaných (ve fyzických osobách). Stejné platilo loni s podobnou intenzitou pro zaměstnance i</w:t>
            </w:r>
            <w:r>
              <w:t> </w:t>
            </w:r>
            <w:proofErr w:type="spellStart"/>
            <w:r w:rsidRPr="00903591">
              <w:t>sebezaměstnané</w:t>
            </w:r>
            <w:proofErr w:type="spellEnd"/>
            <w:r w:rsidRPr="00903591">
              <w:t>, z pohledu hlavních odvětví pak celkově zejména pro stavebnictví (kde rostla odpracovaná doba oproti zaměstnanosti skoro dvojnásobným tempem), v menší míře i pro většinu dalších oblastí ekonomiky (vyjma některých váhově malých odvětví služeb</w:t>
            </w:r>
            <w:r w:rsidRPr="00903591">
              <w:rPr>
                <w:rStyle w:val="Znakapoznpodarou"/>
              </w:rPr>
              <w:footnoteReference w:id="9"/>
            </w:r>
            <w:r w:rsidRPr="00903591">
              <w:t>). To souvisí s nedostatkem manuálních (kvalifikovaných i méně kvalifikovaných) pracovníků, ale i specialistů na trhu.</w:t>
            </w:r>
          </w:p>
        </w:tc>
      </w:tr>
      <w:tr w:rsidR="009D4785" w:rsidRPr="009F0D7F" w14:paraId="34BF289E" w14:textId="77777777" w:rsidTr="00A96D94">
        <w:trPr>
          <w:trHeight w:val="155"/>
        </w:trPr>
        <w:tc>
          <w:tcPr>
            <w:tcW w:w="1713" w:type="dxa"/>
            <w:tcMar>
              <w:left w:w="0" w:type="dxa"/>
            </w:tcMar>
          </w:tcPr>
          <w:p w14:paraId="40871B15" w14:textId="77777777" w:rsidR="009D4785" w:rsidRPr="007C71EB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 w:rsidRPr="007C71EB">
              <w:rPr>
                <w:color w:val="0D0D0D" w:themeColor="text1" w:themeTint="F2"/>
                <w:spacing w:val="-4"/>
              </w:rPr>
              <w:lastRenderedPageBreak/>
              <w:t>Růst produktivity práce se obnovil</w:t>
            </w:r>
            <w:r>
              <w:rPr>
                <w:color w:val="0D0D0D" w:themeColor="text1" w:themeTint="F2"/>
                <w:spacing w:val="-4"/>
              </w:rPr>
              <w:t>, zejména díky</w:t>
            </w:r>
            <w:r w:rsidRPr="007C71EB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>odvětví</w:t>
            </w:r>
            <w:r w:rsidRPr="007C71EB">
              <w:rPr>
                <w:color w:val="0D0D0D" w:themeColor="text1" w:themeTint="F2"/>
                <w:spacing w:val="-4"/>
              </w:rPr>
              <w:t> ICT</w:t>
            </w:r>
            <w:r>
              <w:rPr>
                <w:color w:val="0D0D0D" w:themeColor="text1" w:themeTint="F2"/>
                <w:spacing w:val="-4"/>
              </w:rPr>
              <w:t>. Dařilo se také</w:t>
            </w:r>
            <w:r w:rsidRPr="007C71EB">
              <w:rPr>
                <w:color w:val="0D0D0D" w:themeColor="text1" w:themeTint="F2"/>
                <w:spacing w:val="-4"/>
              </w:rPr>
              <w:t xml:space="preserve"> stavebnictví</w:t>
            </w:r>
            <w:r>
              <w:rPr>
                <w:color w:val="0D0D0D" w:themeColor="text1" w:themeTint="F2"/>
                <w:spacing w:val="-4"/>
              </w:rPr>
              <w:t xml:space="preserve"> či primárnímu sektoru.</w:t>
            </w:r>
          </w:p>
        </w:tc>
        <w:tc>
          <w:tcPr>
            <w:tcW w:w="189" w:type="dxa"/>
            <w:tcMar>
              <w:left w:w="0" w:type="dxa"/>
            </w:tcMar>
          </w:tcPr>
          <w:p w14:paraId="1A26DB22" w14:textId="77777777" w:rsidR="009D4785" w:rsidRPr="007C71EB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5FB16D68" w14:textId="77777777" w:rsidR="009D4785" w:rsidRPr="00903591" w:rsidRDefault="009D4785" w:rsidP="00A96D94">
            <w:pPr>
              <w:rPr>
                <w:color w:val="0D0D0D" w:themeColor="text1" w:themeTint="F2"/>
              </w:rPr>
            </w:pPr>
            <w:r w:rsidRPr="00903591">
              <w:rPr>
                <w:color w:val="0D0D0D" w:themeColor="text1" w:themeTint="F2"/>
              </w:rPr>
              <w:t>Zrychlení výkonu ekonomiky vedlo loni i při relativně významném růstu odpracovaných hodin k navýšení produktivity práce. Hodinová produktivita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0"/>
            </w:r>
            <w:r w:rsidRPr="00903591">
              <w:rPr>
                <w:color w:val="0D0D0D" w:themeColor="text1" w:themeTint="F2"/>
              </w:rPr>
              <w:t xml:space="preserve"> se meziročně zvýšila o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0,3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 xml:space="preserve">% a rostla poprvé po roce 2021. Nejvíce se zvýšila v oblasti ICT (+6,2 %) a zároveň </w:t>
            </w:r>
            <w:r>
              <w:rPr>
                <w:color w:val="0D0D0D" w:themeColor="text1" w:themeTint="F2"/>
              </w:rPr>
              <w:t xml:space="preserve">byla </w:t>
            </w:r>
            <w:r w:rsidRPr="00903591">
              <w:rPr>
                <w:color w:val="0D0D0D" w:themeColor="text1" w:themeTint="F2"/>
              </w:rPr>
              <w:t xml:space="preserve">hlavním tahounem růstu produktivity v celé ekonomice. Svižně rostla i ve stavebnictví (2,2 %) a podobně i v primárním sektoru či </w:t>
            </w:r>
            <w:r>
              <w:rPr>
                <w:color w:val="0D0D0D" w:themeColor="text1" w:themeTint="F2"/>
              </w:rPr>
              <w:t xml:space="preserve">v </w:t>
            </w:r>
            <w:r w:rsidRPr="00903591">
              <w:rPr>
                <w:color w:val="0D0D0D" w:themeColor="text1" w:themeTint="F2"/>
              </w:rPr>
              <w:t>uskupen</w:t>
            </w:r>
            <w:r>
              <w:rPr>
                <w:color w:val="0D0D0D" w:themeColor="text1" w:themeTint="F2"/>
              </w:rPr>
              <w:t>í</w:t>
            </w:r>
            <w:r w:rsidRPr="00903591">
              <w:rPr>
                <w:color w:val="0D0D0D" w:themeColor="text1" w:themeTint="F2"/>
              </w:rPr>
              <w:t xml:space="preserve"> obchod, doprava ubytování a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pohostinství. Naopak třetí rok v řadě nastal pokles v podnikových službách (loni o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1,4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%, v úhrnu o 4,3 %) a produktivita mírně klesla i ve zpracovatelském průmyslu či finančnictví. K pozitivnímu obratu došlo také u produktivity vyjádřené na pracovníka (ve fyzických osobách), která se meziročně lehce zvýšila již ve 2. pololetí 2024. Oproti roku 2019 byla tato produktivita mírně vyšší (+2,2 %), hlavně zásluhou zpracovatelského průmyslu, ICT, finančnictví a také primárního sektoru, kde za toto šestileté období vzrostla skoro o pětinu. Naopak za předkrizovou úrovní zaostala hlavně v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 xml:space="preserve">činnostech v oblasti nemovitostí a také stavebnictví (o 16 %). Hodinová produktivita práce v celé ekonomice byla loni </w:t>
            </w:r>
            <w:r>
              <w:rPr>
                <w:color w:val="0D0D0D" w:themeColor="text1" w:themeTint="F2"/>
              </w:rPr>
              <w:t xml:space="preserve">zcela srovnatelná </w:t>
            </w:r>
            <w:r w:rsidRPr="00903591">
              <w:rPr>
                <w:color w:val="0D0D0D" w:themeColor="text1" w:themeTint="F2"/>
              </w:rPr>
              <w:t>s úrovní z roku 2019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9D4785" w:rsidRPr="009F2A8A" w14:paraId="66698C11" w14:textId="77777777" w:rsidTr="00A96D94">
        <w:trPr>
          <w:trHeight w:val="155"/>
        </w:trPr>
        <w:tc>
          <w:tcPr>
            <w:tcW w:w="1713" w:type="dxa"/>
            <w:vMerge w:val="restart"/>
            <w:tcMar>
              <w:left w:w="0" w:type="dxa"/>
            </w:tcMar>
          </w:tcPr>
          <w:p w14:paraId="2485F637" w14:textId="77777777" w:rsidR="009D4785" w:rsidRPr="00B43216" w:rsidRDefault="009D4785" w:rsidP="00A96D94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9" w:type="dxa"/>
            <w:vMerge w:val="restart"/>
            <w:tcMar>
              <w:left w:w="0" w:type="dxa"/>
            </w:tcMar>
          </w:tcPr>
          <w:p w14:paraId="42435407" w14:textId="77777777" w:rsidR="009D4785" w:rsidRPr="00B43216" w:rsidRDefault="009D4785" w:rsidP="00A96D94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2BFB654A" w14:textId="7359B157" w:rsidR="009D4785" w:rsidRPr="00903591" w:rsidRDefault="009D4785" w:rsidP="00A96D94">
            <w:pPr>
              <w:spacing w:after="0"/>
            </w:pPr>
            <w:r w:rsidRPr="00903591">
              <w:rPr>
                <w:rFonts w:cs="Arial"/>
                <w:b/>
                <w:bCs/>
                <w:color w:val="000000"/>
                <w:szCs w:val="20"/>
              </w:rPr>
              <w:t>Graf č. 1</w:t>
            </w:r>
            <w:r w:rsidR="00281666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Pr="0090359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03591">
              <w:rPr>
                <w:b/>
                <w:bCs/>
                <w:lang w:eastAsia="en-US"/>
              </w:rPr>
              <w:t xml:space="preserve">Celková zaměstnanost </w:t>
            </w:r>
            <w:r w:rsidRPr="00903591">
              <w:rPr>
                <w:lang w:eastAsia="en-US"/>
              </w:rPr>
              <w:t>(</w:t>
            </w:r>
            <w:r w:rsidRPr="00903591">
              <w:t>meziročně v %)</w:t>
            </w:r>
            <w:r w:rsidRPr="00903591">
              <w:rPr>
                <w:b/>
                <w:bCs/>
              </w:rPr>
              <w:t xml:space="preserve">, příspěvky odvětví k meziroční změně zaměstnanosti </w:t>
            </w:r>
            <w:r w:rsidRPr="00903591">
              <w:t>(v p. b.)</w:t>
            </w:r>
            <w:r w:rsidRPr="00903591">
              <w:rPr>
                <w:b/>
                <w:bCs/>
              </w:rPr>
              <w:t xml:space="preserve"> a očekávání vývoje zaměstnanosti </w:t>
            </w:r>
            <w:r w:rsidRPr="00903591">
              <w:t>(saldo v p. b.)</w:t>
            </w:r>
          </w:p>
        </w:tc>
      </w:tr>
      <w:tr w:rsidR="009D4785" w:rsidRPr="00B43216" w14:paraId="2CAFA418" w14:textId="77777777" w:rsidTr="00A96D94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713" w:type="dxa"/>
            <w:vMerge/>
          </w:tcPr>
          <w:p w14:paraId="7A2F4D40" w14:textId="77777777" w:rsidR="009D4785" w:rsidRPr="00B43216" w:rsidRDefault="009D4785" w:rsidP="00A96D94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9" w:type="dxa"/>
            <w:vMerge/>
          </w:tcPr>
          <w:p w14:paraId="03B391BB" w14:textId="77777777" w:rsidR="009D4785" w:rsidRPr="00B43216" w:rsidRDefault="009D4785" w:rsidP="00A96D94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72" w:type="dxa"/>
          </w:tcPr>
          <w:p w14:paraId="1AEA619E" w14:textId="77777777" w:rsidR="009D4785" w:rsidRPr="00903591" w:rsidRDefault="009D4785" w:rsidP="00A96D94">
            <w:pPr>
              <w:spacing w:after="40"/>
            </w:pPr>
            <w:r w:rsidRPr="00903591">
              <w:rPr>
                <w:noProof/>
              </w:rPr>
              <w:drawing>
                <wp:inline distT="0" distB="0" distL="0" distR="0" wp14:anchorId="64DAE28C" wp14:editId="3C32131D">
                  <wp:extent cx="4846320" cy="3760470"/>
                  <wp:effectExtent l="0" t="0" r="0" b="0"/>
                  <wp:docPr id="818246537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A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D4785" w:rsidRPr="00485ED5" w14:paraId="14A029D6" w14:textId="77777777" w:rsidTr="00A96D94">
        <w:trPr>
          <w:trHeight w:val="671"/>
        </w:trPr>
        <w:tc>
          <w:tcPr>
            <w:tcW w:w="1713" w:type="dxa"/>
            <w:vMerge/>
            <w:tcMar>
              <w:left w:w="0" w:type="dxa"/>
            </w:tcMar>
          </w:tcPr>
          <w:p w14:paraId="69370150" w14:textId="77777777" w:rsidR="009D4785" w:rsidRPr="00B43216" w:rsidRDefault="009D4785" w:rsidP="00A96D94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9" w:type="dxa"/>
            <w:vMerge/>
            <w:tcMar>
              <w:left w:w="0" w:type="dxa"/>
            </w:tcMar>
          </w:tcPr>
          <w:p w14:paraId="7E3A36AC" w14:textId="77777777" w:rsidR="009D4785" w:rsidRPr="00B43216" w:rsidRDefault="009D4785" w:rsidP="00A96D94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1A5051CF" w14:textId="77777777" w:rsidR="009D4785" w:rsidRPr="00903591" w:rsidRDefault="009D4785" w:rsidP="00A96D94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*</w:t>
            </w:r>
            <w:r w:rsidRPr="00903591">
              <w:rPr>
                <w:rFonts w:cs="Arial"/>
                <w:sz w:val="14"/>
                <w:szCs w:val="14"/>
              </w:rPr>
              <w:t xml:space="preserve"> Těžba a energetika; Peněžnictví a pojišťovnictví; Činnosti v oblasti nemovitostí; Kulturní, zábavní a</w:t>
            </w:r>
            <w:r w:rsidRPr="00903591">
              <w:rPr>
                <w:sz w:val="14"/>
                <w:szCs w:val="14"/>
              </w:rPr>
              <w:t> </w:t>
            </w:r>
            <w:r w:rsidRPr="00903591">
              <w:rPr>
                <w:rFonts w:cs="Arial"/>
                <w:sz w:val="14"/>
                <w:szCs w:val="14"/>
              </w:rPr>
              <w:t>rekreační činnosti.</w:t>
            </w:r>
          </w:p>
          <w:p w14:paraId="165F2647" w14:textId="77777777" w:rsidR="009D4785" w:rsidRPr="00903591" w:rsidRDefault="009D4785" w:rsidP="00A96D94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903591">
              <w:rPr>
                <w:rFonts w:cs="Arial"/>
                <w:sz w:val="14"/>
                <w:szCs w:val="14"/>
              </w:rPr>
              <w:t xml:space="preserve">Poznámka: Saldo </w:t>
            </w: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očekávání vyjadřuje rozdíl v p. b. mezi kategoriemi růst versus pokles zaměstnanosti v nejbližších třech měsících. Údaje jsou sezónně očištěny a vztahují se k druhému měsíci daného čtvrtletí.</w:t>
            </w:r>
          </w:p>
          <w:p w14:paraId="5B4C2E7C" w14:textId="77777777" w:rsidR="009D4785" w:rsidRPr="00903591" w:rsidRDefault="009D4785" w:rsidP="00A96D94">
            <w:pPr>
              <w:spacing w:after="20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sz w:val="14"/>
                <w:szCs w:val="14"/>
              </w:rPr>
              <w:t xml:space="preserve">Zdroj: ČSÚ (národní účty), </w:t>
            </w:r>
            <w:proofErr w:type="spellStart"/>
            <w:r w:rsidRPr="00903591">
              <w:rPr>
                <w:rFonts w:cs="Arial"/>
                <w:sz w:val="14"/>
                <w:szCs w:val="14"/>
              </w:rPr>
              <w:t>Eurostat</w:t>
            </w:r>
            <w:proofErr w:type="spellEnd"/>
            <w:r w:rsidRPr="00903591">
              <w:rPr>
                <w:rFonts w:cs="Arial"/>
                <w:sz w:val="14"/>
                <w:szCs w:val="14"/>
              </w:rPr>
              <w:t xml:space="preserve"> (konjunkturální průzkumy).</w:t>
            </w:r>
          </w:p>
        </w:tc>
      </w:tr>
      <w:tr w:rsidR="009D4785" w:rsidRPr="00D82DBD" w14:paraId="4E2940C8" w14:textId="77777777" w:rsidTr="00A96D94">
        <w:trPr>
          <w:trHeight w:val="145"/>
        </w:trPr>
        <w:tc>
          <w:tcPr>
            <w:tcW w:w="1713" w:type="dxa"/>
            <w:tcMar>
              <w:left w:w="0" w:type="dxa"/>
            </w:tcMar>
          </w:tcPr>
          <w:p w14:paraId="5F71A199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Růst počtu pracujících cizinců v Česku loni zrychlil</w:t>
            </w:r>
            <w:r w:rsidRPr="005609A1">
              <w:rPr>
                <w:color w:val="0D0D0D" w:themeColor="text1" w:themeTint="F2"/>
                <w:spacing w:val="-4"/>
              </w:rPr>
              <w:t xml:space="preserve">. Jejich přírůstek </w:t>
            </w:r>
            <w:r>
              <w:rPr>
                <w:color w:val="0D0D0D" w:themeColor="text1" w:themeTint="F2"/>
                <w:spacing w:val="-4"/>
              </w:rPr>
              <w:lastRenderedPageBreak/>
              <w:t>byl stále tažen hlavně občany Ukrajiny.</w:t>
            </w:r>
            <w:r w:rsidRPr="005609A1">
              <w:rPr>
                <w:color w:val="0D0D0D" w:themeColor="text1" w:themeTint="F2"/>
                <w:spacing w:val="-4"/>
              </w:rPr>
              <w:t xml:space="preserve"> </w:t>
            </w:r>
          </w:p>
          <w:p w14:paraId="255166E4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3EE4F96B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71414760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705C0EFB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 w:rsidRPr="005609A1">
              <w:rPr>
                <w:color w:val="0D0D0D" w:themeColor="text1" w:themeTint="F2"/>
                <w:spacing w:val="-4"/>
              </w:rPr>
              <w:t>Zrychlil příliv osob z některých asijských států</w:t>
            </w:r>
            <w:r>
              <w:rPr>
                <w:color w:val="0D0D0D" w:themeColor="text1" w:themeTint="F2"/>
                <w:spacing w:val="-4"/>
              </w:rPr>
              <w:t>. Počty p</w:t>
            </w:r>
            <w:r w:rsidRPr="005609A1">
              <w:rPr>
                <w:color w:val="0D0D0D" w:themeColor="text1" w:themeTint="F2"/>
                <w:spacing w:val="-4"/>
              </w:rPr>
              <w:t xml:space="preserve">racovníků ze střední </w:t>
            </w:r>
            <w:r>
              <w:rPr>
                <w:color w:val="0D0D0D" w:themeColor="text1" w:themeTint="F2"/>
                <w:spacing w:val="-4"/>
              </w:rPr>
              <w:t xml:space="preserve">a východní </w:t>
            </w:r>
            <w:r w:rsidRPr="005609A1">
              <w:rPr>
                <w:color w:val="0D0D0D" w:themeColor="text1" w:themeTint="F2"/>
                <w:spacing w:val="-4"/>
              </w:rPr>
              <w:t>Evropy</w:t>
            </w:r>
            <w:r>
              <w:rPr>
                <w:color w:val="0D0D0D" w:themeColor="text1" w:themeTint="F2"/>
                <w:spacing w:val="-4"/>
              </w:rPr>
              <w:t xml:space="preserve"> se zvyšovaly zpravidla jen mírně. </w:t>
            </w:r>
          </w:p>
          <w:p w14:paraId="16B79C9C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89" w:type="dxa"/>
            <w:tcMar>
              <w:left w:w="0" w:type="dxa"/>
            </w:tcMar>
          </w:tcPr>
          <w:p w14:paraId="1CFFD607" w14:textId="77777777" w:rsidR="009D4785" w:rsidRPr="008659E6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1DC29DB7" w14:textId="7ADA18A8" w:rsidR="009D4785" w:rsidRPr="00903591" w:rsidRDefault="009D4785" w:rsidP="00A96D94">
            <w:pPr>
              <w:spacing w:after="220"/>
              <w:rPr>
                <w:color w:val="0D0D0D" w:themeColor="text1" w:themeTint="F2"/>
              </w:rPr>
            </w:pPr>
            <w:r w:rsidRPr="00903591">
              <w:rPr>
                <w:color w:val="0D0D0D" w:themeColor="text1" w:themeTint="F2"/>
              </w:rPr>
              <w:t>Trh práce se v Česku dlouhodobě vlivem demografického stárnutí i nízké porodnosti potýká s nízkou zásobou volných pracovních sil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1"/>
            </w:r>
            <w:r w:rsidRPr="00903591">
              <w:rPr>
                <w:color w:val="0D0D0D" w:themeColor="text1" w:themeTint="F2"/>
              </w:rPr>
              <w:t xml:space="preserve">. To spolu se sílícím tlakem firem na optimalizaci výrobních nákladů podněcuje poptávku tuzemských zaměstnavatelů po </w:t>
            </w:r>
            <w:r w:rsidRPr="00903591">
              <w:rPr>
                <w:color w:val="0D0D0D" w:themeColor="text1" w:themeTint="F2"/>
              </w:rPr>
              <w:lastRenderedPageBreak/>
              <w:t>pracovnících ze zahraničí. V posledním období napomáhají snadnějšímu zaměstnávání cizinců legislativní změny snižující administrativní náročnost v této oblasti. To se týká jak ukrajinských občanů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2"/>
            </w:r>
            <w:r w:rsidRPr="00903591">
              <w:rPr>
                <w:color w:val="0D0D0D" w:themeColor="text1" w:themeTint="F2"/>
              </w:rPr>
              <w:t>, tak i cizinců z dalších, nejen z hospodářsky méně vyspělých zemí mimo EU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3"/>
            </w:r>
            <w:r w:rsidRPr="00903591">
              <w:rPr>
                <w:color w:val="0D0D0D" w:themeColor="text1" w:themeTint="F2"/>
              </w:rPr>
              <w:t>. Dlouhodobý příliv zahraničních pracovníků do Česka proto pokračoval. V dominantní skupině zaměstnanců jich loni v prosinci bylo na úřadech práce dle kvalifikovaných odhadů MPSV registrováno rekordních 935 tis. To bylo meziročně o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90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tis. více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4"/>
            </w:r>
            <w:r w:rsidRPr="00903591">
              <w:rPr>
                <w:color w:val="0D0D0D" w:themeColor="text1" w:themeTint="F2"/>
              </w:rPr>
              <w:t>, přičemž tempo růstu ve srovnání s předchozími roky zrychlilo. Nejvíce meziročně přibylo již tradičně občanů Ukrajiny (+53 tis. na 358 tis., z toho ženy +27 tis., na 190 tis.), dále Slovenska (+13 tis., na 229 tis.), Filipín (+4,3 tis., na 14,0 tis.) a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Vietnamu (+2,1 tis., na 23,0 tis.). Z významnějších skupin cizinců rostl svižně počet občanů Indie, Číny a Kazachstánu, Uzbekistánu a Ázerbájdžánu (shodně okolo 20 %). Naopak u řady početných skupin pracovníků z</w:t>
            </w:r>
            <w:r>
              <w:rPr>
                <w:color w:val="0D0D0D" w:themeColor="text1" w:themeTint="F2"/>
              </w:rPr>
              <w:t xml:space="preserve"> relativně </w:t>
            </w:r>
            <w:r w:rsidRPr="00903591">
              <w:rPr>
                <w:color w:val="0D0D0D" w:themeColor="text1" w:themeTint="F2"/>
              </w:rPr>
              <w:t>chudších států střední a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východní Evropy – především z Polska, Bulharska, Rumunska a Makedonie – jejich počet rostl minimálně (do 2 %), u Srbska a Bosny a Hercegoviny se mírně snižoval (do 5 %). To souvisí s postupným vyrovnáváním mzdové úrovně v tomto regionu. Třetina všech cizinců v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zaměstnaneckém postavení v Česku byla registrována v Praze (spolu se Středočeským krajem pak polovina). Meziročně přibylo cizinců ve všech krajích – nejvíce v Praze (+16 %), Olomouckém (+15 %) Karlovarském a Pardubickém (+10 %), nejméně v Libereckém (+4,5 %)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5"/>
            </w:r>
            <w:r w:rsidRPr="00903591">
              <w:rPr>
                <w:color w:val="0D0D0D" w:themeColor="text1" w:themeTint="F2"/>
              </w:rPr>
              <w:t>.</w:t>
            </w:r>
          </w:p>
        </w:tc>
      </w:tr>
      <w:tr w:rsidR="009D4785" w:rsidRPr="00D82DBD" w14:paraId="491E3587" w14:textId="77777777" w:rsidTr="00A96D94">
        <w:trPr>
          <w:trHeight w:val="145"/>
        </w:trPr>
        <w:tc>
          <w:tcPr>
            <w:tcW w:w="1713" w:type="dxa"/>
            <w:tcMar>
              <w:left w:w="0" w:type="dxa"/>
            </w:tcMar>
          </w:tcPr>
          <w:p w14:paraId="1FA7278D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lastRenderedPageBreak/>
              <w:t>Meziroční růst míry zaměstnanosti ve věku 15 až 64 let se na konci loňského roku zastavil.</w:t>
            </w:r>
          </w:p>
          <w:p w14:paraId="6AA51F77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5BB510DD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4C54D90F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</w:p>
          <w:p w14:paraId="6E17E811" w14:textId="77777777" w:rsidR="009D4785" w:rsidRDefault="009D4785" w:rsidP="00A96D94">
            <w:pPr>
              <w:pStyle w:val="Marginlie"/>
              <w:spacing w:after="12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Zaměstnanost žen ovšem dále rostla, byť mírnějšími tempy.</w:t>
            </w:r>
          </w:p>
          <w:p w14:paraId="262EC94A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89" w:type="dxa"/>
            <w:tcMar>
              <w:left w:w="0" w:type="dxa"/>
            </w:tcMar>
          </w:tcPr>
          <w:p w14:paraId="6BECF21F" w14:textId="77777777" w:rsidR="009D4785" w:rsidRPr="008659E6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7C119215" w14:textId="77777777" w:rsidR="009D4785" w:rsidRPr="00903591" w:rsidRDefault="009D4785" w:rsidP="00A96D94">
            <w:pPr>
              <w:spacing w:after="220"/>
              <w:rPr>
                <w:color w:val="0D0D0D" w:themeColor="text1" w:themeTint="F2"/>
              </w:rPr>
            </w:pPr>
            <w:r w:rsidRPr="00903591">
              <w:t xml:space="preserve">Výše </w:t>
            </w:r>
            <w:r w:rsidRPr="00903591">
              <w:rPr>
                <w:color w:val="0D0D0D" w:themeColor="text1" w:themeTint="F2"/>
              </w:rPr>
              <w:t>uvedené trendy se odrazily v pokračujícím růstu počtu pracovníků s vyšší kvalifikací (zejména specialistů, technických a odborných pracovníků i úředníků), mírně ovšem vzrostla i zaměstnanost v nejnižší třídě pomocných a nekvalifikovaných pracovníků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6"/>
            </w:r>
            <w:r w:rsidRPr="00903591">
              <w:rPr>
                <w:color w:val="0D0D0D" w:themeColor="text1" w:themeTint="F2"/>
              </w:rPr>
              <w:t>. Naopak ubylo osob v některých manuálních profesích, zejména řemeslníků a opravářů či obsluhy strojů a zařízení. Pokračoval i dlouhodobý trend postupného stárnutí pracujících, růst zaměstnanosti byl z drtivé většiny tažen lidmi ve věku nad 45 let. Míra zaměstnanosti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17"/>
            </w:r>
            <w:r w:rsidRPr="00903591">
              <w:rPr>
                <w:color w:val="0D0D0D" w:themeColor="text1" w:themeTint="F2"/>
              </w:rPr>
              <w:t xml:space="preserve"> (15 až </w:t>
            </w:r>
            <w:r w:rsidRPr="00903591">
              <w:t>64letých) dosáhla letos v lednu 75,4 %, meziročně klesla o</w:t>
            </w:r>
            <w:r>
              <w:t> </w:t>
            </w:r>
            <w:r w:rsidRPr="00903591">
              <w:t>0,3</w:t>
            </w:r>
            <w:r>
              <w:t> </w:t>
            </w:r>
            <w:r w:rsidRPr="00903591">
              <w:t>p.</w:t>
            </w:r>
            <w:r>
              <w:t> </w:t>
            </w:r>
            <w:r w:rsidRPr="00903591">
              <w:t xml:space="preserve">b.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(po drtivou většinu loňského roku přitom lehce rostla). Za poklesem stál</w:t>
            </w:r>
            <w:r>
              <w:rPr>
                <w:rStyle w:val="normaltextrun"/>
                <w:rFonts w:eastAsiaTheme="majorEastAsia" w:cs="Arial"/>
                <w:szCs w:val="20"/>
              </w:rPr>
              <w:t>i</w:t>
            </w:r>
            <w:r>
              <w:rPr>
                <w:rStyle w:val="normaltextrun"/>
                <w:rFonts w:eastAsiaTheme="majorEastAsia" w:cs="Arial"/>
              </w:rPr>
              <w:t xml:space="preserve">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výhradně muži, u nichž míra dosáhla rovných 80</w:t>
            </w:r>
            <w:r w:rsidRPr="00903591">
              <w:t> 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% (−1,1 p. b.), naopak u žen pokračoval růst na 70,5 % (+0,6 p. b.)</w:t>
            </w:r>
            <w:r w:rsidRPr="00903591">
              <w:rPr>
                <w:rStyle w:val="normaltextrun"/>
                <w:rFonts w:cs="Arial"/>
                <w:szCs w:val="20"/>
              </w:rPr>
              <w:t xml:space="preserve">.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 xml:space="preserve">Od 2. pololetí 2025 se však nůžky mezi muži a ženami již nerozvírají natolik intenzivně jako dříve (tempo meziročního poklesu míry zaměstnanosti u mužů se již neprohlubuje a současně u žen růst </w:t>
            </w:r>
            <w:r w:rsidRPr="00903591">
              <w:rPr>
                <w:rStyle w:val="normaltextrun"/>
                <w:rFonts w:eastAsiaTheme="majorEastAsia" w:cs="Arial"/>
              </w:rPr>
              <w:t xml:space="preserve">znatelně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slábne). U mužů se projevuje dopad dílčího zlepšení v průmyslu a rozvíjejícího se stavebnictví. Vývoj u žen naznačuje možné aktuální vyčerpání růstového potenciálu v některých odvětví</w:t>
            </w:r>
            <w:r>
              <w:rPr>
                <w:rStyle w:val="normaltextrun"/>
                <w:rFonts w:eastAsiaTheme="majorEastAsia" w:cs="Arial"/>
                <w:szCs w:val="20"/>
              </w:rPr>
              <w:t>c</w:t>
            </w:r>
            <w:r>
              <w:rPr>
                <w:rStyle w:val="normaltextrun"/>
                <w:rFonts w:eastAsiaTheme="majorEastAsia" w:cs="Arial"/>
              </w:rPr>
              <w:t>h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 xml:space="preserve"> tržních služeb </w:t>
            </w:r>
            <w:r>
              <w:rPr>
                <w:rStyle w:val="normaltextrun"/>
                <w:rFonts w:eastAsiaTheme="majorEastAsia" w:cs="Arial"/>
                <w:szCs w:val="20"/>
              </w:rPr>
              <w:br/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a také fakt, že většina žen z řady ukrajinských uprchlíků se již patrně na pracovní trh integrovala. Rovněž nárůst n</w:t>
            </w:r>
            <w:r w:rsidRPr="00903591">
              <w:rPr>
                <w:rStyle w:val="normaltextrun"/>
                <w:rFonts w:eastAsiaTheme="majorEastAsia" w:cs="Arial"/>
              </w:rPr>
              <w:t>abídky zkrácených pracovních úvazků, zvlášť patrný v letech 2022 i</w:t>
            </w:r>
            <w:r>
              <w:rPr>
                <w:rStyle w:val="normaltextrun"/>
                <w:rFonts w:eastAsiaTheme="majorEastAsia" w:cs="Arial"/>
              </w:rPr>
              <w:t> </w:t>
            </w:r>
            <w:r w:rsidRPr="00903591">
              <w:rPr>
                <w:rStyle w:val="normaltextrun"/>
                <w:rFonts w:eastAsiaTheme="majorEastAsia" w:cs="Arial"/>
              </w:rPr>
              <w:t>2023</w:t>
            </w:r>
            <w:r w:rsidRPr="00903591">
              <w:rPr>
                <w:rStyle w:val="Znakapoznpodarou"/>
                <w:rFonts w:eastAsiaTheme="majorEastAsia"/>
              </w:rPr>
              <w:footnoteReference w:id="18"/>
            </w:r>
            <w:r w:rsidRPr="00903591">
              <w:rPr>
                <w:rStyle w:val="normaltextrun"/>
                <w:rFonts w:eastAsiaTheme="majorEastAsia" w:cs="Arial"/>
              </w:rPr>
              <w:t>, loni zmírnil</w:t>
            </w:r>
            <w:r w:rsidRPr="00903591">
              <w:rPr>
                <w:rStyle w:val="Znakapoznpodarou"/>
                <w:rFonts w:eastAsiaTheme="majorEastAsia"/>
              </w:rPr>
              <w:footnoteReference w:id="19"/>
            </w:r>
            <w:r w:rsidRPr="00903591">
              <w:rPr>
                <w:rStyle w:val="normaltextrun"/>
                <w:rFonts w:eastAsiaTheme="majorEastAsia" w:cs="Arial"/>
              </w:rPr>
              <w:t xml:space="preserve">. </w:t>
            </w:r>
          </w:p>
        </w:tc>
      </w:tr>
      <w:tr w:rsidR="009D4785" w:rsidRPr="00D82DBD" w14:paraId="7568EB30" w14:textId="77777777" w:rsidTr="00A96D94">
        <w:trPr>
          <w:trHeight w:val="145"/>
        </w:trPr>
        <w:tc>
          <w:tcPr>
            <w:tcW w:w="1713" w:type="dxa"/>
            <w:tcMar>
              <w:left w:w="0" w:type="dxa"/>
            </w:tcMar>
          </w:tcPr>
          <w:p w14:paraId="26F8464C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lastRenderedPageBreak/>
              <w:t>V průmyslu i obchodu se k</w:t>
            </w:r>
            <w:r w:rsidRPr="00294CC7">
              <w:rPr>
                <w:color w:val="0D0D0D" w:themeColor="text1" w:themeTint="F2"/>
                <w:spacing w:val="-4"/>
              </w:rPr>
              <w:t>rátkodobá očekávání podniků v oblasti zaměstnanosti</w:t>
            </w:r>
            <w:r>
              <w:rPr>
                <w:color w:val="0D0D0D" w:themeColor="text1" w:themeTint="F2"/>
                <w:spacing w:val="-4"/>
              </w:rPr>
              <w:t xml:space="preserve"> letos zlepšila, ve službách naopak.</w:t>
            </w:r>
            <w:r w:rsidRPr="00294CC7">
              <w:rPr>
                <w:color w:val="0D0D0D" w:themeColor="text1" w:themeTint="F2"/>
                <w:spacing w:val="-4"/>
              </w:rPr>
              <w:t xml:space="preserve"> </w:t>
            </w:r>
          </w:p>
          <w:p w14:paraId="1DADABAD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5"/>
              </w:rPr>
            </w:pPr>
          </w:p>
          <w:p w14:paraId="2A9FCC10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5"/>
              </w:rPr>
            </w:pPr>
          </w:p>
          <w:p w14:paraId="4F644ED7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5"/>
              </w:rPr>
            </w:pPr>
            <w:r>
              <w:rPr>
                <w:color w:val="0D0D0D" w:themeColor="text1" w:themeTint="F2"/>
                <w:spacing w:val="-5"/>
              </w:rPr>
              <w:t>Mírně přibývalo podniků limitovaných nedostatkem volné pracovní síly ve stavebnictví i službách.</w:t>
            </w:r>
          </w:p>
        </w:tc>
        <w:tc>
          <w:tcPr>
            <w:tcW w:w="189" w:type="dxa"/>
            <w:tcMar>
              <w:left w:w="0" w:type="dxa"/>
            </w:tcMar>
          </w:tcPr>
          <w:p w14:paraId="56315D74" w14:textId="77777777" w:rsidR="009D4785" w:rsidRPr="008659E6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3EDB12B1" w14:textId="53BB916F" w:rsidR="009D4785" w:rsidRPr="00903591" w:rsidRDefault="009D4785" w:rsidP="00A96D94">
            <w:pPr>
              <w:spacing w:after="220"/>
              <w:rPr>
                <w:color w:val="0D0D0D" w:themeColor="text1" w:themeTint="F2"/>
              </w:rPr>
            </w:pPr>
            <w:r w:rsidRPr="00903591">
              <w:rPr>
                <w:color w:val="0D0D0D" w:themeColor="text1" w:themeTint="F2"/>
              </w:rPr>
              <w:t>Krátkodobá očekávání tuzemských podniků v oblasti vlastní zaměstnanosti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0"/>
            </w:r>
            <w:r w:rsidRPr="00903591">
              <w:rPr>
                <w:color w:val="0D0D0D" w:themeColor="text1" w:themeTint="F2"/>
              </w:rPr>
              <w:t xml:space="preserve"> se zlepšovala již během roku 2024. Počátek loňského roku pak přinesl (nejen v Česku, ale i </w:t>
            </w:r>
            <w:r>
              <w:rPr>
                <w:color w:val="0D0D0D" w:themeColor="text1" w:themeTint="F2"/>
              </w:rPr>
              <w:t xml:space="preserve">v </w:t>
            </w:r>
            <w:r w:rsidRPr="00903591">
              <w:rPr>
                <w:color w:val="0D0D0D" w:themeColor="text1" w:themeTint="F2"/>
              </w:rPr>
              <w:t>EU či eurozóně) krátkodobé posílen</w:t>
            </w:r>
            <w:r>
              <w:rPr>
                <w:color w:val="0D0D0D" w:themeColor="text1" w:themeTint="F2"/>
              </w:rPr>
              <w:t>í</w:t>
            </w:r>
            <w:r w:rsidRPr="00903591">
              <w:rPr>
                <w:color w:val="0D0D0D" w:themeColor="text1" w:themeTint="F2"/>
              </w:rPr>
              <w:t xml:space="preserve"> negativních výhledů, které odrážely rostoucí nejistoty podnikatelů plynoucí patrně z vnějších (zahraničních) faktorů. Během 2. čtvrtletí se ovšem začaly výhledy opět mírně zlepšovat a v letním období vystoupal souhrnný indikátor očekávání zaměstnanosti v Česku nejvýše za poslední dva a půl roku (a jeho úroveň odpovídala dlouhodobému průměru). V další části roku </w:t>
            </w:r>
            <w:r>
              <w:rPr>
                <w:color w:val="0D0D0D" w:themeColor="text1" w:themeTint="F2"/>
              </w:rPr>
              <w:t xml:space="preserve">nedošlo </w:t>
            </w:r>
            <w:r w:rsidRPr="00903591">
              <w:rPr>
                <w:color w:val="0D0D0D" w:themeColor="text1" w:themeTint="F2"/>
              </w:rPr>
              <w:t xml:space="preserve">k významnějším změnám, nicméně </w:t>
            </w:r>
            <w:r>
              <w:rPr>
                <w:color w:val="0D0D0D" w:themeColor="text1" w:themeTint="F2"/>
              </w:rPr>
              <w:t xml:space="preserve">na </w:t>
            </w:r>
            <w:r w:rsidRPr="00903591">
              <w:rPr>
                <w:color w:val="0D0D0D" w:themeColor="text1" w:themeTint="F2"/>
              </w:rPr>
              <w:t>počát</w:t>
            </w:r>
            <w:r>
              <w:rPr>
                <w:color w:val="0D0D0D" w:themeColor="text1" w:themeTint="F2"/>
              </w:rPr>
              <w:t>ku</w:t>
            </w:r>
            <w:r w:rsidRPr="00903591">
              <w:rPr>
                <w:color w:val="0D0D0D" w:themeColor="text1" w:themeTint="F2"/>
              </w:rPr>
              <w:t xml:space="preserve"> roku 2026 </w:t>
            </w:r>
            <w:r>
              <w:rPr>
                <w:color w:val="0D0D0D" w:themeColor="text1" w:themeTint="F2"/>
              </w:rPr>
              <w:t xml:space="preserve">zavládl </w:t>
            </w:r>
            <w:r w:rsidRPr="00903591">
              <w:rPr>
                <w:color w:val="0D0D0D" w:themeColor="text1" w:themeTint="F2"/>
              </w:rPr>
              <w:t>lehký závan optimismu, patrný zejména v průmyslu a obchodu. Naopak ve službách došlo ke zhoršení a očekávání</w:t>
            </w:r>
            <w:r>
              <w:rPr>
                <w:color w:val="0D0D0D" w:themeColor="text1" w:themeTint="F2"/>
              </w:rPr>
              <w:t xml:space="preserve">, </w:t>
            </w:r>
            <w:r w:rsidRPr="00903591">
              <w:rPr>
                <w:color w:val="0D0D0D" w:themeColor="text1" w:themeTint="F2"/>
              </w:rPr>
              <w:t>zaměstnanost zde byla ze všech hlavních odvětvích nejslabší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1"/>
            </w:r>
            <w:r w:rsidRPr="00903591">
              <w:rPr>
                <w:color w:val="0D0D0D" w:themeColor="text1" w:themeTint="F2"/>
              </w:rPr>
              <w:t>. V rámci dílčích odvětví přetrvávaly přirozeně významné rozdíly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2"/>
            </w:r>
            <w:r w:rsidRPr="00903591">
              <w:rPr>
                <w:color w:val="0D0D0D" w:themeColor="text1" w:themeTint="F2"/>
              </w:rPr>
              <w:t xml:space="preserve">. </w:t>
            </w:r>
            <w:r w:rsidRPr="00903591">
              <w:rPr>
                <w:rStyle w:val="eop"/>
                <w:rFonts w:eastAsia="MS Gothic" w:cs="Arial"/>
                <w:color w:val="0D0D0D" w:themeColor="text1" w:themeTint="F2"/>
                <w:szCs w:val="20"/>
              </w:rPr>
              <w:t xml:space="preserve">Podíl podniků, pro něž </w:t>
            </w:r>
            <w:r w:rsidRPr="00903591">
              <w:rPr>
                <w:color w:val="0D0D0D" w:themeColor="text1" w:themeTint="F2"/>
              </w:rPr>
              <w:t>představuje nedostatek pracovní síly jednu z významných růstových bariér</w:t>
            </w:r>
            <w:r w:rsidRPr="00903591">
              <w:rPr>
                <w:rStyle w:val="Znakapoznpodarou"/>
                <w:color w:val="0D0D0D" w:themeColor="text1" w:themeTint="F2"/>
              </w:rPr>
              <w:footnoteReference w:id="23"/>
            </w:r>
            <w:r w:rsidRPr="00903591">
              <w:rPr>
                <w:color w:val="0D0D0D" w:themeColor="text1" w:themeTint="F2"/>
              </w:rPr>
              <w:t xml:space="preserve">, </w:t>
            </w:r>
            <w:r>
              <w:rPr>
                <w:color w:val="0D0D0D" w:themeColor="text1" w:themeTint="F2"/>
              </w:rPr>
              <w:t xml:space="preserve">byl </w:t>
            </w:r>
            <w:r w:rsidRPr="00903591">
              <w:rPr>
                <w:color w:val="0D0D0D" w:themeColor="text1" w:themeTint="F2"/>
              </w:rPr>
              <w:t>na počátku 1.</w:t>
            </w:r>
            <w:r>
              <w:rPr>
                <w:color w:val="0D0D0D" w:themeColor="text1" w:themeTint="F2"/>
              </w:rPr>
              <w:t> </w:t>
            </w:r>
            <w:r w:rsidRPr="00903591">
              <w:rPr>
                <w:color w:val="0D0D0D" w:themeColor="text1" w:themeTint="F2"/>
              </w:rPr>
              <w:t>čtvrtletí 2026 tradičně nejvyšší ve stavebnictví (57 %.). Opačn</w:t>
            </w:r>
            <w:r>
              <w:rPr>
                <w:color w:val="0D0D0D" w:themeColor="text1" w:themeTint="F2"/>
              </w:rPr>
              <w:t>ě</w:t>
            </w:r>
            <w:r w:rsidRPr="00903591">
              <w:rPr>
                <w:color w:val="0D0D0D" w:themeColor="text1" w:themeTint="F2"/>
              </w:rPr>
              <w:t xml:space="preserve"> tomu bylo ve službách (15 %) a také </w:t>
            </w:r>
            <w:r>
              <w:rPr>
                <w:color w:val="0D0D0D" w:themeColor="text1" w:themeTint="F2"/>
              </w:rPr>
              <w:t xml:space="preserve">v </w:t>
            </w:r>
            <w:r w:rsidRPr="00903591">
              <w:rPr>
                <w:color w:val="0D0D0D" w:themeColor="text1" w:themeTint="F2"/>
              </w:rPr>
              <w:t>průmyslu (11 %), kde se role této bariéry meziročně mírně snížila, ve stavebnictví a službách naopak lehce posílila.</w:t>
            </w:r>
          </w:p>
        </w:tc>
      </w:tr>
      <w:tr w:rsidR="009D4785" w:rsidRPr="00D82DBD" w14:paraId="447BB941" w14:textId="77777777" w:rsidTr="00A96D94">
        <w:trPr>
          <w:trHeight w:val="145"/>
        </w:trPr>
        <w:tc>
          <w:tcPr>
            <w:tcW w:w="1713" w:type="dxa"/>
            <w:tcMar>
              <w:left w:w="0" w:type="dxa"/>
            </w:tcMar>
          </w:tcPr>
          <w:p w14:paraId="551376F0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5"/>
              </w:rPr>
            </w:pPr>
            <w:r w:rsidRPr="00AE5540">
              <w:rPr>
                <w:color w:val="0D0D0D" w:themeColor="text1" w:themeTint="F2"/>
                <w:spacing w:val="-5"/>
              </w:rPr>
              <w:t>Obecná míra nezaměstnanosti po většinu roku mírně rostla</w:t>
            </w:r>
            <w:r>
              <w:rPr>
                <w:color w:val="0D0D0D" w:themeColor="text1" w:themeTint="F2"/>
                <w:spacing w:val="-5"/>
              </w:rPr>
              <w:t xml:space="preserve">. </w:t>
            </w:r>
            <w:r w:rsidRPr="001003EC">
              <w:rPr>
                <w:color w:val="0D0D0D" w:themeColor="text1" w:themeTint="F2"/>
                <w:spacing w:val="-7"/>
              </w:rPr>
              <w:t>I tak zůstává z historického</w:t>
            </w:r>
            <w:r>
              <w:rPr>
                <w:color w:val="0D0D0D" w:themeColor="text1" w:themeTint="F2"/>
                <w:spacing w:val="-5"/>
              </w:rPr>
              <w:t xml:space="preserve"> a rovněž mezinárodního hlediska nízká.</w:t>
            </w:r>
          </w:p>
        </w:tc>
        <w:tc>
          <w:tcPr>
            <w:tcW w:w="189" w:type="dxa"/>
            <w:tcMar>
              <w:left w:w="0" w:type="dxa"/>
            </w:tcMar>
          </w:tcPr>
          <w:p w14:paraId="66C6C19B" w14:textId="77777777" w:rsidR="009D4785" w:rsidRPr="008659E6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71FE5124" w14:textId="77777777" w:rsidR="009D4785" w:rsidRPr="00903591" w:rsidRDefault="009D4785" w:rsidP="00A96D94">
            <w:pPr>
              <w:spacing w:after="220"/>
              <w:rPr>
                <w:rFonts w:cs="Arial"/>
                <w:szCs w:val="20"/>
              </w:rPr>
            </w:pPr>
            <w:r w:rsidRPr="00903591">
              <w:rPr>
                <w:rFonts w:cs="Arial"/>
                <w:szCs w:val="20"/>
              </w:rPr>
              <w:t>Obecná míra nezaměstnanosti</w:t>
            </w:r>
            <w:r w:rsidRPr="00903591">
              <w:rPr>
                <w:rFonts w:cs="Arial"/>
                <w:szCs w:val="20"/>
                <w:vertAlign w:val="superscript"/>
              </w:rPr>
              <w:footnoteReference w:id="24"/>
            </w:r>
            <w:r w:rsidRPr="00903591">
              <w:rPr>
                <w:rFonts w:cs="Arial"/>
                <w:szCs w:val="20"/>
              </w:rPr>
              <w:t xml:space="preserve"> se po stagnaci v roce 2024 začala od loňského jara mírně zvyšovat. Nezaměstnanost 15–64letých tak letos v lednu činila 3,3 %</w:t>
            </w:r>
            <w:r w:rsidRPr="00903591">
              <w:rPr>
                <w:rFonts w:cs="Arial"/>
                <w:szCs w:val="20"/>
                <w:vertAlign w:val="superscript"/>
              </w:rPr>
              <w:footnoteReference w:id="25"/>
            </w:r>
            <w:r w:rsidRPr="00903591">
              <w:rPr>
                <w:rFonts w:cs="Arial"/>
                <w:szCs w:val="20"/>
              </w:rPr>
              <w:t xml:space="preserve"> (muži: 2,8</w:t>
            </w:r>
            <w:r>
              <w:rPr>
                <w:rFonts w:cs="Arial"/>
                <w:szCs w:val="20"/>
              </w:rPr>
              <w:t> </w:t>
            </w:r>
            <w:r w:rsidRPr="00903591">
              <w:rPr>
                <w:rFonts w:cs="Arial"/>
                <w:szCs w:val="20"/>
              </w:rPr>
              <w:t xml:space="preserve">%, ženy: 3,8 %). Celková nezaměstnanost tak je srovnatelná jako za vrcholu pandemie (březen 2021) a vyšší byla předtím naposledy na počátku roku 2017. Nezaměstnanost se meziročně zvýšila o 0,5 p. b., podobně u mužů i žen (za poslední pololetí ovšem vykazuje vyšší meziměsíční dynamiku u žen, u mužů je stabilizovaná). To souvisí hlavně se situací v průmyslu. </w:t>
            </w:r>
            <w:r w:rsidRPr="00903591">
              <w:t>Propuštěné pracovníky z některých útlumových oborů dokázaly stále z velké části vstřebat zejména rozvíjející se služby</w:t>
            </w:r>
            <w:r w:rsidRPr="00903591">
              <w:rPr>
                <w:rFonts w:cs="Arial"/>
                <w:szCs w:val="20"/>
              </w:rPr>
              <w:t>. I proto se počet dlouhodobě nezaměstnaných razantně nezvýšil</w:t>
            </w:r>
            <w:r w:rsidRPr="00903591">
              <w:rPr>
                <w:rFonts w:cs="Arial"/>
                <w:vertAlign w:val="superscript"/>
              </w:rPr>
              <w:footnoteReference w:id="26"/>
            </w:r>
            <w:r w:rsidRPr="00903591">
              <w:rPr>
                <w:rFonts w:cs="Arial"/>
                <w:szCs w:val="20"/>
              </w:rPr>
              <w:t xml:space="preserve">. Současně významně nenarůstá ani skrytá nezaměstnanost (ve formě dočasného „úniku“ do ekonomické neaktivity). </w:t>
            </w:r>
          </w:p>
        </w:tc>
      </w:tr>
      <w:tr w:rsidR="009D4785" w:rsidRPr="00D82DBD" w14:paraId="7892EE25" w14:textId="77777777" w:rsidTr="00A96D94">
        <w:trPr>
          <w:trHeight w:val="145"/>
        </w:trPr>
        <w:tc>
          <w:tcPr>
            <w:tcW w:w="1713" w:type="dxa"/>
            <w:tcMar>
              <w:left w:w="0" w:type="dxa"/>
            </w:tcMar>
          </w:tcPr>
          <w:p w14:paraId="597ED119" w14:textId="77777777" w:rsidR="009D4785" w:rsidRPr="00461673" w:rsidRDefault="009D4785" w:rsidP="00A96D94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R</w:t>
            </w:r>
            <w:r w:rsidRPr="002F4E55">
              <w:rPr>
                <w:color w:val="0D0D0D" w:themeColor="text1" w:themeTint="F2"/>
              </w:rPr>
              <w:t xml:space="preserve">egistrovaných </w:t>
            </w:r>
            <w:r>
              <w:rPr>
                <w:color w:val="0D0D0D" w:themeColor="text1" w:themeTint="F2"/>
              </w:rPr>
              <w:t xml:space="preserve">uchazečů o práci mírně přibylo. Jejich podíl na populaci v produktivním věku byl nejvyšší od ledna 2017. </w:t>
            </w:r>
          </w:p>
          <w:p w14:paraId="712887CB" w14:textId="77777777" w:rsidR="009D4785" w:rsidRPr="008659E6" w:rsidRDefault="009D4785" w:rsidP="00A96D94">
            <w:pPr>
              <w:pStyle w:val="Marginlie"/>
              <w:rPr>
                <w:color w:val="0D0D0D" w:themeColor="text1" w:themeTint="F2"/>
                <w:spacing w:val="-5"/>
              </w:rPr>
            </w:pPr>
          </w:p>
        </w:tc>
        <w:tc>
          <w:tcPr>
            <w:tcW w:w="189" w:type="dxa"/>
            <w:tcMar>
              <w:left w:w="0" w:type="dxa"/>
            </w:tcMar>
          </w:tcPr>
          <w:p w14:paraId="3AEE5D2C" w14:textId="77777777" w:rsidR="009D4785" w:rsidRPr="008659E6" w:rsidRDefault="009D4785" w:rsidP="00A96D94">
            <w:pPr>
              <w:pStyle w:val="Textpoznpodarou"/>
              <w:spacing w:after="120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65794683" w14:textId="77777777" w:rsidR="009D4785" w:rsidRPr="00903591" w:rsidRDefault="009D4785" w:rsidP="00A96D94">
            <w:pPr>
              <w:spacing w:after="200"/>
              <w:rPr>
                <w:rFonts w:cs="Arial"/>
                <w:szCs w:val="20"/>
              </w:rPr>
            </w:pPr>
            <w:r w:rsidRPr="00903591">
              <w:rPr>
                <w:color w:val="0D0D0D" w:themeColor="text1" w:themeTint="F2"/>
              </w:rPr>
              <w:t>Významnější ochlazení tuzemského pracovního trhu dosud nenaznačují ani údaje z úřadů práce (ÚP).</w:t>
            </w:r>
            <w:r w:rsidRPr="00903591">
              <w:rPr>
                <w:rStyle w:val="normaltextrun"/>
                <w:rFonts w:cs="Arial"/>
                <w:szCs w:val="20"/>
              </w:rPr>
              <w:t xml:space="preserve">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 xml:space="preserve">Sezonně neočištěný podíl registrovaných uchazečů o práci na celkové populaci 15 až 64letých dosáhl na konci letošního ledna 5,1 % (muži: 4,9 %, ženy: 5,4 %). To je meziročně o 0,8 p. b. více, jde o nejvýraznější zhoršení od vrcholu pandemie (březen 2021) Mírný růst nezaměstnanosti probíhal nepřetržitě i po celý rok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lastRenderedPageBreak/>
              <w:t xml:space="preserve">2024, loni se meziroční tempo růstu postupně lehce zvyšovalo. </w:t>
            </w:r>
            <w:proofErr w:type="gramStart"/>
            <w:r w:rsidRPr="00903591">
              <w:rPr>
                <w:rStyle w:val="normaltextrun"/>
                <w:rFonts w:eastAsiaTheme="majorEastAsia" w:cs="Arial"/>
                <w:szCs w:val="20"/>
              </w:rPr>
              <w:t>Vyšší</w:t>
            </w:r>
            <w:proofErr w:type="gramEnd"/>
            <w:r w:rsidRPr="00903591">
              <w:rPr>
                <w:rStyle w:val="normaltextrun"/>
                <w:rFonts w:eastAsiaTheme="majorEastAsia" w:cs="Arial"/>
                <w:szCs w:val="20"/>
              </w:rPr>
              <w:t xml:space="preserve"> než aktuální nezaměstnanost byla naposledy v lednu 2017. </w:t>
            </w:r>
            <w:r w:rsidRPr="00903591">
              <w:rPr>
                <w:rFonts w:cs="Arial"/>
                <w:szCs w:val="20"/>
              </w:rPr>
              <w:t>Nezaměstnanost je tradičně výrazně regionálně diferencovaná</w:t>
            </w:r>
            <w:r w:rsidRPr="00903591">
              <w:rPr>
                <w:rStyle w:val="Znakapoznpodarou"/>
                <w:szCs w:val="20"/>
              </w:rPr>
              <w:footnoteReference w:id="27"/>
            </w:r>
            <w:r w:rsidRPr="00903591">
              <w:rPr>
                <w:rFonts w:cs="Arial"/>
                <w:szCs w:val="20"/>
              </w:rPr>
              <w:t xml:space="preserve">. 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Nynější nárůst registrovaných uchazečů o práci může (kromě běžné sezónnosti) souviset i s vyšší aktivitou ÚP v oblasti poradenství a</w:t>
            </w:r>
            <w:r>
              <w:rPr>
                <w:rStyle w:val="normaltextrun"/>
                <w:rFonts w:eastAsiaTheme="majorEastAsia" w:cs="Arial"/>
                <w:szCs w:val="20"/>
              </w:rPr>
              <w:t> </w:t>
            </w:r>
            <w:r w:rsidRPr="00903591">
              <w:rPr>
                <w:rStyle w:val="normaltextrun"/>
                <w:rFonts w:eastAsiaTheme="majorEastAsia" w:cs="Arial"/>
                <w:szCs w:val="20"/>
              </w:rPr>
              <w:t>rekvalifikací a také s flexibilnějšími možnostmi kontaktu ÚP (digitálně na dálku). Lze předpokládat, že se již může projevovat i větší odvaha lidí měnit nevyhovující pracovní místa (např. s motivací k vyššímu výdělku či zvýšenou podporou v prvních měsících nezaměstnanosti, jež platí od ledna 2026). Nelze rovněž vyloučit, že část osob, jež měly v posledních měsících úmysl odejít ze zaměstnání, si svůj odchod načasovala až na období platnosti vyšších podpor v nezaměstnanosti.</w:t>
            </w:r>
          </w:p>
        </w:tc>
      </w:tr>
      <w:tr w:rsidR="009D4785" w:rsidRPr="00B43216" w14:paraId="70CB8DA3" w14:textId="77777777" w:rsidTr="00A96D94">
        <w:trPr>
          <w:trHeight w:val="155"/>
        </w:trPr>
        <w:tc>
          <w:tcPr>
            <w:tcW w:w="1713" w:type="dxa"/>
            <w:vMerge w:val="restart"/>
            <w:tcMar>
              <w:left w:w="0" w:type="dxa"/>
            </w:tcMar>
          </w:tcPr>
          <w:p w14:paraId="37C70A7C" w14:textId="77777777" w:rsidR="009D4785" w:rsidRPr="00B43216" w:rsidRDefault="009D4785" w:rsidP="00A96D94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9" w:type="dxa"/>
            <w:vMerge w:val="restart"/>
            <w:tcMar>
              <w:left w:w="0" w:type="dxa"/>
            </w:tcMar>
          </w:tcPr>
          <w:p w14:paraId="69EA196D" w14:textId="77777777" w:rsidR="009D4785" w:rsidRPr="00B43216" w:rsidRDefault="009D4785" w:rsidP="00A96D94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54DE5765" w14:textId="2A26E854" w:rsidR="009D4785" w:rsidRPr="00903591" w:rsidRDefault="009D4785" w:rsidP="00A96D94">
            <w:pPr>
              <w:spacing w:after="0"/>
              <w:rPr>
                <w:rFonts w:cs="Arial"/>
                <w:b/>
                <w:bCs/>
              </w:rPr>
            </w:pPr>
            <w:r w:rsidRPr="00903591">
              <w:rPr>
                <w:b/>
              </w:rPr>
              <w:t>Graf č. 1</w:t>
            </w:r>
            <w:r w:rsidR="00281666">
              <w:rPr>
                <w:b/>
              </w:rPr>
              <w:t>5</w:t>
            </w:r>
            <w:r w:rsidRPr="00903591">
              <w:rPr>
                <w:b/>
              </w:rPr>
              <w:t xml:space="preserve"> </w:t>
            </w:r>
            <w:r w:rsidRPr="00903591">
              <w:rPr>
                <w:rFonts w:cs="Arial"/>
                <w:b/>
              </w:rPr>
              <w:t xml:space="preserve">Obecná míra nezaměstnanosti </w:t>
            </w:r>
            <w:r w:rsidRPr="00903591">
              <w:rPr>
                <w:rFonts w:cs="Arial"/>
                <w:bCs/>
              </w:rPr>
              <w:t>(v %, věk 15 až 64 let)</w:t>
            </w:r>
            <w:r w:rsidRPr="00903591">
              <w:rPr>
                <w:rFonts w:cs="Arial"/>
                <w:b/>
              </w:rPr>
              <w:t>,</w:t>
            </w:r>
            <w:r w:rsidRPr="00903591">
              <w:rPr>
                <w:rFonts w:cs="Arial"/>
                <w:bCs/>
              </w:rPr>
              <w:t xml:space="preserve"> </w:t>
            </w:r>
            <w:r w:rsidRPr="00903591">
              <w:rPr>
                <w:rFonts w:cs="Arial"/>
                <w:b/>
                <w:bCs/>
              </w:rPr>
              <w:t>očekávání vývoje nezaměstnanosti ze strany domácností*</w:t>
            </w:r>
            <w:r w:rsidRPr="00903591">
              <w:rPr>
                <w:rFonts w:cs="Arial"/>
                <w:bCs/>
              </w:rPr>
              <w:t xml:space="preserve"> (v p. b.), </w:t>
            </w:r>
            <w:r w:rsidRPr="00903591">
              <w:rPr>
                <w:rFonts w:cs="Arial"/>
                <w:b/>
                <w:bCs/>
              </w:rPr>
              <w:t xml:space="preserve">volná pracovní místa a pracující cizinci v pozici zaměstnanců** </w:t>
            </w:r>
            <w:r w:rsidRPr="00903591">
              <w:rPr>
                <w:rFonts w:cs="Arial"/>
                <w:bCs/>
              </w:rPr>
              <w:t>(v tis.)</w:t>
            </w:r>
          </w:p>
        </w:tc>
      </w:tr>
      <w:tr w:rsidR="009D4785" w:rsidRPr="00B43216" w14:paraId="072083CF" w14:textId="77777777" w:rsidTr="00A96D94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713" w:type="dxa"/>
            <w:vMerge/>
          </w:tcPr>
          <w:p w14:paraId="4C059F26" w14:textId="77777777" w:rsidR="009D4785" w:rsidRPr="00B43216" w:rsidRDefault="009D4785" w:rsidP="00A96D94">
            <w:pPr>
              <w:pStyle w:val="Marginlie"/>
              <w:spacing w:after="120"/>
              <w:rPr>
                <w:spacing w:val="-4"/>
              </w:rPr>
            </w:pPr>
          </w:p>
        </w:tc>
        <w:tc>
          <w:tcPr>
            <w:tcW w:w="189" w:type="dxa"/>
            <w:vMerge/>
          </w:tcPr>
          <w:p w14:paraId="0EB7553E" w14:textId="77777777" w:rsidR="009D4785" w:rsidRPr="00B43216" w:rsidRDefault="009D4785" w:rsidP="00A96D94">
            <w:pPr>
              <w:pStyle w:val="Textpoznpodarou"/>
              <w:spacing w:after="120"/>
              <w:jc w:val="both"/>
              <w:rPr>
                <w:spacing w:val="-4"/>
              </w:rPr>
            </w:pPr>
          </w:p>
        </w:tc>
        <w:tc>
          <w:tcPr>
            <w:tcW w:w="7772" w:type="dxa"/>
          </w:tcPr>
          <w:p w14:paraId="2A4DD63C" w14:textId="77777777" w:rsidR="009D4785" w:rsidRPr="00903591" w:rsidRDefault="009D4785" w:rsidP="00A96D94">
            <w:pPr>
              <w:spacing w:after="40"/>
            </w:pPr>
            <w:r w:rsidRPr="00903591">
              <w:rPr>
                <w:noProof/>
              </w:rPr>
              <w:drawing>
                <wp:inline distT="0" distB="0" distL="0" distR="0" wp14:anchorId="68141BD8" wp14:editId="4A7A799D">
                  <wp:extent cx="4828032" cy="3604260"/>
                  <wp:effectExtent l="0" t="0" r="0" b="0"/>
                  <wp:docPr id="388662487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3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9D4785" w:rsidRPr="00B43216" w14:paraId="0417C40F" w14:textId="77777777" w:rsidTr="00A96D94">
        <w:trPr>
          <w:trHeight w:val="132"/>
        </w:trPr>
        <w:tc>
          <w:tcPr>
            <w:tcW w:w="1713" w:type="dxa"/>
            <w:vMerge/>
            <w:tcMar>
              <w:left w:w="0" w:type="dxa"/>
            </w:tcMar>
          </w:tcPr>
          <w:p w14:paraId="056D3EAC" w14:textId="77777777" w:rsidR="009D4785" w:rsidRPr="00B43216" w:rsidRDefault="009D4785" w:rsidP="00A96D94">
            <w:pPr>
              <w:pStyle w:val="Marginlie"/>
              <w:rPr>
                <w:spacing w:val="-4"/>
              </w:rPr>
            </w:pPr>
          </w:p>
        </w:tc>
        <w:tc>
          <w:tcPr>
            <w:tcW w:w="189" w:type="dxa"/>
            <w:vMerge/>
            <w:tcMar>
              <w:left w:w="0" w:type="dxa"/>
            </w:tcMar>
          </w:tcPr>
          <w:p w14:paraId="4B09EEE0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571DEF86" w14:textId="77777777" w:rsidR="009D4785" w:rsidRPr="00903591" w:rsidRDefault="009D4785" w:rsidP="00A96D94">
            <w:pPr>
              <w:spacing w:before="60"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Pozn.: Míry nezaměstnanosti jsou očištěny pomocí trendcyklu.</w:t>
            </w:r>
          </w:p>
          <w:p w14:paraId="327AD3F4" w14:textId="77777777" w:rsidR="009D4785" w:rsidRPr="00903591" w:rsidRDefault="009D4785" w:rsidP="00A96D94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VPM = pouze volná pracovní místa s délkou evidence do šesti měsíců. (stav na konci čtvrtletí)</w:t>
            </w:r>
            <w:r>
              <w:rPr>
                <w:rFonts w:cs="Arial"/>
                <w:color w:val="0D0D0D" w:themeColor="text1" w:themeTint="F2"/>
                <w:sz w:val="14"/>
                <w:szCs w:val="14"/>
              </w:rPr>
              <w:t>.</w:t>
            </w:r>
          </w:p>
          <w:p w14:paraId="2D21FD2D" w14:textId="77777777" w:rsidR="009D4785" w:rsidRPr="00903591" w:rsidRDefault="009D4785" w:rsidP="00A96D94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*Sezónně očištěné saldo očekávání nezaměstnanosti v nejbližších 12 měsících (rozdíl mezi procentuální četností odpovědí domácností, růst a pokles vyjádřený v procentních bodech). Vztahuje se k prostřednímu měsíci daného čtvrtletí.</w:t>
            </w:r>
          </w:p>
          <w:p w14:paraId="0BFA7068" w14:textId="77777777" w:rsidR="009D4785" w:rsidRPr="00903591" w:rsidRDefault="009D4785" w:rsidP="00A96D94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**Počet cizinců v postavení zaměstnanců evidovaných na úřadech práce v ČR (na konci příslušného čtvrtletí).</w:t>
            </w:r>
          </w:p>
          <w:p w14:paraId="21B6FD15" w14:textId="77777777" w:rsidR="009D4785" w:rsidRPr="00903591" w:rsidRDefault="009D4785" w:rsidP="00A96D94">
            <w:pPr>
              <w:spacing w:after="20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903591">
              <w:rPr>
                <w:rFonts w:cs="Arial"/>
                <w:color w:val="0D0D0D" w:themeColor="text1" w:themeTint="F2"/>
                <w:sz w:val="14"/>
                <w:szCs w:val="14"/>
              </w:rPr>
              <w:t>Zdroj: ČSÚ (VŠPS, konjunkturální průzkum), MPSV (VPM registrovaná na úřadech práce v ČR, zaměstnaní cizinci)</w:t>
            </w:r>
          </w:p>
        </w:tc>
      </w:tr>
      <w:tr w:rsidR="009D4785" w:rsidRPr="00016778" w14:paraId="0C088357" w14:textId="77777777" w:rsidTr="00A96D94">
        <w:trPr>
          <w:trHeight w:val="132"/>
        </w:trPr>
        <w:tc>
          <w:tcPr>
            <w:tcW w:w="1713" w:type="dxa"/>
            <w:tcMar>
              <w:left w:w="0" w:type="dxa"/>
            </w:tcMar>
          </w:tcPr>
          <w:p w14:paraId="1EC9141F" w14:textId="77777777" w:rsidR="009D4785" w:rsidRPr="00F96464" w:rsidRDefault="009D4785" w:rsidP="00A96D94">
            <w:pPr>
              <w:pStyle w:val="Marginlie"/>
              <w:rPr>
                <w:spacing w:val="0"/>
              </w:rPr>
            </w:pPr>
            <w:r w:rsidRPr="00F96464">
              <w:rPr>
                <w:spacing w:val="0"/>
              </w:rPr>
              <w:t>Zrychlení růstu ekonomiky se l</w:t>
            </w:r>
            <w:r>
              <w:rPr>
                <w:spacing w:val="0"/>
              </w:rPr>
              <w:t>oni příliš neprojevilo</w:t>
            </w:r>
            <w:r w:rsidRPr="00F96464">
              <w:rPr>
                <w:spacing w:val="0"/>
              </w:rPr>
              <w:t xml:space="preserve"> do vyšší nabídky volných míst prostřednictvím ÚP</w:t>
            </w:r>
            <w:r>
              <w:rPr>
                <w:spacing w:val="0"/>
              </w:rPr>
              <w:t>.</w:t>
            </w:r>
          </w:p>
        </w:tc>
        <w:tc>
          <w:tcPr>
            <w:tcW w:w="189" w:type="dxa"/>
            <w:tcMar>
              <w:left w:w="0" w:type="dxa"/>
            </w:tcMar>
          </w:tcPr>
          <w:p w14:paraId="2315A43B" w14:textId="77777777" w:rsidR="009D4785" w:rsidRPr="00016778" w:rsidRDefault="009D4785" w:rsidP="00A96D94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104A4367" w14:textId="77777777" w:rsidR="009D4785" w:rsidRPr="00903591" w:rsidRDefault="009D4785" w:rsidP="00A96D94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</w:pP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Úřady práce evidovaly letos na konci ledna 86,4 tis. volných míst</w:t>
            </w:r>
            <w:r w:rsidRPr="00903591">
              <w:rPr>
                <w:rStyle w:val="Znakapoznpodarou"/>
                <w:rFonts w:ascii="Arial" w:hAnsi="Arial" w:cs="Arial"/>
                <w:color w:val="0D0D0D" w:themeColor="text1" w:themeTint="F2"/>
                <w:sz w:val="20"/>
                <w:szCs w:val="20"/>
              </w:rPr>
              <w:footnoteReference w:id="28"/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(v zásadě jen místa s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dobou evidence kratší než šest měsíců). Bylo jich čtvrtý měsíc v řadě meziměsíčně méně (a současně srovnatelně jako na konci ledna 2025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, </w:t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83,3 tis.). Vývoj míst během loňského roku v zásadě odpovídal standardním sezónním vlivům. Dopad zrychlujícího </w:t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lastRenderedPageBreak/>
              <w:t>růstu ekonomiky není zatím na nabídce míst příliš patrný</w:t>
            </w:r>
            <w:r w:rsidRPr="00903591">
              <w:rPr>
                <w:rStyle w:val="Znakapoznpodarou"/>
                <w:rFonts w:ascii="Arial" w:eastAsiaTheme="majorEastAsia" w:hAnsi="Arial"/>
                <w:sz w:val="20"/>
                <w:szCs w:val="20"/>
              </w:rPr>
              <w:footnoteReference w:id="29"/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. Na 1 volné místo připadalo aktuálně v Česku 4,4 uchazeče (vč. osob dočasně nedosažitelných). Přetrvával významný strukturální nesoulad nabídky a poptávky z kvalifikačního</w:t>
            </w:r>
            <w:r w:rsidRPr="00903591">
              <w:rPr>
                <w:rFonts w:ascii="Arial" w:hAnsi="Arial" w:cs="Arial"/>
                <w:color w:val="0D0D0D" w:themeColor="text1" w:themeTint="F2"/>
                <w:sz w:val="20"/>
                <w:szCs w:val="20"/>
                <w:vertAlign w:val="superscript"/>
              </w:rPr>
              <w:footnoteReference w:id="30"/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i regionálního pohledu</w:t>
            </w:r>
            <w:r w:rsidRPr="00903591">
              <w:rPr>
                <w:rStyle w:val="Znakapoznpodarou"/>
                <w:rFonts w:ascii="Arial" w:eastAsiaTheme="majorEastAsia" w:hAnsi="Arial" w:cs="Arial"/>
                <w:sz w:val="20"/>
                <w:szCs w:val="20"/>
              </w:rPr>
              <w:footnoteReference w:id="31"/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. Obavy lidí z růstu nezaměstnanosti (vyjádřené v rámci konjunkturálních průzkumů) v 1. pololet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í</w:t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2025 narůstaly, následně došlo ke stabilizaci a během podzimních měsíců se významně snížily, a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tak se</w:t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 na počátku roku 2026 pohybovaly </w:t>
            </w: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pod </w:t>
            </w:r>
            <w:r w:rsidRPr="00903591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dlouhodobým průměrem.</w:t>
            </w:r>
          </w:p>
        </w:tc>
      </w:tr>
      <w:tr w:rsidR="009D4785" w:rsidRPr="00016778" w14:paraId="360F7789" w14:textId="77777777" w:rsidTr="00A96D94">
        <w:trPr>
          <w:trHeight w:val="132"/>
        </w:trPr>
        <w:tc>
          <w:tcPr>
            <w:tcW w:w="1713" w:type="dxa"/>
            <w:tcMar>
              <w:left w:w="0" w:type="dxa"/>
            </w:tcMar>
          </w:tcPr>
          <w:p w14:paraId="3DA34792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lastRenderedPageBreak/>
              <w:t xml:space="preserve">Tempo růstu nominálních mezd se během loňského roku příliš neměnilo. </w:t>
            </w:r>
          </w:p>
          <w:p w14:paraId="3BFD70E6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04E0FEA0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4694F626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5BB3E838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FE09313" w14:textId="77777777" w:rsidR="009D4785" w:rsidRPr="00CF65F3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Mzdový růst byl podpořen z</w:t>
            </w:r>
            <w:r>
              <w:rPr>
                <w:color w:val="0D0D0D" w:themeColor="text1" w:themeTint="F2"/>
              </w:rPr>
              <w:t xml:space="preserve">ejména </w:t>
            </w:r>
            <w:r>
              <w:rPr>
                <w:color w:val="0D0D0D" w:themeColor="text1" w:themeTint="F2"/>
                <w:spacing w:val="0"/>
              </w:rPr>
              <w:t xml:space="preserve">zlepšeným výkonem ekonomiky </w:t>
            </w:r>
            <w:r>
              <w:rPr>
                <w:color w:val="0D0D0D" w:themeColor="text1" w:themeTint="F2"/>
                <w:spacing w:val="0"/>
              </w:rPr>
              <w:br/>
              <w:t>a přetrvávajícím nedostatkem volné pracovní síly v řadě oborů.</w:t>
            </w:r>
          </w:p>
        </w:tc>
        <w:tc>
          <w:tcPr>
            <w:tcW w:w="189" w:type="dxa"/>
            <w:tcMar>
              <w:left w:w="0" w:type="dxa"/>
            </w:tcMar>
          </w:tcPr>
          <w:p w14:paraId="0576F482" w14:textId="77777777" w:rsidR="009D4785" w:rsidRPr="00016778" w:rsidRDefault="009D4785" w:rsidP="00A96D94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3F8EBFF8" w14:textId="77777777" w:rsidR="009D4785" w:rsidRPr="00903591" w:rsidRDefault="009D4785" w:rsidP="00A96D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Ve 4. čtvrtletí 2025 dosáhla průměrná hrubá měsíční nominální mzda zaměstnance 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národním hospodářství 52 283 korun a meziročně vzrostla o 7,4 %. Sezónně očištěná mzda posílila mezikvartálně o 1,8 %, což se nevymyká z vývoje za poslední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ho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1,5 roku. Přepočtený evidenční stav zaměstnanců se meziročně zvýšil o 0,2 % (stejně jako v úhrnu od počátku loňského roku). Průměrná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hrubá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měsíční mzda za celý loňský rok čítala 49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215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korun a vzrostla o 7,2 % (identicky i v letech 2023 a 2024). Přetrvávající svižný mzdový růst souvisí s postupným posilováním výkonu tuzemské ekonomiky, včetně růstu produktivity práce. Projevuje se i celkový nedostatek volné pracovní síly, je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n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ž je nejvíce viditelný ve stavebnictví, ale i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některých službách (např. v dopravě). Vzhledem k přetrvávající poměrně nízké nezaměstnanosti (i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k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jej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ímu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stabilní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mu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výhled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u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na nejbližší období) a klesající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m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obav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ám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domácností z jejího růstu může docházet k větší fluktuaci pracovníků. Ti mohou být více motivováni ke změně pracovního místa s vidinou vyššího výdělku (mj. i vlivem státní politiky zaměstnanosti – růst nabídky rekvalifikací, zvýšení státní podpory lidem v prvních měsících nezaměstnanosti). </w:t>
            </w:r>
            <w:r w:rsidRPr="00903591">
              <w:rPr>
                <w:rStyle w:val="normaltextrun"/>
                <w:rFonts w:ascii="Arial" w:eastAsia="MS Gothic" w:hAnsi="Arial" w:cs="Arial"/>
                <w:color w:val="0D0D0D" w:themeColor="text1" w:themeTint="F2"/>
                <w:sz w:val="20"/>
                <w:szCs w:val="20"/>
              </w:rPr>
              <w:t xml:space="preserve">Na druhou stranu </w:t>
            </w:r>
            <w:r w:rsidRPr="00903591">
              <w:rPr>
                <w:rFonts w:ascii="Arial" w:hAnsi="Arial" w:cs="Arial"/>
                <w:sz w:val="20"/>
                <w:szCs w:val="20"/>
              </w:rPr>
              <w:t>m</w:t>
            </w:r>
            <w:r w:rsidRPr="0090359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zdový růst v ekonomice stále tlumila potřeba úspor v rozpočtové sféře a také vytrvale rostoucí počet zahraničních pracovníků ze „třetích zemí“. Ti často obsazují nízkokvalifikované pozice a jejich výdělky tudíž zpravidla nedosahují úrovně občanů Česka</w:t>
            </w:r>
            <w:r w:rsidRPr="00903591">
              <w:rPr>
                <w:rStyle w:val="Znakapoznpodarou"/>
                <w:rFonts w:ascii="Arial" w:hAnsi="Arial"/>
                <w:color w:val="0D0D0D" w:themeColor="text1" w:themeTint="F2"/>
                <w:sz w:val="20"/>
                <w:szCs w:val="20"/>
              </w:rPr>
              <w:footnoteReference w:id="32"/>
            </w:r>
            <w:r w:rsidRPr="0090359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</w:p>
          <w:p w14:paraId="62677564" w14:textId="77777777" w:rsidR="009D4785" w:rsidRPr="00903591" w:rsidRDefault="009D4785" w:rsidP="00A96D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9D4785" w:rsidRPr="00016778" w14:paraId="045E2366" w14:textId="77777777" w:rsidTr="00A96D94">
        <w:trPr>
          <w:trHeight w:val="132"/>
        </w:trPr>
        <w:tc>
          <w:tcPr>
            <w:tcW w:w="1713" w:type="dxa"/>
            <w:tcMar>
              <w:left w:w="0" w:type="dxa"/>
            </w:tcMar>
          </w:tcPr>
          <w:p w14:paraId="0A69A66E" w14:textId="77777777" w:rsidR="009D4785" w:rsidRPr="00CB26B8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Svižný růst kupní síly průměrných mezd přetrvával. Kupní síla se nacházela na úrovni z konce roku 2019.</w:t>
            </w:r>
          </w:p>
          <w:p w14:paraId="12226D68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89" w:type="dxa"/>
            <w:tcMar>
              <w:left w:w="0" w:type="dxa"/>
            </w:tcMar>
          </w:tcPr>
          <w:p w14:paraId="4DCBDF09" w14:textId="77777777" w:rsidR="009D4785" w:rsidRPr="00016778" w:rsidRDefault="009D4785" w:rsidP="00A96D94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21383536" w14:textId="77777777" w:rsidR="009D4785" w:rsidRPr="00903591" w:rsidRDefault="009D4785" w:rsidP="00A96D94">
            <w:pPr>
              <w:spacing w:after="200"/>
              <w:rPr>
                <w:rFonts w:eastAsiaTheme="majorEastAsia" w:cs="Arial"/>
                <w:color w:val="000000"/>
                <w:szCs w:val="20"/>
              </w:rPr>
            </w:pP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Při stabilizaci vývoje spotřebitelských cen tak vystoupal meziroční růst průměrné reálné mzdy ve 4. čtvrtletí na 5,1 % (za celý loňský rok na 4,6 %, podobně i v roce 2024). Byť jde o vysoký růst, ve srovnání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s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konjunkturními roky 2018 a 2019 zhruba o 1 p. b. zaostává. Meziročně se kupní síla mezd zvýšila ve všech hlavních odvětvích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br/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>(vč. nejvýznamnějších oborů zpracovatelského průmyslu), což platilo i v předchozích loňských čtvrtletích. Na úrovn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i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celé ekonomiky roste meziročně reálná mzda nepřetržitě od počátku roku 2024. Celkově se aktuální kupní síla hrubých mezd aktuálně nacházela na úrovni 4. čtvrtletí 2019, u čistých výdělků již tuto úroveň patrně mírně překročila</w:t>
            </w:r>
            <w:r w:rsidRPr="00903591">
              <w:rPr>
                <w:rStyle w:val="Znakapoznpodarou"/>
                <w:rFonts w:eastAsia="MS Gothic"/>
                <w:color w:val="0D0D0D" w:themeColor="text1" w:themeTint="F2"/>
                <w:szCs w:val="20"/>
              </w:rPr>
              <w:footnoteReference w:id="33"/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>.</w:t>
            </w:r>
          </w:p>
        </w:tc>
      </w:tr>
      <w:tr w:rsidR="009D4785" w:rsidRPr="00016778" w14:paraId="338A72DB" w14:textId="77777777" w:rsidTr="00A96D94">
        <w:trPr>
          <w:trHeight w:val="132"/>
        </w:trPr>
        <w:tc>
          <w:tcPr>
            <w:tcW w:w="1713" w:type="dxa"/>
            <w:tcMar>
              <w:left w:w="0" w:type="dxa"/>
            </w:tcMar>
          </w:tcPr>
          <w:p w14:paraId="2A80BE2C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9C466F">
              <w:rPr>
                <w:color w:val="0D0D0D" w:themeColor="text1" w:themeTint="F2"/>
                <w:spacing w:val="0"/>
              </w:rPr>
              <w:t xml:space="preserve">Mzdy rostly </w:t>
            </w:r>
            <w:r>
              <w:rPr>
                <w:color w:val="0D0D0D" w:themeColor="text1" w:themeTint="F2"/>
                <w:spacing w:val="0"/>
              </w:rPr>
              <w:t xml:space="preserve">celoročně </w:t>
            </w:r>
            <w:r w:rsidRPr="009C466F">
              <w:rPr>
                <w:color w:val="0D0D0D" w:themeColor="text1" w:themeTint="F2"/>
                <w:spacing w:val="0"/>
              </w:rPr>
              <w:t>relativně nejvíce ve vyspělých podnikových službách</w:t>
            </w:r>
            <w:r>
              <w:rPr>
                <w:color w:val="0D0D0D" w:themeColor="text1" w:themeTint="F2"/>
                <w:spacing w:val="0"/>
              </w:rPr>
              <w:t>, ve 4. čtvrtletí pak v energetice.</w:t>
            </w:r>
          </w:p>
          <w:p w14:paraId="280C67B7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EF3A720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45F7A0C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DDA0F47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188E65D" w14:textId="77777777" w:rsidR="009D4785" w:rsidRPr="009C466F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9C466F">
              <w:rPr>
                <w:color w:val="0D0D0D" w:themeColor="text1" w:themeTint="F2"/>
                <w:spacing w:val="0"/>
              </w:rPr>
              <w:lastRenderedPageBreak/>
              <w:t xml:space="preserve">Významně si ale polepšili i zaměstnanci </w:t>
            </w:r>
            <w:r>
              <w:rPr>
                <w:color w:val="0D0D0D" w:themeColor="text1" w:themeTint="F2"/>
                <w:spacing w:val="0"/>
              </w:rPr>
              <w:t xml:space="preserve">ve stavebnictví či </w:t>
            </w:r>
            <w:r>
              <w:rPr>
                <w:color w:val="0D0D0D" w:themeColor="text1" w:themeTint="F2"/>
                <w:spacing w:val="0"/>
              </w:rPr>
              <w:br/>
              <w:t>v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  <w:spacing w:val="0"/>
              </w:rPr>
              <w:t>primárním sektoru.</w:t>
            </w:r>
          </w:p>
        </w:tc>
        <w:tc>
          <w:tcPr>
            <w:tcW w:w="189" w:type="dxa"/>
            <w:tcMar>
              <w:left w:w="0" w:type="dxa"/>
            </w:tcMar>
          </w:tcPr>
          <w:p w14:paraId="2BFA7A3E" w14:textId="77777777" w:rsidR="009D4785" w:rsidRPr="00016778" w:rsidRDefault="009D4785" w:rsidP="00A96D94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43306B20" w14:textId="77777777" w:rsidR="009D4785" w:rsidRPr="00903591" w:rsidRDefault="009D4785" w:rsidP="00A96D94">
            <w:pPr>
              <w:spacing w:after="200"/>
              <w:rPr>
                <w:rFonts w:eastAsiaTheme="majorEastAsia" w:cs="Arial"/>
                <w:color w:val="000000"/>
                <w:szCs w:val="20"/>
              </w:rPr>
            </w:pP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Meziroční růst </w:t>
            </w:r>
            <w:r w:rsidRPr="00903591">
              <w:rPr>
                <w:rStyle w:val="normaltextrun"/>
                <w:rFonts w:eastAsiaTheme="majorEastAsia" w:cs="Arial"/>
                <w:color w:val="000000" w:themeColor="text1"/>
                <w:szCs w:val="20"/>
              </w:rPr>
              <w:t xml:space="preserve">mezd na konci loňského roku se </w:t>
            </w:r>
            <w:r>
              <w:rPr>
                <w:rStyle w:val="normaltextrun"/>
                <w:rFonts w:eastAsiaTheme="majorEastAsia" w:cs="Arial"/>
                <w:color w:val="000000" w:themeColor="text1"/>
                <w:szCs w:val="20"/>
              </w:rPr>
              <w:t xml:space="preserve">ve </w:t>
            </w:r>
            <w:r w:rsidRPr="00903591">
              <w:rPr>
                <w:rStyle w:val="normaltextrun"/>
                <w:rFonts w:eastAsiaTheme="majorEastAsia" w:cs="Arial"/>
                <w:color w:val="000000" w:themeColor="text1"/>
                <w:szCs w:val="20"/>
              </w:rPr>
              <w:t>většině odvětví příliš nelišil od temp za celý rok 202</w:t>
            </w:r>
            <w:r>
              <w:rPr>
                <w:rStyle w:val="normaltextrun"/>
                <w:rFonts w:eastAsiaTheme="majorEastAsia" w:cs="Arial"/>
                <w:color w:val="000000" w:themeColor="text1"/>
                <w:szCs w:val="20"/>
              </w:rPr>
              <w:t>5</w:t>
            </w:r>
            <w:r w:rsidRPr="00903591">
              <w:rPr>
                <w:rStyle w:val="normaltextrun"/>
                <w:rFonts w:eastAsiaTheme="majorEastAsia" w:cs="Arial"/>
                <w:color w:val="000000" w:themeColor="text1"/>
                <w:szCs w:val="20"/>
              </w:rPr>
              <w:t>. Mezi odvětvími jsou však tradičně patrné významnější rozdíly v 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dynamice mezd. Ty ve 4. čtvrtletí souvisely i s výplatou mimořádných odměn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br/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a předvánočních bonusů. V energetice tak mzdový růst činil 15,8 % (za celý loňský rok jen o 7,8 %). Projevily se zlepšené ekonomické výsledky tohoto odvětví a nižší srovnávací mzdová základna. V profesních, vědeckých a technických činnostech pokračovala vysoká poptávka po kvalifikovaných specialistech a mzda tak ve 4. čtvrtletí 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lastRenderedPageBreak/>
              <w:t>vzrostla o 11,8 % (podobně i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 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v celoročním pohledu, kde šlo o nejvyšší růst mezi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v</w:t>
            </w:r>
            <w:r>
              <w:rPr>
                <w:rStyle w:val="normaltextrun"/>
                <w:rFonts w:eastAsiaTheme="majorEastAsia" w:cs="Arial"/>
                <w:color w:val="000000"/>
              </w:rPr>
              <w:t xml:space="preserve">šemi 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odvětvími). Dařilo se ale i některým odvětvím s tradičně nízkou úrovní mezd – v zemědělství, lesnictví a rybářství výdělky rostly o 11,5 % (nejvíce od 1. čtvrtletí 2008). V pozadí růstu byly dobré hospodářské výsledky (vyšší úroda plodin, růst rentability chovů některých zvířat) i postupující modernizace výroby, jež snižuje nároky na nízkokvalifikovanou pracovní sílu (jež je i tak pro toto odvětví obtížně dostupná). Ve stavebnictví činil mzdový růst 10,9 % (byl vyšší než tempo v celé ekonomice již více než po dva roky), a to při souběžně mírně posilující zaměstnanosti. V administrativních a podpůrných činnostech byly výdělky vyšší o 9,1 % a v dopravě a skladování o rovných 8 %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–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 v obou případech při dlouhodobě klesající zaměstnanosti. To neplatí v činnostech v oblasti nemovitostí, kde navíc mzdy vzrostly o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 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8,8 % a jejich úroveň se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t</w:t>
            </w:r>
            <w:r>
              <w:rPr>
                <w:rStyle w:val="normaltextrun"/>
                <w:rFonts w:eastAsiaTheme="majorEastAsia" w:cs="Arial"/>
                <w:color w:val="000000"/>
              </w:rPr>
              <w:t xml:space="preserve">ak postupně 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blížila hladině celé ekonomiky. </w:t>
            </w:r>
          </w:p>
        </w:tc>
      </w:tr>
      <w:tr w:rsidR="009D4785" w:rsidRPr="00016778" w14:paraId="4C70A136" w14:textId="77777777" w:rsidTr="00A96D94">
        <w:trPr>
          <w:trHeight w:val="132"/>
        </w:trPr>
        <w:tc>
          <w:tcPr>
            <w:tcW w:w="1713" w:type="dxa"/>
            <w:tcMar>
              <w:left w:w="0" w:type="dxa"/>
            </w:tcMar>
          </w:tcPr>
          <w:p w14:paraId="6165194B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6D35E2">
              <w:rPr>
                <w:color w:val="0D0D0D" w:themeColor="text1" w:themeTint="F2"/>
                <w:spacing w:val="0"/>
              </w:rPr>
              <w:lastRenderedPageBreak/>
              <w:t>Mzdový růst v odvětvích s významnou rolí státu loni čtvrtý rok v</w:t>
            </w:r>
            <w:r>
              <w:rPr>
                <w:color w:val="0D0D0D" w:themeColor="text1" w:themeTint="F2"/>
                <w:spacing w:val="0"/>
              </w:rPr>
              <w:t> </w:t>
            </w:r>
            <w:r w:rsidRPr="006D35E2">
              <w:rPr>
                <w:color w:val="0D0D0D" w:themeColor="text1" w:themeTint="F2"/>
                <w:spacing w:val="0"/>
              </w:rPr>
              <w:t>řadě</w:t>
            </w:r>
            <w:r>
              <w:rPr>
                <w:color w:val="0D0D0D" w:themeColor="text1" w:themeTint="F2"/>
                <w:spacing w:val="0"/>
              </w:rPr>
              <w:t xml:space="preserve"> </w:t>
            </w:r>
            <w:r>
              <w:rPr>
                <w:color w:val="0D0D0D" w:themeColor="text1" w:themeTint="F2"/>
              </w:rPr>
              <w:t>zaostal</w:t>
            </w:r>
            <w:r w:rsidRPr="006D35E2">
              <w:rPr>
                <w:color w:val="0D0D0D" w:themeColor="text1" w:themeTint="F2"/>
                <w:spacing w:val="0"/>
              </w:rPr>
              <w:t xml:space="preserve"> za celou ekonomikou.</w:t>
            </w:r>
          </w:p>
        </w:tc>
        <w:tc>
          <w:tcPr>
            <w:tcW w:w="189" w:type="dxa"/>
            <w:tcMar>
              <w:left w:w="0" w:type="dxa"/>
            </w:tcMar>
          </w:tcPr>
          <w:p w14:paraId="7E883500" w14:textId="77777777" w:rsidR="009D4785" w:rsidRPr="00016778" w:rsidRDefault="009D4785" w:rsidP="00A96D94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4A662A46" w14:textId="77777777" w:rsidR="009D4785" w:rsidRPr="00903591" w:rsidRDefault="009D4785" w:rsidP="00A96D94">
            <w:pPr>
              <w:spacing w:after="200"/>
              <w:rPr>
                <w:rStyle w:val="normaltextrun"/>
                <w:rFonts w:eastAsiaTheme="majorEastAsia" w:cs="Arial"/>
                <w:color w:val="000000"/>
                <w:szCs w:val="20"/>
              </w:rPr>
            </w:pP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>V odvětvích s významnou rolí státu se ve 4. čtvrtletí (i po celý loňský rok) mzdy zvyšovaly nejvíce v kulturních, zábavních a rekreačních činnostech, a to o 9,8 % (jejich úroveň však zůstávala stále podprůměrná, na rozdíl od zbylých oblastí veřejných služeb). Ve veřejné správě, obraně a soc. zabezpečení se průměrné mzdy zvýšily o 8,4 % (během roku jejich tempo posilovalo, naopak po celý rok 2024 byl růst velmi nízký). Slabší mzdový růst ve vzdělávání (6,6 %) i ve zdravotní a sociální péči (4,5 %) byl zčásti „obětován“ pokračujícímu svižnému růstu zaměstnanců (v obou případech činil přes 2 %). C</w:t>
            </w:r>
            <w:r w:rsidRPr="00903591">
              <w:rPr>
                <w:rStyle w:val="normaltextrun"/>
                <w:rFonts w:eastAsiaTheme="majorEastAsia" w:cs="Arial"/>
                <w:color w:val="000000"/>
              </w:rPr>
              <w:t>elkově loni mzdový růst v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 odvětvích s významnou rolí státu čtvrtý rok v řadě 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 xml:space="preserve">zaostal </w:t>
            </w:r>
            <w:r w:rsidRPr="00903591">
              <w:rPr>
                <w:rStyle w:val="normaltextrun"/>
                <w:rFonts w:eastAsiaTheme="majorEastAsia" w:cs="Arial"/>
                <w:color w:val="000000"/>
                <w:szCs w:val="20"/>
              </w:rPr>
              <w:t>za celou ekonomikou</w:t>
            </w:r>
            <w:r>
              <w:rPr>
                <w:rStyle w:val="normaltextrun"/>
                <w:rFonts w:eastAsiaTheme="majorEastAsia" w:cs="Arial"/>
                <w:color w:val="000000"/>
                <w:szCs w:val="20"/>
              </w:rPr>
              <w:t>.</w:t>
            </w:r>
          </w:p>
        </w:tc>
      </w:tr>
      <w:tr w:rsidR="009D4785" w:rsidRPr="00716203" w14:paraId="57A56024" w14:textId="77777777" w:rsidTr="00A96D94">
        <w:trPr>
          <w:trHeight w:val="336"/>
        </w:trPr>
        <w:tc>
          <w:tcPr>
            <w:tcW w:w="1713" w:type="dxa"/>
            <w:vMerge w:val="restart"/>
            <w:tcMar>
              <w:left w:w="0" w:type="dxa"/>
            </w:tcMar>
          </w:tcPr>
          <w:p w14:paraId="17E57008" w14:textId="77777777" w:rsidR="009D4785" w:rsidRPr="00A90A79" w:rsidRDefault="009D4785" w:rsidP="00A96D94">
            <w:pPr>
              <w:pStyle w:val="Marginlie"/>
              <w:rPr>
                <w:spacing w:val="-4"/>
              </w:rPr>
            </w:pPr>
          </w:p>
        </w:tc>
        <w:tc>
          <w:tcPr>
            <w:tcW w:w="189" w:type="dxa"/>
            <w:vMerge w:val="restart"/>
            <w:tcMar>
              <w:left w:w="0" w:type="dxa"/>
            </w:tcMar>
          </w:tcPr>
          <w:p w14:paraId="5807AD75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39965771" w14:textId="21510950" w:rsidR="009D4785" w:rsidRPr="003802AE" w:rsidRDefault="009D4785" w:rsidP="00A96D94">
            <w:pPr>
              <w:spacing w:after="0"/>
              <w:jc w:val="left"/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</w:pPr>
            <w:r w:rsidRPr="00BE517C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>Graf č. 1</w:t>
            </w:r>
            <w:r w:rsidR="00281666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>6</w:t>
            </w:r>
            <w:r w:rsidRPr="00BE517C">
              <w:rPr>
                <w:rFonts w:cs="Arial"/>
                <w:b/>
                <w:color w:val="0D0D0D" w:themeColor="text1" w:themeTint="F2"/>
                <w:spacing w:val="-6"/>
                <w:szCs w:val="20"/>
              </w:rPr>
              <w:t xml:space="preserve"> </w:t>
            </w:r>
            <w:r w:rsidRPr="00A90A79"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  <w:t>Průměrná nominální i reálná mzda a produktivita</w:t>
            </w:r>
            <w:r w:rsidRPr="00A90A79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r w:rsidRPr="00A90A79"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  <w:t>práce</w:t>
            </w:r>
            <w:r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  <w:t xml:space="preserve"> v národním hospodářství </w:t>
            </w:r>
            <w:r w:rsidRPr="00BE517C">
              <w:rPr>
                <w:rFonts w:cs="Arial"/>
                <w:color w:val="0D0D0D" w:themeColor="text1" w:themeTint="F2"/>
                <w:spacing w:val="-6"/>
                <w:szCs w:val="20"/>
              </w:rPr>
              <w:t>(meziroční změna, v %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)</w:t>
            </w:r>
          </w:p>
        </w:tc>
      </w:tr>
      <w:tr w:rsidR="009D4785" w:rsidRPr="00716203" w14:paraId="3CA46743" w14:textId="77777777" w:rsidTr="00A96D94">
        <w:tblPrEx>
          <w:tblCellMar>
            <w:left w:w="70" w:type="dxa"/>
            <w:right w:w="70" w:type="dxa"/>
          </w:tblCellMar>
        </w:tblPrEx>
        <w:trPr>
          <w:trHeight w:val="1935"/>
        </w:trPr>
        <w:tc>
          <w:tcPr>
            <w:tcW w:w="1713" w:type="dxa"/>
            <w:vMerge/>
          </w:tcPr>
          <w:p w14:paraId="7E6639F6" w14:textId="77777777" w:rsidR="009D4785" w:rsidRPr="00A90A79" w:rsidRDefault="009D4785" w:rsidP="00A96D94">
            <w:pPr>
              <w:pStyle w:val="Marginlie"/>
              <w:rPr>
                <w:spacing w:val="-4"/>
              </w:rPr>
            </w:pPr>
          </w:p>
        </w:tc>
        <w:tc>
          <w:tcPr>
            <w:tcW w:w="189" w:type="dxa"/>
            <w:vMerge/>
          </w:tcPr>
          <w:p w14:paraId="32CAA05C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</w:tcPr>
          <w:p w14:paraId="2276A4FE" w14:textId="77777777" w:rsidR="009D4785" w:rsidRPr="00A90A79" w:rsidRDefault="009D4785" w:rsidP="00A96D94">
            <w:pPr>
              <w:spacing w:before="40" w:after="40"/>
              <w:rPr>
                <w:rFonts w:cs="Arial"/>
                <w:b/>
                <w:color w:val="0D0D0D" w:themeColor="text1" w:themeTint="F2"/>
                <w:spacing w:val="-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0BFFA3" wp14:editId="0B2E9806">
                  <wp:extent cx="4787265" cy="3578087"/>
                  <wp:effectExtent l="0" t="0" r="0" b="3810"/>
                  <wp:docPr id="15874536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3A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9D4785" w:rsidRPr="00716203" w14:paraId="5C2F531C" w14:textId="77777777" w:rsidTr="00A96D94">
        <w:trPr>
          <w:trHeight w:val="475"/>
        </w:trPr>
        <w:tc>
          <w:tcPr>
            <w:tcW w:w="1713" w:type="dxa"/>
            <w:vMerge/>
            <w:tcMar>
              <w:left w:w="0" w:type="dxa"/>
            </w:tcMar>
          </w:tcPr>
          <w:p w14:paraId="0A1A37A8" w14:textId="77777777" w:rsidR="009D4785" w:rsidRPr="00A90A79" w:rsidRDefault="009D4785" w:rsidP="00A96D94">
            <w:pPr>
              <w:pStyle w:val="Marginlie"/>
              <w:rPr>
                <w:spacing w:val="-4"/>
              </w:rPr>
            </w:pPr>
          </w:p>
        </w:tc>
        <w:tc>
          <w:tcPr>
            <w:tcW w:w="189" w:type="dxa"/>
            <w:vMerge/>
            <w:tcMar>
              <w:left w:w="0" w:type="dxa"/>
            </w:tcMar>
          </w:tcPr>
          <w:p w14:paraId="2AD5D1FE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67E5CC52" w14:textId="77777777" w:rsidR="009D4785" w:rsidRDefault="009D4785" w:rsidP="00A96D94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*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Zahrnuj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e odvětví s významnou rolí vládního sektoru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: Veřejná správa a obrana, povinné sociální zabezpečení; Vzdělávání; Zdravotní a sociální péče; Kulturn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í, zábavní a rekreační činnosti.</w:t>
            </w:r>
          </w:p>
          <w:p w14:paraId="75DC57D4" w14:textId="77777777" w:rsidR="009D4785" w:rsidRDefault="009D4785" w:rsidP="00A96D94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**Vyjadřuje HDP v celé ekonomice (ve </w:t>
            </w:r>
            <w:r w:rsidRPr="00BF2767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srovnateln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ých</w:t>
            </w:r>
            <w:r w:rsidRPr="00BF2767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cen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ách</w:t>
            </w:r>
            <w:r w:rsidRPr="00BF2767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roku 2020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) vztažený na pracovníka (ve fyzických osobách). </w:t>
            </w:r>
          </w:p>
          <w:p w14:paraId="21224B64" w14:textId="77777777" w:rsidR="009D4785" w:rsidRDefault="009D4785" w:rsidP="00A96D94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***Vyjadřuje HDP v celé ekonomice (ve </w:t>
            </w:r>
            <w:r w:rsidRPr="00BF2767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srovnateln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ých</w:t>
            </w:r>
            <w:r w:rsidRPr="00BF2767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cen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ách</w:t>
            </w:r>
            <w:r w:rsidRPr="00BF2767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roku 2020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) vztažený na celkový počet odpracovaných hodin. </w:t>
            </w:r>
          </w:p>
          <w:p w14:paraId="3BB2FA0B" w14:textId="77777777" w:rsidR="009D4785" w:rsidRPr="00163F5D" w:rsidRDefault="009D4785" w:rsidP="00A96D94">
            <w:pPr>
              <w:spacing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</w:t>
            </w:r>
            <w:r w:rsidRPr="00A90A79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Zdroj: ČSÚ</w:t>
            </w:r>
          </w:p>
        </w:tc>
      </w:tr>
      <w:tr w:rsidR="009D4785" w:rsidRPr="00716203" w14:paraId="612D2609" w14:textId="77777777" w:rsidTr="00A96D94">
        <w:trPr>
          <w:trHeight w:val="475"/>
        </w:trPr>
        <w:tc>
          <w:tcPr>
            <w:tcW w:w="1713" w:type="dxa"/>
            <w:tcMar>
              <w:left w:w="0" w:type="dxa"/>
            </w:tcMar>
          </w:tcPr>
          <w:p w14:paraId="1E942E38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 xml:space="preserve">Do přetrvávajících umírněných mzdových temp v průmyslu se promítají složité </w:t>
            </w:r>
            <w:r>
              <w:rPr>
                <w:color w:val="0D0D0D" w:themeColor="text1" w:themeTint="F2"/>
                <w:spacing w:val="0"/>
              </w:rPr>
              <w:lastRenderedPageBreak/>
              <w:t>ekonomické podmínky tohoto odvětví.</w:t>
            </w:r>
          </w:p>
          <w:p w14:paraId="35BDD40A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4E7C583A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135185AF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39825188" w14:textId="77777777" w:rsidR="009D4785" w:rsidRDefault="009D4785" w:rsidP="00A96D94">
            <w:pPr>
              <w:pStyle w:val="Marginlie"/>
              <w:rPr>
                <w:color w:val="0D0D0D" w:themeColor="text1" w:themeTint="F2"/>
              </w:rPr>
            </w:pPr>
          </w:p>
          <w:p w14:paraId="577EA8C5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11D69A8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506B0E93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61AEE40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 xml:space="preserve">V peněžnictví </w:t>
            </w:r>
            <w:r>
              <w:rPr>
                <w:color w:val="0D0D0D" w:themeColor="text1" w:themeTint="F2"/>
                <w:spacing w:val="0"/>
              </w:rPr>
              <w:br/>
              <w:t>a pojišťovnictví bylo relativní mzdové tempo nadále podprůměrné.</w:t>
            </w:r>
          </w:p>
        </w:tc>
        <w:tc>
          <w:tcPr>
            <w:tcW w:w="189" w:type="dxa"/>
            <w:tcMar>
              <w:left w:w="0" w:type="dxa"/>
            </w:tcMar>
          </w:tcPr>
          <w:p w14:paraId="4232E6B7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35C9CFAD" w14:textId="77777777" w:rsidR="009D4785" w:rsidRPr="00903591" w:rsidRDefault="009D4785" w:rsidP="00A96D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Slabší hospodářské výsledky spolu se stále významnými nákladovými tlaky se propsaly do relativně umírněného růstu mezd ve zpracovatelském průmyslu, jenž ve 4. čtvrtletí 2025 činil 6,8 % (za celý rok 6,6 %). Z hlavních oborů se výdělky zvýšily nejvíce ve výrobě 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lastRenderedPageBreak/>
              <w:t xml:space="preserve">motorových vozidel (+7,5 %, na 59,4 tis. korun měsíčně), nejméně v jeho subdodavatelském oboru – gumárenství a </w:t>
            </w:r>
            <w:proofErr w:type="spellStart"/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plastikářství</w:t>
            </w:r>
            <w:proofErr w:type="spellEnd"/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(+5,1 %). Nadále platí, že z hlavních zpracovatelských oborů se počet zaměstnanců zvyšuje jen v potravinářství (v oblasti </w:t>
            </w:r>
            <w:proofErr w:type="spellStart"/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automotive</w:t>
            </w:r>
            <w:proofErr w:type="spellEnd"/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je naopak pokles jeden z nejvyšších: okolo 3 %). V těžbě a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dobývání meziročně ubyla skoro desetina pracovníků a průměrná mzda rostla druhým rokem slabším tempem (loni ve 4. čtvrtletí o 4,7 %) a její úroveň (hlavně v celoročním pohledu) se již významně nelišila od celé ekonomiky. V odvětví obchodu, soustřeďujícím skoro třetinu zaměstnanců celého tržního segmentu služeb, se mzdy ve 4. čtvrtletí zvýšily o 7,1 % (celoročně o 6,4 %). Podobně tomu bylo v ubytování a stravování a pohostinství a též v informačních a komunikačních činnostech (ICT). I tak však průměrné výdělky v ICT (90,7 tis. korun) zůstaly mezi odvětvími na špici a oproti ubytování a stravování a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pohostinství byly trojnásobně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vyšší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. V peněžnictví a pojišťovnictví se mzdy zvýšily jen o 3,7 % (za celý loňský rok o 5,2 %, šlo o již třetí rok v řadě o podprůměrné tempo). V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</w:t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tomto odvětví však hrají relativně nezanedbatelnou roli i nemzdové finanční benefity (jejichž význam mohl posílit vlivem mírného zvýšení zdanění osob s vysokými příjmy – ve vazbě na konsolidační balíček platný od roku 2024). Nejslabší růst mezd nastal v malém </w:t>
            </w:r>
            <w:proofErr w:type="spellStart"/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nízkovýdělečném</w:t>
            </w:r>
            <w:proofErr w:type="spellEnd"/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odvětví ostatních činností služeb (+3,4 %)</w:t>
            </w:r>
            <w:r w:rsidRPr="00903591">
              <w:rPr>
                <w:rStyle w:val="Znakapoznpodarou"/>
                <w:rFonts w:ascii="Arial" w:eastAsia="MS Gothic" w:hAnsi="Arial" w:cs="Arial"/>
                <w:color w:val="0D0D0D" w:themeColor="text1" w:themeTint="F2"/>
                <w:sz w:val="20"/>
                <w:szCs w:val="20"/>
              </w:rPr>
              <w:footnoteReference w:id="34"/>
            </w:r>
            <w:r w:rsidRPr="00903591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.</w:t>
            </w:r>
          </w:p>
          <w:p w14:paraId="1A30E77B" w14:textId="77777777" w:rsidR="009D4785" w:rsidRPr="009A2DB7" w:rsidRDefault="009D4785" w:rsidP="00A96D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</w:p>
        </w:tc>
      </w:tr>
      <w:tr w:rsidR="009D4785" w:rsidRPr="00716203" w14:paraId="293804FA" w14:textId="77777777" w:rsidTr="00A96D94">
        <w:trPr>
          <w:trHeight w:val="475"/>
        </w:trPr>
        <w:tc>
          <w:tcPr>
            <w:tcW w:w="1713" w:type="dxa"/>
            <w:tcMar>
              <w:left w:w="0" w:type="dxa"/>
            </w:tcMar>
          </w:tcPr>
          <w:p w14:paraId="1C1904A2" w14:textId="77777777" w:rsidR="009D4785" w:rsidRPr="00A90A79" w:rsidRDefault="009D4785" w:rsidP="00A96D94">
            <w:pPr>
              <w:pStyle w:val="Marginlie"/>
              <w:rPr>
                <w:spacing w:val="-4"/>
              </w:rPr>
            </w:pPr>
            <w:r>
              <w:rPr>
                <w:color w:val="0D0D0D" w:themeColor="text1" w:themeTint="F2"/>
                <w:spacing w:val="0"/>
              </w:rPr>
              <w:lastRenderedPageBreak/>
              <w:t>Relativně nejvyšší růst mezd i zaměstnanosti vykázala mezi kraji nadále Praha.</w:t>
            </w:r>
          </w:p>
        </w:tc>
        <w:tc>
          <w:tcPr>
            <w:tcW w:w="189" w:type="dxa"/>
            <w:tcMar>
              <w:left w:w="0" w:type="dxa"/>
            </w:tcMar>
          </w:tcPr>
          <w:p w14:paraId="06D37AC5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7A1988B7" w14:textId="77777777" w:rsidR="009D4785" w:rsidRDefault="009D4785" w:rsidP="00A96D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Mezi regiony rostly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loni 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ve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4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. čtvrtletí průměrné nominální mzdy meziročně nejvíce v Praze (+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7,8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%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, z ostatních krajů v Pardubickém (+7,7 %), Jihomoravském (+7,5 %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)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a také Moravskoslezském (+7,4 %), ve kterém to ale na rozdíl od výše uvedených regionů bylo spojeno s poklesem zaměstnanosti.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N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ejméně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se mzdy zvyšovaly v kraji Karlovarském, Libereckém a Zlínském (od 6,1 % do 6,3 %)</w:t>
            </w:r>
            <w:r w:rsidRPr="009A2DB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Téměř identický obraz byl patrný i za celý rok 2025.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Mzdová hladina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aktuálně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převyš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uje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úroveň celé ekonomiky jen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v</w:t>
            </w:r>
            <w:r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Praze (+2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4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%) a těsně pod průměrem byla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v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kraji Středočeském a Jihomoravském, naopak zaostávala nejvíce v kraji Karlovarském (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−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14 %) a o desetinu v Libereckém,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Olomouckém,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Zlínském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a Moravskoslezském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kraji.</w:t>
            </w:r>
          </w:p>
          <w:p w14:paraId="409EDAAD" w14:textId="77777777" w:rsidR="009D4785" w:rsidRDefault="009D4785" w:rsidP="00A96D94">
            <w:pPr>
              <w:spacing w:after="0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</w:p>
        </w:tc>
      </w:tr>
      <w:tr w:rsidR="009D4785" w:rsidRPr="00716203" w14:paraId="5152B5E3" w14:textId="77777777" w:rsidTr="00A96D94">
        <w:trPr>
          <w:trHeight w:val="475"/>
        </w:trPr>
        <w:tc>
          <w:tcPr>
            <w:tcW w:w="1713" w:type="dxa"/>
            <w:tcMar>
              <w:left w:w="0" w:type="dxa"/>
            </w:tcMar>
          </w:tcPr>
          <w:p w14:paraId="6523B466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Mzdový růst</w:t>
            </w:r>
            <w:r w:rsidRPr="00A3758A">
              <w:rPr>
                <w:color w:val="0D0D0D" w:themeColor="text1" w:themeTint="F2"/>
                <w:spacing w:val="-4"/>
              </w:rPr>
              <w:t xml:space="preserve"> nejhůře placený</w:t>
            </w:r>
            <w:r>
              <w:rPr>
                <w:color w:val="0D0D0D" w:themeColor="text1" w:themeTint="F2"/>
                <w:spacing w:val="-4"/>
              </w:rPr>
              <w:t>ch</w:t>
            </w:r>
            <w:r w:rsidRPr="00A3758A">
              <w:rPr>
                <w:color w:val="0D0D0D" w:themeColor="text1" w:themeTint="F2"/>
                <w:spacing w:val="-4"/>
              </w:rPr>
              <w:t xml:space="preserve"> zaměstnanců</w:t>
            </w:r>
            <w:r>
              <w:rPr>
                <w:color w:val="0D0D0D" w:themeColor="text1" w:themeTint="F2"/>
                <w:spacing w:val="-4"/>
              </w:rPr>
              <w:t xml:space="preserve"> na konci roku výrazně zrychlil</w:t>
            </w:r>
            <w:r w:rsidRPr="00A3758A">
              <w:rPr>
                <w:color w:val="0D0D0D" w:themeColor="text1" w:themeTint="F2"/>
                <w:spacing w:val="-4"/>
              </w:rPr>
              <w:t xml:space="preserve">. </w:t>
            </w:r>
          </w:p>
          <w:p w14:paraId="25CC9522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3481F84B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791F1EE6" w14:textId="77777777" w:rsidR="009D4785" w:rsidRDefault="009D4785" w:rsidP="00A96D94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39F14C99" w14:textId="77777777" w:rsidR="009D4785" w:rsidRPr="00A90A79" w:rsidRDefault="009D4785" w:rsidP="00A96D94">
            <w:pPr>
              <w:pStyle w:val="Marginlie"/>
              <w:rPr>
                <w:spacing w:val="-4"/>
              </w:rPr>
            </w:pPr>
            <w:r w:rsidRPr="00A3758A">
              <w:rPr>
                <w:color w:val="0D0D0D" w:themeColor="text1" w:themeTint="F2"/>
                <w:spacing w:val="-4"/>
              </w:rPr>
              <w:t xml:space="preserve">Celkové mzdové diference </w:t>
            </w:r>
            <w:r>
              <w:rPr>
                <w:color w:val="0D0D0D" w:themeColor="text1" w:themeTint="F2"/>
                <w:spacing w:val="-4"/>
              </w:rPr>
              <w:t xml:space="preserve">meziročně narostly. Mezera ve výdělcích mezi muži </w:t>
            </w:r>
            <w:r>
              <w:rPr>
                <w:color w:val="0D0D0D" w:themeColor="text1" w:themeTint="F2"/>
                <w:spacing w:val="-4"/>
              </w:rPr>
              <w:br/>
              <w:t>a ženami se ale zúžila.</w:t>
            </w:r>
          </w:p>
        </w:tc>
        <w:tc>
          <w:tcPr>
            <w:tcW w:w="189" w:type="dxa"/>
            <w:tcMar>
              <w:left w:w="0" w:type="dxa"/>
            </w:tcMar>
          </w:tcPr>
          <w:p w14:paraId="79146AE9" w14:textId="77777777" w:rsidR="009D4785" w:rsidRPr="00B43216" w:rsidRDefault="009D4785" w:rsidP="00A96D94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72" w:type="dxa"/>
            <w:tcMar>
              <w:left w:w="0" w:type="dxa"/>
            </w:tcMar>
          </w:tcPr>
          <w:p w14:paraId="1F566AFA" w14:textId="77777777" w:rsidR="009D4785" w:rsidRPr="00321922" w:rsidRDefault="009D4785" w:rsidP="00A96D94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eastAsiaTheme="majorEastAsia" w:hAnsi="Arial" w:cs="Arial"/>
                <w:color w:val="000000"/>
                <w:sz w:val="20"/>
                <w:szCs w:val="20"/>
              </w:rPr>
            </w:pP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Medián mezd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dosáhl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ve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4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. čtvrtletí 4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5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,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5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tis. korun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měsíčně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a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vzrostl meziročně o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8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,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8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%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, tedy nejvíce za posledních čtyři a půl roku (celoroční mzdový medián dosáhl loni 44,3 tis. korun, meziročně +6,4 %). Rychleji rostl na konci roku u žen (9,5 %, na 42,7 tis.).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Desetina zaměstnanců s nejnižšími mzdami pobírala hrubou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měsíční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mzdu pod hranicí 2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3,3 tis.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korun (dolní decil meziročně vzrostl o 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vysokých 13,8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%), desetina s nejvyššími mzdami měla výdělky nad hranicí 8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9,0 tis.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korun (horní decil se zvýšil o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7,8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 %). Celkové mzdové diference se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t</w:t>
            </w:r>
            <w:r w:rsidRPr="00A06E0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ak ve 4. čtvrtletí 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meziročně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snížily (v předchozí části loňského roku se však téměř neměnily)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. Mezera v prostředních výdělcích dle pohlaví 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klesla o 1 p. b. a činila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1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,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7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 %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(u výdělků na dolním decilu byl rozdíl jen 3,8 %)</w:t>
            </w:r>
            <w:r w:rsidRPr="00D27E97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.</w:t>
            </w:r>
            <w:r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 xml:space="preserve"> Relativně nejvíce tak rostly celkově nejnižší mzdy, hlavně díky řadě odvětví tržních služeb (ale zčásti i státu – např. v kultuře a sociálních službách), kde se prohlubuje nedostatek volné pracovní síly a zároveň má stále (i po zrušení zaručených mezd v tržní sféře) dílčí vliv i pokračující růst zákonné minimální mzdy. </w:t>
            </w:r>
          </w:p>
        </w:tc>
      </w:tr>
    </w:tbl>
    <w:p w14:paraId="6D18A0BA" w14:textId="77777777" w:rsidR="009D4785" w:rsidRPr="00A40EDD" w:rsidRDefault="009D4785" w:rsidP="009D4785">
      <w:pPr>
        <w:spacing w:after="0" w:line="240" w:lineRule="auto"/>
        <w:jc w:val="left"/>
        <w:rPr>
          <w:rFonts w:eastAsia="MS Gothic"/>
          <w:b/>
          <w:bCs/>
          <w:color w:val="86BF5E"/>
          <w:sz w:val="6"/>
          <w:szCs w:val="6"/>
        </w:rPr>
      </w:pPr>
    </w:p>
    <w:p w14:paraId="7AD46FB7" w14:textId="7BD99EC4" w:rsidR="009D4785" w:rsidRDefault="009D4785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</w:rPr>
      </w:pPr>
    </w:p>
    <w:sectPr w:rsidR="009D4785" w:rsidSect="00D83F76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2337" w14:textId="77777777" w:rsidR="008C140B" w:rsidRDefault="008C140B" w:rsidP="00E71A58">
      <w:r>
        <w:separator/>
      </w:r>
    </w:p>
  </w:endnote>
  <w:endnote w:type="continuationSeparator" w:id="0">
    <w:p w14:paraId="2CF98884" w14:textId="77777777" w:rsidR="008C140B" w:rsidRDefault="008C140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6A50CB9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F25B4A">
      <w:rPr>
        <w:szCs w:val="16"/>
      </w:rPr>
      <w:t>rok</w:t>
    </w:r>
    <w:r w:rsidR="00C5418A">
      <w:rPr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DCC68EF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F25B4A">
      <w:rPr>
        <w:szCs w:val="16"/>
      </w:rPr>
      <w:t>rok</w:t>
    </w:r>
    <w:r>
      <w:rPr>
        <w:szCs w:val="16"/>
      </w:rPr>
      <w:t xml:space="preserve">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BFE0" w14:textId="77777777" w:rsidR="008C140B" w:rsidRDefault="008C140B" w:rsidP="00EA4302">
      <w:pPr>
        <w:spacing w:after="0"/>
      </w:pPr>
      <w:r>
        <w:separator/>
      </w:r>
    </w:p>
  </w:footnote>
  <w:footnote w:type="continuationSeparator" w:id="0">
    <w:p w14:paraId="7FA607BC" w14:textId="77777777" w:rsidR="008C140B" w:rsidRDefault="008C140B" w:rsidP="00E71A58">
      <w:r>
        <w:continuationSeparator/>
      </w:r>
    </w:p>
  </w:footnote>
  <w:footnote w:id="1">
    <w:p w14:paraId="65AE693F" w14:textId="77777777" w:rsidR="009D4785" w:rsidRPr="00F72E52" w:rsidRDefault="009D4785" w:rsidP="009D4785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F72E52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F72E52">
        <w:rPr>
          <w:color w:val="0D0D0D" w:themeColor="text1" w:themeTint="F2"/>
          <w:spacing w:val="-2"/>
          <w:sz w:val="16"/>
          <w:szCs w:val="16"/>
        </w:rPr>
        <w:t xml:space="preserve"> Údaje </w:t>
      </w:r>
      <w:r>
        <w:rPr>
          <w:color w:val="0D0D0D" w:themeColor="text1" w:themeTint="F2"/>
          <w:spacing w:val="-2"/>
          <w:sz w:val="16"/>
          <w:szCs w:val="16"/>
        </w:rPr>
        <w:t xml:space="preserve">o zaměstnanosti </w:t>
      </w:r>
      <w:r w:rsidRPr="00F72E52">
        <w:rPr>
          <w:color w:val="0D0D0D" w:themeColor="text1" w:themeTint="F2"/>
          <w:spacing w:val="-2"/>
          <w:sz w:val="16"/>
          <w:szCs w:val="16"/>
        </w:rPr>
        <w:t>vycház</w:t>
      </w:r>
      <w:r>
        <w:rPr>
          <w:color w:val="0D0D0D" w:themeColor="text1" w:themeTint="F2"/>
          <w:spacing w:val="-2"/>
          <w:sz w:val="16"/>
          <w:szCs w:val="16"/>
        </w:rPr>
        <w:t>ej</w:t>
      </w:r>
      <w:r w:rsidRPr="00F72E52">
        <w:rPr>
          <w:color w:val="0D0D0D" w:themeColor="text1" w:themeTint="F2"/>
          <w:spacing w:val="-2"/>
          <w:sz w:val="16"/>
          <w:szCs w:val="16"/>
        </w:rPr>
        <w:t>í z</w:t>
      </w:r>
      <w:r>
        <w:rPr>
          <w:color w:val="0D0D0D" w:themeColor="text1" w:themeTint="F2"/>
          <w:spacing w:val="-2"/>
          <w:sz w:val="16"/>
          <w:szCs w:val="16"/>
        </w:rPr>
        <w:t> </w:t>
      </w:r>
      <w:r w:rsidRPr="00F72E52">
        <w:rPr>
          <w:color w:val="0D0D0D" w:themeColor="text1" w:themeTint="F2"/>
          <w:spacing w:val="-2"/>
          <w:sz w:val="16"/>
          <w:szCs w:val="16"/>
        </w:rPr>
        <w:t>pojetí národních účtů. Jsou vyjádřeny ve fyzických osobách a</w:t>
      </w:r>
      <w:r>
        <w:rPr>
          <w:color w:val="0D0D0D" w:themeColor="text1" w:themeTint="F2"/>
          <w:spacing w:val="-2"/>
          <w:sz w:val="16"/>
          <w:szCs w:val="16"/>
        </w:rPr>
        <w:t> </w:t>
      </w:r>
      <w:r w:rsidRPr="00F72E52">
        <w:rPr>
          <w:color w:val="0D0D0D" w:themeColor="text1" w:themeTint="F2"/>
          <w:spacing w:val="-2"/>
          <w:sz w:val="16"/>
          <w:szCs w:val="16"/>
        </w:rPr>
        <w:t>očištěny o sezónní vlivy.</w:t>
      </w:r>
      <w:r>
        <w:rPr>
          <w:color w:val="0D0D0D" w:themeColor="text1" w:themeTint="F2"/>
          <w:spacing w:val="-2"/>
          <w:sz w:val="16"/>
          <w:szCs w:val="16"/>
        </w:rPr>
        <w:t xml:space="preserve"> Na rozdíl od údajů z podnikové statistiky či z </w:t>
      </w:r>
      <w:r w:rsidRPr="00946AFA">
        <w:rPr>
          <w:sz w:val="16"/>
          <w:szCs w:val="16"/>
        </w:rPr>
        <w:t xml:space="preserve">výběrového šetření pracovních sil </w:t>
      </w:r>
      <w:r>
        <w:rPr>
          <w:sz w:val="16"/>
          <w:szCs w:val="16"/>
        </w:rPr>
        <w:t>(VŠPS) zahrnují např. i odhad vlivu šedé ekonomiky.</w:t>
      </w:r>
    </w:p>
  </w:footnote>
  <w:footnote w:id="2">
    <w:p w14:paraId="6F0892CA" w14:textId="77777777" w:rsidR="009D4785" w:rsidRPr="000412D4" w:rsidRDefault="009D4785" w:rsidP="009D4785">
      <w:pPr>
        <w:pStyle w:val="Textpoznpodarou"/>
        <w:rPr>
          <w:sz w:val="16"/>
          <w:szCs w:val="16"/>
        </w:rPr>
      </w:pPr>
      <w:r w:rsidRPr="000412D4">
        <w:rPr>
          <w:rStyle w:val="Znakapoznpodarou"/>
          <w:sz w:val="16"/>
          <w:szCs w:val="16"/>
        </w:rPr>
        <w:footnoteRef/>
      </w:r>
      <w:r w:rsidRPr="000412D4">
        <w:rPr>
          <w:sz w:val="16"/>
          <w:szCs w:val="16"/>
        </w:rPr>
        <w:t xml:space="preserve"> V odvětví veřejná správa a obrana, vzdělávání, zdravotní a sociální péče</w:t>
      </w:r>
      <w:r>
        <w:rPr>
          <w:sz w:val="16"/>
          <w:szCs w:val="16"/>
        </w:rPr>
        <w:t xml:space="preserve"> bylo loni 4. čtvrtletí ve srovnání s koncem roku 2018 zaměstnáno o 12 % (+117 tis.) osob více. Významný vliv mělo i navýšení ve stavebnictví (+13 %), profesních</w:t>
      </w:r>
      <w:r w:rsidRPr="00591EF5">
        <w:rPr>
          <w:sz w:val="16"/>
          <w:szCs w:val="16"/>
        </w:rPr>
        <w:t>, vě</w:t>
      </w:r>
      <w:r>
        <w:rPr>
          <w:sz w:val="16"/>
          <w:szCs w:val="16"/>
        </w:rPr>
        <w:t xml:space="preserve">deckých, technických </w:t>
      </w:r>
      <w:r>
        <w:rPr>
          <w:sz w:val="16"/>
          <w:szCs w:val="16"/>
        </w:rPr>
        <w:br/>
        <w:t>a administrativních činnostech (+8 %), i</w:t>
      </w:r>
      <w:r w:rsidRPr="00591EF5">
        <w:rPr>
          <w:sz w:val="16"/>
          <w:szCs w:val="16"/>
        </w:rPr>
        <w:t>nformační</w:t>
      </w:r>
      <w:r>
        <w:rPr>
          <w:sz w:val="16"/>
          <w:szCs w:val="16"/>
        </w:rPr>
        <w:t>ch</w:t>
      </w:r>
      <w:r w:rsidRPr="00591EF5">
        <w:rPr>
          <w:sz w:val="16"/>
          <w:szCs w:val="16"/>
        </w:rPr>
        <w:t xml:space="preserve"> a komunikační</w:t>
      </w:r>
      <w:r>
        <w:rPr>
          <w:sz w:val="16"/>
          <w:szCs w:val="16"/>
        </w:rPr>
        <w:t>ch činnostech (+18 %) a též v oblasti nemovitostí.</w:t>
      </w:r>
    </w:p>
  </w:footnote>
  <w:footnote w:id="3">
    <w:p w14:paraId="36F447B8" w14:textId="77777777" w:rsidR="009D4785" w:rsidRPr="004F5EA9" w:rsidRDefault="009D4785" w:rsidP="009D4785">
      <w:pPr>
        <w:pStyle w:val="Textpoznpodarou"/>
        <w:rPr>
          <w:sz w:val="16"/>
          <w:szCs w:val="16"/>
        </w:rPr>
      </w:pPr>
      <w:r w:rsidRPr="004F5EA9">
        <w:rPr>
          <w:rStyle w:val="Znakapoznpodarou"/>
          <w:sz w:val="16"/>
          <w:szCs w:val="16"/>
        </w:rPr>
        <w:footnoteRef/>
      </w:r>
      <w:r w:rsidRPr="004F5EA9">
        <w:rPr>
          <w:sz w:val="16"/>
          <w:szCs w:val="16"/>
        </w:rPr>
        <w:t xml:space="preserve"> </w:t>
      </w:r>
      <w:r w:rsidRPr="001278CF">
        <w:rPr>
          <w:color w:val="0D0D0D" w:themeColor="text1" w:themeTint="F2"/>
          <w:sz w:val="16"/>
          <w:szCs w:val="16"/>
        </w:rPr>
        <w:t>Na rozdíl od předloňského roku se tak tuzemská zaměstnanost zvyšovala rychleji než v</w:t>
      </w:r>
      <w:r>
        <w:rPr>
          <w:color w:val="0D0D0D" w:themeColor="text1" w:themeTint="F2"/>
          <w:sz w:val="16"/>
          <w:szCs w:val="16"/>
        </w:rPr>
        <w:t> </w:t>
      </w:r>
      <w:r w:rsidRPr="001278CF">
        <w:rPr>
          <w:color w:val="0D0D0D" w:themeColor="text1" w:themeTint="F2"/>
          <w:sz w:val="16"/>
          <w:szCs w:val="16"/>
        </w:rPr>
        <w:t>EU</w:t>
      </w:r>
      <w:r>
        <w:rPr>
          <w:color w:val="0D0D0D" w:themeColor="text1" w:themeTint="F2"/>
          <w:sz w:val="16"/>
          <w:szCs w:val="16"/>
        </w:rPr>
        <w:t xml:space="preserve"> (</w:t>
      </w:r>
      <w:r w:rsidRPr="001278CF">
        <w:rPr>
          <w:color w:val="0D0D0D" w:themeColor="text1" w:themeTint="F2"/>
          <w:sz w:val="16"/>
          <w:szCs w:val="16"/>
        </w:rPr>
        <w:t>kde v roce 2025 činil její růst 0,5 %</w:t>
      </w:r>
      <w:r>
        <w:rPr>
          <w:color w:val="0D0D0D" w:themeColor="text1" w:themeTint="F2"/>
          <w:sz w:val="16"/>
          <w:szCs w:val="16"/>
        </w:rPr>
        <w:t xml:space="preserve">), mj. </w:t>
      </w:r>
      <w:r>
        <w:rPr>
          <w:color w:val="0D0D0D" w:themeColor="text1" w:themeTint="F2"/>
          <w:sz w:val="16"/>
          <w:szCs w:val="16"/>
        </w:rPr>
        <w:br/>
        <w:t xml:space="preserve">i proto, že byl tuzemský růst podpořen také </w:t>
      </w:r>
      <w:proofErr w:type="spellStart"/>
      <w:r>
        <w:rPr>
          <w:color w:val="0D0D0D" w:themeColor="text1" w:themeTint="F2"/>
          <w:sz w:val="16"/>
          <w:szCs w:val="16"/>
        </w:rPr>
        <w:t>sebezaměstnanými</w:t>
      </w:r>
      <w:proofErr w:type="spellEnd"/>
      <w:r>
        <w:rPr>
          <w:color w:val="0D0D0D" w:themeColor="text1" w:themeTint="F2"/>
          <w:sz w:val="16"/>
          <w:szCs w:val="16"/>
        </w:rPr>
        <w:t xml:space="preserve"> </w:t>
      </w:r>
      <w:r w:rsidRPr="00ED60FF">
        <w:rPr>
          <w:color w:val="0D0D0D" w:themeColor="text1" w:themeTint="F2"/>
          <w:sz w:val="16"/>
          <w:szCs w:val="16"/>
        </w:rPr>
        <w:t xml:space="preserve">osobami. </w:t>
      </w:r>
      <w:r>
        <w:rPr>
          <w:color w:val="0D0D0D" w:themeColor="text1" w:themeTint="F2"/>
          <w:sz w:val="16"/>
          <w:szCs w:val="16"/>
        </w:rPr>
        <w:t>Stej</w:t>
      </w:r>
      <w:r w:rsidRPr="00ED60FF">
        <w:rPr>
          <w:color w:val="0D0D0D" w:themeColor="text1" w:themeTint="F2"/>
          <w:sz w:val="16"/>
          <w:szCs w:val="16"/>
        </w:rPr>
        <w:t xml:space="preserve">ně jako v tuzemsku i v Unii se zvyšovala pracovní místa výhradně jen ve stavebnictví (+1,1 %) a napříč odvětvími </w:t>
      </w:r>
      <w:proofErr w:type="gramStart"/>
      <w:r w:rsidRPr="00ED60FF">
        <w:rPr>
          <w:color w:val="0D0D0D" w:themeColor="text1" w:themeTint="F2"/>
          <w:sz w:val="16"/>
          <w:szCs w:val="16"/>
        </w:rPr>
        <w:t xml:space="preserve">služeb </w:t>
      </w:r>
      <w:r w:rsidRPr="00ED60FF">
        <w:rPr>
          <w:color w:val="0D0D0D" w:themeColor="text1" w:themeTint="F2"/>
          <w:spacing w:val="-3"/>
          <w:sz w:val="16"/>
          <w:szCs w:val="16"/>
        </w:rPr>
        <w:t>−</w:t>
      </w:r>
      <w:r w:rsidRPr="00ED60FF">
        <w:rPr>
          <w:color w:val="0D0D0D" w:themeColor="text1" w:themeTint="F2"/>
          <w:sz w:val="16"/>
          <w:szCs w:val="16"/>
        </w:rPr>
        <w:t xml:space="preserve"> nejvíce</w:t>
      </w:r>
      <w:proofErr w:type="gramEnd"/>
      <w:r w:rsidRPr="00ED60FF">
        <w:rPr>
          <w:color w:val="0D0D0D" w:themeColor="text1" w:themeTint="F2"/>
          <w:sz w:val="16"/>
          <w:szCs w:val="16"/>
        </w:rPr>
        <w:t xml:space="preserve"> v oblasti nemovitostí (+2,9 %), peněžnictví a pojišťovnictví (+1,3 %) a také v odvětvích s významnou rolí státu (+1,2 %). Pracovníků naopak ubývalo ve zpracovatelském průmyslu (</w:t>
      </w:r>
      <w:r w:rsidRPr="00ED60FF">
        <w:rPr>
          <w:color w:val="0D0D0D" w:themeColor="text1" w:themeTint="F2"/>
          <w:spacing w:val="-3"/>
          <w:sz w:val="16"/>
          <w:szCs w:val="16"/>
        </w:rPr>
        <w:t xml:space="preserve">−0,7 %), kde se </w:t>
      </w:r>
      <w:r w:rsidRPr="00ED60FF">
        <w:rPr>
          <w:color w:val="0D0D0D" w:themeColor="text1" w:themeTint="F2"/>
          <w:spacing w:val="-2"/>
          <w:sz w:val="16"/>
          <w:szCs w:val="16"/>
        </w:rPr>
        <w:t xml:space="preserve">situace </w:t>
      </w:r>
      <w:r>
        <w:rPr>
          <w:color w:val="0D0D0D" w:themeColor="text1" w:themeTint="F2"/>
          <w:spacing w:val="-2"/>
          <w:sz w:val="16"/>
          <w:szCs w:val="16"/>
        </w:rPr>
        <w:t>dále</w:t>
      </w:r>
      <w:r w:rsidRPr="00ED60FF">
        <w:rPr>
          <w:color w:val="0D0D0D" w:themeColor="text1" w:themeTint="F2"/>
          <w:spacing w:val="-2"/>
          <w:sz w:val="16"/>
          <w:szCs w:val="16"/>
        </w:rPr>
        <w:t xml:space="preserve"> spíše zhorš</w:t>
      </w:r>
      <w:r>
        <w:rPr>
          <w:color w:val="0D0D0D" w:themeColor="text1" w:themeTint="F2"/>
          <w:spacing w:val="-2"/>
          <w:sz w:val="16"/>
          <w:szCs w:val="16"/>
        </w:rPr>
        <w:t>ovala</w:t>
      </w:r>
      <w:r w:rsidRPr="00ED60FF">
        <w:rPr>
          <w:color w:val="0D0D0D" w:themeColor="text1" w:themeTint="F2"/>
          <w:spacing w:val="-2"/>
          <w:sz w:val="16"/>
          <w:szCs w:val="16"/>
        </w:rPr>
        <w:t xml:space="preserve"> (k pozitivnímu obratu nedošlo ani ve 4. čtvrtletí 2025), obdobně jako v primárním sektoru (−4,8 %). Celkový počet pracovníků </w:t>
      </w:r>
      <w:r>
        <w:rPr>
          <w:color w:val="0D0D0D" w:themeColor="text1" w:themeTint="F2"/>
          <w:spacing w:val="-2"/>
          <w:sz w:val="16"/>
          <w:szCs w:val="16"/>
        </w:rPr>
        <w:t xml:space="preserve">v ekonomice </w:t>
      </w:r>
      <w:r w:rsidRPr="00ED60FF">
        <w:rPr>
          <w:color w:val="0D0D0D" w:themeColor="text1" w:themeTint="F2"/>
          <w:spacing w:val="-2"/>
          <w:sz w:val="16"/>
          <w:szCs w:val="16"/>
        </w:rPr>
        <w:t xml:space="preserve">loni vzrostl nejvíce na Maltě (+3,9 %) a z významných </w:t>
      </w:r>
      <w:r>
        <w:rPr>
          <w:color w:val="0D0D0D" w:themeColor="text1" w:themeTint="F2"/>
          <w:spacing w:val="-2"/>
          <w:sz w:val="16"/>
          <w:szCs w:val="16"/>
        </w:rPr>
        <w:t>států</w:t>
      </w:r>
      <w:r w:rsidRPr="00ED60FF">
        <w:rPr>
          <w:color w:val="0D0D0D" w:themeColor="text1" w:themeTint="F2"/>
          <w:spacing w:val="-2"/>
          <w:sz w:val="16"/>
          <w:szCs w:val="16"/>
        </w:rPr>
        <w:t xml:space="preserve"> hlavně ve Španělsku (+2,7 %) a v Itálii (+1,1 %). Ve Francii a také Německu i ve všech dalších s Českem sousedících státech zaměstnanost stagnovala. K významnějšímu poklesu došlo pouze v Rumunsku (−3,5 %), k mírnějšímu pak v Litvě (−0,7 %), Lotyšsku, Estonsku a Finsku (shodně: −0,5 %) a Slovinsku (−0,4 %).</w:t>
      </w:r>
      <w:r w:rsidRPr="00ED60FF">
        <w:rPr>
          <w:color w:val="0D0D0D" w:themeColor="text1" w:themeTint="F2"/>
          <w:spacing w:val="-6"/>
          <w:sz w:val="16"/>
          <w:szCs w:val="16"/>
        </w:rPr>
        <w:t xml:space="preserve"> </w:t>
      </w:r>
      <w:r>
        <w:rPr>
          <w:color w:val="0D0D0D" w:themeColor="text1" w:themeTint="F2"/>
          <w:spacing w:val="-6"/>
          <w:sz w:val="16"/>
          <w:szCs w:val="16"/>
        </w:rPr>
        <w:t xml:space="preserve">Do </w:t>
      </w:r>
      <w:r w:rsidRPr="005F529A">
        <w:rPr>
          <w:color w:val="0D0D0D" w:themeColor="text1" w:themeTint="F2"/>
          <w:sz w:val="16"/>
          <w:szCs w:val="16"/>
        </w:rPr>
        <w:t xml:space="preserve">rozdílných temp mezi členskými státy významně promlouvala zaměstnanost v </w:t>
      </w:r>
      <w:proofErr w:type="gramStart"/>
      <w:r w:rsidRPr="005F529A">
        <w:rPr>
          <w:color w:val="0D0D0D" w:themeColor="text1" w:themeTint="F2"/>
          <w:sz w:val="16"/>
          <w:szCs w:val="16"/>
        </w:rPr>
        <w:t>průmysl</w:t>
      </w:r>
      <w:r>
        <w:rPr>
          <w:color w:val="0D0D0D" w:themeColor="text1" w:themeTint="F2"/>
          <w:sz w:val="16"/>
          <w:szCs w:val="16"/>
        </w:rPr>
        <w:t>u</w:t>
      </w:r>
      <w:r w:rsidRPr="005F529A">
        <w:rPr>
          <w:color w:val="0D0D0D" w:themeColor="text1" w:themeTint="F2"/>
          <w:sz w:val="16"/>
          <w:szCs w:val="16"/>
        </w:rPr>
        <w:t xml:space="preserve"> − nejrychleji</w:t>
      </w:r>
      <w:proofErr w:type="gramEnd"/>
      <w:r w:rsidRPr="005F529A">
        <w:rPr>
          <w:color w:val="0D0D0D" w:themeColor="text1" w:themeTint="F2"/>
          <w:sz w:val="16"/>
          <w:szCs w:val="16"/>
        </w:rPr>
        <w:t xml:space="preserve"> rostla ve Španělsku (</w:t>
      </w:r>
      <w:r>
        <w:rPr>
          <w:color w:val="0D0D0D" w:themeColor="text1" w:themeTint="F2"/>
          <w:sz w:val="16"/>
          <w:szCs w:val="16"/>
        </w:rPr>
        <w:t>+</w:t>
      </w:r>
      <w:r w:rsidRPr="005F529A">
        <w:rPr>
          <w:color w:val="0D0D0D" w:themeColor="text1" w:themeTint="F2"/>
          <w:sz w:val="16"/>
          <w:szCs w:val="16"/>
        </w:rPr>
        <w:t xml:space="preserve">3,9 %) </w:t>
      </w:r>
      <w:r>
        <w:rPr>
          <w:color w:val="0D0D0D" w:themeColor="text1" w:themeTint="F2"/>
          <w:sz w:val="16"/>
          <w:szCs w:val="16"/>
        </w:rPr>
        <w:br/>
      </w:r>
      <w:r w:rsidRPr="005F529A">
        <w:rPr>
          <w:color w:val="0D0D0D" w:themeColor="text1" w:themeTint="F2"/>
          <w:sz w:val="16"/>
          <w:szCs w:val="16"/>
        </w:rPr>
        <w:t xml:space="preserve">a Irsku (+3,6 %), nejvíce </w:t>
      </w:r>
      <w:r>
        <w:rPr>
          <w:color w:val="0D0D0D" w:themeColor="text1" w:themeTint="F2"/>
          <w:sz w:val="16"/>
          <w:szCs w:val="16"/>
        </w:rPr>
        <w:t>se snižovala</w:t>
      </w:r>
      <w:r w:rsidRPr="005F529A">
        <w:rPr>
          <w:color w:val="0D0D0D" w:themeColor="text1" w:themeTint="F2"/>
          <w:sz w:val="16"/>
          <w:szCs w:val="16"/>
        </w:rPr>
        <w:t xml:space="preserve"> v Estonsku (−4,5 %) </w:t>
      </w:r>
      <w:r>
        <w:rPr>
          <w:color w:val="0D0D0D" w:themeColor="text1" w:themeTint="F2"/>
          <w:sz w:val="16"/>
          <w:szCs w:val="16"/>
        </w:rPr>
        <w:t>či</w:t>
      </w:r>
      <w:r w:rsidRPr="005F529A">
        <w:rPr>
          <w:color w:val="0D0D0D" w:themeColor="text1" w:themeTint="F2"/>
          <w:sz w:val="16"/>
          <w:szCs w:val="16"/>
        </w:rPr>
        <w:t xml:space="preserve"> Rumunsku (−4,2 %) a v Německu se pokles prohloubil na 1,8 %.</w:t>
      </w:r>
    </w:p>
  </w:footnote>
  <w:footnote w:id="4">
    <w:p w14:paraId="54702CE4" w14:textId="77777777" w:rsidR="009D4785" w:rsidRPr="004D3AFF" w:rsidRDefault="009D4785" w:rsidP="009D4785">
      <w:pPr>
        <w:pStyle w:val="Textpoznpodarou"/>
        <w:rPr>
          <w:sz w:val="16"/>
          <w:szCs w:val="16"/>
        </w:rPr>
      </w:pPr>
      <w:r w:rsidRPr="004D3AFF">
        <w:rPr>
          <w:rStyle w:val="Znakapoznpodarou"/>
          <w:sz w:val="16"/>
          <w:szCs w:val="16"/>
        </w:rPr>
        <w:footnoteRef/>
      </w:r>
      <w:r w:rsidRPr="004D3AFF">
        <w:rPr>
          <w:sz w:val="16"/>
          <w:szCs w:val="16"/>
        </w:rPr>
        <w:t xml:space="preserve"> Z podrobnějších údajů </w:t>
      </w:r>
      <w:r>
        <w:rPr>
          <w:sz w:val="16"/>
          <w:szCs w:val="16"/>
        </w:rPr>
        <w:t xml:space="preserve">VŠPS </w:t>
      </w:r>
      <w:r w:rsidRPr="004D3AFF">
        <w:rPr>
          <w:sz w:val="16"/>
          <w:szCs w:val="16"/>
        </w:rPr>
        <w:t>plyne, že ve 3.</w:t>
      </w:r>
      <w:r>
        <w:rPr>
          <w:sz w:val="16"/>
          <w:szCs w:val="16"/>
        </w:rPr>
        <w:t xml:space="preserve"> i 4</w:t>
      </w:r>
      <w:r w:rsidRPr="004D3AFF">
        <w:rPr>
          <w:sz w:val="16"/>
          <w:szCs w:val="16"/>
        </w:rPr>
        <w:t xml:space="preserve"> čtvrtletí 2025 se meziročně zvyšovaly jak počty podnikatel</w:t>
      </w:r>
      <w:r>
        <w:rPr>
          <w:sz w:val="16"/>
          <w:szCs w:val="16"/>
        </w:rPr>
        <w:t>ů</w:t>
      </w:r>
      <w:r w:rsidRPr="004D3AFF">
        <w:rPr>
          <w:sz w:val="16"/>
          <w:szCs w:val="16"/>
        </w:rPr>
        <w:t xml:space="preserve"> bez zaměstnanců, tak </w:t>
      </w:r>
      <w:r>
        <w:rPr>
          <w:sz w:val="16"/>
          <w:szCs w:val="16"/>
        </w:rPr>
        <w:br/>
        <w:t xml:space="preserve">i </w:t>
      </w:r>
      <w:r w:rsidRPr="004D3AFF">
        <w:rPr>
          <w:sz w:val="16"/>
          <w:szCs w:val="16"/>
        </w:rPr>
        <w:t>zaměstnavatelů.</w:t>
      </w:r>
    </w:p>
  </w:footnote>
  <w:footnote w:id="5">
    <w:p w14:paraId="6E7718DE" w14:textId="77777777" w:rsidR="009D4785" w:rsidRDefault="009D4785" w:rsidP="009D4785">
      <w:pPr>
        <w:pStyle w:val="Textpoznpodarou"/>
      </w:pPr>
      <w:r w:rsidRPr="00442EDD">
        <w:rPr>
          <w:rStyle w:val="Znakapoznpodarou"/>
          <w:sz w:val="16"/>
          <w:szCs w:val="16"/>
        </w:rPr>
        <w:footnoteRef/>
      </w:r>
      <w:r w:rsidRPr="00442E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 zjednodušení </w:t>
      </w:r>
      <w:r>
        <w:rPr>
          <w:spacing w:val="-2"/>
          <w:sz w:val="16"/>
          <w:szCs w:val="16"/>
        </w:rPr>
        <w:t>z</w:t>
      </w:r>
      <w:r w:rsidRPr="00442EDD">
        <w:rPr>
          <w:spacing w:val="-2"/>
          <w:sz w:val="16"/>
          <w:szCs w:val="16"/>
        </w:rPr>
        <w:t xml:space="preserve">ahrnují </w:t>
      </w:r>
      <w:r>
        <w:rPr>
          <w:spacing w:val="-2"/>
          <w:sz w:val="16"/>
          <w:szCs w:val="16"/>
        </w:rPr>
        <w:t xml:space="preserve">uskupení </w:t>
      </w:r>
      <w:r w:rsidRPr="00442EDD">
        <w:rPr>
          <w:spacing w:val="-2"/>
          <w:sz w:val="16"/>
          <w:szCs w:val="16"/>
        </w:rPr>
        <w:t>od</w:t>
      </w:r>
      <w:r>
        <w:rPr>
          <w:spacing w:val="-2"/>
          <w:sz w:val="16"/>
          <w:szCs w:val="16"/>
        </w:rPr>
        <w:t>větví Veřejná správa a obrana, Vzdělávání, Z</w:t>
      </w:r>
      <w:r w:rsidRPr="00442EDD">
        <w:rPr>
          <w:spacing w:val="-2"/>
          <w:sz w:val="16"/>
          <w:szCs w:val="16"/>
        </w:rPr>
        <w:t>dravotní a sociální péče.</w:t>
      </w:r>
    </w:p>
  </w:footnote>
  <w:footnote w:id="6">
    <w:p w14:paraId="6A01E805" w14:textId="77777777" w:rsidR="009D4785" w:rsidRDefault="009D4785" w:rsidP="009D4785">
      <w:pPr>
        <w:pStyle w:val="Textpoznpodarou"/>
      </w:pPr>
      <w:r w:rsidRPr="00AF2AB5">
        <w:rPr>
          <w:rStyle w:val="Znakapoznpodarou"/>
          <w:sz w:val="16"/>
          <w:szCs w:val="16"/>
        </w:rPr>
        <w:footnoteRef/>
      </w:r>
      <w:r w:rsidRPr="00AF2AB5">
        <w:rPr>
          <w:sz w:val="16"/>
          <w:szCs w:val="16"/>
        </w:rPr>
        <w:t xml:space="preserve"> </w:t>
      </w:r>
      <w:r>
        <w:rPr>
          <w:sz w:val="16"/>
          <w:szCs w:val="16"/>
        </w:rPr>
        <w:t>Ty zahrnují</w:t>
      </w:r>
      <w:r w:rsidRPr="00AF2AB5">
        <w:rPr>
          <w:sz w:val="16"/>
          <w:szCs w:val="16"/>
        </w:rPr>
        <w:t xml:space="preserve"> vedle</w:t>
      </w:r>
      <w:r w:rsidRPr="00180D79">
        <w:rPr>
          <w:sz w:val="16"/>
          <w:szCs w:val="16"/>
        </w:rPr>
        <w:t xml:space="preserve"> kulturních, zábavních a rekreačních činností např. různé služby pro domácnosti (opravy výrobků, kadeřnické </w:t>
      </w:r>
      <w:r>
        <w:rPr>
          <w:sz w:val="16"/>
          <w:szCs w:val="16"/>
        </w:rPr>
        <w:br/>
      </w:r>
      <w:r w:rsidRPr="00180D79">
        <w:rPr>
          <w:sz w:val="16"/>
          <w:szCs w:val="16"/>
        </w:rPr>
        <w:t xml:space="preserve">a kosmetické činnosti aj.). Zaměstnanost </w:t>
      </w:r>
      <w:r>
        <w:rPr>
          <w:sz w:val="16"/>
          <w:szCs w:val="16"/>
        </w:rPr>
        <w:t xml:space="preserve">je </w:t>
      </w:r>
      <w:r w:rsidRPr="00180D79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Pr="00180D79">
        <w:rPr>
          <w:sz w:val="16"/>
          <w:szCs w:val="16"/>
        </w:rPr>
        <w:t>t</w:t>
      </w:r>
      <w:r>
        <w:rPr>
          <w:sz w:val="16"/>
          <w:szCs w:val="16"/>
        </w:rPr>
        <w:t xml:space="preserve">omto odvětví tvořená z více než třetiny </w:t>
      </w:r>
      <w:r w:rsidRPr="00180D79">
        <w:rPr>
          <w:sz w:val="16"/>
          <w:szCs w:val="16"/>
        </w:rPr>
        <w:t>drobnými podnikateli</w:t>
      </w:r>
      <w:r>
        <w:rPr>
          <w:sz w:val="16"/>
          <w:szCs w:val="16"/>
        </w:rPr>
        <w:t xml:space="preserve"> (resp. </w:t>
      </w:r>
      <w:proofErr w:type="spellStart"/>
      <w:r>
        <w:rPr>
          <w:sz w:val="16"/>
          <w:szCs w:val="16"/>
        </w:rPr>
        <w:t>sebezaměstnanými</w:t>
      </w:r>
      <w:proofErr w:type="spellEnd"/>
      <w:r>
        <w:rPr>
          <w:sz w:val="16"/>
          <w:szCs w:val="16"/>
        </w:rPr>
        <w:t>).</w:t>
      </w:r>
    </w:p>
  </w:footnote>
  <w:footnote w:id="7">
    <w:p w14:paraId="662EECE5" w14:textId="77777777" w:rsidR="009D4785" w:rsidRPr="00443624" w:rsidRDefault="009D4785" w:rsidP="009D4785">
      <w:pPr>
        <w:pStyle w:val="Textpoznpodarou"/>
        <w:rPr>
          <w:sz w:val="16"/>
          <w:szCs w:val="16"/>
        </w:rPr>
      </w:pPr>
      <w:r w:rsidRPr="00443624">
        <w:rPr>
          <w:rStyle w:val="Znakapoznpodarou"/>
          <w:sz w:val="16"/>
          <w:szCs w:val="16"/>
        </w:rPr>
        <w:footnoteRef/>
      </w:r>
      <w:r w:rsidRPr="00443624">
        <w:rPr>
          <w:sz w:val="16"/>
          <w:szCs w:val="16"/>
        </w:rPr>
        <w:t xml:space="preserve"> Údaje </w:t>
      </w:r>
      <w:r w:rsidRPr="00443624">
        <w:rPr>
          <w:color w:val="0D0D0D" w:themeColor="text1" w:themeTint="F2"/>
          <w:spacing w:val="-2"/>
          <w:sz w:val="16"/>
          <w:szCs w:val="16"/>
        </w:rPr>
        <w:t>vycházejí z pojetí národních účtů</w:t>
      </w:r>
      <w:r>
        <w:rPr>
          <w:color w:val="0D0D0D" w:themeColor="text1" w:themeTint="F2"/>
          <w:spacing w:val="-2"/>
          <w:sz w:val="16"/>
          <w:szCs w:val="16"/>
        </w:rPr>
        <w:t xml:space="preserve"> a jsou </w:t>
      </w:r>
      <w:r w:rsidRPr="00F72E52">
        <w:rPr>
          <w:color w:val="0D0D0D" w:themeColor="text1" w:themeTint="F2"/>
          <w:spacing w:val="-2"/>
          <w:sz w:val="16"/>
          <w:szCs w:val="16"/>
        </w:rPr>
        <w:t>očištěny o sezónní vlivy</w:t>
      </w:r>
      <w:r>
        <w:rPr>
          <w:color w:val="0D0D0D" w:themeColor="text1" w:themeTint="F2"/>
          <w:spacing w:val="-2"/>
          <w:sz w:val="16"/>
          <w:szCs w:val="16"/>
        </w:rPr>
        <w:t>.</w:t>
      </w:r>
    </w:p>
  </w:footnote>
  <w:footnote w:id="8">
    <w:p w14:paraId="3142E84E" w14:textId="77777777" w:rsidR="009D4785" w:rsidRPr="00B358BA" w:rsidRDefault="009D4785" w:rsidP="009D4785">
      <w:pPr>
        <w:pStyle w:val="Textpoznpodarou"/>
        <w:rPr>
          <w:sz w:val="16"/>
          <w:szCs w:val="16"/>
        </w:rPr>
      </w:pPr>
      <w:r w:rsidRPr="00B358BA">
        <w:rPr>
          <w:rStyle w:val="Znakapoznpodarou"/>
          <w:sz w:val="16"/>
          <w:szCs w:val="16"/>
        </w:rPr>
        <w:footnoteRef/>
      </w:r>
      <w:r w:rsidRPr="00B358BA">
        <w:rPr>
          <w:sz w:val="16"/>
          <w:szCs w:val="16"/>
        </w:rPr>
        <w:t xml:space="preserve"> </w:t>
      </w:r>
      <w:r w:rsidRPr="00B358BA">
        <w:rPr>
          <w:spacing w:val="-4"/>
          <w:sz w:val="16"/>
          <w:szCs w:val="16"/>
        </w:rPr>
        <w:t>Ve srovnání s </w:t>
      </w:r>
      <w:r>
        <w:rPr>
          <w:spacing w:val="-4"/>
          <w:sz w:val="16"/>
          <w:szCs w:val="16"/>
        </w:rPr>
        <w:t>rokem</w:t>
      </w:r>
      <w:r w:rsidRPr="00B358BA">
        <w:rPr>
          <w:spacing w:val="-4"/>
          <w:sz w:val="16"/>
          <w:szCs w:val="16"/>
        </w:rPr>
        <w:t xml:space="preserve"> 2019 byl l</w:t>
      </w:r>
      <w:r>
        <w:rPr>
          <w:spacing w:val="-4"/>
          <w:sz w:val="16"/>
          <w:szCs w:val="16"/>
        </w:rPr>
        <w:t>oni</w:t>
      </w:r>
      <w:r w:rsidRPr="00B358BA">
        <w:rPr>
          <w:spacing w:val="-4"/>
          <w:sz w:val="16"/>
          <w:szCs w:val="16"/>
        </w:rPr>
        <w:t xml:space="preserve"> počet odpracovaných hodin v ekonomice vyšší o </w:t>
      </w:r>
      <w:r>
        <w:rPr>
          <w:spacing w:val="-4"/>
          <w:sz w:val="16"/>
          <w:szCs w:val="16"/>
        </w:rPr>
        <w:t>5,2</w:t>
      </w:r>
      <w:r w:rsidRPr="00B358BA">
        <w:rPr>
          <w:spacing w:val="-4"/>
          <w:sz w:val="16"/>
          <w:szCs w:val="16"/>
        </w:rPr>
        <w:t xml:space="preserve"> %, z toho u </w:t>
      </w:r>
      <w:proofErr w:type="spellStart"/>
      <w:r w:rsidRPr="00B358BA">
        <w:rPr>
          <w:spacing w:val="-4"/>
          <w:sz w:val="16"/>
          <w:szCs w:val="16"/>
        </w:rPr>
        <w:t>sebezaměstnaných</w:t>
      </w:r>
      <w:proofErr w:type="spellEnd"/>
      <w:r w:rsidRPr="00B358BA">
        <w:rPr>
          <w:spacing w:val="-4"/>
          <w:sz w:val="16"/>
          <w:szCs w:val="16"/>
        </w:rPr>
        <w:t xml:space="preserve"> o </w:t>
      </w:r>
      <w:r>
        <w:rPr>
          <w:spacing w:val="-4"/>
          <w:sz w:val="16"/>
          <w:szCs w:val="16"/>
        </w:rPr>
        <w:t>9</w:t>
      </w:r>
      <w:r w:rsidRPr="00B358BA">
        <w:rPr>
          <w:spacing w:val="-4"/>
          <w:sz w:val="16"/>
          <w:szCs w:val="16"/>
        </w:rPr>
        <w:t>,</w:t>
      </w:r>
      <w:r>
        <w:rPr>
          <w:spacing w:val="-4"/>
          <w:sz w:val="16"/>
          <w:szCs w:val="16"/>
        </w:rPr>
        <w:t>8</w:t>
      </w:r>
      <w:r w:rsidRPr="00B358BA">
        <w:rPr>
          <w:spacing w:val="-4"/>
          <w:sz w:val="16"/>
          <w:szCs w:val="16"/>
        </w:rPr>
        <w:t xml:space="preserve"> %. </w:t>
      </w:r>
      <w:r w:rsidRPr="00B358BA">
        <w:rPr>
          <w:sz w:val="16"/>
          <w:szCs w:val="16"/>
        </w:rPr>
        <w:t>Analogické navýšení u počtu fyzických pracovníků činilo 2,</w:t>
      </w:r>
      <w:r>
        <w:rPr>
          <w:sz w:val="16"/>
          <w:szCs w:val="16"/>
        </w:rPr>
        <w:t>9</w:t>
      </w:r>
      <w:r w:rsidRPr="00B358BA">
        <w:rPr>
          <w:sz w:val="16"/>
          <w:szCs w:val="16"/>
        </w:rPr>
        <w:t xml:space="preserve"> %, z toho u </w:t>
      </w:r>
      <w:proofErr w:type="spellStart"/>
      <w:r w:rsidRPr="00B358BA">
        <w:rPr>
          <w:sz w:val="16"/>
          <w:szCs w:val="16"/>
        </w:rPr>
        <w:t>sebezaměstnaných</w:t>
      </w:r>
      <w:proofErr w:type="spellEnd"/>
      <w:r w:rsidRPr="00B358BA">
        <w:rPr>
          <w:sz w:val="16"/>
          <w:szCs w:val="16"/>
        </w:rPr>
        <w:t xml:space="preserve"> </w:t>
      </w:r>
      <w:r>
        <w:rPr>
          <w:sz w:val="16"/>
          <w:szCs w:val="16"/>
        </w:rPr>
        <w:t>5,4</w:t>
      </w:r>
      <w:r w:rsidRPr="00B358BA">
        <w:rPr>
          <w:sz w:val="16"/>
          <w:szCs w:val="16"/>
        </w:rPr>
        <w:t xml:space="preserve"> %.</w:t>
      </w:r>
    </w:p>
  </w:footnote>
  <w:footnote w:id="9">
    <w:p w14:paraId="6ED6CD61" w14:textId="77777777" w:rsidR="009D4785" w:rsidRPr="00930844" w:rsidRDefault="009D4785" w:rsidP="009D4785">
      <w:pPr>
        <w:pStyle w:val="Textpoznpodarou"/>
        <w:rPr>
          <w:sz w:val="16"/>
          <w:szCs w:val="16"/>
        </w:rPr>
      </w:pPr>
      <w:r w:rsidRPr="00930844">
        <w:rPr>
          <w:rStyle w:val="Znakapoznpodarou"/>
          <w:sz w:val="16"/>
          <w:szCs w:val="16"/>
        </w:rPr>
        <w:footnoteRef/>
      </w:r>
      <w:r w:rsidRPr="00930844">
        <w:rPr>
          <w:sz w:val="16"/>
          <w:szCs w:val="16"/>
        </w:rPr>
        <w:t xml:space="preserve"> Jde o činnosti v oblasti nemovitostí</w:t>
      </w:r>
      <w:r>
        <w:rPr>
          <w:sz w:val="16"/>
          <w:szCs w:val="16"/>
        </w:rPr>
        <w:t xml:space="preserve">, kde odpracovaná doba (jako v jediném z hlavních odvětví) loni dokonce mírně poklesla (o 0,3 %). Druhou výjimku představuje odvětví </w:t>
      </w:r>
      <w:r w:rsidRPr="00930844">
        <w:rPr>
          <w:sz w:val="16"/>
          <w:szCs w:val="16"/>
        </w:rPr>
        <w:t>ostatní</w:t>
      </w:r>
      <w:r>
        <w:rPr>
          <w:sz w:val="16"/>
          <w:szCs w:val="16"/>
        </w:rPr>
        <w:t>ch</w:t>
      </w:r>
      <w:r w:rsidRPr="00930844">
        <w:rPr>
          <w:sz w:val="16"/>
          <w:szCs w:val="16"/>
        </w:rPr>
        <w:t xml:space="preserve"> činnost</w:t>
      </w:r>
      <w:r>
        <w:rPr>
          <w:sz w:val="16"/>
          <w:szCs w:val="16"/>
        </w:rPr>
        <w:t xml:space="preserve">í </w:t>
      </w:r>
      <w:r w:rsidRPr="00930844">
        <w:rPr>
          <w:sz w:val="16"/>
          <w:szCs w:val="16"/>
        </w:rPr>
        <w:t>služeb</w:t>
      </w:r>
      <w:r>
        <w:rPr>
          <w:sz w:val="16"/>
          <w:szCs w:val="16"/>
        </w:rPr>
        <w:t>, kde bylo loni odpracováno meziročně o 3,0 % hodin více, avšak zaměstnanost posílila dokonce o 4,2 %.</w:t>
      </w:r>
    </w:p>
  </w:footnote>
  <w:footnote w:id="10">
    <w:p w14:paraId="4191E24C" w14:textId="77777777" w:rsidR="009D4785" w:rsidRPr="00164965" w:rsidRDefault="009D4785" w:rsidP="009D4785">
      <w:pPr>
        <w:pStyle w:val="Textpoznpodarou"/>
        <w:rPr>
          <w:sz w:val="16"/>
          <w:szCs w:val="16"/>
        </w:rPr>
      </w:pPr>
      <w:r w:rsidRPr="00164965">
        <w:rPr>
          <w:rStyle w:val="Znakapoznpodarou"/>
          <w:sz w:val="16"/>
          <w:szCs w:val="16"/>
        </w:rPr>
        <w:footnoteRef/>
      </w:r>
      <w:r w:rsidRPr="00164965">
        <w:rPr>
          <w:sz w:val="16"/>
          <w:szCs w:val="16"/>
        </w:rPr>
        <w:t xml:space="preserve"> Vyjadřuje sezónně očištěné HDP</w:t>
      </w:r>
      <w:r>
        <w:rPr>
          <w:sz w:val="16"/>
          <w:szCs w:val="16"/>
        </w:rPr>
        <w:t>, resp. HPH na úrovni jednotlivých odvětví (</w:t>
      </w:r>
      <w:r w:rsidRPr="00164965">
        <w:rPr>
          <w:sz w:val="16"/>
          <w:szCs w:val="16"/>
        </w:rPr>
        <w:t>ve s</w:t>
      </w:r>
      <w:r>
        <w:rPr>
          <w:sz w:val="16"/>
          <w:szCs w:val="16"/>
        </w:rPr>
        <w:t xml:space="preserve">rovnatelných cenách roku 2020) </w:t>
      </w:r>
      <w:r w:rsidRPr="00164965">
        <w:rPr>
          <w:sz w:val="16"/>
          <w:szCs w:val="16"/>
        </w:rPr>
        <w:t>na o</w:t>
      </w:r>
      <w:r>
        <w:rPr>
          <w:sz w:val="16"/>
          <w:szCs w:val="16"/>
        </w:rPr>
        <w:t>d</w:t>
      </w:r>
      <w:r w:rsidRPr="00164965">
        <w:rPr>
          <w:sz w:val="16"/>
          <w:szCs w:val="16"/>
        </w:rPr>
        <w:t>pracovanou hodinu zaměstnanými osobami (po sezónním očištění).</w:t>
      </w:r>
    </w:p>
  </w:footnote>
  <w:footnote w:id="11">
    <w:p w14:paraId="14A3525B" w14:textId="77777777" w:rsidR="009D4785" w:rsidRDefault="009D4785" w:rsidP="009D4785">
      <w:pPr>
        <w:pStyle w:val="Textpoznpodarou"/>
      </w:pPr>
      <w:r w:rsidRPr="00B57963">
        <w:rPr>
          <w:rStyle w:val="Znakapoznpodarou"/>
          <w:sz w:val="16"/>
          <w:szCs w:val="16"/>
        </w:rPr>
        <w:footnoteRef/>
      </w:r>
      <w:r w:rsidRPr="00B57963">
        <w:rPr>
          <w:sz w:val="16"/>
          <w:szCs w:val="16"/>
        </w:rPr>
        <w:t xml:space="preserve"> Z údajů VŠPS plyne, že počet ekonomicky neaktivních osob, které si práci nehledají, ale přitom uvádějí, že by chtěli pracovat</w:t>
      </w:r>
      <w:r>
        <w:rPr>
          <w:sz w:val="16"/>
          <w:szCs w:val="16"/>
        </w:rPr>
        <w:t>,</w:t>
      </w:r>
      <w:r w:rsidRPr="00B57963">
        <w:rPr>
          <w:sz w:val="16"/>
          <w:szCs w:val="16"/>
        </w:rPr>
        <w:t xml:space="preserve"> dosáhl loni ve 4. čtvrtletí 75 tis. (podobně jako o rok dříve).</w:t>
      </w:r>
      <w:r>
        <w:t xml:space="preserve"> </w:t>
      </w:r>
      <w:r>
        <w:rPr>
          <w:sz w:val="16"/>
          <w:szCs w:val="16"/>
        </w:rPr>
        <w:t>Navíc pouze pětina z tohoto počtu byla ovšem schop</w:t>
      </w:r>
      <w:r w:rsidRPr="004A5CB3">
        <w:rPr>
          <w:sz w:val="16"/>
          <w:szCs w:val="16"/>
        </w:rPr>
        <w:t>n</w:t>
      </w:r>
      <w:r>
        <w:rPr>
          <w:sz w:val="16"/>
          <w:szCs w:val="16"/>
        </w:rPr>
        <w:t>a</w:t>
      </w:r>
      <w:r w:rsidRPr="004A5CB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nastoupit </w:t>
      </w:r>
      <w:r w:rsidRPr="004A5CB3">
        <w:rPr>
          <w:sz w:val="16"/>
          <w:szCs w:val="16"/>
        </w:rPr>
        <w:t xml:space="preserve">bezprostředně </w:t>
      </w:r>
      <w:r>
        <w:rPr>
          <w:sz w:val="16"/>
          <w:szCs w:val="16"/>
        </w:rPr>
        <w:t xml:space="preserve">(do 14 dnů) </w:t>
      </w:r>
      <w:r w:rsidRPr="004A5CB3">
        <w:rPr>
          <w:sz w:val="16"/>
          <w:szCs w:val="16"/>
        </w:rPr>
        <w:t>do práce</w:t>
      </w:r>
      <w:r>
        <w:rPr>
          <w:sz w:val="16"/>
          <w:szCs w:val="16"/>
        </w:rPr>
        <w:t xml:space="preserve"> (v</w:t>
      </w:r>
      <w:r w:rsidRPr="004A5CB3">
        <w:rPr>
          <w:sz w:val="16"/>
          <w:szCs w:val="16"/>
        </w:rPr>
        <w:t>ýznamnou část pracovních rezerv totiž tvoří studenti a ženy na rodičovské dovolené</w:t>
      </w:r>
      <w:r>
        <w:rPr>
          <w:sz w:val="16"/>
          <w:szCs w:val="16"/>
        </w:rPr>
        <w:t>)</w:t>
      </w:r>
      <w:r w:rsidRPr="004A5CB3">
        <w:rPr>
          <w:sz w:val="16"/>
          <w:szCs w:val="16"/>
        </w:rPr>
        <w:t>.</w:t>
      </w:r>
      <w:r>
        <w:rPr>
          <w:sz w:val="16"/>
          <w:szCs w:val="16"/>
        </w:rPr>
        <w:t xml:space="preserve"> Vedle toho je možné do rezerv pracovních sil započítat i frikčně nezaměstnané – v širším pojetí osoby, jež byly bez práce kratší dobu než jeden rok. Těch bylo dle stejného zdroje 106 tis. (meziročně o desetinu více). K nim lze ještě přidat početně okrajovou skupinu pracujících na zkrácený úvazek uvádějících ochotu pracovat déle (20 tis.). I při teoretickém okamžitém zapojení všech těchto osob na trh práce (odhlédneme-li </w:t>
      </w:r>
      <w:r w:rsidRPr="00CD3EC0">
        <w:rPr>
          <w:spacing w:val="-2"/>
          <w:sz w:val="16"/>
          <w:szCs w:val="16"/>
        </w:rPr>
        <w:t>od jejich územního i kvalifikačního nesouladu s potenciálně volnými pracovními místy) by celkový počet zaměstnaných vzrostl jen o 3,9 %.</w:t>
      </w:r>
      <w:r>
        <w:rPr>
          <w:sz w:val="16"/>
          <w:szCs w:val="16"/>
        </w:rPr>
        <w:t xml:space="preserve">  </w:t>
      </w:r>
    </w:p>
  </w:footnote>
  <w:footnote w:id="12">
    <w:p w14:paraId="589B313E" w14:textId="77777777" w:rsidR="009D4785" w:rsidRPr="00B93369" w:rsidRDefault="009D4785" w:rsidP="009D4785">
      <w:pPr>
        <w:pStyle w:val="Textpoznpodarou"/>
        <w:rPr>
          <w:sz w:val="16"/>
          <w:szCs w:val="16"/>
        </w:rPr>
      </w:pPr>
      <w:r w:rsidRPr="00AD3730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Oprávnění k zaměstnání (pracovní povolení, zaměstnanecké či modré karty) nepotřebovaly</w:t>
      </w:r>
      <w:r w:rsidRPr="00AD3730">
        <w:rPr>
          <w:sz w:val="16"/>
          <w:szCs w:val="16"/>
        </w:rPr>
        <w:t xml:space="preserve"> </w:t>
      </w:r>
      <w:r>
        <w:rPr>
          <w:sz w:val="16"/>
          <w:szCs w:val="16"/>
        </w:rPr>
        <w:t>na konci 4. čtvrtletí 2025 více než čtyři pětiny veškerých</w:t>
      </w:r>
      <w:r w:rsidRPr="00AD3730">
        <w:rPr>
          <w:sz w:val="16"/>
          <w:szCs w:val="16"/>
        </w:rPr>
        <w:t xml:space="preserve"> občanů Ukrajiny </w:t>
      </w:r>
      <w:r>
        <w:rPr>
          <w:sz w:val="16"/>
          <w:szCs w:val="16"/>
        </w:rPr>
        <w:t xml:space="preserve">(resp. 74 % mužů a 91 % </w:t>
      </w:r>
      <w:r w:rsidRPr="00B93369">
        <w:rPr>
          <w:sz w:val="16"/>
          <w:szCs w:val="16"/>
        </w:rPr>
        <w:t>žen) působících v ČR v zaměstnaneckém postavení.</w:t>
      </w:r>
    </w:p>
  </w:footnote>
  <w:footnote w:id="13">
    <w:p w14:paraId="54BCFC9A" w14:textId="77777777" w:rsidR="009D4785" w:rsidRPr="00CF611C" w:rsidRDefault="009D4785" w:rsidP="009D4785">
      <w:pPr>
        <w:pStyle w:val="Textpoznpodarou"/>
        <w:rPr>
          <w:color w:val="0D0D0D" w:themeColor="text1" w:themeTint="F2"/>
          <w:sz w:val="16"/>
          <w:szCs w:val="16"/>
        </w:rPr>
      </w:pPr>
      <w:r w:rsidRPr="00B93369">
        <w:rPr>
          <w:rStyle w:val="Znakapoznpodarou"/>
          <w:sz w:val="16"/>
          <w:szCs w:val="16"/>
        </w:rPr>
        <w:footnoteRef/>
      </w:r>
      <w:r w:rsidRPr="00B93369">
        <w:rPr>
          <w:sz w:val="16"/>
          <w:szCs w:val="16"/>
        </w:rPr>
        <w:t xml:space="preserve"> Od 1. července 2024 nově nepotřebují v Česku pracovní povolení ani zaměstnanecké karty cizinci z některých ekonomicky vyspělých </w:t>
      </w:r>
      <w:r w:rsidRPr="00B93369">
        <w:rPr>
          <w:color w:val="0D0D0D" w:themeColor="text1" w:themeTint="F2"/>
          <w:sz w:val="16"/>
          <w:szCs w:val="16"/>
        </w:rPr>
        <w:t>zemí mimo EU (USA, Velká Británie, Kanada, Austrálie, Nový Zéland, Japonsko, Jižní Korea, Izrae</w:t>
      </w:r>
      <w:r w:rsidRPr="000643E1">
        <w:rPr>
          <w:color w:val="0D0D0D" w:themeColor="text1" w:themeTint="F2"/>
          <w:sz w:val="16"/>
          <w:szCs w:val="16"/>
        </w:rPr>
        <w:t>l a Singapur). Loni na konci prosince pracovalo z těchto zemí v Česku v zaměstnaneckém postavení 10,0 tis. osob (meziročně o 4 % více).</w:t>
      </w:r>
    </w:p>
  </w:footnote>
  <w:footnote w:id="14">
    <w:p w14:paraId="71337B0E" w14:textId="77777777" w:rsidR="009D4785" w:rsidRDefault="009D4785" w:rsidP="009D4785">
      <w:pPr>
        <w:pStyle w:val="Textpoznpodarou"/>
      </w:pPr>
      <w:r w:rsidRPr="00432D0C">
        <w:rPr>
          <w:rStyle w:val="Znakapoznpodarou"/>
          <w:sz w:val="16"/>
          <w:szCs w:val="16"/>
        </w:rPr>
        <w:footnoteRef/>
      </w:r>
      <w:r w:rsidRPr="00432D0C">
        <w:rPr>
          <w:sz w:val="16"/>
          <w:szCs w:val="16"/>
        </w:rPr>
        <w:t xml:space="preserve"> </w:t>
      </w:r>
      <w:r w:rsidRPr="00590A80">
        <w:rPr>
          <w:color w:val="0D0D0D" w:themeColor="text1" w:themeTint="F2"/>
          <w:sz w:val="16"/>
          <w:szCs w:val="16"/>
        </w:rPr>
        <w:t>Vedle toho evidovalo MPO ve stejném období 1</w:t>
      </w:r>
      <w:r>
        <w:rPr>
          <w:color w:val="0D0D0D" w:themeColor="text1" w:themeTint="F2"/>
          <w:sz w:val="16"/>
          <w:szCs w:val="16"/>
        </w:rPr>
        <w:t>46</w:t>
      </w:r>
      <w:r w:rsidRPr="00590A80">
        <w:rPr>
          <w:color w:val="0D0D0D" w:themeColor="text1" w:themeTint="F2"/>
          <w:sz w:val="16"/>
          <w:szCs w:val="16"/>
        </w:rPr>
        <w:t xml:space="preserve"> tis. cizích státních příslušníků s živnostenským oprávněním v Česku (meziročně </w:t>
      </w:r>
      <w:r>
        <w:rPr>
          <w:color w:val="0D0D0D" w:themeColor="text1" w:themeTint="F2"/>
          <w:sz w:val="16"/>
          <w:szCs w:val="16"/>
        </w:rPr>
        <w:br/>
        <w:t>o desetinu</w:t>
      </w:r>
      <w:r w:rsidRPr="00590A80">
        <w:rPr>
          <w:color w:val="0D0D0D" w:themeColor="text1" w:themeTint="F2"/>
          <w:sz w:val="16"/>
          <w:szCs w:val="16"/>
        </w:rPr>
        <w:t xml:space="preserve"> více). Na tomto růstu se ze dvou třetin podíleli Ukrajinci, jichž v Česku podnikalo </w:t>
      </w:r>
      <w:r>
        <w:rPr>
          <w:color w:val="0D0D0D" w:themeColor="text1" w:themeTint="F2"/>
          <w:sz w:val="16"/>
          <w:szCs w:val="16"/>
        </w:rPr>
        <w:t>52</w:t>
      </w:r>
      <w:r w:rsidRPr="00590A80">
        <w:rPr>
          <w:color w:val="0D0D0D" w:themeColor="text1" w:themeTint="F2"/>
          <w:sz w:val="16"/>
          <w:szCs w:val="16"/>
        </w:rPr>
        <w:t xml:space="preserve"> tis., s odstupem následovali Slováci </w:t>
      </w:r>
      <w:r>
        <w:rPr>
          <w:color w:val="0D0D0D" w:themeColor="text1" w:themeTint="F2"/>
          <w:sz w:val="16"/>
          <w:szCs w:val="16"/>
        </w:rPr>
        <w:br/>
      </w:r>
      <w:r w:rsidRPr="00590A80">
        <w:rPr>
          <w:color w:val="0D0D0D" w:themeColor="text1" w:themeTint="F2"/>
          <w:sz w:val="16"/>
          <w:szCs w:val="16"/>
        </w:rPr>
        <w:t>(2</w:t>
      </w:r>
      <w:r>
        <w:rPr>
          <w:color w:val="0D0D0D" w:themeColor="text1" w:themeTint="F2"/>
          <w:sz w:val="16"/>
          <w:szCs w:val="16"/>
        </w:rPr>
        <w:t>8</w:t>
      </w:r>
      <w:r w:rsidRPr="00590A80">
        <w:rPr>
          <w:color w:val="0D0D0D" w:themeColor="text1" w:themeTint="F2"/>
          <w:sz w:val="16"/>
          <w:szCs w:val="16"/>
        </w:rPr>
        <w:t xml:space="preserve"> tis.)</w:t>
      </w:r>
      <w:r>
        <w:rPr>
          <w:color w:val="0D0D0D" w:themeColor="text1" w:themeTint="F2"/>
          <w:sz w:val="16"/>
          <w:szCs w:val="16"/>
        </w:rPr>
        <w:t>,</w:t>
      </w:r>
      <w:r w:rsidRPr="00590A80">
        <w:rPr>
          <w:color w:val="0D0D0D" w:themeColor="text1" w:themeTint="F2"/>
          <w:sz w:val="16"/>
          <w:szCs w:val="16"/>
        </w:rPr>
        <w:t xml:space="preserve"> Vietnamci (21 tis.)</w:t>
      </w:r>
      <w:r>
        <w:rPr>
          <w:color w:val="0D0D0D" w:themeColor="text1" w:themeTint="F2"/>
          <w:sz w:val="16"/>
          <w:szCs w:val="16"/>
        </w:rPr>
        <w:t xml:space="preserve"> a s výraznějším odstupem Rusové, Rumuni, Němci a Poláci. </w:t>
      </w:r>
    </w:p>
  </w:footnote>
  <w:footnote w:id="15">
    <w:p w14:paraId="5F04C37E" w14:textId="77777777" w:rsidR="009D4785" w:rsidRPr="001C35A3" w:rsidRDefault="009D4785" w:rsidP="009D4785">
      <w:pPr>
        <w:pStyle w:val="Textpoznpodarou"/>
        <w:rPr>
          <w:sz w:val="16"/>
          <w:szCs w:val="16"/>
        </w:rPr>
      </w:pPr>
      <w:r w:rsidRPr="001C35A3">
        <w:rPr>
          <w:rStyle w:val="Znakapoznpodarou"/>
          <w:sz w:val="16"/>
          <w:szCs w:val="16"/>
        </w:rPr>
        <w:footnoteRef/>
      </w:r>
      <w:r w:rsidRPr="001C35A3">
        <w:rPr>
          <w:sz w:val="16"/>
          <w:szCs w:val="16"/>
        </w:rPr>
        <w:t xml:space="preserve"> Tento region s poměrně silným zastoupení</w:t>
      </w:r>
      <w:r>
        <w:rPr>
          <w:sz w:val="16"/>
          <w:szCs w:val="16"/>
        </w:rPr>
        <w:t>m</w:t>
      </w:r>
      <w:r w:rsidRPr="001C35A3">
        <w:rPr>
          <w:sz w:val="16"/>
          <w:szCs w:val="16"/>
        </w:rPr>
        <w:t xml:space="preserve"> průmyslu čelí v poslední době relativně vyšší nezaměstnanosti a úbytku pracovních míst (patrně i v subdodavatelských firmách automobilového průmyslu). </w:t>
      </w:r>
    </w:p>
  </w:footnote>
  <w:footnote w:id="16">
    <w:p w14:paraId="54CC98E8" w14:textId="77777777" w:rsidR="009D4785" w:rsidRPr="00436B10" w:rsidRDefault="009D4785" w:rsidP="009D4785">
      <w:pPr>
        <w:pStyle w:val="Textpoznpodarou"/>
        <w:rPr>
          <w:sz w:val="16"/>
          <w:szCs w:val="16"/>
        </w:rPr>
      </w:pPr>
      <w:r w:rsidRPr="00436B10">
        <w:rPr>
          <w:rStyle w:val="Znakapoznpodarou"/>
          <w:sz w:val="16"/>
          <w:szCs w:val="16"/>
        </w:rPr>
        <w:footnoteRef/>
      </w:r>
      <w:r w:rsidRPr="00436B10">
        <w:rPr>
          <w:sz w:val="16"/>
          <w:szCs w:val="16"/>
        </w:rPr>
        <w:t xml:space="preserve"> </w:t>
      </w:r>
      <w:r w:rsidRPr="00436B10">
        <w:rPr>
          <w:spacing w:val="-5"/>
          <w:sz w:val="16"/>
          <w:szCs w:val="16"/>
        </w:rPr>
        <w:t xml:space="preserve">Dle údajů VŠPS se jejich počet ve </w:t>
      </w:r>
      <w:r>
        <w:rPr>
          <w:spacing w:val="-5"/>
          <w:sz w:val="16"/>
          <w:szCs w:val="16"/>
        </w:rPr>
        <w:t>4</w:t>
      </w:r>
      <w:r w:rsidRPr="00436B10">
        <w:rPr>
          <w:spacing w:val="-5"/>
          <w:sz w:val="16"/>
          <w:szCs w:val="16"/>
        </w:rPr>
        <w:t xml:space="preserve">. čtvrtletí 2025 meziročně zvýšil o </w:t>
      </w:r>
      <w:r>
        <w:rPr>
          <w:spacing w:val="-5"/>
          <w:sz w:val="16"/>
          <w:szCs w:val="16"/>
        </w:rPr>
        <w:t>21 tis., resp. 8</w:t>
      </w:r>
      <w:r w:rsidRPr="00436B10">
        <w:rPr>
          <w:spacing w:val="-5"/>
          <w:sz w:val="16"/>
          <w:szCs w:val="16"/>
        </w:rPr>
        <w:t xml:space="preserve"> %</w:t>
      </w:r>
      <w:r>
        <w:rPr>
          <w:spacing w:val="-5"/>
          <w:sz w:val="16"/>
          <w:szCs w:val="16"/>
        </w:rPr>
        <w:t xml:space="preserve"> (růstové tempo během loňského roku sílilo)</w:t>
      </w:r>
      <w:r w:rsidRPr="00436B10">
        <w:rPr>
          <w:spacing w:val="-5"/>
          <w:sz w:val="16"/>
          <w:szCs w:val="16"/>
        </w:rPr>
        <w:t>, což mohlo souviset se silným přílivem pracovníků ze zemí mimo EU.</w:t>
      </w:r>
      <w:r w:rsidRPr="00436B10">
        <w:rPr>
          <w:sz w:val="16"/>
          <w:szCs w:val="16"/>
        </w:rPr>
        <w:t xml:space="preserve"> </w:t>
      </w:r>
    </w:p>
  </w:footnote>
  <w:footnote w:id="17">
    <w:p w14:paraId="4812D7D8" w14:textId="77777777" w:rsidR="009D4785" w:rsidRPr="00A47DAB" w:rsidRDefault="009D4785" w:rsidP="009D4785">
      <w:pPr>
        <w:pStyle w:val="Textpoznpodarou"/>
        <w:rPr>
          <w:sz w:val="16"/>
          <w:szCs w:val="16"/>
        </w:rPr>
      </w:pPr>
      <w:r w:rsidRPr="00A47DAB">
        <w:rPr>
          <w:rStyle w:val="Znakapoznpodarou"/>
          <w:sz w:val="16"/>
          <w:szCs w:val="16"/>
        </w:rPr>
        <w:footnoteRef/>
      </w:r>
      <w:r w:rsidRPr="00A47DAB">
        <w:rPr>
          <w:sz w:val="16"/>
          <w:szCs w:val="16"/>
        </w:rPr>
        <w:t xml:space="preserve"> Jedná se o údaje v novém modelu sezónního oči</w:t>
      </w:r>
      <w:r>
        <w:rPr>
          <w:sz w:val="16"/>
          <w:szCs w:val="16"/>
        </w:rPr>
        <w:t>štění – pomocí trendcyklu. Inovo</w:t>
      </w:r>
      <w:r w:rsidRPr="00A47DAB">
        <w:rPr>
          <w:sz w:val="16"/>
          <w:szCs w:val="16"/>
        </w:rPr>
        <w:t>vaný model očištění lépe odráží změny charakteru trhu práce a sezónnosti.</w:t>
      </w:r>
      <w:r>
        <w:rPr>
          <w:sz w:val="16"/>
          <w:szCs w:val="16"/>
        </w:rPr>
        <w:t xml:space="preserve"> Obdobně je očištěna i měsíční míra nezaměstnanosti.</w:t>
      </w:r>
    </w:p>
  </w:footnote>
  <w:footnote w:id="18">
    <w:p w14:paraId="15EF51F6" w14:textId="77777777" w:rsidR="009D4785" w:rsidRPr="003D26DD" w:rsidRDefault="009D4785" w:rsidP="009D4785">
      <w:pPr>
        <w:pStyle w:val="Textpoznpodarou"/>
        <w:rPr>
          <w:sz w:val="16"/>
          <w:szCs w:val="16"/>
        </w:rPr>
      </w:pPr>
      <w:r w:rsidRPr="003D26DD">
        <w:rPr>
          <w:rStyle w:val="Znakapoznpodarou"/>
          <w:sz w:val="16"/>
          <w:szCs w:val="16"/>
        </w:rPr>
        <w:footnoteRef/>
      </w:r>
      <w:r w:rsidRPr="003D26DD">
        <w:rPr>
          <w:sz w:val="16"/>
          <w:szCs w:val="16"/>
        </w:rPr>
        <w:t xml:space="preserve"> Ten souvisel s obecnějšími změnami na pracovním trhu po ústupu pandemie covid</w:t>
      </w:r>
      <w:r>
        <w:rPr>
          <w:sz w:val="16"/>
          <w:szCs w:val="16"/>
        </w:rPr>
        <w:t>u</w:t>
      </w:r>
      <w:r w:rsidRPr="003D26DD">
        <w:rPr>
          <w:sz w:val="16"/>
          <w:szCs w:val="16"/>
        </w:rPr>
        <w:t>-19 a také se státní politikou zaměstnanosti, jež od roku 2023 stimulovala nabídku těchto úvazků (zejména formou slevy na pojistném u zaměstnavatelů, jež se týká vybraných skupin zaměstnanců</w:t>
      </w:r>
      <w:r>
        <w:rPr>
          <w:sz w:val="16"/>
          <w:szCs w:val="16"/>
        </w:rPr>
        <w:t>, např. o</w:t>
      </w:r>
      <w:r w:rsidRPr="003D26DD">
        <w:rPr>
          <w:sz w:val="16"/>
          <w:szCs w:val="16"/>
        </w:rPr>
        <w:t>soby pečující o dítě do 10 le</w:t>
      </w:r>
      <w:r>
        <w:rPr>
          <w:sz w:val="16"/>
          <w:szCs w:val="16"/>
        </w:rPr>
        <w:t>t, osob starších 55 let, osob se zdravotním postižením či studentů).</w:t>
      </w:r>
    </w:p>
  </w:footnote>
  <w:footnote w:id="19">
    <w:p w14:paraId="192811B4" w14:textId="77777777" w:rsidR="009D4785" w:rsidRDefault="009D4785" w:rsidP="009D4785">
      <w:pPr>
        <w:pStyle w:val="Textpoznpodarou"/>
      </w:pPr>
      <w:r w:rsidRPr="003D26DD">
        <w:rPr>
          <w:rStyle w:val="Znakapoznpodarou"/>
          <w:sz w:val="16"/>
          <w:szCs w:val="16"/>
        </w:rPr>
        <w:footnoteRef/>
      </w:r>
      <w:r w:rsidRPr="003D26DD">
        <w:rPr>
          <w:sz w:val="16"/>
          <w:szCs w:val="16"/>
        </w:rPr>
        <w:t xml:space="preserve"> </w:t>
      </w:r>
      <w:r w:rsidRPr="003D26DD">
        <w:rPr>
          <w:color w:val="0D0D0D" w:themeColor="text1" w:themeTint="F2"/>
          <w:sz w:val="16"/>
          <w:szCs w:val="16"/>
        </w:rPr>
        <w:t xml:space="preserve">Počet </w:t>
      </w:r>
      <w:r>
        <w:rPr>
          <w:color w:val="0D0D0D" w:themeColor="text1" w:themeTint="F2"/>
          <w:sz w:val="16"/>
          <w:szCs w:val="16"/>
        </w:rPr>
        <w:t>osob</w:t>
      </w:r>
      <w:r w:rsidRPr="003D26DD">
        <w:rPr>
          <w:color w:val="0D0D0D" w:themeColor="text1" w:themeTint="F2"/>
          <w:sz w:val="16"/>
          <w:szCs w:val="16"/>
        </w:rPr>
        <w:t xml:space="preserve"> pracujících touto formou přesto meziročně mírně rostl. Dle údajů z </w:t>
      </w:r>
      <w:r w:rsidRPr="004E516A">
        <w:rPr>
          <w:color w:val="0D0D0D" w:themeColor="text1" w:themeTint="F2"/>
          <w:sz w:val="16"/>
          <w:szCs w:val="16"/>
        </w:rPr>
        <w:t xml:space="preserve">VŠPS </w:t>
      </w:r>
      <w:r>
        <w:rPr>
          <w:color w:val="0D0D0D" w:themeColor="text1" w:themeTint="F2"/>
          <w:sz w:val="16"/>
          <w:szCs w:val="16"/>
        </w:rPr>
        <w:t>pracovalo ve</w:t>
      </w:r>
      <w:r w:rsidRPr="004E516A">
        <w:rPr>
          <w:color w:val="0D0D0D" w:themeColor="text1" w:themeTint="F2"/>
          <w:sz w:val="16"/>
          <w:szCs w:val="16"/>
        </w:rPr>
        <w:t xml:space="preserve"> </w:t>
      </w:r>
      <w:r>
        <w:rPr>
          <w:color w:val="0D0D0D" w:themeColor="text1" w:themeTint="F2"/>
          <w:sz w:val="16"/>
          <w:szCs w:val="16"/>
        </w:rPr>
        <w:t>4</w:t>
      </w:r>
      <w:r w:rsidRPr="004E516A">
        <w:rPr>
          <w:color w:val="0D0D0D" w:themeColor="text1" w:themeTint="F2"/>
          <w:sz w:val="16"/>
          <w:szCs w:val="16"/>
        </w:rPr>
        <w:t xml:space="preserve">. čtvrtletí 2025 </w:t>
      </w:r>
      <w:r>
        <w:rPr>
          <w:color w:val="0D0D0D" w:themeColor="text1" w:themeTint="F2"/>
          <w:sz w:val="16"/>
          <w:szCs w:val="16"/>
        </w:rPr>
        <w:t xml:space="preserve">v Česku na zkrácené úvazky </w:t>
      </w:r>
      <w:r w:rsidRPr="004E516A">
        <w:rPr>
          <w:color w:val="0D0D0D" w:themeColor="text1" w:themeTint="F2"/>
          <w:sz w:val="16"/>
          <w:szCs w:val="16"/>
        </w:rPr>
        <w:t>3</w:t>
      </w:r>
      <w:r>
        <w:rPr>
          <w:color w:val="0D0D0D" w:themeColor="text1" w:themeTint="F2"/>
          <w:sz w:val="16"/>
          <w:szCs w:val="16"/>
        </w:rPr>
        <w:t>66</w:t>
      </w:r>
      <w:r w:rsidRPr="004E516A">
        <w:rPr>
          <w:color w:val="0D0D0D" w:themeColor="text1" w:themeTint="F2"/>
          <w:sz w:val="16"/>
          <w:szCs w:val="16"/>
        </w:rPr>
        <w:t xml:space="preserve"> tis. žen </w:t>
      </w:r>
      <w:r>
        <w:rPr>
          <w:color w:val="0D0D0D" w:themeColor="text1" w:themeTint="F2"/>
          <w:sz w:val="16"/>
          <w:szCs w:val="16"/>
        </w:rPr>
        <w:t xml:space="preserve">(meziročně +7,5 </w:t>
      </w:r>
      <w:r w:rsidRPr="004E516A">
        <w:rPr>
          <w:color w:val="0D0D0D" w:themeColor="text1" w:themeTint="F2"/>
          <w:sz w:val="16"/>
          <w:szCs w:val="16"/>
        </w:rPr>
        <w:t>%</w:t>
      </w:r>
      <w:r>
        <w:rPr>
          <w:color w:val="0D0D0D" w:themeColor="text1" w:themeTint="F2"/>
          <w:sz w:val="16"/>
          <w:szCs w:val="16"/>
        </w:rPr>
        <w:t>) a</w:t>
      </w:r>
      <w:r w:rsidRPr="004E516A">
        <w:rPr>
          <w:color w:val="0D0D0D" w:themeColor="text1" w:themeTint="F2"/>
          <w:sz w:val="16"/>
          <w:szCs w:val="16"/>
        </w:rPr>
        <w:t xml:space="preserve"> 149 tis</w:t>
      </w:r>
      <w:r>
        <w:rPr>
          <w:color w:val="0D0D0D" w:themeColor="text1" w:themeTint="F2"/>
          <w:sz w:val="16"/>
          <w:szCs w:val="16"/>
        </w:rPr>
        <w:t xml:space="preserve">. mužů (+3,7 %). Přestože celá třetina </w:t>
      </w:r>
      <w:r w:rsidRPr="00E624A4">
        <w:rPr>
          <w:color w:val="0D0D0D" w:themeColor="text1" w:themeTint="F2"/>
          <w:sz w:val="16"/>
          <w:szCs w:val="16"/>
        </w:rPr>
        <w:t>žen pracujících na zkrácený úvazek byl</w:t>
      </w:r>
      <w:r>
        <w:rPr>
          <w:color w:val="0D0D0D" w:themeColor="text1" w:themeTint="F2"/>
          <w:sz w:val="16"/>
          <w:szCs w:val="16"/>
        </w:rPr>
        <w:t>a</w:t>
      </w:r>
      <w:r w:rsidRPr="00E624A4">
        <w:rPr>
          <w:color w:val="0D0D0D" w:themeColor="text1" w:themeTint="F2"/>
          <w:sz w:val="16"/>
          <w:szCs w:val="16"/>
        </w:rPr>
        <w:t xml:space="preserve"> ve věku 30–44 le</w:t>
      </w:r>
      <w:r>
        <w:rPr>
          <w:color w:val="0D0D0D" w:themeColor="text1" w:themeTint="F2"/>
          <w:sz w:val="16"/>
          <w:szCs w:val="16"/>
        </w:rPr>
        <w:t xml:space="preserve">t, meziroční růst počtu těchto úvazků byl soustředěn u starších, popř. nejmladších žen (do 25 let). Ve skupině </w:t>
      </w:r>
      <w:r>
        <w:rPr>
          <w:color w:val="0D0D0D" w:themeColor="text1" w:themeTint="F2"/>
          <w:sz w:val="16"/>
          <w:szCs w:val="16"/>
        </w:rPr>
        <w:br/>
        <w:t xml:space="preserve">25 až 54letých pracovalo touto formou 12,4 % žen a tento podíl meziročně stagnoval (v celé populaci žen činil 15 %). V evropském kontextu tak Česko stále patří k zemím s výrazně podprůměrným zastoupením zkrácených úvazků. V EU takto ve 4. čtvrtletí 2025 pracovalo 29 % všech žen ve věku 15 až 74 let, v Německu a Rakousku 50 %, v Nizozemsku dokonce okolo </w:t>
      </w:r>
      <w:r w:rsidRPr="0082433E">
        <w:rPr>
          <w:color w:val="0D0D0D" w:themeColor="text1" w:themeTint="F2"/>
          <w:sz w:val="16"/>
          <w:szCs w:val="16"/>
        </w:rPr>
        <w:t>6</w:t>
      </w:r>
      <w:r>
        <w:rPr>
          <w:color w:val="0D0D0D" w:themeColor="text1" w:themeTint="F2"/>
          <w:sz w:val="16"/>
          <w:szCs w:val="16"/>
        </w:rPr>
        <w:t>3</w:t>
      </w:r>
      <w:r w:rsidRPr="0082433E">
        <w:rPr>
          <w:color w:val="0D0D0D" w:themeColor="text1" w:themeTint="F2"/>
          <w:sz w:val="16"/>
          <w:szCs w:val="16"/>
        </w:rPr>
        <w:t xml:space="preserve"> %. Na druhou stranu v rámci států, jež do Unie vstoupily až po roce 2000, měly oproti Česku vyšší podíl jen Estonsko (20 %) a Malta (1</w:t>
      </w:r>
      <w:r>
        <w:rPr>
          <w:color w:val="0D0D0D" w:themeColor="text1" w:themeTint="F2"/>
          <w:sz w:val="16"/>
          <w:szCs w:val="16"/>
        </w:rPr>
        <w:t>7</w:t>
      </w:r>
      <w:r w:rsidRPr="0082433E">
        <w:rPr>
          <w:color w:val="0D0D0D" w:themeColor="text1" w:themeTint="F2"/>
          <w:sz w:val="16"/>
          <w:szCs w:val="16"/>
        </w:rPr>
        <w:t xml:space="preserve"> %)</w:t>
      </w:r>
      <w:r>
        <w:rPr>
          <w:color w:val="0D0D0D" w:themeColor="text1" w:themeTint="F2"/>
          <w:sz w:val="16"/>
          <w:szCs w:val="16"/>
        </w:rPr>
        <w:t xml:space="preserve"> a v rámci starších členů dosahovaly velmi nízkého podílu Řecko (10 %) a Portugalsko (8 %). Meziročně se tento podíl zvýšil nejvíce ve Finsku, Belgii, Lotyšsku, Polsku a na Slovensku (v rozmezí 1 až 2 p. b.), v Česku pak o 0,4. b.</w:t>
      </w:r>
    </w:p>
  </w:footnote>
  <w:footnote w:id="20">
    <w:p w14:paraId="313BD6DF" w14:textId="77777777" w:rsidR="009D4785" w:rsidRPr="00126939" w:rsidRDefault="009D4785" w:rsidP="009D4785">
      <w:pPr>
        <w:pStyle w:val="Textpoznpodarou"/>
        <w:rPr>
          <w:sz w:val="16"/>
          <w:szCs w:val="16"/>
        </w:rPr>
      </w:pPr>
      <w:r w:rsidRPr="00126939">
        <w:rPr>
          <w:rStyle w:val="Znakapoznpodarou"/>
          <w:sz w:val="16"/>
          <w:szCs w:val="16"/>
        </w:rPr>
        <w:footnoteRef/>
      </w:r>
      <w:r w:rsidRPr="00126939">
        <w:rPr>
          <w:sz w:val="16"/>
          <w:szCs w:val="16"/>
        </w:rPr>
        <w:t xml:space="preserve"> </w:t>
      </w:r>
      <w:r>
        <w:rPr>
          <w:sz w:val="16"/>
          <w:szCs w:val="16"/>
        </w:rPr>
        <w:t>Není-li uvedeno jinak, jsou dále použity</w:t>
      </w:r>
      <w:r w:rsidRPr="00126939">
        <w:rPr>
          <w:sz w:val="16"/>
          <w:szCs w:val="16"/>
        </w:rPr>
        <w:t xml:space="preserve"> sezónně očištěné údaje.</w:t>
      </w:r>
    </w:p>
  </w:footnote>
  <w:footnote w:id="21">
    <w:p w14:paraId="5FAEF07E" w14:textId="77777777" w:rsidR="009D4785" w:rsidRPr="0027490D" w:rsidRDefault="009D4785" w:rsidP="009D4785">
      <w:pPr>
        <w:pStyle w:val="Textpoznpodarou"/>
        <w:rPr>
          <w:sz w:val="16"/>
          <w:szCs w:val="16"/>
        </w:rPr>
      </w:pPr>
      <w:r w:rsidRPr="0027490D">
        <w:rPr>
          <w:rStyle w:val="Znakapoznpodarou"/>
          <w:sz w:val="16"/>
          <w:szCs w:val="16"/>
        </w:rPr>
        <w:footnoteRef/>
      </w:r>
      <w:r w:rsidRPr="0027490D">
        <w:rPr>
          <w:sz w:val="16"/>
          <w:szCs w:val="16"/>
        </w:rPr>
        <w:t xml:space="preserve"> </w:t>
      </w:r>
      <w:r w:rsidRPr="00A73603">
        <w:rPr>
          <w:color w:val="0D0D0D" w:themeColor="text1" w:themeTint="F2"/>
          <w:spacing w:val="-3"/>
          <w:sz w:val="16"/>
          <w:szCs w:val="16"/>
        </w:rPr>
        <w:t xml:space="preserve">Dle konjunkturálního průzkumu z února 2026 </w:t>
      </w:r>
      <w:r w:rsidRPr="00A73603">
        <w:rPr>
          <w:rFonts w:cs="Arial"/>
          <w:spacing w:val="-3"/>
          <w:sz w:val="16"/>
          <w:szCs w:val="16"/>
        </w:rPr>
        <w:t>předpokládal</w:t>
      </w:r>
      <w:r>
        <w:rPr>
          <w:rFonts w:cs="Arial"/>
          <w:spacing w:val="-3"/>
          <w:sz w:val="16"/>
          <w:szCs w:val="16"/>
        </w:rPr>
        <w:t>a čtvrtina firem</w:t>
      </w:r>
      <w:r w:rsidRPr="00A73603">
        <w:rPr>
          <w:rFonts w:cs="Arial"/>
          <w:spacing w:val="-3"/>
          <w:sz w:val="16"/>
          <w:szCs w:val="16"/>
        </w:rPr>
        <w:t xml:space="preserve"> (bez zohlednění sezónnosti) v tříměsíčním horizontu snižování počtu zaměstnanců ve vybraných službách, desetina shodně v průmyslu i stavebnictví (ale v obchodu jen 3 %). Naopak úmysl rozšiřovat stavy pracovníků byl nejzřetelnější v obchodě i stavebnictví (shodně 18 %) a nejméně v průmyslu a službách (shodně jen 10 % firem).</w:t>
      </w:r>
    </w:p>
  </w:footnote>
  <w:footnote w:id="22">
    <w:p w14:paraId="554CF68D" w14:textId="77777777" w:rsidR="009D4785" w:rsidRPr="00170701" w:rsidRDefault="009D4785" w:rsidP="009D4785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27490D">
        <w:rPr>
          <w:rStyle w:val="Znakapoznpodarou"/>
          <w:sz w:val="16"/>
          <w:szCs w:val="16"/>
        </w:rPr>
        <w:footnoteRef/>
      </w:r>
      <w:r w:rsidRPr="0027490D">
        <w:rPr>
          <w:sz w:val="16"/>
          <w:szCs w:val="16"/>
        </w:rPr>
        <w:t xml:space="preserve"> 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Převažující </w:t>
      </w:r>
      <w:r w:rsidRPr="003F1273">
        <w:rPr>
          <w:color w:val="0D0D0D" w:themeColor="text1" w:themeTint="F2"/>
          <w:spacing w:val="-2"/>
          <w:sz w:val="16"/>
          <w:szCs w:val="16"/>
        </w:rPr>
        <w:t>negativní oč</w:t>
      </w:r>
      <w:r>
        <w:rPr>
          <w:color w:val="0D0D0D" w:themeColor="text1" w:themeTint="F2"/>
          <w:spacing w:val="-2"/>
          <w:sz w:val="16"/>
          <w:szCs w:val="16"/>
        </w:rPr>
        <w:t>ekávání zaměstnanosti vyjádřily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podniky </w:t>
      </w:r>
      <w:r>
        <w:rPr>
          <w:color w:val="0D0D0D" w:themeColor="text1" w:themeTint="F2"/>
          <w:spacing w:val="-2"/>
          <w:sz w:val="16"/>
          <w:szCs w:val="16"/>
        </w:rPr>
        <w:t>v polovině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170701">
        <w:rPr>
          <w:i/>
          <w:iCs/>
          <w:color w:val="0D0D0D" w:themeColor="text1" w:themeTint="F2"/>
          <w:spacing w:val="-2"/>
          <w:sz w:val="16"/>
          <w:szCs w:val="16"/>
        </w:rPr>
        <w:t>zpracovatelských průmyslových oborů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. Nejhorší vyhlídky měly </w:t>
      </w:r>
      <w:r>
        <w:rPr>
          <w:color w:val="0D0D0D" w:themeColor="text1" w:themeTint="F2"/>
          <w:spacing w:val="-2"/>
          <w:sz w:val="16"/>
          <w:szCs w:val="16"/>
        </w:rPr>
        <w:t xml:space="preserve">strojírenství, </w:t>
      </w:r>
      <w:r w:rsidRPr="00A82316">
        <w:rPr>
          <w:color w:val="0D0D0D" w:themeColor="text1" w:themeTint="F2"/>
          <w:spacing w:val="-2"/>
          <w:sz w:val="16"/>
          <w:szCs w:val="16"/>
        </w:rPr>
        <w:t>hutnictví</w:t>
      </w:r>
      <w:r>
        <w:rPr>
          <w:color w:val="0D0D0D" w:themeColor="text1" w:themeTint="F2"/>
          <w:spacing w:val="-2"/>
          <w:sz w:val="16"/>
          <w:szCs w:val="16"/>
        </w:rPr>
        <w:t xml:space="preserve"> a slévárenství, výroba stavebních materiálů a chemický průmysl, z menších oborů textilní, oděvní, dřevozpracující a </w:t>
      </w:r>
      <w:r w:rsidRPr="00A73603">
        <w:rPr>
          <w:color w:val="0D0D0D" w:themeColor="text1" w:themeTint="F2"/>
          <w:spacing w:val="-4"/>
          <w:sz w:val="16"/>
          <w:szCs w:val="16"/>
        </w:rPr>
        <w:t>nábytkářský průmysl.  Naopak pozitivní výhledy zaměstnanosti přetrvávaly hlavně ve výrobě kolejových dopravních prostředků, elektrotechnice</w:t>
      </w:r>
      <w:r>
        <w:rPr>
          <w:color w:val="0D0D0D" w:themeColor="text1" w:themeTint="F2"/>
          <w:spacing w:val="-2"/>
          <w:sz w:val="16"/>
          <w:szCs w:val="16"/>
        </w:rPr>
        <w:t xml:space="preserve">, opravách strojů a zařízení, farmacii a </w:t>
      </w:r>
      <w:r w:rsidRPr="00A82316">
        <w:rPr>
          <w:color w:val="0D0D0D" w:themeColor="text1" w:themeTint="F2"/>
          <w:spacing w:val="-2"/>
          <w:sz w:val="16"/>
          <w:szCs w:val="16"/>
        </w:rPr>
        <w:t>potravinářství</w:t>
      </w:r>
      <w:r>
        <w:rPr>
          <w:color w:val="0D0D0D" w:themeColor="text1" w:themeTint="F2"/>
          <w:spacing w:val="-2"/>
          <w:sz w:val="16"/>
          <w:szCs w:val="16"/>
        </w:rPr>
        <w:t xml:space="preserve">. 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Ve </w:t>
      </w:r>
      <w:r w:rsidRPr="00170701">
        <w:rPr>
          <w:i/>
          <w:iCs/>
          <w:color w:val="0D0D0D" w:themeColor="text1" w:themeTint="F2"/>
          <w:spacing w:val="-2"/>
          <w:sz w:val="16"/>
          <w:szCs w:val="16"/>
        </w:rPr>
        <w:t>službách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převažovala negativní očekávání v</w:t>
      </w:r>
      <w:r>
        <w:rPr>
          <w:color w:val="0D0D0D" w:themeColor="text1" w:themeTint="F2"/>
          <w:spacing w:val="-2"/>
          <w:sz w:val="16"/>
          <w:szCs w:val="16"/>
        </w:rPr>
        <w:t>e čtvrtině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dílčích odvětví</w:t>
      </w:r>
      <w:r>
        <w:rPr>
          <w:color w:val="0D0D0D" w:themeColor="text1" w:themeTint="F2"/>
          <w:spacing w:val="-2"/>
          <w:sz w:val="16"/>
          <w:szCs w:val="16"/>
        </w:rPr>
        <w:t xml:space="preserve"> –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 </w:t>
      </w:r>
      <w:r>
        <w:rPr>
          <w:color w:val="0D0D0D" w:themeColor="text1" w:themeTint="F2"/>
          <w:spacing w:val="-2"/>
          <w:sz w:val="16"/>
          <w:szCs w:val="16"/>
        </w:rPr>
        <w:t>n</w:t>
      </w:r>
      <w:r w:rsidRPr="00A82316">
        <w:rPr>
          <w:color w:val="0D0D0D" w:themeColor="text1" w:themeTint="F2"/>
          <w:spacing w:val="-2"/>
          <w:sz w:val="16"/>
          <w:szCs w:val="16"/>
        </w:rPr>
        <w:t>ejvíce</w:t>
      </w:r>
      <w:r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A82316">
        <w:rPr>
          <w:color w:val="0D0D0D" w:themeColor="text1" w:themeTint="F2"/>
          <w:spacing w:val="-2"/>
          <w:sz w:val="16"/>
          <w:szCs w:val="16"/>
        </w:rPr>
        <w:t>v</w:t>
      </w:r>
      <w:r>
        <w:rPr>
          <w:color w:val="0D0D0D" w:themeColor="text1" w:themeTint="F2"/>
          <w:spacing w:val="-2"/>
          <w:sz w:val="16"/>
          <w:szCs w:val="16"/>
        </w:rPr>
        <w:t xml:space="preserve"> peněžnictví a pojišťovnictví, filmovém a hudebním průmyslu, telekomunikacích a reklamě. </w:t>
      </w:r>
      <w:r w:rsidRPr="00A82316">
        <w:rPr>
          <w:color w:val="0D0D0D" w:themeColor="text1" w:themeTint="F2"/>
          <w:spacing w:val="-2"/>
          <w:sz w:val="16"/>
          <w:szCs w:val="16"/>
        </w:rPr>
        <w:t xml:space="preserve">Naopak optimismus převládal </w:t>
      </w:r>
      <w:r>
        <w:rPr>
          <w:color w:val="0D0D0D" w:themeColor="text1" w:themeTint="F2"/>
          <w:spacing w:val="-2"/>
          <w:sz w:val="16"/>
          <w:szCs w:val="16"/>
        </w:rPr>
        <w:t xml:space="preserve">v pohostinství a </w:t>
      </w:r>
      <w:r w:rsidRPr="00BA5CE9">
        <w:rPr>
          <w:color w:val="0D0D0D" w:themeColor="text1" w:themeTint="F2"/>
          <w:spacing w:val="-6"/>
          <w:sz w:val="16"/>
          <w:szCs w:val="16"/>
        </w:rPr>
        <w:t>stravování, informačních činnostech, skladování, činnostech vedení podniků a poradenství v oblasti řízení, bezpečnostních a pátracích činnostech.</w:t>
      </w:r>
    </w:p>
  </w:footnote>
  <w:footnote w:id="23">
    <w:p w14:paraId="049B64D4" w14:textId="77777777" w:rsidR="009D4785" w:rsidRPr="00A4613D" w:rsidRDefault="009D4785" w:rsidP="009D4785">
      <w:pPr>
        <w:pStyle w:val="Textpoznpodarou"/>
        <w:rPr>
          <w:sz w:val="16"/>
          <w:szCs w:val="16"/>
        </w:rPr>
      </w:pPr>
      <w:r w:rsidRPr="00A82316">
        <w:rPr>
          <w:rStyle w:val="Znakapoznpodarou"/>
          <w:color w:val="0D0D0D" w:themeColor="text1" w:themeTint="F2"/>
          <w:sz w:val="16"/>
          <w:szCs w:val="16"/>
        </w:rPr>
        <w:footnoteRef/>
      </w:r>
      <w:r w:rsidRPr="00A82316">
        <w:rPr>
          <w:color w:val="0D0D0D" w:themeColor="text1" w:themeTint="F2"/>
          <w:sz w:val="16"/>
          <w:szCs w:val="16"/>
        </w:rPr>
        <w:t xml:space="preserve"> Podniky mohly uvést více bariér současně.</w:t>
      </w:r>
    </w:p>
  </w:footnote>
  <w:footnote w:id="24">
    <w:p w14:paraId="5877D82E" w14:textId="77777777" w:rsidR="009D4785" w:rsidRPr="004E68B1" w:rsidRDefault="009D4785" w:rsidP="009D4785">
      <w:pPr>
        <w:pStyle w:val="Textpoznpodarou"/>
        <w:rPr>
          <w:spacing w:val="-3"/>
          <w:sz w:val="16"/>
          <w:szCs w:val="16"/>
        </w:rPr>
      </w:pPr>
      <w:r w:rsidRPr="004E68B1">
        <w:rPr>
          <w:rStyle w:val="Znakapoznpodarou"/>
          <w:spacing w:val="-3"/>
          <w:sz w:val="16"/>
          <w:szCs w:val="16"/>
        </w:rPr>
        <w:footnoteRef/>
      </w:r>
      <w:r>
        <w:rPr>
          <w:spacing w:val="-3"/>
          <w:sz w:val="16"/>
          <w:szCs w:val="16"/>
        </w:rPr>
        <w:t xml:space="preserve"> Ú</w:t>
      </w:r>
      <w:r w:rsidRPr="004E68B1">
        <w:rPr>
          <w:spacing w:val="-3"/>
          <w:sz w:val="16"/>
          <w:szCs w:val="16"/>
        </w:rPr>
        <w:t>daje o </w:t>
      </w:r>
      <w:r>
        <w:rPr>
          <w:spacing w:val="-3"/>
          <w:sz w:val="16"/>
          <w:szCs w:val="16"/>
        </w:rPr>
        <w:t xml:space="preserve">mírách </w:t>
      </w:r>
      <w:r w:rsidRPr="004E68B1">
        <w:rPr>
          <w:spacing w:val="-3"/>
          <w:sz w:val="16"/>
          <w:szCs w:val="16"/>
        </w:rPr>
        <w:t xml:space="preserve">nezaměstnanosti </w:t>
      </w:r>
      <w:r>
        <w:rPr>
          <w:spacing w:val="-3"/>
          <w:sz w:val="16"/>
          <w:szCs w:val="16"/>
        </w:rPr>
        <w:t xml:space="preserve">v Česku vycházejí </w:t>
      </w:r>
      <w:r w:rsidRPr="004E68B1">
        <w:rPr>
          <w:spacing w:val="-3"/>
          <w:sz w:val="16"/>
          <w:szCs w:val="16"/>
        </w:rPr>
        <w:t>z</w:t>
      </w:r>
      <w:r>
        <w:rPr>
          <w:spacing w:val="-3"/>
          <w:sz w:val="16"/>
          <w:szCs w:val="16"/>
        </w:rPr>
        <w:t> VŠPS (dle metodiky ILO) a jsou sezónně očištěny pomocí trendcyklu.</w:t>
      </w:r>
    </w:p>
  </w:footnote>
  <w:footnote w:id="25">
    <w:p w14:paraId="08AD3B46" w14:textId="77777777" w:rsidR="009D4785" w:rsidRPr="00432AEE" w:rsidRDefault="009D4785" w:rsidP="009D4785">
      <w:pPr>
        <w:pStyle w:val="paragraph"/>
        <w:spacing w:before="0" w:beforeAutospacing="0" w:after="0" w:afterAutospacing="0"/>
        <w:rPr>
          <w:rFonts w:ascii="Arial" w:hAnsi="Arial" w:cs="Arial"/>
          <w:color w:val="0D0D0D" w:themeColor="text1" w:themeTint="F2"/>
          <w:sz w:val="16"/>
          <w:szCs w:val="16"/>
        </w:rPr>
      </w:pPr>
      <w:r w:rsidRPr="00AF4ED3">
        <w:rPr>
          <w:rStyle w:val="Znakapoznpodarou"/>
          <w:rFonts w:ascii="Arial" w:hAnsi="Arial" w:cs="Arial"/>
          <w:color w:val="0D0D0D" w:themeColor="text1" w:themeTint="F2"/>
          <w:sz w:val="16"/>
          <w:szCs w:val="16"/>
        </w:rPr>
        <w:footnoteRef/>
      </w:r>
      <w:r w:rsidRPr="00AF4ED3">
        <w:rPr>
          <w:rFonts w:ascii="Arial" w:hAnsi="Arial" w:cs="Arial"/>
          <w:color w:val="0D0D0D" w:themeColor="text1" w:themeTint="F2"/>
          <w:sz w:val="16"/>
          <w:szCs w:val="16"/>
        </w:rPr>
        <w:t xml:space="preserve"> </w:t>
      </w:r>
      <w:r w:rsidRPr="00432AEE">
        <w:rPr>
          <w:rStyle w:val="eop"/>
          <w:rFonts w:ascii="Arial" w:hAnsi="Arial" w:cs="Arial"/>
          <w:color w:val="0D0D0D" w:themeColor="text1" w:themeTint="F2"/>
          <w:spacing w:val="-4"/>
          <w:sz w:val="16"/>
          <w:szCs w:val="16"/>
        </w:rPr>
        <w:t>Trh práce zůstává i v rámci EU celkově stabilizovaný. V lednu 2026 činila sezónně očištěná míra nezaměstnanosti (15</w:t>
      </w:r>
      <w:r>
        <w:rPr>
          <w:rStyle w:val="eop"/>
          <w:rFonts w:ascii="Arial" w:hAnsi="Arial" w:cs="Arial"/>
          <w:color w:val="0D0D0D" w:themeColor="text1" w:themeTint="F2"/>
          <w:spacing w:val="-4"/>
          <w:sz w:val="16"/>
          <w:szCs w:val="16"/>
        </w:rPr>
        <w:t>–</w:t>
      </w:r>
      <w:r w:rsidRPr="00432AEE">
        <w:rPr>
          <w:rStyle w:val="eop"/>
          <w:rFonts w:ascii="Arial" w:hAnsi="Arial" w:cs="Arial"/>
          <w:color w:val="0D0D0D" w:themeColor="text1" w:themeTint="F2"/>
          <w:spacing w:val="-4"/>
          <w:sz w:val="16"/>
          <w:szCs w:val="16"/>
        </w:rPr>
        <w:t>74letých) v Unii 5,8 %</w:t>
      </w:r>
      <w:r w:rsidRPr="00432AEE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 a v eurozóně 6,1 %. Meziměsíčně ani meziročně k významné změně nedošlo. </w:t>
      </w:r>
      <w:r w:rsidRPr="00EA34AB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Současná nezaměstnanost je v obou </w:t>
      </w:r>
      <w:r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>u</w:t>
      </w:r>
      <w:r w:rsidRPr="00EA34AB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skupeních </w:t>
      </w:r>
      <w:r w:rsidRPr="00432AEE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téměř </w:t>
      </w:r>
      <w:r w:rsidRPr="00EA34AB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>na svých historických minimech</w:t>
      </w:r>
      <w:r w:rsidRPr="00432AEE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 </w:t>
      </w:r>
      <w:r w:rsidRPr="00EA34AB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(přesto je aktuálně mírně vyšší než např. v USA, kde činila 4,3 % či </w:t>
      </w:r>
      <w:r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v </w:t>
      </w:r>
      <w:r w:rsidRPr="00EA34AB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>Japonsku s 2,7 %).</w:t>
      </w:r>
      <w:r w:rsidRPr="00432AEE">
        <w:rPr>
          <w:rStyle w:val="eop"/>
          <w:rFonts w:ascii="Arial" w:hAnsi="Arial" w:cs="Arial"/>
          <w:color w:val="0D0D0D" w:themeColor="text1" w:themeTint="F2"/>
          <w:spacing w:val="-2"/>
          <w:sz w:val="16"/>
          <w:szCs w:val="16"/>
        </w:rPr>
        <w:t xml:space="preserve"> </w:t>
      </w:r>
      <w:r w:rsidRPr="00EA34AB">
        <w:rPr>
          <w:rFonts w:ascii="Arial" w:hAnsi="Arial" w:cs="Arial"/>
          <w:spacing w:val="-2"/>
          <w:sz w:val="16"/>
          <w:szCs w:val="16"/>
        </w:rPr>
        <w:t xml:space="preserve">Nezaměstnanost </w:t>
      </w:r>
      <w:r>
        <w:rPr>
          <w:rFonts w:ascii="Arial" w:hAnsi="Arial" w:cs="Arial"/>
          <w:spacing w:val="-2"/>
          <w:sz w:val="16"/>
          <w:szCs w:val="16"/>
        </w:rPr>
        <w:br/>
      </w:r>
      <w:r w:rsidRPr="00EA34AB">
        <w:rPr>
          <w:rFonts w:ascii="Arial" w:hAnsi="Arial" w:cs="Arial"/>
          <w:spacing w:val="-2"/>
          <w:sz w:val="16"/>
          <w:szCs w:val="16"/>
        </w:rPr>
        <w:t xml:space="preserve">v Česku </w:t>
      </w:r>
      <w:r w:rsidRPr="00432AEE">
        <w:rPr>
          <w:rFonts w:ascii="Arial" w:hAnsi="Arial" w:cs="Arial"/>
          <w:spacing w:val="-2"/>
          <w:sz w:val="16"/>
          <w:szCs w:val="16"/>
        </w:rPr>
        <w:t xml:space="preserve">(3,2 %) </w:t>
      </w:r>
      <w:r w:rsidRPr="00EA34AB">
        <w:rPr>
          <w:rFonts w:ascii="Arial" w:hAnsi="Arial" w:cs="Arial"/>
          <w:spacing w:val="-2"/>
          <w:sz w:val="16"/>
          <w:szCs w:val="16"/>
        </w:rPr>
        <w:t>patří k</w:t>
      </w:r>
      <w:r w:rsidRPr="00432AEE">
        <w:rPr>
          <w:rFonts w:ascii="Arial" w:hAnsi="Arial" w:cs="Arial"/>
          <w:spacing w:val="-2"/>
          <w:sz w:val="16"/>
          <w:szCs w:val="16"/>
        </w:rPr>
        <w:t> </w:t>
      </w:r>
      <w:r w:rsidRPr="00EA34AB">
        <w:rPr>
          <w:rFonts w:ascii="Arial" w:hAnsi="Arial" w:cs="Arial"/>
          <w:spacing w:val="-2"/>
          <w:sz w:val="16"/>
          <w:szCs w:val="16"/>
        </w:rPr>
        <w:t>nejnižším</w:t>
      </w:r>
      <w:r w:rsidRPr="00432AEE">
        <w:rPr>
          <w:rFonts w:ascii="Arial" w:hAnsi="Arial" w:cs="Arial"/>
          <w:spacing w:val="-2"/>
          <w:sz w:val="16"/>
          <w:szCs w:val="16"/>
        </w:rPr>
        <w:t>,</w:t>
      </w:r>
      <w:r w:rsidRPr="00EA34AB">
        <w:rPr>
          <w:rFonts w:ascii="Arial" w:hAnsi="Arial" w:cs="Arial"/>
          <w:spacing w:val="-2"/>
          <w:sz w:val="16"/>
          <w:szCs w:val="16"/>
        </w:rPr>
        <w:t xml:space="preserve"> aktuálně spolu s Polskem a Bulharskem (shodně 3,1 %) a Maltou (3,4 %). V Německu a Nizozemsku je nyní na rovných 4 %, v Maďarsku na 4,5 % a na Slovensku i </w:t>
      </w:r>
      <w:r>
        <w:rPr>
          <w:rFonts w:ascii="Arial" w:hAnsi="Arial" w:cs="Arial"/>
          <w:spacing w:val="-2"/>
          <w:sz w:val="16"/>
          <w:szCs w:val="16"/>
        </w:rPr>
        <w:t xml:space="preserve">v </w:t>
      </w:r>
      <w:r w:rsidRPr="00EA34AB">
        <w:rPr>
          <w:rFonts w:ascii="Arial" w:hAnsi="Arial" w:cs="Arial"/>
          <w:spacing w:val="-2"/>
          <w:sz w:val="16"/>
          <w:szCs w:val="16"/>
        </w:rPr>
        <w:t xml:space="preserve">Rakousku na 5,6 %. Nejhorší situace je ve Finsku (10,0 %) a po dlouhé době tak nejsou na čele v EU Španělsko (9,8 %) ani Řecko (7,7 %), neboť pokles nezaměstnanosti v těchto zemích patří aktuálně k nejvyšším. </w:t>
      </w:r>
      <w:r>
        <w:rPr>
          <w:rFonts w:ascii="Arial" w:hAnsi="Arial" w:cs="Arial"/>
          <w:spacing w:val="-2"/>
          <w:sz w:val="16"/>
          <w:szCs w:val="16"/>
        </w:rPr>
        <w:br/>
      </w:r>
      <w:r w:rsidRPr="00EA34AB">
        <w:rPr>
          <w:rFonts w:ascii="Arial" w:hAnsi="Arial" w:cs="Arial"/>
          <w:spacing w:val="-2"/>
          <w:sz w:val="16"/>
          <w:szCs w:val="16"/>
        </w:rPr>
        <w:t xml:space="preserve">K pozitivnímu posunu došlo i ve Švédsku, přesto se zde nezaměstnanost stále drží vysoko (8,0 %). Zvýšená byla nadále </w:t>
      </w:r>
      <w:r w:rsidRPr="00432AEE">
        <w:rPr>
          <w:rFonts w:ascii="Arial" w:hAnsi="Arial" w:cs="Arial"/>
          <w:spacing w:val="-2"/>
          <w:sz w:val="16"/>
          <w:szCs w:val="16"/>
        </w:rPr>
        <w:t xml:space="preserve">i </w:t>
      </w:r>
      <w:r w:rsidRPr="00EA34AB">
        <w:rPr>
          <w:rFonts w:ascii="Arial" w:hAnsi="Arial" w:cs="Arial"/>
          <w:spacing w:val="-2"/>
          <w:sz w:val="16"/>
          <w:szCs w:val="16"/>
        </w:rPr>
        <w:t xml:space="preserve">ve Francii (7,7 %) a </w:t>
      </w:r>
      <w:r w:rsidRPr="00EA34AB">
        <w:rPr>
          <w:rFonts w:ascii="Arial" w:hAnsi="Arial" w:cs="Arial"/>
          <w:spacing w:val="-1"/>
          <w:sz w:val="16"/>
          <w:szCs w:val="16"/>
        </w:rPr>
        <w:t xml:space="preserve">Dánsku (7,5 %). Meziročně je celková nezaměstnanost nižší v </w:t>
      </w:r>
      <w:r w:rsidRPr="00432AEE">
        <w:rPr>
          <w:rFonts w:ascii="Arial" w:hAnsi="Arial" w:cs="Arial"/>
          <w:spacing w:val="-1"/>
          <w:sz w:val="16"/>
          <w:szCs w:val="16"/>
        </w:rPr>
        <w:t>11</w:t>
      </w:r>
      <w:r w:rsidRPr="00EA34AB">
        <w:rPr>
          <w:rFonts w:ascii="Arial" w:hAnsi="Arial" w:cs="Arial"/>
          <w:spacing w:val="-1"/>
          <w:sz w:val="16"/>
          <w:szCs w:val="16"/>
        </w:rPr>
        <w:t xml:space="preserve"> členských státech – hlavně v Řecku (</w:t>
      </w:r>
      <w:r>
        <w:rPr>
          <w:rFonts w:ascii="Arial" w:hAnsi="Arial" w:cs="Arial"/>
          <w:spacing w:val="-1"/>
          <w:sz w:val="16"/>
          <w:szCs w:val="16"/>
        </w:rPr>
        <w:t>−</w:t>
      </w:r>
      <w:r w:rsidRPr="00EA34AB">
        <w:rPr>
          <w:rFonts w:ascii="Arial" w:hAnsi="Arial" w:cs="Arial"/>
          <w:spacing w:val="-1"/>
          <w:sz w:val="16"/>
          <w:szCs w:val="16"/>
        </w:rPr>
        <w:t>2,1 p. b.), Švédsku (</w:t>
      </w:r>
      <w:r>
        <w:rPr>
          <w:rFonts w:ascii="Arial" w:hAnsi="Arial" w:cs="Arial"/>
          <w:spacing w:val="-1"/>
          <w:sz w:val="16"/>
          <w:szCs w:val="16"/>
        </w:rPr>
        <w:t>−</w:t>
      </w:r>
      <w:r w:rsidRPr="00EA34AB">
        <w:rPr>
          <w:rFonts w:ascii="Arial" w:hAnsi="Arial" w:cs="Arial"/>
          <w:spacing w:val="-1"/>
          <w:sz w:val="16"/>
          <w:szCs w:val="16"/>
        </w:rPr>
        <w:t>1,8 p. b.) Itálii</w:t>
      </w:r>
      <w:r w:rsidRPr="00EA34AB">
        <w:rPr>
          <w:rFonts w:ascii="Arial" w:hAnsi="Arial" w:cs="Arial"/>
          <w:sz w:val="16"/>
          <w:szCs w:val="16"/>
        </w:rPr>
        <w:t xml:space="preserve"> </w:t>
      </w:r>
      <w:r w:rsidRPr="00EA34AB">
        <w:rPr>
          <w:rFonts w:ascii="Arial" w:hAnsi="Arial" w:cs="Arial"/>
          <w:spacing w:val="-5"/>
          <w:sz w:val="16"/>
          <w:szCs w:val="16"/>
        </w:rPr>
        <w:t>(</w:t>
      </w:r>
      <w:r>
        <w:rPr>
          <w:rFonts w:ascii="Arial" w:hAnsi="Arial" w:cs="Arial"/>
          <w:spacing w:val="-5"/>
          <w:sz w:val="16"/>
          <w:szCs w:val="16"/>
        </w:rPr>
        <w:t>−</w:t>
      </w:r>
      <w:r w:rsidRPr="00EA34AB">
        <w:rPr>
          <w:rFonts w:ascii="Arial" w:hAnsi="Arial" w:cs="Arial"/>
          <w:spacing w:val="-5"/>
          <w:sz w:val="16"/>
          <w:szCs w:val="16"/>
        </w:rPr>
        <w:t>1,5 p. b.), Estonsku (</w:t>
      </w:r>
      <w:r>
        <w:rPr>
          <w:rFonts w:ascii="Arial" w:hAnsi="Arial" w:cs="Arial"/>
          <w:spacing w:val="-5"/>
          <w:sz w:val="16"/>
          <w:szCs w:val="16"/>
        </w:rPr>
        <w:t>−</w:t>
      </w:r>
      <w:r w:rsidRPr="00EA34AB">
        <w:rPr>
          <w:rFonts w:ascii="Arial" w:hAnsi="Arial" w:cs="Arial"/>
          <w:spacing w:val="-5"/>
          <w:sz w:val="16"/>
          <w:szCs w:val="16"/>
        </w:rPr>
        <w:t>1,3 p. b.) a Španělsku (</w:t>
      </w:r>
      <w:r>
        <w:rPr>
          <w:rFonts w:ascii="Arial" w:hAnsi="Arial" w:cs="Arial"/>
          <w:spacing w:val="-5"/>
          <w:sz w:val="16"/>
          <w:szCs w:val="16"/>
        </w:rPr>
        <w:t>−</w:t>
      </w:r>
      <w:r w:rsidRPr="00EA34AB">
        <w:rPr>
          <w:rFonts w:ascii="Arial" w:hAnsi="Arial" w:cs="Arial"/>
          <w:spacing w:val="-5"/>
          <w:sz w:val="16"/>
          <w:szCs w:val="16"/>
        </w:rPr>
        <w:t>1,1 p. b.). Naopak ke zhoršení došlo ve</w:t>
      </w:r>
      <w:r w:rsidRPr="00432AEE">
        <w:rPr>
          <w:rFonts w:ascii="Arial" w:hAnsi="Arial" w:cs="Arial"/>
          <w:spacing w:val="-5"/>
          <w:sz w:val="16"/>
          <w:szCs w:val="16"/>
        </w:rPr>
        <w:t xml:space="preserve"> 14</w:t>
      </w:r>
      <w:r w:rsidRPr="00EA34AB">
        <w:rPr>
          <w:rFonts w:ascii="Arial" w:hAnsi="Arial" w:cs="Arial"/>
          <w:spacing w:val="-5"/>
          <w:sz w:val="16"/>
          <w:szCs w:val="16"/>
        </w:rPr>
        <w:t xml:space="preserve"> zemích – hlavně ve Finsku a Dánsku (shodně +0,9 p. b.).</w:t>
      </w:r>
    </w:p>
  </w:footnote>
  <w:footnote w:id="26">
    <w:p w14:paraId="78C7A8BE" w14:textId="77777777" w:rsidR="009D4785" w:rsidRPr="007C7FE3" w:rsidRDefault="009D4785" w:rsidP="009D4785">
      <w:pPr>
        <w:pStyle w:val="Textpoznpodarou"/>
        <w:rPr>
          <w:color w:val="0D0D0D" w:themeColor="text1" w:themeTint="F2"/>
          <w:sz w:val="16"/>
          <w:szCs w:val="16"/>
        </w:rPr>
      </w:pPr>
      <w:r w:rsidRPr="00352547">
        <w:rPr>
          <w:rStyle w:val="Znakapoznpodarou"/>
          <w:color w:val="0D0D0D" w:themeColor="text1" w:themeTint="F2"/>
          <w:sz w:val="16"/>
          <w:szCs w:val="16"/>
        </w:rPr>
        <w:footnoteRef/>
      </w:r>
      <w:r w:rsidRPr="00352547">
        <w:rPr>
          <w:color w:val="0D0D0D" w:themeColor="text1" w:themeTint="F2"/>
          <w:sz w:val="16"/>
          <w:szCs w:val="16"/>
        </w:rPr>
        <w:t xml:space="preserve"> Meziročně jich ve </w:t>
      </w:r>
      <w:r>
        <w:rPr>
          <w:color w:val="0D0D0D" w:themeColor="text1" w:themeTint="F2"/>
          <w:sz w:val="16"/>
          <w:szCs w:val="16"/>
        </w:rPr>
        <w:t>4</w:t>
      </w:r>
      <w:r w:rsidRPr="00352547">
        <w:rPr>
          <w:color w:val="0D0D0D" w:themeColor="text1" w:themeTint="F2"/>
          <w:sz w:val="16"/>
          <w:szCs w:val="16"/>
        </w:rPr>
        <w:t>. čtvrtletí přibylo 1</w:t>
      </w:r>
      <w:r>
        <w:rPr>
          <w:color w:val="0D0D0D" w:themeColor="text1" w:themeTint="F2"/>
          <w:sz w:val="16"/>
          <w:szCs w:val="16"/>
        </w:rPr>
        <w:t>3</w:t>
      </w:r>
      <w:r w:rsidRPr="00352547">
        <w:rPr>
          <w:color w:val="0D0D0D" w:themeColor="text1" w:themeTint="F2"/>
          <w:sz w:val="16"/>
          <w:szCs w:val="16"/>
        </w:rPr>
        <w:t xml:space="preserve"> tis. (na </w:t>
      </w:r>
      <w:r>
        <w:rPr>
          <w:color w:val="0D0D0D" w:themeColor="text1" w:themeTint="F2"/>
          <w:sz w:val="16"/>
          <w:szCs w:val="16"/>
        </w:rPr>
        <w:t>52</w:t>
      </w:r>
      <w:r w:rsidRPr="00352547">
        <w:rPr>
          <w:color w:val="0D0D0D" w:themeColor="text1" w:themeTint="F2"/>
          <w:sz w:val="16"/>
          <w:szCs w:val="16"/>
        </w:rPr>
        <w:t xml:space="preserve"> tis.), </w:t>
      </w:r>
      <w:r>
        <w:rPr>
          <w:color w:val="0D0D0D" w:themeColor="text1" w:themeTint="F2"/>
          <w:sz w:val="16"/>
          <w:szCs w:val="16"/>
        </w:rPr>
        <w:t>především vlivem</w:t>
      </w:r>
      <w:r w:rsidRPr="00352547">
        <w:rPr>
          <w:color w:val="0D0D0D" w:themeColor="text1" w:themeTint="F2"/>
          <w:sz w:val="16"/>
          <w:szCs w:val="16"/>
        </w:rPr>
        <w:t xml:space="preserve"> mužů. Osoby, jež byly bez práce déle než rok, se na </w:t>
      </w:r>
      <w:r w:rsidRPr="007C7FE3">
        <w:rPr>
          <w:color w:val="0D0D0D" w:themeColor="text1" w:themeTint="F2"/>
          <w:sz w:val="16"/>
          <w:szCs w:val="16"/>
        </w:rPr>
        <w:t>celkovém počtu nezaměstnaných aktuálně podílely 33 % (o rok dříve 29 %), což je v dlouhodobém i mezinárodním kontextu průměrná hodnota.</w:t>
      </w:r>
    </w:p>
  </w:footnote>
  <w:footnote w:id="27">
    <w:p w14:paraId="1EA189B2" w14:textId="77777777" w:rsidR="009D4785" w:rsidRPr="000B5026" w:rsidRDefault="009D4785" w:rsidP="009D4785">
      <w:pPr>
        <w:pStyle w:val="Textpoznpodarou"/>
        <w:rPr>
          <w:sz w:val="16"/>
          <w:szCs w:val="16"/>
        </w:rPr>
      </w:pPr>
      <w:r w:rsidRPr="00C21987">
        <w:rPr>
          <w:rStyle w:val="Znakapoznpodarou"/>
          <w:color w:val="0D0D0D" w:themeColor="text1" w:themeTint="F2"/>
          <w:sz w:val="16"/>
          <w:szCs w:val="16"/>
        </w:rPr>
        <w:footnoteRef/>
      </w:r>
      <w:r w:rsidRPr="00C21987">
        <w:rPr>
          <w:color w:val="0D0D0D" w:themeColor="text1" w:themeTint="F2"/>
          <w:sz w:val="16"/>
          <w:szCs w:val="16"/>
        </w:rPr>
        <w:t xml:space="preserve"> </w:t>
      </w:r>
      <w:r w:rsidRPr="00C21987">
        <w:rPr>
          <w:rFonts w:cs="Arial"/>
          <w:color w:val="0D0D0D" w:themeColor="text1" w:themeTint="F2"/>
          <w:sz w:val="16"/>
          <w:szCs w:val="16"/>
        </w:rPr>
        <w:t>Nejvyšší podíl nezaměstnaných (k obyvatelstvu ve věku 15</w:t>
      </w:r>
      <w:r>
        <w:rPr>
          <w:rFonts w:cs="Arial"/>
          <w:color w:val="0D0D0D" w:themeColor="text1" w:themeTint="F2"/>
          <w:sz w:val="16"/>
          <w:szCs w:val="16"/>
        </w:rPr>
        <w:t>–</w:t>
      </w:r>
      <w:r w:rsidRPr="00C21987">
        <w:rPr>
          <w:rFonts w:cs="Arial"/>
          <w:color w:val="0D0D0D" w:themeColor="text1" w:themeTint="F2"/>
          <w:sz w:val="16"/>
          <w:szCs w:val="16"/>
        </w:rPr>
        <w:t xml:space="preserve">64 let) měli aktuálně muži v okrese Karviná (10,5 %) a ženy na Mostecku (11,8 %). Celková nezaměstnanost převyšující alespoň o polovinu celorepublikovou hodnotu </w:t>
      </w:r>
      <w:r>
        <w:rPr>
          <w:rFonts w:cs="Arial"/>
          <w:color w:val="0D0D0D" w:themeColor="text1" w:themeTint="F2"/>
          <w:sz w:val="16"/>
          <w:szCs w:val="16"/>
        </w:rPr>
        <w:t xml:space="preserve">se vedle výše uvedených regionů </w:t>
      </w:r>
      <w:r w:rsidRPr="00C21987">
        <w:rPr>
          <w:rFonts w:cs="Arial"/>
          <w:color w:val="0D0D0D" w:themeColor="text1" w:themeTint="F2"/>
          <w:sz w:val="16"/>
          <w:szCs w:val="16"/>
        </w:rPr>
        <w:t>vyskytovala</w:t>
      </w:r>
      <w:r>
        <w:rPr>
          <w:rFonts w:cs="Arial"/>
          <w:color w:val="0D0D0D" w:themeColor="text1" w:themeTint="F2"/>
          <w:sz w:val="16"/>
          <w:szCs w:val="16"/>
        </w:rPr>
        <w:t xml:space="preserve"> v okresech Bruntál, Sokolov, Chomutov, Znojmo a Děčín. N</w:t>
      </w:r>
      <w:r w:rsidRPr="00C21987">
        <w:rPr>
          <w:rFonts w:cs="Arial"/>
          <w:color w:val="0D0D0D" w:themeColor="text1" w:themeTint="F2"/>
          <w:sz w:val="16"/>
          <w:szCs w:val="16"/>
        </w:rPr>
        <w:t>aopak nejnižší (pod 3,6 %) byla v bezprostředním zázemí Prahy</w:t>
      </w:r>
      <w:r>
        <w:rPr>
          <w:rFonts w:cs="Arial"/>
          <w:color w:val="0D0D0D" w:themeColor="text1" w:themeTint="F2"/>
          <w:sz w:val="16"/>
          <w:szCs w:val="16"/>
        </w:rPr>
        <w:t xml:space="preserve"> a </w:t>
      </w:r>
      <w:r w:rsidRPr="00C21987">
        <w:rPr>
          <w:rFonts w:cs="Arial"/>
          <w:color w:val="0D0D0D" w:themeColor="text1" w:themeTint="F2"/>
          <w:sz w:val="16"/>
          <w:szCs w:val="16"/>
        </w:rPr>
        <w:t>na Rychnovsku</w:t>
      </w:r>
      <w:r>
        <w:rPr>
          <w:rFonts w:cs="Arial"/>
          <w:color w:val="0D0D0D" w:themeColor="text1" w:themeTint="F2"/>
          <w:sz w:val="16"/>
          <w:szCs w:val="16"/>
        </w:rPr>
        <w:t>,</w:t>
      </w:r>
      <w:r w:rsidRPr="00C21987">
        <w:rPr>
          <w:rFonts w:cs="Arial"/>
          <w:color w:val="0D0D0D" w:themeColor="text1" w:themeTint="F2"/>
          <w:sz w:val="16"/>
          <w:szCs w:val="16"/>
        </w:rPr>
        <w:t xml:space="preserve"> Pelhřimovsku a Mladoboleslav</w:t>
      </w:r>
      <w:r>
        <w:rPr>
          <w:rFonts w:cs="Arial"/>
          <w:color w:val="0D0D0D" w:themeColor="text1" w:themeTint="F2"/>
          <w:sz w:val="16"/>
          <w:szCs w:val="16"/>
        </w:rPr>
        <w:t>s</w:t>
      </w:r>
      <w:r w:rsidRPr="00C21987">
        <w:rPr>
          <w:rFonts w:cs="Arial"/>
          <w:color w:val="0D0D0D" w:themeColor="text1" w:themeTint="F2"/>
          <w:sz w:val="16"/>
          <w:szCs w:val="16"/>
        </w:rPr>
        <w:t xml:space="preserve">ku. 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 xml:space="preserve">Meziročně vzrostla nezaměstnanost ve všech okresech ČR – nejvíce na Sokolovsku (z 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6,3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 xml:space="preserve"> % na 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8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>,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2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 xml:space="preserve"> %)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, Mostecku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 xml:space="preserve"> 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(z 8,8 % na 10,3 %) 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>a Českolipsku (z 4,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9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 xml:space="preserve"> % na 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6,4</w:t>
      </w:r>
      <w:r w:rsidRPr="00C21987">
        <w:rPr>
          <w:rFonts w:cs="Arial"/>
          <w:color w:val="0D0D0D" w:themeColor="text1" w:themeTint="F2"/>
          <w:spacing w:val="-2"/>
          <w:sz w:val="16"/>
          <w:szCs w:val="16"/>
        </w:rPr>
        <w:t xml:space="preserve"> %).</w:t>
      </w:r>
    </w:p>
  </w:footnote>
  <w:footnote w:id="28">
    <w:p w14:paraId="362C3121" w14:textId="77777777" w:rsidR="009D4785" w:rsidRPr="00A657A4" w:rsidRDefault="009D4785" w:rsidP="009D4785">
      <w:pPr>
        <w:pStyle w:val="Textpoznpodarou"/>
        <w:rPr>
          <w:rFonts w:cs="Arial"/>
          <w:sz w:val="16"/>
          <w:szCs w:val="16"/>
        </w:rPr>
      </w:pPr>
      <w:r w:rsidRPr="00723CD6">
        <w:rPr>
          <w:rStyle w:val="Znakapoznpodarou"/>
          <w:sz w:val="16"/>
          <w:szCs w:val="16"/>
        </w:rPr>
        <w:footnoteRef/>
      </w:r>
      <w:r w:rsidRPr="00723CD6">
        <w:rPr>
          <w:sz w:val="16"/>
          <w:szCs w:val="16"/>
        </w:rPr>
        <w:t xml:space="preserve"> </w:t>
      </w:r>
      <w:r w:rsidRPr="00723CD6">
        <w:rPr>
          <w:rStyle w:val="eop"/>
          <w:rFonts w:cs="Arial"/>
          <w:sz w:val="16"/>
          <w:szCs w:val="16"/>
        </w:rPr>
        <w:t>Dle experimentální statistiky ČSÚ (šetření u podniků p</w:t>
      </w:r>
      <w:r>
        <w:rPr>
          <w:rStyle w:val="eop"/>
          <w:rFonts w:cs="Arial"/>
          <w:sz w:val="16"/>
          <w:szCs w:val="16"/>
        </w:rPr>
        <w:t>rováděná od roku 2020) byla ve 4.</w:t>
      </w:r>
      <w:r w:rsidRPr="00723CD6">
        <w:rPr>
          <w:rStyle w:val="eop"/>
          <w:rFonts w:cs="Arial"/>
          <w:sz w:val="16"/>
          <w:szCs w:val="16"/>
        </w:rPr>
        <w:t xml:space="preserve"> čtvrtletí 2025 nabídka t</w:t>
      </w:r>
      <w:r>
        <w:rPr>
          <w:rStyle w:val="eop"/>
          <w:rFonts w:cs="Arial"/>
          <w:sz w:val="16"/>
          <w:szCs w:val="16"/>
        </w:rPr>
        <w:t>uzemských firem odhadnuta na 99</w:t>
      </w:r>
      <w:r w:rsidRPr="00723CD6">
        <w:rPr>
          <w:rStyle w:val="eop"/>
          <w:rFonts w:cs="Arial"/>
          <w:sz w:val="16"/>
          <w:szCs w:val="16"/>
        </w:rPr>
        <w:t xml:space="preserve"> tis. volných míst (j</w:t>
      </w:r>
      <w:r>
        <w:rPr>
          <w:rStyle w:val="eop"/>
          <w:rFonts w:cs="Arial"/>
          <w:sz w:val="16"/>
          <w:szCs w:val="16"/>
        </w:rPr>
        <w:t>de jen</w:t>
      </w:r>
      <w:r w:rsidRPr="00723CD6">
        <w:rPr>
          <w:rStyle w:val="eop"/>
          <w:rFonts w:cs="Arial"/>
          <w:sz w:val="16"/>
          <w:szCs w:val="16"/>
        </w:rPr>
        <w:t xml:space="preserve"> o místa v pracovním poměru, n</w:t>
      </w:r>
      <w:r>
        <w:rPr>
          <w:rStyle w:val="eop"/>
          <w:rFonts w:cs="Arial"/>
          <w:sz w:val="16"/>
          <w:szCs w:val="16"/>
        </w:rPr>
        <w:t>ikoli</w:t>
      </w:r>
      <w:r w:rsidRPr="00723CD6">
        <w:rPr>
          <w:rStyle w:val="eop"/>
          <w:rFonts w:cs="Arial"/>
          <w:sz w:val="16"/>
          <w:szCs w:val="16"/>
        </w:rPr>
        <w:t xml:space="preserve"> o přechodná zaměstnání, např. různé typy dohod). Počet míst se meziročně</w:t>
      </w:r>
      <w:r>
        <w:rPr>
          <w:rStyle w:val="eop"/>
          <w:rFonts w:cs="Arial"/>
          <w:sz w:val="16"/>
          <w:szCs w:val="16"/>
        </w:rPr>
        <w:t xml:space="preserve"> snížil</w:t>
      </w:r>
      <w:r w:rsidRPr="00723CD6">
        <w:rPr>
          <w:rStyle w:val="eop"/>
          <w:rFonts w:cs="Arial"/>
          <w:sz w:val="16"/>
          <w:szCs w:val="16"/>
        </w:rPr>
        <w:t xml:space="preserve"> o </w:t>
      </w:r>
      <w:r>
        <w:rPr>
          <w:rStyle w:val="eop"/>
          <w:rFonts w:cs="Arial"/>
          <w:sz w:val="16"/>
          <w:szCs w:val="16"/>
        </w:rPr>
        <w:t>2</w:t>
      </w:r>
      <w:r w:rsidRPr="00723CD6">
        <w:rPr>
          <w:rStyle w:val="eop"/>
          <w:rFonts w:cs="Arial"/>
          <w:sz w:val="16"/>
          <w:szCs w:val="16"/>
        </w:rPr>
        <w:t xml:space="preserve"> % (</w:t>
      </w:r>
      <w:r>
        <w:rPr>
          <w:rStyle w:val="eop"/>
          <w:rFonts w:cs="Arial"/>
          <w:sz w:val="16"/>
          <w:szCs w:val="16"/>
        </w:rPr>
        <w:t>mírně klesal i v předchozích loňských čtvrtletích</w:t>
      </w:r>
      <w:r w:rsidRPr="00723CD6">
        <w:rPr>
          <w:rStyle w:val="eop"/>
          <w:rFonts w:cs="Arial"/>
          <w:sz w:val="16"/>
          <w:szCs w:val="16"/>
        </w:rPr>
        <w:t xml:space="preserve">). </w:t>
      </w:r>
      <w:r>
        <w:rPr>
          <w:rStyle w:val="eop"/>
          <w:rFonts w:cs="Arial"/>
          <w:sz w:val="16"/>
          <w:szCs w:val="16"/>
        </w:rPr>
        <w:t>Na současném poklesu nabídky se podílely hlavně a</w:t>
      </w:r>
      <w:r w:rsidRPr="00723CD6">
        <w:rPr>
          <w:rStyle w:val="eop"/>
          <w:rFonts w:cs="Arial"/>
          <w:sz w:val="16"/>
          <w:szCs w:val="16"/>
        </w:rPr>
        <w:t>dministrativní a podpůrné činnosti</w:t>
      </w:r>
      <w:r>
        <w:rPr>
          <w:rStyle w:val="eop"/>
          <w:rFonts w:cs="Arial"/>
          <w:sz w:val="16"/>
          <w:szCs w:val="16"/>
        </w:rPr>
        <w:t xml:space="preserve"> (</w:t>
      </w:r>
      <w:r w:rsidRPr="00EA34AB">
        <w:rPr>
          <w:rFonts w:eastAsia="Times New Roman" w:cs="Arial"/>
          <w:spacing w:val="-5"/>
          <w:sz w:val="16"/>
          <w:szCs w:val="16"/>
        </w:rPr>
        <w:t>–</w:t>
      </w:r>
      <w:r>
        <w:rPr>
          <w:rStyle w:val="eop"/>
          <w:rFonts w:cs="Arial"/>
          <w:sz w:val="16"/>
          <w:szCs w:val="16"/>
        </w:rPr>
        <w:t xml:space="preserve">2,2 tis.) a dále veřejná správa a také doprava vč. skladování (shodně okolo 1 tis.) a trochu překvapivě i stavebnictví a informační a komunikační činnosti. Naopak nejvíce rostla nabídka míst v obchodu a průmyslu (shodně zhruba o 2 tis.) a </w:t>
      </w:r>
      <w:r w:rsidRPr="00296602">
        <w:rPr>
          <w:rStyle w:val="eop"/>
          <w:rFonts w:cs="Arial"/>
          <w:spacing w:val="-2"/>
          <w:sz w:val="16"/>
          <w:szCs w:val="16"/>
        </w:rPr>
        <w:t>ve vzdělávání (+1,2 tis.). Nejvíce volných pozic bylo v odvětvích s významnou rolí státu (26 tis.), v průmyslu (25 tis.)</w:t>
      </w:r>
      <w:r>
        <w:rPr>
          <w:rStyle w:val="eop"/>
          <w:rFonts w:cs="Arial"/>
          <w:spacing w:val="-2"/>
          <w:sz w:val="16"/>
          <w:szCs w:val="16"/>
        </w:rPr>
        <w:br/>
      </w:r>
      <w:r w:rsidRPr="00296602">
        <w:rPr>
          <w:rStyle w:val="eop"/>
          <w:rFonts w:cs="Arial"/>
          <w:spacing w:val="-2"/>
          <w:sz w:val="16"/>
          <w:szCs w:val="16"/>
        </w:rPr>
        <w:t>a v obchodu (13 tis.).</w:t>
      </w:r>
      <w:r>
        <w:rPr>
          <w:rStyle w:val="eop"/>
          <w:rFonts w:cs="Arial"/>
          <w:sz w:val="16"/>
          <w:szCs w:val="16"/>
        </w:rPr>
        <w:t xml:space="preserve"> </w:t>
      </w:r>
    </w:p>
  </w:footnote>
  <w:footnote w:id="29">
    <w:p w14:paraId="5865930F" w14:textId="77777777" w:rsidR="009D4785" w:rsidRPr="00BC4EF9" w:rsidRDefault="009D4785" w:rsidP="009D4785">
      <w:pPr>
        <w:pStyle w:val="Textpoznpodarou"/>
        <w:rPr>
          <w:sz w:val="16"/>
          <w:szCs w:val="16"/>
        </w:rPr>
      </w:pPr>
      <w:r w:rsidRPr="00BC4EF9">
        <w:rPr>
          <w:rStyle w:val="Znakapoznpodarou"/>
          <w:sz w:val="16"/>
          <w:szCs w:val="16"/>
        </w:rPr>
        <w:footnoteRef/>
      </w:r>
      <w:r w:rsidRPr="00BC4EF9">
        <w:rPr>
          <w:sz w:val="16"/>
          <w:szCs w:val="16"/>
        </w:rPr>
        <w:t xml:space="preserve"> Řada volných míst (zejména pro osoby s vyšší kvalifikací) je však inzerována jinou formou (např. přes pracovní portály).</w:t>
      </w:r>
      <w:r>
        <w:rPr>
          <w:sz w:val="16"/>
          <w:szCs w:val="16"/>
        </w:rPr>
        <w:t xml:space="preserve"> Současně zdaleka ne všichni nezaměstnaní (dle mezinárodního pojetí ILO) využívají jako primární zdroj informací o nabídce volných míst úřady práce. Lidé s vyšším vzděláním častěji preferují více způsobů hledání práce současně (</w:t>
      </w:r>
      <w:r w:rsidRPr="007300C1">
        <w:rPr>
          <w:sz w:val="16"/>
          <w:szCs w:val="16"/>
        </w:rPr>
        <w:t>umisťování a aktualizování životopisů</w:t>
      </w:r>
      <w:r>
        <w:rPr>
          <w:sz w:val="16"/>
          <w:szCs w:val="16"/>
        </w:rPr>
        <w:t>, aktivní absolvování pohovorů aj.).</w:t>
      </w:r>
    </w:p>
  </w:footnote>
  <w:footnote w:id="30">
    <w:p w14:paraId="4BC778A5" w14:textId="77777777" w:rsidR="009D4785" w:rsidRPr="00BC4EF9" w:rsidRDefault="009D4785" w:rsidP="009D4785">
      <w:pPr>
        <w:pStyle w:val="Textpoznpodarou"/>
        <w:rPr>
          <w:sz w:val="16"/>
          <w:szCs w:val="16"/>
        </w:rPr>
      </w:pPr>
      <w:r w:rsidRPr="00BC4EF9">
        <w:rPr>
          <w:rStyle w:val="Znakapoznpodarou"/>
          <w:sz w:val="16"/>
          <w:szCs w:val="16"/>
        </w:rPr>
        <w:footnoteRef/>
      </w:r>
      <w:r w:rsidRPr="00BC4EF9">
        <w:rPr>
          <w:sz w:val="16"/>
          <w:szCs w:val="16"/>
        </w:rPr>
        <w:t xml:space="preserve"> U </w:t>
      </w:r>
      <w:r w:rsidRPr="00BC4EF9">
        <w:rPr>
          <w:color w:val="0D0D0D" w:themeColor="text1" w:themeTint="F2"/>
          <w:sz w:val="16"/>
          <w:szCs w:val="16"/>
        </w:rPr>
        <w:t>téměř tří čtvrtin volných pracovních míst postačovalo uchazečům pouze základní vzdělání. Naopak více než třetina všech registrovaných uchazečů o práci disponuje alespoň maturitním vzděláním.</w:t>
      </w:r>
    </w:p>
  </w:footnote>
  <w:footnote w:id="31">
    <w:p w14:paraId="3E6C35BF" w14:textId="77777777" w:rsidR="009D4785" w:rsidRPr="00BC4EF9" w:rsidRDefault="009D4785" w:rsidP="009D4785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16"/>
          <w:szCs w:val="16"/>
        </w:rPr>
      </w:pPr>
      <w:r w:rsidRPr="00BC4EF9">
        <w:rPr>
          <w:rStyle w:val="Znakapoznpodarou"/>
          <w:sz w:val="16"/>
          <w:szCs w:val="16"/>
        </w:rPr>
        <w:footnoteRef/>
      </w:r>
      <w:r w:rsidRPr="00BC4EF9">
        <w:rPr>
          <w:sz w:val="16"/>
          <w:szCs w:val="16"/>
        </w:rPr>
        <w:t xml:space="preserve"> 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 xml:space="preserve">Nejvíce uchazečů </w:t>
      </w:r>
      <w:r>
        <w:rPr>
          <w:rStyle w:val="normaltextrun"/>
          <w:rFonts w:ascii="Arial" w:eastAsiaTheme="majorEastAsia" w:hAnsi="Arial" w:cs="Arial"/>
          <w:sz w:val="16"/>
          <w:szCs w:val="16"/>
        </w:rPr>
        <w:t>o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 xml:space="preserve"> místo připadalo na konci ledna 2026 tradičně na okres Karviná (20), dále Sokolov a Děčín (shodně 17), Bruntál (14), Hodonín a Znojmo (12) a Jablonec n. Nisou (11) a Ústí nad Labem (10). Naopak téměř vyrovnaný poměr mezi uchazeči a místy byl v okresech Mladá Boleslav (1,3)</w:t>
      </w:r>
      <w:r>
        <w:rPr>
          <w:rStyle w:val="normaltextrun"/>
          <w:rFonts w:ascii="Arial" w:eastAsiaTheme="majorEastAsia" w:hAnsi="Arial" w:cs="Arial"/>
          <w:sz w:val="16"/>
          <w:szCs w:val="16"/>
        </w:rPr>
        <w:t>,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 xml:space="preserve"> Praha-východ a západ (1,4) a příznivý byl nadále </w:t>
      </w:r>
      <w:r>
        <w:rPr>
          <w:rStyle w:val="normaltextrun"/>
          <w:rFonts w:ascii="Arial" w:eastAsiaTheme="majorEastAsia" w:hAnsi="Arial" w:cs="Arial"/>
          <w:sz w:val="16"/>
          <w:szCs w:val="16"/>
        </w:rPr>
        <w:t xml:space="preserve">na </w:t>
      </w:r>
      <w:r w:rsidRPr="00BC4EF9">
        <w:rPr>
          <w:rStyle w:val="normaltextrun"/>
          <w:rFonts w:ascii="Arial" w:eastAsiaTheme="majorEastAsia" w:hAnsi="Arial" w:cs="Arial"/>
          <w:sz w:val="16"/>
          <w:szCs w:val="16"/>
        </w:rPr>
        <w:t>Tachovsku (1,6) a v Praze (1,7).</w:t>
      </w:r>
    </w:p>
  </w:footnote>
  <w:footnote w:id="32">
    <w:p w14:paraId="5856B820" w14:textId="77777777" w:rsidR="009D4785" w:rsidRPr="00487FFD" w:rsidRDefault="009D4785" w:rsidP="009D4785">
      <w:pPr>
        <w:pStyle w:val="Textpoznpodarou"/>
        <w:rPr>
          <w:sz w:val="16"/>
          <w:szCs w:val="16"/>
        </w:rPr>
      </w:pPr>
      <w:r w:rsidRPr="00487FFD">
        <w:rPr>
          <w:rStyle w:val="Znakapoznpodarou"/>
          <w:sz w:val="16"/>
          <w:szCs w:val="16"/>
        </w:rPr>
        <w:footnoteRef/>
      </w:r>
      <w:r w:rsidRPr="00487FFD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487FFD">
        <w:rPr>
          <w:sz w:val="16"/>
          <w:szCs w:val="16"/>
        </w:rPr>
        <w:t>le předběžných výsledků Informací a statistik o průměrném výdělk</w:t>
      </w:r>
      <w:r>
        <w:rPr>
          <w:sz w:val="16"/>
          <w:szCs w:val="16"/>
        </w:rPr>
        <w:t>u</w:t>
      </w:r>
      <w:r w:rsidRPr="00487FFD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v gesci </w:t>
      </w:r>
      <w:r w:rsidRPr="00487FFD">
        <w:rPr>
          <w:sz w:val="16"/>
          <w:szCs w:val="16"/>
        </w:rPr>
        <w:t xml:space="preserve">MPSV) </w:t>
      </w:r>
      <w:r>
        <w:rPr>
          <w:sz w:val="16"/>
          <w:szCs w:val="16"/>
        </w:rPr>
        <w:t>dosáhl loni medián mzdy Ukrajinců pracujících v tuzemsku jen 77 % mzdy pracovníků s českým občanstvím, u občanů Bulharska to bylo 91 %, Polska a Rumunska shodně 97 %, ale u Slováků 116 % a u ostatních cizinců celkově 97 %.</w:t>
      </w:r>
    </w:p>
  </w:footnote>
  <w:footnote w:id="33">
    <w:p w14:paraId="11E2985E" w14:textId="77777777" w:rsidR="009D4785" w:rsidRPr="003E1845" w:rsidRDefault="009D4785" w:rsidP="009D4785">
      <w:pPr>
        <w:pStyle w:val="Textpoznpodarou"/>
        <w:rPr>
          <w:spacing w:val="-4"/>
          <w:sz w:val="16"/>
          <w:szCs w:val="16"/>
        </w:rPr>
      </w:pPr>
      <w:r w:rsidRPr="003E1845">
        <w:rPr>
          <w:rStyle w:val="Znakapoznpodarou"/>
          <w:spacing w:val="-4"/>
          <w:sz w:val="16"/>
          <w:szCs w:val="16"/>
        </w:rPr>
        <w:footnoteRef/>
      </w:r>
      <w:r w:rsidRPr="003E1845">
        <w:rPr>
          <w:spacing w:val="-4"/>
          <w:sz w:val="16"/>
          <w:szCs w:val="16"/>
        </w:rPr>
        <w:t xml:space="preserve"> </w:t>
      </w:r>
      <w:r w:rsidRPr="003E1845">
        <w:rPr>
          <w:color w:val="0D0D0D" w:themeColor="text1" w:themeTint="F2"/>
          <w:spacing w:val="-4"/>
          <w:sz w:val="16"/>
          <w:szCs w:val="16"/>
        </w:rPr>
        <w:t>U čistých výdělků promlouvá do jejich vývoje ne</w:t>
      </w:r>
      <w:r>
        <w:rPr>
          <w:color w:val="0D0D0D" w:themeColor="text1" w:themeTint="F2"/>
          <w:spacing w:val="-4"/>
          <w:sz w:val="16"/>
          <w:szCs w:val="16"/>
        </w:rPr>
        <w:t>přízniv</w:t>
      </w:r>
      <w:r w:rsidRPr="003E1845">
        <w:rPr>
          <w:color w:val="0D0D0D" w:themeColor="text1" w:themeTint="F2"/>
          <w:spacing w:val="-4"/>
          <w:sz w:val="16"/>
          <w:szCs w:val="16"/>
        </w:rPr>
        <w:t>ě mírné zvýšení daňového zatížení práce vlivem znovuzavedení zaměstnaneckých odvodů na nemocenské pojištění (celkový odvod sociálního pojištění za zaměstnance se zvýšil z 6,5 % na 7,1 %), jež bylo schváleno v rámci vládního konsolidačního balíčku (s účinností od ledna 2024). K růstu kupní síly výdělků naopak přispělo zrušení superhrubé mzdy (led</w:t>
      </w:r>
      <w:r>
        <w:rPr>
          <w:color w:val="0D0D0D" w:themeColor="text1" w:themeTint="F2"/>
          <w:spacing w:val="-4"/>
          <w:sz w:val="16"/>
          <w:szCs w:val="16"/>
        </w:rPr>
        <w:t>en</w:t>
      </w:r>
      <w:r w:rsidRPr="003E1845">
        <w:rPr>
          <w:color w:val="0D0D0D" w:themeColor="text1" w:themeTint="F2"/>
          <w:spacing w:val="-4"/>
          <w:sz w:val="16"/>
          <w:szCs w:val="16"/>
        </w:rPr>
        <w:t xml:space="preserve"> 2021).</w:t>
      </w:r>
    </w:p>
  </w:footnote>
  <w:footnote w:id="34">
    <w:p w14:paraId="3CFC017A" w14:textId="77777777" w:rsidR="009D4785" w:rsidRPr="009C466F" w:rsidRDefault="009D4785" w:rsidP="009D4785">
      <w:pPr>
        <w:pStyle w:val="Textpoznpodarou"/>
        <w:rPr>
          <w:sz w:val="16"/>
          <w:szCs w:val="16"/>
        </w:rPr>
      </w:pPr>
      <w:r w:rsidRPr="009C466F">
        <w:rPr>
          <w:rStyle w:val="Znakapoznpodarou"/>
          <w:sz w:val="16"/>
          <w:szCs w:val="16"/>
        </w:rPr>
        <w:footnoteRef/>
      </w:r>
      <w:r w:rsidRPr="009C466F">
        <w:rPr>
          <w:sz w:val="16"/>
          <w:szCs w:val="16"/>
        </w:rPr>
        <w:t xml:space="preserve"> </w:t>
      </w:r>
      <w:r w:rsidRPr="009C466F">
        <w:rPr>
          <w:rStyle w:val="normaltextrun"/>
          <w:rFonts w:eastAsiaTheme="majorEastAsia" w:cs="Arial"/>
          <w:color w:val="000000"/>
          <w:sz w:val="16"/>
          <w:szCs w:val="16"/>
        </w:rPr>
        <w:t>To zahrnuje podnikatelské, zaměstnavatelské a profesní organizace a také osobní služby (např. kadeřnictví, pohřebnictví), opravy výrobků a také zaměstnávání domácího personálu.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4A15"/>
    <w:rsid w:val="0024661A"/>
    <w:rsid w:val="00247319"/>
    <w:rsid w:val="0024741D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74FEF"/>
    <w:rsid w:val="0038123E"/>
    <w:rsid w:val="003818DC"/>
    <w:rsid w:val="00382C5B"/>
    <w:rsid w:val="00384327"/>
    <w:rsid w:val="00385D98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1099"/>
    <w:rsid w:val="003C3490"/>
    <w:rsid w:val="003C6550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20136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4F3A59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6601A"/>
    <w:rsid w:val="005722EB"/>
    <w:rsid w:val="0057364B"/>
    <w:rsid w:val="00574773"/>
    <w:rsid w:val="0058050D"/>
    <w:rsid w:val="0058308D"/>
    <w:rsid w:val="00583FFD"/>
    <w:rsid w:val="00591099"/>
    <w:rsid w:val="005911BE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241"/>
    <w:rsid w:val="005D7890"/>
    <w:rsid w:val="005E705E"/>
    <w:rsid w:val="005E7C78"/>
    <w:rsid w:val="005F18C5"/>
    <w:rsid w:val="005F3374"/>
    <w:rsid w:val="005F3491"/>
    <w:rsid w:val="005F3EB1"/>
    <w:rsid w:val="005F46D8"/>
    <w:rsid w:val="005F5469"/>
    <w:rsid w:val="00603FF5"/>
    <w:rsid w:val="00604307"/>
    <w:rsid w:val="0060487F"/>
    <w:rsid w:val="00604EAD"/>
    <w:rsid w:val="00605D96"/>
    <w:rsid w:val="006104FB"/>
    <w:rsid w:val="00612A2F"/>
    <w:rsid w:val="0061390C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490A"/>
    <w:rsid w:val="00695BEF"/>
    <w:rsid w:val="006977F6"/>
    <w:rsid w:val="00697A13"/>
    <w:rsid w:val="006A109C"/>
    <w:rsid w:val="006A2056"/>
    <w:rsid w:val="006A31AB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7227"/>
    <w:rsid w:val="006F438E"/>
    <w:rsid w:val="006F5416"/>
    <w:rsid w:val="006F7076"/>
    <w:rsid w:val="00702448"/>
    <w:rsid w:val="00705242"/>
    <w:rsid w:val="00706AD4"/>
    <w:rsid w:val="00707150"/>
    <w:rsid w:val="00710078"/>
    <w:rsid w:val="00710229"/>
    <w:rsid w:val="0071217E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052A"/>
    <w:rsid w:val="00871069"/>
    <w:rsid w:val="00875A32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40B"/>
    <w:rsid w:val="008C1968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0867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464"/>
    <w:rsid w:val="00937AE2"/>
    <w:rsid w:val="00943853"/>
    <w:rsid w:val="0094427A"/>
    <w:rsid w:val="00945245"/>
    <w:rsid w:val="009452D0"/>
    <w:rsid w:val="00956572"/>
    <w:rsid w:val="00957309"/>
    <w:rsid w:val="0095759C"/>
    <w:rsid w:val="009607C5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2CF3"/>
    <w:rsid w:val="00994868"/>
    <w:rsid w:val="0099574A"/>
    <w:rsid w:val="009968D6"/>
    <w:rsid w:val="009A1CAB"/>
    <w:rsid w:val="009A60D1"/>
    <w:rsid w:val="009B6FD3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EAC"/>
    <w:rsid w:val="00A40EDD"/>
    <w:rsid w:val="00A418BC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4CF6"/>
    <w:rsid w:val="00B857A1"/>
    <w:rsid w:val="00B87623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6D32"/>
    <w:rsid w:val="00BF71A0"/>
    <w:rsid w:val="00BF723F"/>
    <w:rsid w:val="00C02943"/>
    <w:rsid w:val="00C16FB0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9769E"/>
    <w:rsid w:val="00CA0914"/>
    <w:rsid w:val="00CA6AB4"/>
    <w:rsid w:val="00CA7BE7"/>
    <w:rsid w:val="00CB2F3F"/>
    <w:rsid w:val="00CB4930"/>
    <w:rsid w:val="00CC0E87"/>
    <w:rsid w:val="00CC2E7D"/>
    <w:rsid w:val="00CC6B42"/>
    <w:rsid w:val="00CD10A5"/>
    <w:rsid w:val="00CD2076"/>
    <w:rsid w:val="00CD29B5"/>
    <w:rsid w:val="00CD6331"/>
    <w:rsid w:val="00CD7704"/>
    <w:rsid w:val="00CD7AFB"/>
    <w:rsid w:val="00CE3E57"/>
    <w:rsid w:val="00CE670B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3F97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83F76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7677B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066CF"/>
    <w:rsid w:val="00F10F11"/>
    <w:rsid w:val="00F15AAA"/>
    <w:rsid w:val="00F15BEF"/>
    <w:rsid w:val="00F17E83"/>
    <w:rsid w:val="00F24407"/>
    <w:rsid w:val="00F24931"/>
    <w:rsid w:val="00F24FAA"/>
    <w:rsid w:val="00F252A0"/>
    <w:rsid w:val="00F25B4A"/>
    <w:rsid w:val="00F25DEE"/>
    <w:rsid w:val="00F3364D"/>
    <w:rsid w:val="00F437CC"/>
    <w:rsid w:val="00F43E29"/>
    <w:rsid w:val="00F44537"/>
    <w:rsid w:val="00F44B6A"/>
    <w:rsid w:val="00F47067"/>
    <w:rsid w:val="00F50FC3"/>
    <w:rsid w:val="00F51087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84E7D"/>
    <w:rsid w:val="00F85066"/>
    <w:rsid w:val="00F87A4D"/>
    <w:rsid w:val="00F90035"/>
    <w:rsid w:val="00F92283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3265"/>
    <w:rsid w:val="00FD5F92"/>
    <w:rsid w:val="00FD66F9"/>
    <w:rsid w:val="00FD78F8"/>
    <w:rsid w:val="00FE2F78"/>
    <w:rsid w:val="00FE470B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5\cekorok%202025\Trh%20pr&#225;ce\Grafy-TRH%20PR&#193;CE%20celorok-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5\cekorok%202025\Trh%20pr&#225;ce\Grafy-TRH%20PR&#193;CE%20celorok-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5\cekorok%202025\Trh%20pr&#225;ce\Grafy-TRH%20PR&#193;CE%20celorok-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88731014312048E-2"/>
          <c:y val="1.4522051060224651E-2"/>
          <c:w val="0.84495121574960907"/>
          <c:h val="0.6790318537289844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'Trh práce 1-SNÚ'!$AC$7</c:f>
              <c:strCache>
                <c:ptCount val="1"/>
                <c:pt idx="0">
                  <c:v>Zemědělství, lesnictví a rybářství</c:v>
                </c:pt>
              </c:strCache>
            </c:strRef>
          </c:tx>
          <c:spPr>
            <a:solidFill>
              <a:srgbClr val="85BF5E"/>
            </a:solidFill>
            <a:ln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1-SNÚ'!$AC$36:$AC$72</c:f>
              <c:numCache>
                <c:formatCode>#\ ##0.0</c:formatCode>
                <c:ptCount val="37"/>
                <c:pt idx="0">
                  <c:v>0.11233090567681299</c:v>
                </c:pt>
                <c:pt idx="1">
                  <c:v>5.0729616313726009E-2</c:v>
                </c:pt>
                <c:pt idx="2">
                  <c:v>4.2943740830219922E-2</c:v>
                </c:pt>
                <c:pt idx="3">
                  <c:v>-6.9425529421968724E-2</c:v>
                </c:pt>
                <c:pt idx="4">
                  <c:v>6.9696535208619856E-3</c:v>
                </c:pt>
                <c:pt idx="5">
                  <c:v>9.479406509684412E-3</c:v>
                </c:pt>
                <c:pt idx="6">
                  <c:v>-3.0827114025735328E-3</c:v>
                </c:pt>
                <c:pt idx="7">
                  <c:v>6.4491191371409462E-2</c:v>
                </c:pt>
                <c:pt idx="8">
                  <c:v>-7.7187206717196741E-2</c:v>
                </c:pt>
                <c:pt idx="9">
                  <c:v>-0.12718590883712605</c:v>
                </c:pt>
                <c:pt idx="10">
                  <c:v>-0.15865097587800736</c:v>
                </c:pt>
                <c:pt idx="11">
                  <c:v>-0.17609829358037335</c:v>
                </c:pt>
                <c:pt idx="12">
                  <c:v>-0.2250948926699913</c:v>
                </c:pt>
                <c:pt idx="13">
                  <c:v>-0.16640126097373187</c:v>
                </c:pt>
                <c:pt idx="14">
                  <c:v>-7.0549043823175311E-2</c:v>
                </c:pt>
                <c:pt idx="15">
                  <c:v>-7.5093576708931548E-2</c:v>
                </c:pt>
                <c:pt idx="16">
                  <c:v>2.5997211931659263E-2</c:v>
                </c:pt>
                <c:pt idx="17">
                  <c:v>-4.2507410945245912E-2</c:v>
                </c:pt>
                <c:pt idx="18">
                  <c:v>-5.8046329677072947E-2</c:v>
                </c:pt>
                <c:pt idx="19">
                  <c:v>-8.5212682410797293E-3</c:v>
                </c:pt>
                <c:pt idx="20">
                  <c:v>0.10306235339118135</c:v>
                </c:pt>
                <c:pt idx="21">
                  <c:v>0.19517688868299057</c:v>
                </c:pt>
                <c:pt idx="22">
                  <c:v>0.16543408341936516</c:v>
                </c:pt>
                <c:pt idx="23">
                  <c:v>7.650834296747365E-2</c:v>
                </c:pt>
                <c:pt idx="24">
                  <c:v>1.021676732039499E-2</c:v>
                </c:pt>
                <c:pt idx="25">
                  <c:v>-1.5016960166060134E-2</c:v>
                </c:pt>
                <c:pt idx="26">
                  <c:v>-1.6656098487454283E-2</c:v>
                </c:pt>
                <c:pt idx="27">
                  <c:v>1.7912694758528712E-2</c:v>
                </c:pt>
                <c:pt idx="28">
                  <c:v>3.8532804198889358E-3</c:v>
                </c:pt>
                <c:pt idx="29">
                  <c:v>-1.8453058003866385E-4</c:v>
                </c:pt>
                <c:pt idx="30">
                  <c:v>-6.1260581645534037E-2</c:v>
                </c:pt>
                <c:pt idx="31">
                  <c:v>-2.1629374863206263E-2</c:v>
                </c:pt>
                <c:pt idx="32">
                  <c:v>4.8474884296165572E-3</c:v>
                </c:pt>
                <c:pt idx="33">
                  <c:v>-1.6224647384330118E-2</c:v>
                </c:pt>
                <c:pt idx="34">
                  <c:v>1.1246514999902025E-2</c:v>
                </c:pt>
                <c:pt idx="35">
                  <c:v>-3.3859448149563256E-3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B3-4A69-B62C-A05E7BDF4BBB}"/>
            </c:ext>
          </c:extLst>
        </c:ser>
        <c:ser>
          <c:idx val="1"/>
          <c:order val="1"/>
          <c:tx>
            <c:strRef>
              <c:f>'Trh práce 1-SNÚ'!$AD$7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1-SNÚ'!$AD$36:$AD$72</c:f>
              <c:numCache>
                <c:formatCode>#\ ##0.0</c:formatCode>
                <c:ptCount val="37"/>
                <c:pt idx="0">
                  <c:v>0.3412385063505306</c:v>
                </c:pt>
                <c:pt idx="1">
                  <c:v>0.52262990754001282</c:v>
                </c:pt>
                <c:pt idx="2">
                  <c:v>0.60052374148058973</c:v>
                </c:pt>
                <c:pt idx="3">
                  <c:v>0.58608461317236227</c:v>
                </c:pt>
                <c:pt idx="4">
                  <c:v>0.1196805353909325</c:v>
                </c:pt>
                <c:pt idx="5">
                  <c:v>7.6175829556865152E-2</c:v>
                </c:pt>
                <c:pt idx="6">
                  <c:v>-0.12295131270874073</c:v>
                </c:pt>
                <c:pt idx="7">
                  <c:v>-0.10359555303921339</c:v>
                </c:pt>
                <c:pt idx="8">
                  <c:v>-4.3860627420650888E-2</c:v>
                </c:pt>
                <c:pt idx="9">
                  <c:v>-0.13093050641677487</c:v>
                </c:pt>
                <c:pt idx="10">
                  <c:v>-0.22271976780709798</c:v>
                </c:pt>
                <c:pt idx="11">
                  <c:v>-0.58749039840145689</c:v>
                </c:pt>
                <c:pt idx="12">
                  <c:v>-1.0289411191473512</c:v>
                </c:pt>
                <c:pt idx="13">
                  <c:v>-1.36021427307888</c:v>
                </c:pt>
                <c:pt idx="14">
                  <c:v>-1.3451400845056487</c:v>
                </c:pt>
                <c:pt idx="15">
                  <c:v>-1.0778269079948288</c:v>
                </c:pt>
                <c:pt idx="16">
                  <c:v>-0.3488211912900257</c:v>
                </c:pt>
                <c:pt idx="17">
                  <c:v>2.4010060407391501E-3</c:v>
                </c:pt>
                <c:pt idx="18">
                  <c:v>0.30789292015034142</c:v>
                </c:pt>
                <c:pt idx="19">
                  <c:v>0.30237067823921421</c:v>
                </c:pt>
                <c:pt idx="20">
                  <c:v>-2.6580743871842144E-2</c:v>
                </c:pt>
                <c:pt idx="21">
                  <c:v>0.16853333211620991</c:v>
                </c:pt>
                <c:pt idx="22">
                  <c:v>-2.6403068489182765E-2</c:v>
                </c:pt>
                <c:pt idx="23">
                  <c:v>-9.2811547940365419E-2</c:v>
                </c:pt>
                <c:pt idx="24">
                  <c:v>-5.2764598693500184E-2</c:v>
                </c:pt>
                <c:pt idx="25">
                  <c:v>-0.31110042071860405</c:v>
                </c:pt>
                <c:pt idx="26">
                  <c:v>-0.50542192458507462</c:v>
                </c:pt>
                <c:pt idx="27">
                  <c:v>-0.46124722040365801</c:v>
                </c:pt>
                <c:pt idx="28">
                  <c:v>-0.54429438469594627</c:v>
                </c:pt>
                <c:pt idx="29">
                  <c:v>-0.56112058778156904</c:v>
                </c:pt>
                <c:pt idx="30">
                  <c:v>-0.35445597451058775</c:v>
                </c:pt>
                <c:pt idx="31">
                  <c:v>-0.3121256852600216</c:v>
                </c:pt>
                <c:pt idx="32">
                  <c:v>-0.1298500227629226</c:v>
                </c:pt>
                <c:pt idx="33">
                  <c:v>-0.10165612400690451</c:v>
                </c:pt>
                <c:pt idx="34">
                  <c:v>-7.4128088281113183E-2</c:v>
                </c:pt>
                <c:pt idx="35">
                  <c:v>6.5101652469187282E-2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B3-4A69-B62C-A05E7BDF4BBB}"/>
            </c:ext>
          </c:extLst>
        </c:ser>
        <c:ser>
          <c:idx val="2"/>
          <c:order val="2"/>
          <c:tx>
            <c:strRef>
              <c:f>'Trh práce 1-SNÚ'!$AE$7</c:f>
              <c:strCache>
                <c:ptCount val="1"/>
                <c:pt idx="0">
                  <c:v>Stavebnictví</c:v>
                </c:pt>
              </c:strCache>
            </c:strRef>
          </c:tx>
          <c:spPr>
            <a:solidFill>
              <a:srgbClr val="009CB5"/>
            </a:solidFill>
            <a:ln w="19050"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1-SNÚ'!$AE$36:$AE$72</c:f>
              <c:numCache>
                <c:formatCode>#\ ##0.0</c:formatCode>
                <c:ptCount val="37"/>
                <c:pt idx="0">
                  <c:v>-2.4917596145515041E-2</c:v>
                </c:pt>
                <c:pt idx="1">
                  <c:v>-5.0729616313726017E-3</c:v>
                </c:pt>
                <c:pt idx="2">
                  <c:v>4.3708885432985532E-2</c:v>
                </c:pt>
                <c:pt idx="3">
                  <c:v>-9.7823424059502784E-2</c:v>
                </c:pt>
                <c:pt idx="4">
                  <c:v>5.1256389244704353E-2</c:v>
                </c:pt>
                <c:pt idx="5">
                  <c:v>8.9117773773679798E-3</c:v>
                </c:pt>
                <c:pt idx="6">
                  <c:v>-5.6391062242198758E-3</c:v>
                </c:pt>
                <c:pt idx="7">
                  <c:v>5.0923988524626936E-2</c:v>
                </c:pt>
                <c:pt idx="8">
                  <c:v>-4.7272009553368181E-2</c:v>
                </c:pt>
                <c:pt idx="9">
                  <c:v>2.6435741121998226E-2</c:v>
                </c:pt>
                <c:pt idx="10">
                  <c:v>4.1039112569784514E-2</c:v>
                </c:pt>
                <c:pt idx="11">
                  <c:v>5.3949403273091355E-2</c:v>
                </c:pt>
                <c:pt idx="12">
                  <c:v>-5.1099289115963641E-2</c:v>
                </c:pt>
                <c:pt idx="13">
                  <c:v>-0.28554955941039528</c:v>
                </c:pt>
                <c:pt idx="14">
                  <c:v>-0.16527458730397476</c:v>
                </c:pt>
                <c:pt idx="15">
                  <c:v>-8.3857615087929036E-2</c:v>
                </c:pt>
                <c:pt idx="16">
                  <c:v>0.10143081302490671</c:v>
                </c:pt>
                <c:pt idx="17">
                  <c:v>0.31378267745211802</c:v>
                </c:pt>
                <c:pt idx="18">
                  <c:v>0.1716844366035131</c:v>
                </c:pt>
                <c:pt idx="19">
                  <c:v>0.23602377664143806</c:v>
                </c:pt>
                <c:pt idx="20">
                  <c:v>0.12253074614093086</c:v>
                </c:pt>
                <c:pt idx="21">
                  <c:v>0.14594050898891842</c:v>
                </c:pt>
                <c:pt idx="22">
                  <c:v>0.14253885117231668</c:v>
                </c:pt>
                <c:pt idx="23">
                  <c:v>0.12602038578353064</c:v>
                </c:pt>
                <c:pt idx="24">
                  <c:v>0.42623371242387226</c:v>
                </c:pt>
                <c:pt idx="25">
                  <c:v>0.38361677767530888</c:v>
                </c:pt>
                <c:pt idx="26">
                  <c:v>0.35275036864002512</c:v>
                </c:pt>
                <c:pt idx="27">
                  <c:v>0.24898458929216655</c:v>
                </c:pt>
                <c:pt idx="28">
                  <c:v>-0.12919604638608381</c:v>
                </c:pt>
                <c:pt idx="29">
                  <c:v>-7.741057832621949E-2</c:v>
                </c:pt>
                <c:pt idx="30">
                  <c:v>-3.0049578116828311E-3</c:v>
                </c:pt>
                <c:pt idx="31">
                  <c:v>5.8095580483641676E-2</c:v>
                </c:pt>
                <c:pt idx="32">
                  <c:v>0.17192917137438493</c:v>
                </c:pt>
                <c:pt idx="33">
                  <c:v>8.7246437177431663E-2</c:v>
                </c:pt>
                <c:pt idx="34">
                  <c:v>0.22841049193612095</c:v>
                </c:pt>
                <c:pt idx="35">
                  <c:v>0.27508513820969493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B3-4A69-B62C-A05E7BDF4BBB}"/>
            </c:ext>
          </c:extLst>
        </c:ser>
        <c:ser>
          <c:idx val="3"/>
          <c:order val="3"/>
          <c:tx>
            <c:strRef>
              <c:f>'Trh práce 1-SNÚ'!$AF$7</c:f>
              <c:strCache>
                <c:ptCount val="1"/>
                <c:pt idx="0">
                  <c:v>Obchod, doprava, ubytování a pohost.</c:v>
                </c:pt>
              </c:strCache>
            </c:strRef>
          </c:tx>
          <c:spPr>
            <a:solidFill>
              <a:srgbClr val="E6C483"/>
            </a:solidFill>
            <a:ln w="19050"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1-SNÚ'!$AF$36:$AF$72</c:f>
              <c:numCache>
                <c:formatCode>#\ ##0.0</c:formatCode>
                <c:ptCount val="37"/>
                <c:pt idx="0">
                  <c:v>0.16879414011911728</c:v>
                </c:pt>
                <c:pt idx="1">
                  <c:v>-1.9200681193459315E-2</c:v>
                </c:pt>
                <c:pt idx="2">
                  <c:v>0.34341602633627533</c:v>
                </c:pt>
                <c:pt idx="3">
                  <c:v>0.17810976918008636</c:v>
                </c:pt>
                <c:pt idx="4">
                  <c:v>0.13394268741863646</c:v>
                </c:pt>
                <c:pt idx="5">
                  <c:v>0.36277177846343162</c:v>
                </c:pt>
                <c:pt idx="6">
                  <c:v>0.13140997204507052</c:v>
                </c:pt>
                <c:pt idx="7">
                  <c:v>0.13129369292308796</c:v>
                </c:pt>
                <c:pt idx="8">
                  <c:v>5.4732064986453249E-2</c:v>
                </c:pt>
                <c:pt idx="9">
                  <c:v>-0.15364027979782902</c:v>
                </c:pt>
                <c:pt idx="10">
                  <c:v>-0.32178098177727366</c:v>
                </c:pt>
                <c:pt idx="11">
                  <c:v>-0.33729538991186869</c:v>
                </c:pt>
                <c:pt idx="12">
                  <c:v>-0.17031226657786785</c:v>
                </c:pt>
                <c:pt idx="13">
                  <c:v>-0.74764066051253641</c:v>
                </c:pt>
                <c:pt idx="14">
                  <c:v>-0.58389796545600492</c:v>
                </c:pt>
                <c:pt idx="15">
                  <c:v>-0.96116032871885804</c:v>
                </c:pt>
                <c:pt idx="16">
                  <c:v>-0.80036168715842226</c:v>
                </c:pt>
                <c:pt idx="17">
                  <c:v>-0.32784296882668651</c:v>
                </c:pt>
                <c:pt idx="18">
                  <c:v>0.14896065045639337</c:v>
                </c:pt>
                <c:pt idx="19">
                  <c:v>0.62556472594142731</c:v>
                </c:pt>
                <c:pt idx="20">
                  <c:v>0.11242472443929792</c:v>
                </c:pt>
                <c:pt idx="21">
                  <c:v>0.33360547415736347</c:v>
                </c:pt>
                <c:pt idx="22">
                  <c:v>-3.4097677020316033E-2</c:v>
                </c:pt>
                <c:pt idx="23">
                  <c:v>-0.17029883624108427</c:v>
                </c:pt>
                <c:pt idx="24">
                  <c:v>0.23343708104880306</c:v>
                </c:pt>
                <c:pt idx="25">
                  <c:v>0.20303830037257334</c:v>
                </c:pt>
                <c:pt idx="26">
                  <c:v>0.31586767243828845</c:v>
                </c:pt>
                <c:pt idx="27">
                  <c:v>0.401289191024224</c:v>
                </c:pt>
                <c:pt idx="28">
                  <c:v>0.42760297428786742</c:v>
                </c:pt>
                <c:pt idx="29">
                  <c:v>0.52906762602885304</c:v>
                </c:pt>
                <c:pt idx="30">
                  <c:v>0.28331405920209662</c:v>
                </c:pt>
                <c:pt idx="31">
                  <c:v>8.1713017036402213E-2</c:v>
                </c:pt>
                <c:pt idx="32">
                  <c:v>0.21828443145227713</c:v>
                </c:pt>
                <c:pt idx="33">
                  <c:v>0.31789309112348496</c:v>
                </c:pt>
                <c:pt idx="34">
                  <c:v>0.29264750839321607</c:v>
                </c:pt>
                <c:pt idx="35">
                  <c:v>4.5188636476363064E-2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B3-4A69-B62C-A05E7BDF4BBB}"/>
            </c:ext>
          </c:extLst>
        </c:ser>
        <c:ser>
          <c:idx val="4"/>
          <c:order val="4"/>
          <c:tx>
            <c:strRef>
              <c:f>'Trh práce 1-SNÚ'!$AG$7</c:f>
              <c:strCache>
                <c:ptCount val="1"/>
                <c:pt idx="0">
                  <c:v>Informační a komunikač. čin.</c:v>
                </c:pt>
              </c:strCache>
            </c:strRef>
          </c:tx>
          <c:spPr>
            <a:solidFill>
              <a:srgbClr val="CC9610"/>
            </a:solidFill>
            <a:ln w="19050"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1-SNÚ'!$AG$36:$AG$72</c:f>
              <c:numCache>
                <c:formatCode>#\ ##0.0</c:formatCode>
                <c:ptCount val="37"/>
                <c:pt idx="0">
                  <c:v>0.10297479979950704</c:v>
                </c:pt>
                <c:pt idx="1">
                  <c:v>0.11307918625101115</c:v>
                </c:pt>
                <c:pt idx="2">
                  <c:v>0.14195345242808999</c:v>
                </c:pt>
                <c:pt idx="3">
                  <c:v>0.14010642458143058</c:v>
                </c:pt>
                <c:pt idx="4">
                  <c:v>0.13192965397664363</c:v>
                </c:pt>
                <c:pt idx="5">
                  <c:v>0.14949459248107094</c:v>
                </c:pt>
                <c:pt idx="6">
                  <c:v>0.10537609830992209</c:v>
                </c:pt>
                <c:pt idx="7">
                  <c:v>0.12451009149969672</c:v>
                </c:pt>
                <c:pt idx="8">
                  <c:v>0.12599621261607491</c:v>
                </c:pt>
                <c:pt idx="9">
                  <c:v>7.6289189495829968E-2</c:v>
                </c:pt>
                <c:pt idx="10">
                  <c:v>0.11559629979865636</c:v>
                </c:pt>
                <c:pt idx="11">
                  <c:v>0.11960024608369116</c:v>
                </c:pt>
                <c:pt idx="12">
                  <c:v>9.8159995557559124E-2</c:v>
                </c:pt>
                <c:pt idx="13">
                  <c:v>5.3460156432470374E-2</c:v>
                </c:pt>
                <c:pt idx="14">
                  <c:v>7.6826712976932429E-2</c:v>
                </c:pt>
                <c:pt idx="15">
                  <c:v>6.039321318860455E-2</c:v>
                </c:pt>
                <c:pt idx="16">
                  <c:v>2.7532032752697451E-2</c:v>
                </c:pt>
                <c:pt idx="17">
                  <c:v>8.0385682243946738E-2</c:v>
                </c:pt>
                <c:pt idx="18">
                  <c:v>6.3128020250057523E-2</c:v>
                </c:pt>
                <c:pt idx="19">
                  <c:v>-1.7675873986564034E-2</c:v>
                </c:pt>
                <c:pt idx="20">
                  <c:v>0.18492112917440828</c:v>
                </c:pt>
                <c:pt idx="21">
                  <c:v>0.17372511722879458</c:v>
                </c:pt>
                <c:pt idx="22">
                  <c:v>0.17938999104936179</c:v>
                </c:pt>
                <c:pt idx="23">
                  <c:v>0.26610369779656495</c:v>
                </c:pt>
                <c:pt idx="24">
                  <c:v>0.27430415033038302</c:v>
                </c:pt>
                <c:pt idx="25">
                  <c:v>0.19353318326371879</c:v>
                </c:pt>
                <c:pt idx="26">
                  <c:v>0.15713935340689195</c:v>
                </c:pt>
                <c:pt idx="27">
                  <c:v>0.13924832056812467</c:v>
                </c:pt>
                <c:pt idx="28">
                  <c:v>0.11028162663268672</c:v>
                </c:pt>
                <c:pt idx="29">
                  <c:v>7.960649222867959E-2</c:v>
                </c:pt>
                <c:pt idx="30">
                  <c:v>4.973850414675017E-2</c:v>
                </c:pt>
                <c:pt idx="31">
                  <c:v>-9.1414021762282818E-2</c:v>
                </c:pt>
                <c:pt idx="32">
                  <c:v>-4.5525841905524316E-3</c:v>
                </c:pt>
                <c:pt idx="33">
                  <c:v>-4.0717448407454448E-2</c:v>
                </c:pt>
                <c:pt idx="34">
                  <c:v>6.0976626115103988E-2</c:v>
                </c:pt>
                <c:pt idx="35">
                  <c:v>5.3937185782034006E-2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B3-4A69-B62C-A05E7BDF4BBB}"/>
            </c:ext>
          </c:extLst>
        </c:ser>
        <c:ser>
          <c:idx val="5"/>
          <c:order val="5"/>
          <c:tx>
            <c:strRef>
              <c:f>'Trh práce 1-SNÚ'!$AH$7</c:f>
              <c:strCache>
                <c:ptCount val="1"/>
                <c:pt idx="0">
                  <c:v>Profesní, vědec., techn. a admin. čin.</c:v>
                </c:pt>
              </c:strCache>
            </c:strRef>
          </c:tx>
          <c:spPr>
            <a:solidFill>
              <a:srgbClr val="D8A7B7"/>
            </a:solidFill>
            <a:ln w="19050"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1-SNÚ'!$AH$36:$AH$72</c:f>
              <c:numCache>
                <c:formatCode>#\ ##0.0</c:formatCode>
                <c:ptCount val="37"/>
                <c:pt idx="0">
                  <c:v>0.30218108694896378</c:v>
                </c:pt>
                <c:pt idx="1">
                  <c:v>0.24690965706205212</c:v>
                </c:pt>
                <c:pt idx="2">
                  <c:v>0.20140518806297794</c:v>
                </c:pt>
                <c:pt idx="3">
                  <c:v>4.4888835461875665E-2</c:v>
                </c:pt>
                <c:pt idx="4">
                  <c:v>0.11405923445857516</c:v>
                </c:pt>
                <c:pt idx="5">
                  <c:v>0.12026169216677469</c:v>
                </c:pt>
                <c:pt idx="6">
                  <c:v>8.2368544915104994E-2</c:v>
                </c:pt>
                <c:pt idx="7">
                  <c:v>0.21654909363756486</c:v>
                </c:pt>
                <c:pt idx="8">
                  <c:v>4.1892522344083222E-2</c:v>
                </c:pt>
                <c:pt idx="9">
                  <c:v>2.5895475799561337E-3</c:v>
                </c:pt>
                <c:pt idx="10">
                  <c:v>1.655374845356929E-2</c:v>
                </c:pt>
                <c:pt idx="11">
                  <c:v>-0.16305742058229164</c:v>
                </c:pt>
                <c:pt idx="12">
                  <c:v>-0.17106015225830634</c:v>
                </c:pt>
                <c:pt idx="13">
                  <c:v>-0.35509622734956792</c:v>
                </c:pt>
                <c:pt idx="14">
                  <c:v>-0.52248517227624403</c:v>
                </c:pt>
                <c:pt idx="15">
                  <c:v>-0.259700179999866</c:v>
                </c:pt>
                <c:pt idx="16">
                  <c:v>-0.13767911216868525</c:v>
                </c:pt>
                <c:pt idx="17">
                  <c:v>0.17127816692216799</c:v>
                </c:pt>
                <c:pt idx="18">
                  <c:v>0.30499731533328217</c:v>
                </c:pt>
                <c:pt idx="19">
                  <c:v>0.11023910985757197</c:v>
                </c:pt>
                <c:pt idx="20">
                  <c:v>0.14110294451336577</c:v>
                </c:pt>
                <c:pt idx="21">
                  <c:v>0.11855526883462565</c:v>
                </c:pt>
                <c:pt idx="22">
                  <c:v>0.16494374071885179</c:v>
                </c:pt>
                <c:pt idx="23">
                  <c:v>0.23562461136341045</c:v>
                </c:pt>
                <c:pt idx="24">
                  <c:v>0.45505217255496794</c:v>
                </c:pt>
                <c:pt idx="25">
                  <c:v>0.46143875226871167</c:v>
                </c:pt>
                <c:pt idx="26">
                  <c:v>0.51807756844142316</c:v>
                </c:pt>
                <c:pt idx="27">
                  <c:v>0.51726408336593921</c:v>
                </c:pt>
                <c:pt idx="28">
                  <c:v>0.23145618060621329</c:v>
                </c:pt>
                <c:pt idx="29">
                  <c:v>0.17142890885591872</c:v>
                </c:pt>
                <c:pt idx="30">
                  <c:v>0.14532565907666109</c:v>
                </c:pt>
                <c:pt idx="31">
                  <c:v>0.10479662220956021</c:v>
                </c:pt>
                <c:pt idx="32">
                  <c:v>0.16424322964377619</c:v>
                </c:pt>
                <c:pt idx="33">
                  <c:v>8.8548075555157577E-2</c:v>
                </c:pt>
                <c:pt idx="34">
                  <c:v>7.3871653085675684E-2</c:v>
                </c:pt>
                <c:pt idx="35">
                  <c:v>0.15921261592056798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8B3-4A69-B62C-A05E7BDF4BBB}"/>
            </c:ext>
          </c:extLst>
        </c:ser>
        <c:ser>
          <c:idx val="6"/>
          <c:order val="6"/>
          <c:tx>
            <c:strRef>
              <c:f>'Trh práce 1-SNÚ'!$AI$7</c:f>
              <c:strCache>
                <c:ptCount val="1"/>
                <c:pt idx="0">
                  <c:v>Veř.spr.,obrana, vzděl.,zdrav.a soc.péče</c:v>
                </c:pt>
              </c:strCache>
            </c:strRef>
          </c:tx>
          <c:spPr>
            <a:solidFill>
              <a:srgbClr val="BC5B80"/>
            </a:solidFill>
            <a:ln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1-SNÚ'!$AI$36:$AI$72</c:f>
              <c:numCache>
                <c:formatCode>#\ ##0.0</c:formatCode>
                <c:ptCount val="37"/>
                <c:pt idx="0">
                  <c:v>0.25372913823733012</c:v>
                </c:pt>
                <c:pt idx="1">
                  <c:v>0.32300408153264115</c:v>
                </c:pt>
                <c:pt idx="2">
                  <c:v>0.40403460749038084</c:v>
                </c:pt>
                <c:pt idx="3">
                  <c:v>0.45280661737517469</c:v>
                </c:pt>
                <c:pt idx="4">
                  <c:v>0.60960729705632077</c:v>
                </c:pt>
                <c:pt idx="5">
                  <c:v>0.68223345413111947</c:v>
                </c:pt>
                <c:pt idx="6">
                  <c:v>0.5434782608695643</c:v>
                </c:pt>
                <c:pt idx="7">
                  <c:v>0.5340066073405344</c:v>
                </c:pt>
                <c:pt idx="8">
                  <c:v>0.30745550067561389</c:v>
                </c:pt>
                <c:pt idx="9">
                  <c:v>0.28160864186055334</c:v>
                </c:pt>
                <c:pt idx="10">
                  <c:v>0.3282382500579219</c:v>
                </c:pt>
                <c:pt idx="11">
                  <c:v>0.35876353176605752</c:v>
                </c:pt>
                <c:pt idx="12">
                  <c:v>0.41133712424120017</c:v>
                </c:pt>
                <c:pt idx="13">
                  <c:v>0.31561623734818278</c:v>
                </c:pt>
                <c:pt idx="14">
                  <c:v>0.43203815926035638</c:v>
                </c:pt>
                <c:pt idx="15">
                  <c:v>0.41513077518294128</c:v>
                </c:pt>
                <c:pt idx="16">
                  <c:v>0.48992996479954942</c:v>
                </c:pt>
                <c:pt idx="17">
                  <c:v>0.61125772187553584</c:v>
                </c:pt>
                <c:pt idx="18">
                  <c:v>0.59327299225281893</c:v>
                </c:pt>
                <c:pt idx="19">
                  <c:v>0.46696166120205151</c:v>
                </c:pt>
                <c:pt idx="20">
                  <c:v>0.25751287373689258</c:v>
                </c:pt>
                <c:pt idx="21">
                  <c:v>0.20481877532064779</c:v>
                </c:pt>
                <c:pt idx="22">
                  <c:v>0.21446835347070459</c:v>
                </c:pt>
                <c:pt idx="23">
                  <c:v>0.25725553805377149</c:v>
                </c:pt>
                <c:pt idx="24">
                  <c:v>0.3121685098080022</c:v>
                </c:pt>
                <c:pt idx="25">
                  <c:v>0.29209018650089497</c:v>
                </c:pt>
                <c:pt idx="26">
                  <c:v>0.13623978201634884</c:v>
                </c:pt>
                <c:pt idx="27">
                  <c:v>0.10560831716863539</c:v>
                </c:pt>
                <c:pt idx="28">
                  <c:v>8.9514668215881429E-2</c:v>
                </c:pt>
                <c:pt idx="29">
                  <c:v>0.10296806366157443</c:v>
                </c:pt>
                <c:pt idx="30">
                  <c:v>0.18542248877242892</c:v>
                </c:pt>
                <c:pt idx="31">
                  <c:v>0.29456447366895883</c:v>
                </c:pt>
                <c:pt idx="32">
                  <c:v>0.3390661488639779</c:v>
                </c:pt>
                <c:pt idx="33">
                  <c:v>0.45427179382634569</c:v>
                </c:pt>
                <c:pt idx="34">
                  <c:v>0.41273244705666512</c:v>
                </c:pt>
                <c:pt idx="35">
                  <c:v>0.28361405866250389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B3-4A69-B62C-A05E7BDF4BBB}"/>
            </c:ext>
          </c:extLst>
        </c:ser>
        <c:ser>
          <c:idx val="7"/>
          <c:order val="7"/>
          <c:tx>
            <c:strRef>
              <c:f>'Trh práce 1-SNÚ'!$AJ$7</c:f>
              <c:strCache>
                <c:ptCount val="1"/>
                <c:pt idx="0">
                  <c:v>Ostatní odvětví*</c:v>
                </c:pt>
              </c:strCache>
            </c:strRef>
          </c:tx>
          <c:spPr>
            <a:solidFill>
              <a:srgbClr val="BBBBC0"/>
            </a:solidFill>
            <a:ln>
              <a:noFill/>
            </a:ln>
          </c:spPr>
          <c:invertIfNegative val="0"/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1-SNÚ'!$AJ$36:$AJ$72</c:f>
              <c:numCache>
                <c:formatCode>#\ ##0.0</c:formatCode>
                <c:ptCount val="37"/>
                <c:pt idx="0">
                  <c:v>-9.3484211907537543E-2</c:v>
                </c:pt>
                <c:pt idx="1">
                  <c:v>-5.7295751557351692E-2</c:v>
                </c:pt>
                <c:pt idx="2">
                  <c:v>-1.3906503155264979E-2</c:v>
                </c:pt>
                <c:pt idx="3">
                  <c:v>-1.3143298857693261E-2</c:v>
                </c:pt>
                <c:pt idx="4">
                  <c:v>0.15044576346667207</c:v>
                </c:pt>
                <c:pt idx="5">
                  <c:v>0.15339231252297711</c:v>
                </c:pt>
                <c:pt idx="6">
                  <c:v>-1.0827083950502157E-2</c:v>
                </c:pt>
                <c:pt idx="7">
                  <c:v>-8.1553546198111036E-3</c:v>
                </c:pt>
                <c:pt idx="8">
                  <c:v>-0.11190083149627598</c:v>
                </c:pt>
                <c:pt idx="9">
                  <c:v>-3.0869642733721676E-2</c:v>
                </c:pt>
                <c:pt idx="10">
                  <c:v>8.9785889301152055E-2</c:v>
                </c:pt>
                <c:pt idx="11">
                  <c:v>7.3017726843752948E-2</c:v>
                </c:pt>
                <c:pt idx="12">
                  <c:v>-0.18902810573084244</c:v>
                </c:pt>
                <c:pt idx="13">
                  <c:v>-0.41036448530712522</c:v>
                </c:pt>
                <c:pt idx="14">
                  <c:v>-0.39059806942990016</c:v>
                </c:pt>
                <c:pt idx="15">
                  <c:v>-0.44320191520455926</c:v>
                </c:pt>
                <c:pt idx="16">
                  <c:v>1.4950291701223861E-2</c:v>
                </c:pt>
                <c:pt idx="17">
                  <c:v>0.1930600937237536</c:v>
                </c:pt>
                <c:pt idx="18">
                  <c:v>0.14821277901357677</c:v>
                </c:pt>
                <c:pt idx="19">
                  <c:v>0.23009343455474068</c:v>
                </c:pt>
                <c:pt idx="20">
                  <c:v>7.4040909938567476E-2</c:v>
                </c:pt>
                <c:pt idx="21">
                  <c:v>9.8548829499684021E-2</c:v>
                </c:pt>
                <c:pt idx="22">
                  <c:v>7.9699548168061685E-2</c:v>
                </c:pt>
                <c:pt idx="23">
                  <c:v>9.0514791581597767E-2</c:v>
                </c:pt>
                <c:pt idx="24">
                  <c:v>0.28236803137624006</c:v>
                </c:pt>
                <c:pt idx="25">
                  <c:v>0.38946608051152709</c:v>
                </c:pt>
                <c:pt idx="26">
                  <c:v>0.44360181493523027</c:v>
                </c:pt>
                <c:pt idx="27">
                  <c:v>0.50060284903371011</c:v>
                </c:pt>
                <c:pt idx="28">
                  <c:v>0.32008163026365882</c:v>
                </c:pt>
                <c:pt idx="29">
                  <c:v>0.41087578951408893</c:v>
                </c:pt>
                <c:pt idx="30">
                  <c:v>0.40200067510156945</c:v>
                </c:pt>
                <c:pt idx="31">
                  <c:v>0.46283180611540009</c:v>
                </c:pt>
                <c:pt idx="32">
                  <c:v>0.31385183642399517</c:v>
                </c:pt>
                <c:pt idx="33">
                  <c:v>0.21660362581453141</c:v>
                </c:pt>
                <c:pt idx="34">
                  <c:v>0.11303297078891761</c:v>
                </c:pt>
                <c:pt idx="35">
                  <c:v>0.16236062947825708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8B3-4A69-B62C-A05E7BDF4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"/>
        <c:overlap val="100"/>
        <c:axId val="101898496"/>
        <c:axId val="101781504"/>
      </c:barChart>
      <c:lineChart>
        <c:grouping val="standard"/>
        <c:varyColors val="0"/>
        <c:ser>
          <c:idx val="8"/>
          <c:order val="8"/>
          <c:tx>
            <c:strRef>
              <c:f>'Trh práce 1-SNÚ'!$AK$7</c:f>
              <c:strCache>
                <c:ptCount val="1"/>
                <c:pt idx="0">
                  <c:v>Zaměstnanost celkem</c:v>
                </c:pt>
              </c:strCache>
            </c:strRef>
          </c:tx>
          <c:spPr>
            <a:ln w="19050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1-SNÚ'!$AK$36:$AK$72</c:f>
              <c:numCache>
                <c:formatCode>#\ ##0.0</c:formatCode>
                <c:ptCount val="37"/>
                <c:pt idx="0">
                  <c:v>1.1628467690792093</c:v>
                </c:pt>
                <c:pt idx="1">
                  <c:v>1.1747830543172597</c:v>
                </c:pt>
                <c:pt idx="2">
                  <c:v>1.7640791389062542</c:v>
                </c:pt>
                <c:pt idx="3">
                  <c:v>1.2216040074317647</c:v>
                </c:pt>
                <c:pt idx="4">
                  <c:v>1.317891214533347</c:v>
                </c:pt>
                <c:pt idx="5">
                  <c:v>1.5627208432092914</c:v>
                </c:pt>
                <c:pt idx="6">
                  <c:v>0.72013266185362568</c:v>
                </c:pt>
                <c:pt idx="7">
                  <c:v>1.0100237576378959</c:v>
                </c:pt>
                <c:pt idx="8">
                  <c:v>0.2498556254347335</c:v>
                </c:pt>
                <c:pt idx="9">
                  <c:v>-5.5703217727113952E-2</c:v>
                </c:pt>
                <c:pt idx="10">
                  <c:v>-0.11193842528129494</c:v>
                </c:pt>
                <c:pt idx="11">
                  <c:v>-0.65861059450939763</c:v>
                </c:pt>
                <c:pt idx="12">
                  <c:v>-1.3260387057015635</c:v>
                </c:pt>
                <c:pt idx="13">
                  <c:v>-2.9561900728515837</c:v>
                </c:pt>
                <c:pt idx="14">
                  <c:v>-2.569080050557659</c:v>
                </c:pt>
                <c:pt idx="15">
                  <c:v>-2.4253165353434269</c:v>
                </c:pt>
                <c:pt idx="16">
                  <c:v>-0.62702167640709661</c:v>
                </c:pt>
                <c:pt idx="17">
                  <c:v>1.0018149684863289</c:v>
                </c:pt>
                <c:pt idx="18">
                  <c:v>1.6801027843829104</c:v>
                </c:pt>
                <c:pt idx="19">
                  <c:v>1.9450562442088</c:v>
                </c:pt>
                <c:pt idx="20">
                  <c:v>0.9690149374628021</c:v>
                </c:pt>
                <c:pt idx="21">
                  <c:v>1.4389041948292345</c:v>
                </c:pt>
                <c:pt idx="22">
                  <c:v>0.8859738224891629</c:v>
                </c:pt>
                <c:pt idx="23">
                  <c:v>0.78891698336489924</c:v>
                </c:pt>
                <c:pt idx="24">
                  <c:v>1.9410158261691635</c:v>
                </c:pt>
                <c:pt idx="25">
                  <c:v>1.5970658997080704</c:v>
                </c:pt>
                <c:pt idx="26">
                  <c:v>1.4015985368056789</c:v>
                </c:pt>
                <c:pt idx="27">
                  <c:v>1.4696628248076706</c:v>
                </c:pt>
                <c:pt idx="28">
                  <c:v>0.50929992934416646</c:v>
                </c:pt>
                <c:pt idx="29">
                  <c:v>0.65523118360128763</c:v>
                </c:pt>
                <c:pt idx="30">
                  <c:v>0.64707987233170172</c:v>
                </c:pt>
                <c:pt idx="31">
                  <c:v>0.57683241762845228</c:v>
                </c:pt>
                <c:pt idx="32">
                  <c:v>1.0778196992345528</c:v>
                </c:pt>
                <c:pt idx="33">
                  <c:v>1.0059648036982622</c:v>
                </c:pt>
                <c:pt idx="34">
                  <c:v>1.1187901240944882</c:v>
                </c:pt>
                <c:pt idx="35">
                  <c:v>1.041113972183652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8B3-4A69-B62C-A05E7BDF4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898496"/>
        <c:axId val="101781504"/>
      </c:lineChart>
      <c:lineChart>
        <c:grouping val="standard"/>
        <c:varyColors val="0"/>
        <c:ser>
          <c:idx val="9"/>
          <c:order val="9"/>
          <c:tx>
            <c:strRef>
              <c:f>'Trh práce 1-SNÚ'!$AL$7</c:f>
              <c:strCache>
                <c:ptCount val="1"/>
              </c:strCache>
            </c:strRef>
          </c:tx>
          <c:spPr>
            <a:ln>
              <a:noFill/>
            </a:ln>
          </c:spPr>
          <c:marker>
            <c:symbol val="none"/>
          </c:marker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1-SNÚ'!$AL$36:$AL$72</c:f>
              <c:numCache>
                <c:formatCode>General</c:formatCode>
                <c:ptCount val="3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8B3-4A69-B62C-A05E7BDF4BBB}"/>
            </c:ext>
          </c:extLst>
        </c:ser>
        <c:ser>
          <c:idx val="10"/>
          <c:order val="10"/>
          <c:tx>
            <c:strRef>
              <c:f>'Trh práce 1-SNÚ'!$AM$7</c:f>
              <c:strCache>
                <c:ptCount val="1"/>
                <c:pt idx="0">
                  <c:v>Očekávání zaměstnanosti (průmysl)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1-SNÚ'!$AM$36:$AM$72</c:f>
              <c:numCache>
                <c:formatCode>#\ ##0.0</c:formatCode>
                <c:ptCount val="37"/>
                <c:pt idx="0">
                  <c:v>11.1</c:v>
                </c:pt>
                <c:pt idx="1">
                  <c:v>5.7</c:v>
                </c:pt>
                <c:pt idx="2">
                  <c:v>8.1999999999999993</c:v>
                </c:pt>
                <c:pt idx="3">
                  <c:v>7.3</c:v>
                </c:pt>
                <c:pt idx="4">
                  <c:v>9.8000000000000007</c:v>
                </c:pt>
                <c:pt idx="5">
                  <c:v>9.4</c:v>
                </c:pt>
                <c:pt idx="6">
                  <c:v>6.2</c:v>
                </c:pt>
                <c:pt idx="7">
                  <c:v>6.3</c:v>
                </c:pt>
                <c:pt idx="8">
                  <c:v>2.5</c:v>
                </c:pt>
                <c:pt idx="9">
                  <c:v>2.6</c:v>
                </c:pt>
                <c:pt idx="10">
                  <c:v>0.5</c:v>
                </c:pt>
                <c:pt idx="11">
                  <c:v>-2.8</c:v>
                </c:pt>
                <c:pt idx="12">
                  <c:v>2.9</c:v>
                </c:pt>
                <c:pt idx="13">
                  <c:v>-19</c:v>
                </c:pt>
                <c:pt idx="14">
                  <c:v>-10.9</c:v>
                </c:pt>
                <c:pt idx="15">
                  <c:v>-3.5</c:v>
                </c:pt>
                <c:pt idx="16">
                  <c:v>4.4000000000000004</c:v>
                </c:pt>
                <c:pt idx="17">
                  <c:v>8.6</c:v>
                </c:pt>
                <c:pt idx="18">
                  <c:v>4.7</c:v>
                </c:pt>
                <c:pt idx="19">
                  <c:v>1.8</c:v>
                </c:pt>
                <c:pt idx="20">
                  <c:v>11.2</c:v>
                </c:pt>
                <c:pt idx="21">
                  <c:v>2.2999999999999998</c:v>
                </c:pt>
                <c:pt idx="22">
                  <c:v>2.1</c:v>
                </c:pt>
                <c:pt idx="23">
                  <c:v>-9.9</c:v>
                </c:pt>
                <c:pt idx="24">
                  <c:v>-13.6</c:v>
                </c:pt>
                <c:pt idx="25">
                  <c:v>-5.8</c:v>
                </c:pt>
                <c:pt idx="26">
                  <c:v>-4.3</c:v>
                </c:pt>
                <c:pt idx="27">
                  <c:v>-8.3000000000000007</c:v>
                </c:pt>
                <c:pt idx="28">
                  <c:v>-6</c:v>
                </c:pt>
                <c:pt idx="29">
                  <c:v>-9.6</c:v>
                </c:pt>
                <c:pt idx="30">
                  <c:v>-10.7</c:v>
                </c:pt>
                <c:pt idx="31">
                  <c:v>-13.2</c:v>
                </c:pt>
                <c:pt idx="32">
                  <c:v>-13</c:v>
                </c:pt>
                <c:pt idx="33">
                  <c:v>-11.9</c:v>
                </c:pt>
                <c:pt idx="34">
                  <c:v>-9.5</c:v>
                </c:pt>
                <c:pt idx="35">
                  <c:v>-9.8000000000000007</c:v>
                </c:pt>
                <c:pt idx="36">
                  <c:v>-1.6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88B3-4A69-B62C-A05E7BDF4BBB}"/>
            </c:ext>
          </c:extLst>
        </c:ser>
        <c:ser>
          <c:idx val="11"/>
          <c:order val="11"/>
          <c:tx>
            <c:strRef>
              <c:f>'Trh práce 1-SNÚ'!$AN$7</c:f>
              <c:strCache>
                <c:ptCount val="1"/>
                <c:pt idx="0">
                  <c:v>Očekávání zaměstnanosti (stavebnictví)</c:v>
                </c:pt>
              </c:strCache>
            </c:strRef>
          </c:tx>
          <c:spPr>
            <a:ln w="15875">
              <a:solidFill>
                <a:srgbClr val="009CB5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1-SNÚ'!$AN$36:$AN$72</c:f>
              <c:numCache>
                <c:formatCode>#\ ##0.0</c:formatCode>
                <c:ptCount val="37"/>
                <c:pt idx="0">
                  <c:v>-7.4</c:v>
                </c:pt>
                <c:pt idx="1">
                  <c:v>-11.8</c:v>
                </c:pt>
                <c:pt idx="2">
                  <c:v>-6</c:v>
                </c:pt>
                <c:pt idx="3">
                  <c:v>-3.6</c:v>
                </c:pt>
                <c:pt idx="4">
                  <c:v>4.4000000000000004</c:v>
                </c:pt>
                <c:pt idx="5">
                  <c:v>6</c:v>
                </c:pt>
                <c:pt idx="6">
                  <c:v>9.1999999999999993</c:v>
                </c:pt>
                <c:pt idx="7">
                  <c:v>8.4</c:v>
                </c:pt>
                <c:pt idx="8">
                  <c:v>6.5</c:v>
                </c:pt>
                <c:pt idx="9">
                  <c:v>10.4</c:v>
                </c:pt>
                <c:pt idx="10">
                  <c:v>4.3</c:v>
                </c:pt>
                <c:pt idx="11">
                  <c:v>9.1</c:v>
                </c:pt>
                <c:pt idx="12">
                  <c:v>5.6</c:v>
                </c:pt>
                <c:pt idx="13">
                  <c:v>-3.1</c:v>
                </c:pt>
                <c:pt idx="14">
                  <c:v>1.9</c:v>
                </c:pt>
                <c:pt idx="15">
                  <c:v>-3.6</c:v>
                </c:pt>
                <c:pt idx="16">
                  <c:v>3.4</c:v>
                </c:pt>
                <c:pt idx="17">
                  <c:v>5.6</c:v>
                </c:pt>
                <c:pt idx="18">
                  <c:v>4.8</c:v>
                </c:pt>
                <c:pt idx="19">
                  <c:v>6</c:v>
                </c:pt>
                <c:pt idx="20">
                  <c:v>9.3000000000000007</c:v>
                </c:pt>
                <c:pt idx="21">
                  <c:v>9.1</c:v>
                </c:pt>
                <c:pt idx="22">
                  <c:v>2.2000000000000002</c:v>
                </c:pt>
                <c:pt idx="23">
                  <c:v>-3.4</c:v>
                </c:pt>
                <c:pt idx="24">
                  <c:v>-12.7</c:v>
                </c:pt>
                <c:pt idx="25">
                  <c:v>-11.8</c:v>
                </c:pt>
                <c:pt idx="26">
                  <c:v>-7.3</c:v>
                </c:pt>
                <c:pt idx="27">
                  <c:v>-2.5</c:v>
                </c:pt>
                <c:pt idx="28">
                  <c:v>0.3</c:v>
                </c:pt>
                <c:pt idx="29">
                  <c:v>-7.8</c:v>
                </c:pt>
                <c:pt idx="30">
                  <c:v>-7</c:v>
                </c:pt>
                <c:pt idx="31">
                  <c:v>8.6999999999999993</c:v>
                </c:pt>
                <c:pt idx="32">
                  <c:v>2.9</c:v>
                </c:pt>
                <c:pt idx="33">
                  <c:v>7.2</c:v>
                </c:pt>
                <c:pt idx="34">
                  <c:v>11.4</c:v>
                </c:pt>
                <c:pt idx="35">
                  <c:v>0.7</c:v>
                </c:pt>
                <c:pt idx="36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8B3-4A69-B62C-A05E7BDF4BBB}"/>
            </c:ext>
          </c:extLst>
        </c:ser>
        <c:ser>
          <c:idx val="12"/>
          <c:order val="12"/>
          <c:tx>
            <c:strRef>
              <c:f>'Trh práce 1-SNÚ'!$AO$7</c:f>
              <c:strCache>
                <c:ptCount val="1"/>
                <c:pt idx="0">
                  <c:v>Očekávání zaměstnanosti (obchod)</c:v>
                </c:pt>
              </c:strCache>
            </c:strRef>
          </c:tx>
          <c:spPr>
            <a:ln w="15875">
              <a:solidFill>
                <a:srgbClr val="CC961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1-SNÚ'!$AO$36:$AO$72</c:f>
              <c:numCache>
                <c:formatCode>#\ ##0.0</c:formatCode>
                <c:ptCount val="37"/>
                <c:pt idx="0">
                  <c:v>14.7</c:v>
                </c:pt>
                <c:pt idx="1">
                  <c:v>17</c:v>
                </c:pt>
                <c:pt idx="2">
                  <c:v>19</c:v>
                </c:pt>
                <c:pt idx="3">
                  <c:v>14.9</c:v>
                </c:pt>
                <c:pt idx="4">
                  <c:v>30.1</c:v>
                </c:pt>
                <c:pt idx="5">
                  <c:v>32.5</c:v>
                </c:pt>
                <c:pt idx="6">
                  <c:v>27.5</c:v>
                </c:pt>
                <c:pt idx="7">
                  <c:v>14.7</c:v>
                </c:pt>
                <c:pt idx="8">
                  <c:v>12.2</c:v>
                </c:pt>
                <c:pt idx="9">
                  <c:v>15.8</c:v>
                </c:pt>
                <c:pt idx="10">
                  <c:v>14.1</c:v>
                </c:pt>
                <c:pt idx="11">
                  <c:v>12.3</c:v>
                </c:pt>
                <c:pt idx="12">
                  <c:v>11.7</c:v>
                </c:pt>
                <c:pt idx="13">
                  <c:v>-5.9</c:v>
                </c:pt>
                <c:pt idx="14">
                  <c:v>-3.1</c:v>
                </c:pt>
                <c:pt idx="15">
                  <c:v>-0.2</c:v>
                </c:pt>
                <c:pt idx="16">
                  <c:v>6</c:v>
                </c:pt>
                <c:pt idx="17">
                  <c:v>13.2</c:v>
                </c:pt>
                <c:pt idx="18">
                  <c:v>11.4</c:v>
                </c:pt>
                <c:pt idx="19">
                  <c:v>8.5</c:v>
                </c:pt>
                <c:pt idx="20">
                  <c:v>10.5</c:v>
                </c:pt>
                <c:pt idx="21">
                  <c:v>3.2</c:v>
                </c:pt>
                <c:pt idx="22">
                  <c:v>5.9</c:v>
                </c:pt>
                <c:pt idx="23">
                  <c:v>12.5</c:v>
                </c:pt>
                <c:pt idx="24">
                  <c:v>11.3</c:v>
                </c:pt>
                <c:pt idx="25">
                  <c:v>9.1999999999999993</c:v>
                </c:pt>
                <c:pt idx="26">
                  <c:v>11.7</c:v>
                </c:pt>
                <c:pt idx="27">
                  <c:v>10.4</c:v>
                </c:pt>
                <c:pt idx="28">
                  <c:v>6.5</c:v>
                </c:pt>
                <c:pt idx="29">
                  <c:v>9.5</c:v>
                </c:pt>
                <c:pt idx="30">
                  <c:v>2.5</c:v>
                </c:pt>
                <c:pt idx="31">
                  <c:v>7.3</c:v>
                </c:pt>
                <c:pt idx="32">
                  <c:v>4.2</c:v>
                </c:pt>
                <c:pt idx="33">
                  <c:v>7.6</c:v>
                </c:pt>
                <c:pt idx="34">
                  <c:v>13.4</c:v>
                </c:pt>
                <c:pt idx="35">
                  <c:v>6.8</c:v>
                </c:pt>
                <c:pt idx="36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8B3-4A69-B62C-A05E7BDF4BBB}"/>
            </c:ext>
          </c:extLst>
        </c:ser>
        <c:ser>
          <c:idx val="13"/>
          <c:order val="13"/>
          <c:tx>
            <c:strRef>
              <c:f>'Trh práce 1-SNÚ'!$AP$7</c:f>
              <c:strCache>
                <c:ptCount val="1"/>
                <c:pt idx="0">
                  <c:v>Očekávání zaměstnanosti (vybr. služby)</c:v>
                </c:pt>
              </c:strCache>
            </c:strRef>
          </c:tx>
          <c:spPr>
            <a:ln w="15875">
              <a:solidFill>
                <a:srgbClr val="BC5B80"/>
              </a:solidFill>
              <a:prstDash val="sysDot"/>
            </a:ln>
          </c:spPr>
          <c:marker>
            <c:symbol val="none"/>
          </c:marker>
          <c:cat>
            <c:multiLvlStrRef>
              <c:f>'Trh práce 1-SNÚ'!$AA$36:$AB$72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 1-SNÚ'!$AP$36:$AP$72</c:f>
              <c:numCache>
                <c:formatCode>#\ ##0.0</c:formatCode>
                <c:ptCount val="37"/>
                <c:pt idx="0">
                  <c:v>11.1</c:v>
                </c:pt>
                <c:pt idx="1">
                  <c:v>11</c:v>
                </c:pt>
                <c:pt idx="2">
                  <c:v>19.7</c:v>
                </c:pt>
                <c:pt idx="3">
                  <c:v>3.1</c:v>
                </c:pt>
                <c:pt idx="4">
                  <c:v>15.7</c:v>
                </c:pt>
                <c:pt idx="5">
                  <c:v>10.5</c:v>
                </c:pt>
                <c:pt idx="6">
                  <c:v>9.5</c:v>
                </c:pt>
                <c:pt idx="7">
                  <c:v>-7.6</c:v>
                </c:pt>
                <c:pt idx="8">
                  <c:v>-6.5</c:v>
                </c:pt>
                <c:pt idx="9">
                  <c:v>-1.1000000000000001</c:v>
                </c:pt>
                <c:pt idx="10">
                  <c:v>-4.5999999999999996</c:v>
                </c:pt>
                <c:pt idx="11">
                  <c:v>-15.4</c:v>
                </c:pt>
                <c:pt idx="12">
                  <c:v>-20.5</c:v>
                </c:pt>
                <c:pt idx="13">
                  <c:v>-32.299999999999997</c:v>
                </c:pt>
                <c:pt idx="14">
                  <c:v>-28.6</c:v>
                </c:pt>
                <c:pt idx="15">
                  <c:v>-30.1</c:v>
                </c:pt>
                <c:pt idx="16">
                  <c:v>-27</c:v>
                </c:pt>
                <c:pt idx="17">
                  <c:v>-27.7</c:v>
                </c:pt>
                <c:pt idx="18">
                  <c:v>-12.1</c:v>
                </c:pt>
                <c:pt idx="19">
                  <c:v>-15.8</c:v>
                </c:pt>
                <c:pt idx="20">
                  <c:v>-6.8</c:v>
                </c:pt>
                <c:pt idx="21">
                  <c:v>-3.5</c:v>
                </c:pt>
                <c:pt idx="22">
                  <c:v>-6.1</c:v>
                </c:pt>
                <c:pt idx="23">
                  <c:v>-6.4</c:v>
                </c:pt>
                <c:pt idx="24">
                  <c:v>-10.7</c:v>
                </c:pt>
                <c:pt idx="25">
                  <c:v>-16.7</c:v>
                </c:pt>
                <c:pt idx="26">
                  <c:v>-14.5</c:v>
                </c:pt>
                <c:pt idx="27">
                  <c:v>-15.2</c:v>
                </c:pt>
                <c:pt idx="28">
                  <c:v>-23.7</c:v>
                </c:pt>
                <c:pt idx="29">
                  <c:v>-16</c:v>
                </c:pt>
                <c:pt idx="30">
                  <c:v>-15.7</c:v>
                </c:pt>
                <c:pt idx="31">
                  <c:v>-6.6</c:v>
                </c:pt>
                <c:pt idx="32">
                  <c:v>-14.3</c:v>
                </c:pt>
                <c:pt idx="33">
                  <c:v>-4.5999999999999996</c:v>
                </c:pt>
                <c:pt idx="34">
                  <c:v>-12.7</c:v>
                </c:pt>
                <c:pt idx="35">
                  <c:v>-8.4</c:v>
                </c:pt>
                <c:pt idx="36">
                  <c:v>-16.2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8B3-4A69-B62C-A05E7BDF4B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2941824"/>
        <c:axId val="332936832"/>
      </c:lineChart>
      <c:catAx>
        <c:axId val="10189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781504"/>
        <c:crosses val="autoZero"/>
        <c:auto val="1"/>
        <c:lblAlgn val="ctr"/>
        <c:lblOffset val="10"/>
        <c:noMultiLvlLbl val="0"/>
      </c:catAx>
      <c:valAx>
        <c:axId val="101781504"/>
        <c:scaling>
          <c:orientation val="minMax"/>
          <c:max val="2.5"/>
          <c:min val="-4.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Příspěvek k růstu zaměstnanosti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1898496"/>
        <c:crosses val="autoZero"/>
        <c:crossBetween val="between"/>
        <c:majorUnit val="0.5"/>
      </c:valAx>
      <c:valAx>
        <c:axId val="332936832"/>
        <c:scaling>
          <c:orientation val="minMax"/>
          <c:max val="100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Očekávání vývoje zaměstnanosti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332941824"/>
        <c:crosses val="max"/>
        <c:crossBetween val="between"/>
        <c:majorUnit val="10"/>
      </c:valAx>
      <c:catAx>
        <c:axId val="332941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32936832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1.2822898706986479E-2"/>
          <c:y val="0.77650317447341888"/>
          <c:w val="0.96005692595618608"/>
          <c:h val="0.21537108953613804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036417007492182E-2"/>
          <c:y val="1.6081916099773243E-2"/>
          <c:w val="0.84389226838289211"/>
          <c:h val="0.764940823491389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'Trh práce-2b'!$A$32</c:f>
              <c:strCache>
                <c:ptCount val="1"/>
                <c:pt idx="0">
                  <c:v>Míra nezaměstnanosti mužů</c:v>
                </c:pt>
              </c:strCache>
            </c:strRef>
          </c:tx>
          <c:spPr>
            <a:solidFill>
              <a:srgbClr val="BBBBC0"/>
            </a:solidFill>
          </c:spPr>
          <c:invertIfNegative val="0"/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práce-2b'!$J$32:$AT$32</c:f>
              <c:numCache>
                <c:formatCode>0.0</c:formatCode>
                <c:ptCount val="37"/>
                <c:pt idx="0">
                  <c:v>2.7679910387144155</c:v>
                </c:pt>
                <c:pt idx="1">
                  <c:v>2.4578029922804361</c:v>
                </c:pt>
                <c:pt idx="2">
                  <c:v>2.2510936987420913</c:v>
                </c:pt>
                <c:pt idx="3">
                  <c:v>2.0530822638424651</c:v>
                </c:pt>
                <c:pt idx="4">
                  <c:v>1.9130313115947393</c:v>
                </c:pt>
                <c:pt idx="5">
                  <c:v>1.8538879773017622</c:v>
                </c:pt>
                <c:pt idx="6">
                  <c:v>1.8413808902266993</c:v>
                </c:pt>
                <c:pt idx="7">
                  <c:v>1.7033424760941875</c:v>
                </c:pt>
                <c:pt idx="8">
                  <c:v>1.7895029518842369</c:v>
                </c:pt>
                <c:pt idx="9">
                  <c:v>1.7124490046175884</c:v>
                </c:pt>
                <c:pt idx="10">
                  <c:v>1.7262983600121713</c:v>
                </c:pt>
                <c:pt idx="11">
                  <c:v>1.8491042750135207</c:v>
                </c:pt>
                <c:pt idx="12">
                  <c:v>1.866101396128105</c:v>
                </c:pt>
                <c:pt idx="13">
                  <c:v>2.2480886538789031</c:v>
                </c:pt>
                <c:pt idx="14">
                  <c:v>2.4914652985436323</c:v>
                </c:pt>
                <c:pt idx="15">
                  <c:v>2.5345680969356681</c:v>
                </c:pt>
                <c:pt idx="16">
                  <c:v>2.6779749402525774</c:v>
                </c:pt>
                <c:pt idx="17">
                  <c:v>2.5500895280486926</c:v>
                </c:pt>
                <c:pt idx="18">
                  <c:v>2.2581910660831994</c:v>
                </c:pt>
                <c:pt idx="19">
                  <c:v>1.9980873113936755</c:v>
                </c:pt>
                <c:pt idx="20">
                  <c:v>1.9738333667341592</c:v>
                </c:pt>
                <c:pt idx="21">
                  <c:v>1.9049508327926505</c:v>
                </c:pt>
                <c:pt idx="22">
                  <c:v>1.9333623889389173</c:v>
                </c:pt>
                <c:pt idx="23">
                  <c:v>2.0813141893885816</c:v>
                </c:pt>
                <c:pt idx="24">
                  <c:v>2.193717223660169</c:v>
                </c:pt>
                <c:pt idx="25">
                  <c:v>2.2368579422679411</c:v>
                </c:pt>
                <c:pt idx="26">
                  <c:v>2.3185683625699167</c:v>
                </c:pt>
                <c:pt idx="27">
                  <c:v>2.4189787946132504</c:v>
                </c:pt>
                <c:pt idx="28">
                  <c:v>2.4004908007060854</c:v>
                </c:pt>
                <c:pt idx="29">
                  <c:v>2.3872886332786272</c:v>
                </c:pt>
                <c:pt idx="30">
                  <c:v>2.3333751722921026</c:v>
                </c:pt>
                <c:pt idx="31">
                  <c:v>2.3073720242948834</c:v>
                </c:pt>
                <c:pt idx="32">
                  <c:v>2.3086910002563257</c:v>
                </c:pt>
                <c:pt idx="33">
                  <c:v>2.5533375334164208</c:v>
                </c:pt>
                <c:pt idx="34">
                  <c:v>2.773217466399986</c:v>
                </c:pt>
                <c:pt idx="35">
                  <c:v>2.8501162245490228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ED-45B9-89A6-6C3E0A69DBCC}"/>
            </c:ext>
          </c:extLst>
        </c:ser>
        <c:ser>
          <c:idx val="1"/>
          <c:order val="1"/>
          <c:tx>
            <c:strRef>
              <c:f>'Trh práce-2b'!$A$33</c:f>
              <c:strCache>
                <c:ptCount val="1"/>
                <c:pt idx="0">
                  <c:v>Míra nezaměstnanosti žen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rgbClr val="BBBBC0"/>
              </a:solidFill>
            </a:ln>
          </c:spPr>
          <c:invertIfNegative val="0"/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práce-2b'!$J$33:$AT$33</c:f>
              <c:numCache>
                <c:formatCode>0.0</c:formatCode>
                <c:ptCount val="37"/>
                <c:pt idx="0">
                  <c:v>4.2621952922357274</c:v>
                </c:pt>
                <c:pt idx="1">
                  <c:v>3.8661909944232513</c:v>
                </c:pt>
                <c:pt idx="2">
                  <c:v>3.402390121691198</c:v>
                </c:pt>
                <c:pt idx="3">
                  <c:v>3.1265993349206975</c:v>
                </c:pt>
                <c:pt idx="4">
                  <c:v>2.9285268103916202</c:v>
                </c:pt>
                <c:pt idx="5">
                  <c:v>2.8174645567915362</c:v>
                </c:pt>
                <c:pt idx="6">
                  <c:v>2.8263160238865779</c:v>
                </c:pt>
                <c:pt idx="7">
                  <c:v>2.6564968560904751</c:v>
                </c:pt>
                <c:pt idx="8">
                  <c:v>2.365720763413679</c:v>
                </c:pt>
                <c:pt idx="9">
                  <c:v>2.4267620177819631</c:v>
                </c:pt>
                <c:pt idx="10">
                  <c:v>2.5399458189503594</c:v>
                </c:pt>
                <c:pt idx="11">
                  <c:v>2.3986349647556207</c:v>
                </c:pt>
                <c:pt idx="12">
                  <c:v>2.1571963246105295</c:v>
                </c:pt>
                <c:pt idx="13">
                  <c:v>2.8483238732298886</c:v>
                </c:pt>
                <c:pt idx="14">
                  <c:v>3.3835240635579225</c:v>
                </c:pt>
                <c:pt idx="15">
                  <c:v>3.8564454566041242</c:v>
                </c:pt>
                <c:pt idx="16">
                  <c:v>4.0897500819108661</c:v>
                </c:pt>
                <c:pt idx="17">
                  <c:v>3.7966742834608129</c:v>
                </c:pt>
                <c:pt idx="18">
                  <c:v>3.2557790724519271</c:v>
                </c:pt>
                <c:pt idx="19">
                  <c:v>2.8667571573126556</c:v>
                </c:pt>
                <c:pt idx="20">
                  <c:v>2.9756087695013633</c:v>
                </c:pt>
                <c:pt idx="21">
                  <c:v>3.1089655074389539</c:v>
                </c:pt>
                <c:pt idx="22">
                  <c:v>2.9277067493598246</c:v>
                </c:pt>
                <c:pt idx="23">
                  <c:v>2.8396666888898827</c:v>
                </c:pt>
                <c:pt idx="24">
                  <c:v>3.0276937836836537</c:v>
                </c:pt>
                <c:pt idx="25">
                  <c:v>3.1680319237565957</c:v>
                </c:pt>
                <c:pt idx="26">
                  <c:v>3.2205417075280898</c:v>
                </c:pt>
                <c:pt idx="27">
                  <c:v>3.3072846519145496</c:v>
                </c:pt>
                <c:pt idx="28">
                  <c:v>3.4355177630898495</c:v>
                </c:pt>
                <c:pt idx="29">
                  <c:v>3.2713993704847248</c:v>
                </c:pt>
                <c:pt idx="30">
                  <c:v>3.2570181459339209</c:v>
                </c:pt>
                <c:pt idx="31">
                  <c:v>3.2803774765112674</c:v>
                </c:pt>
                <c:pt idx="32">
                  <c:v>3.2097723326331931</c:v>
                </c:pt>
                <c:pt idx="33">
                  <c:v>3.2796965407045828</c:v>
                </c:pt>
                <c:pt idx="34">
                  <c:v>3.4429696959275655</c:v>
                </c:pt>
                <c:pt idx="35">
                  <c:v>3.6757318602739431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ED-45B9-89A6-6C3E0A69DB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axId val="100654464"/>
        <c:axId val="101647488"/>
      </c:barChart>
      <c:lineChart>
        <c:grouping val="standard"/>
        <c:varyColors val="0"/>
        <c:ser>
          <c:idx val="4"/>
          <c:order val="2"/>
          <c:tx>
            <c:strRef>
              <c:f>'Trh práce-2b'!$A$34</c:f>
              <c:strCache>
                <c:ptCount val="1"/>
                <c:pt idx="0">
                  <c:v>VPM pro vyučené a SŠ bez mat.</c:v>
                </c:pt>
              </c:strCache>
            </c:strRef>
          </c:tx>
          <c:spPr>
            <a:ln w="15875">
              <a:solidFill>
                <a:srgbClr val="BC5B80"/>
              </a:solidFill>
              <a:prstDash val="solid"/>
            </a:ln>
          </c:spPr>
          <c:marker>
            <c:symbol val="none"/>
          </c:marker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práce-2b'!$J$34:$AT$34</c:f>
              <c:numCache>
                <c:formatCode>0.0</c:formatCode>
                <c:ptCount val="37"/>
                <c:pt idx="0">
                  <c:v>31.84</c:v>
                </c:pt>
                <c:pt idx="1">
                  <c:v>38.021999999999998</c:v>
                </c:pt>
                <c:pt idx="2">
                  <c:v>36.262</c:v>
                </c:pt>
                <c:pt idx="3">
                  <c:v>29.895</c:v>
                </c:pt>
                <c:pt idx="4">
                  <c:v>32.848999999999997</c:v>
                </c:pt>
                <c:pt idx="5">
                  <c:v>39.597999999999999</c:v>
                </c:pt>
                <c:pt idx="6">
                  <c:v>36.892000000000003</c:v>
                </c:pt>
                <c:pt idx="7">
                  <c:v>30.317</c:v>
                </c:pt>
                <c:pt idx="8">
                  <c:v>31.245000000000001</c:v>
                </c:pt>
                <c:pt idx="9">
                  <c:v>30.555</c:v>
                </c:pt>
                <c:pt idx="10">
                  <c:v>27.914999999999999</c:v>
                </c:pt>
                <c:pt idx="11">
                  <c:v>22.228000000000002</c:v>
                </c:pt>
                <c:pt idx="12">
                  <c:v>22.292000000000002</c:v>
                </c:pt>
                <c:pt idx="13">
                  <c:v>21.922000000000001</c:v>
                </c:pt>
                <c:pt idx="14">
                  <c:v>23.152999999999999</c:v>
                </c:pt>
                <c:pt idx="15">
                  <c:v>20.832999999999998</c:v>
                </c:pt>
                <c:pt idx="16">
                  <c:v>21.22</c:v>
                </c:pt>
                <c:pt idx="17">
                  <c:v>28</c:v>
                </c:pt>
                <c:pt idx="18">
                  <c:v>28.465</c:v>
                </c:pt>
                <c:pt idx="19">
                  <c:v>22.591000000000001</c:v>
                </c:pt>
                <c:pt idx="20">
                  <c:v>26.402999999999999</c:v>
                </c:pt>
                <c:pt idx="21">
                  <c:v>24.98</c:v>
                </c:pt>
                <c:pt idx="22">
                  <c:v>20.081</c:v>
                </c:pt>
                <c:pt idx="23">
                  <c:v>16.219000000000001</c:v>
                </c:pt>
                <c:pt idx="24">
                  <c:v>18.276</c:v>
                </c:pt>
                <c:pt idx="25">
                  <c:v>19.419</c:v>
                </c:pt>
                <c:pt idx="26">
                  <c:v>17.792000000000002</c:v>
                </c:pt>
                <c:pt idx="27">
                  <c:v>14.455</c:v>
                </c:pt>
                <c:pt idx="28">
                  <c:v>14.478</c:v>
                </c:pt>
                <c:pt idx="29">
                  <c:v>15.478</c:v>
                </c:pt>
                <c:pt idx="30">
                  <c:v>15.435</c:v>
                </c:pt>
                <c:pt idx="31">
                  <c:v>14.093</c:v>
                </c:pt>
                <c:pt idx="32">
                  <c:v>12.814</c:v>
                </c:pt>
                <c:pt idx="33">
                  <c:v>14.827999999999999</c:v>
                </c:pt>
                <c:pt idx="34">
                  <c:v>13.662000000000001</c:v>
                </c:pt>
                <c:pt idx="35">
                  <c:v>11.477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ED-45B9-89A6-6C3E0A69DBCC}"/>
            </c:ext>
          </c:extLst>
        </c:ser>
        <c:ser>
          <c:idx val="5"/>
          <c:order val="3"/>
          <c:tx>
            <c:strRef>
              <c:f>'Trh práce-2b'!$A$35</c:f>
              <c:strCache>
                <c:ptCount val="1"/>
                <c:pt idx="0">
                  <c:v>VPM pro SŠ s mat., VOŠ a VŠ</c:v>
                </c:pt>
              </c:strCache>
            </c:strRef>
          </c:tx>
          <c:spPr>
            <a:ln w="15875">
              <a:solidFill>
                <a:srgbClr val="009CB5"/>
              </a:solidFill>
              <a:prstDash val="solid"/>
            </a:ln>
          </c:spPr>
          <c:marker>
            <c:symbol val="none"/>
          </c:marker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práce-2b'!$J$35:$AT$35</c:f>
              <c:numCache>
                <c:formatCode>0.0</c:formatCode>
                <c:ptCount val="37"/>
                <c:pt idx="0">
                  <c:v>15.456</c:v>
                </c:pt>
                <c:pt idx="1">
                  <c:v>18.981000000000002</c:v>
                </c:pt>
                <c:pt idx="2">
                  <c:v>17.684999999999999</c:v>
                </c:pt>
                <c:pt idx="3">
                  <c:v>16.105</c:v>
                </c:pt>
                <c:pt idx="4">
                  <c:v>18.106999999999999</c:v>
                </c:pt>
                <c:pt idx="5">
                  <c:v>20.411000000000001</c:v>
                </c:pt>
                <c:pt idx="6">
                  <c:v>18.263000000000002</c:v>
                </c:pt>
                <c:pt idx="7">
                  <c:v>16.600000000000001</c:v>
                </c:pt>
                <c:pt idx="8">
                  <c:v>17.779</c:v>
                </c:pt>
                <c:pt idx="9">
                  <c:v>19.105</c:v>
                </c:pt>
                <c:pt idx="10">
                  <c:v>18.321000000000002</c:v>
                </c:pt>
                <c:pt idx="11">
                  <c:v>16.137</c:v>
                </c:pt>
                <c:pt idx="12">
                  <c:v>17.05</c:v>
                </c:pt>
                <c:pt idx="13">
                  <c:v>17.387</c:v>
                </c:pt>
                <c:pt idx="14">
                  <c:v>15.683</c:v>
                </c:pt>
                <c:pt idx="15">
                  <c:v>14.997</c:v>
                </c:pt>
                <c:pt idx="16">
                  <c:v>16.512</c:v>
                </c:pt>
                <c:pt idx="17">
                  <c:v>19.815999999999999</c:v>
                </c:pt>
                <c:pt idx="18">
                  <c:v>19.486999999999998</c:v>
                </c:pt>
                <c:pt idx="19">
                  <c:v>18.061</c:v>
                </c:pt>
                <c:pt idx="20">
                  <c:v>21.087</c:v>
                </c:pt>
                <c:pt idx="21">
                  <c:v>21.347999999999999</c:v>
                </c:pt>
                <c:pt idx="22">
                  <c:v>18.567</c:v>
                </c:pt>
                <c:pt idx="23">
                  <c:v>16.672999999999998</c:v>
                </c:pt>
                <c:pt idx="24">
                  <c:v>18.158000000000001</c:v>
                </c:pt>
                <c:pt idx="25">
                  <c:v>18.765000000000001</c:v>
                </c:pt>
                <c:pt idx="26">
                  <c:v>17.125</c:v>
                </c:pt>
                <c:pt idx="27">
                  <c:v>15.332000000000001</c:v>
                </c:pt>
                <c:pt idx="28">
                  <c:v>16.600000000000001</c:v>
                </c:pt>
                <c:pt idx="29">
                  <c:v>15.853999999999999</c:v>
                </c:pt>
                <c:pt idx="30">
                  <c:v>14.837999999999999</c:v>
                </c:pt>
                <c:pt idx="31">
                  <c:v>13.59</c:v>
                </c:pt>
                <c:pt idx="32">
                  <c:v>10.319000000000001</c:v>
                </c:pt>
                <c:pt idx="33">
                  <c:v>11.635</c:v>
                </c:pt>
                <c:pt idx="34">
                  <c:v>11.321999999999999</c:v>
                </c:pt>
                <c:pt idx="35">
                  <c:v>9.5069999999999997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9ED-45B9-89A6-6C3E0A69DBCC}"/>
            </c:ext>
          </c:extLst>
        </c:ser>
        <c:ser>
          <c:idx val="6"/>
          <c:order val="4"/>
          <c:tx>
            <c:strRef>
              <c:f>'Trh práce-2b'!$A$36</c:f>
              <c:strCache>
                <c:ptCount val="1"/>
                <c:pt idx="0">
                  <c:v>Pracující cizinci (Ukrajinci)</c:v>
                </c:pt>
              </c:strCache>
            </c:strRef>
          </c:tx>
          <c:spPr>
            <a:ln w="15875">
              <a:solidFill>
                <a:srgbClr val="174F70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práce-2b'!$J$36:$AT$36</c:f>
              <c:numCache>
                <c:formatCode>#,##0</c:formatCode>
                <c:ptCount val="37"/>
                <c:pt idx="0">
                  <c:v>59.363</c:v>
                </c:pt>
                <c:pt idx="1">
                  <c:v>69.864000000000004</c:v>
                </c:pt>
                <c:pt idx="2">
                  <c:v>76.724000000000004</c:v>
                </c:pt>
                <c:pt idx="3">
                  <c:v>81.688999999999993</c:v>
                </c:pt>
                <c:pt idx="4">
                  <c:v>97.317999999999998</c:v>
                </c:pt>
                <c:pt idx="5">
                  <c:v>115.39100000000001</c:v>
                </c:pt>
                <c:pt idx="6">
                  <c:v>134.202</c:v>
                </c:pt>
                <c:pt idx="7">
                  <c:v>121.08499999999999</c:v>
                </c:pt>
                <c:pt idx="8">
                  <c:v>146.08500000000001</c:v>
                </c:pt>
                <c:pt idx="9">
                  <c:v>152.69800000000001</c:v>
                </c:pt>
                <c:pt idx="10">
                  <c:v>164.92400000000001</c:v>
                </c:pt>
                <c:pt idx="11">
                  <c:v>144.114</c:v>
                </c:pt>
                <c:pt idx="12">
                  <c:v>169.14699999999999</c:v>
                </c:pt>
                <c:pt idx="13">
                  <c:v>133.08600000000001</c:v>
                </c:pt>
                <c:pt idx="14">
                  <c:v>173.584</c:v>
                </c:pt>
                <c:pt idx="15">
                  <c:v>159.46799999999999</c:v>
                </c:pt>
                <c:pt idx="16">
                  <c:v>186.35599999999999</c:v>
                </c:pt>
                <c:pt idx="17">
                  <c:v>191.58500000000001</c:v>
                </c:pt>
                <c:pt idx="18">
                  <c:v>214.10599999999999</c:v>
                </c:pt>
                <c:pt idx="19">
                  <c:v>195.11600000000001</c:v>
                </c:pt>
                <c:pt idx="20">
                  <c:v>238.024</c:v>
                </c:pt>
                <c:pt idx="21">
                  <c:v>248.58799999999999</c:v>
                </c:pt>
                <c:pt idx="22">
                  <c:v>262.17899999999997</c:v>
                </c:pt>
                <c:pt idx="23">
                  <c:v>269.911</c:v>
                </c:pt>
                <c:pt idx="24">
                  <c:v>261.31299999999999</c:v>
                </c:pt>
                <c:pt idx="25">
                  <c:v>269.04500000000002</c:v>
                </c:pt>
                <c:pt idx="26">
                  <c:v>282.22300000000001</c:v>
                </c:pt>
                <c:pt idx="27">
                  <c:v>285.54500000000002</c:v>
                </c:pt>
                <c:pt idx="28">
                  <c:v>283.649</c:v>
                </c:pt>
                <c:pt idx="29" formatCode="#\ ##0.000">
                  <c:v>286.25599999999997</c:v>
                </c:pt>
                <c:pt idx="30" formatCode="#\ ##0.000">
                  <c:v>291.79199999999997</c:v>
                </c:pt>
                <c:pt idx="31" formatCode="#\ ##0.000">
                  <c:v>304.68200000000002</c:v>
                </c:pt>
                <c:pt idx="32" formatCode="#\ ##0.000">
                  <c:v>312.71899999999999</c:v>
                </c:pt>
                <c:pt idx="33" formatCode="#\ ##0.000">
                  <c:v>320.50299999999999</c:v>
                </c:pt>
                <c:pt idx="34" formatCode="#\ ##0.000">
                  <c:v>337.762</c:v>
                </c:pt>
                <c:pt idx="35" formatCode="#\ ##0.000">
                  <c:v>357.81099999999998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9ED-45B9-89A6-6C3E0A69DBCC}"/>
            </c:ext>
          </c:extLst>
        </c:ser>
        <c:ser>
          <c:idx val="7"/>
          <c:order val="5"/>
          <c:tx>
            <c:strRef>
              <c:f>'Trh práce-2b'!$A$37</c:f>
              <c:strCache>
                <c:ptCount val="1"/>
                <c:pt idx="0">
                  <c:v>Pracující cizinci (Slováci)</c:v>
                </c:pt>
              </c:strCache>
            </c:strRef>
          </c:tx>
          <c:spPr>
            <a:ln w="15875">
              <a:solidFill>
                <a:srgbClr val="009CB5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práce-2b'!$J$37:$AT$37</c:f>
              <c:numCache>
                <c:formatCode>#,##0</c:formatCode>
                <c:ptCount val="37"/>
                <c:pt idx="0">
                  <c:v>159.88200000000001</c:v>
                </c:pt>
                <c:pt idx="1">
                  <c:v>165.69800000000001</c:v>
                </c:pt>
                <c:pt idx="2">
                  <c:v>170.643</c:v>
                </c:pt>
                <c:pt idx="3">
                  <c:v>177.059</c:v>
                </c:pt>
                <c:pt idx="4">
                  <c:v>180.01900000000001</c:v>
                </c:pt>
                <c:pt idx="5">
                  <c:v>187.33799999999999</c:v>
                </c:pt>
                <c:pt idx="6">
                  <c:v>192.66499999999999</c:v>
                </c:pt>
                <c:pt idx="7">
                  <c:v>191.81800000000001</c:v>
                </c:pt>
                <c:pt idx="8">
                  <c:v>187.18299999999999</c:v>
                </c:pt>
                <c:pt idx="9">
                  <c:v>191.41800000000001</c:v>
                </c:pt>
                <c:pt idx="10">
                  <c:v>199.02799999999999</c:v>
                </c:pt>
                <c:pt idx="11">
                  <c:v>201.952</c:v>
                </c:pt>
                <c:pt idx="12">
                  <c:v>198.05799999999999</c:v>
                </c:pt>
                <c:pt idx="13">
                  <c:v>199.249</c:v>
                </c:pt>
                <c:pt idx="14">
                  <c:v>202.91</c:v>
                </c:pt>
                <c:pt idx="15">
                  <c:v>204.29400000000001</c:v>
                </c:pt>
                <c:pt idx="16">
                  <c:v>201.91800000000001</c:v>
                </c:pt>
                <c:pt idx="17">
                  <c:v>204.476</c:v>
                </c:pt>
                <c:pt idx="18">
                  <c:v>208.249</c:v>
                </c:pt>
                <c:pt idx="19">
                  <c:v>209.273</c:v>
                </c:pt>
                <c:pt idx="20">
                  <c:v>207.86</c:v>
                </c:pt>
                <c:pt idx="21">
                  <c:v>211.31700000000001</c:v>
                </c:pt>
                <c:pt idx="22">
                  <c:v>212.55099999999999</c:v>
                </c:pt>
                <c:pt idx="23">
                  <c:v>213.447</c:v>
                </c:pt>
                <c:pt idx="24">
                  <c:v>209.79599999999999</c:v>
                </c:pt>
                <c:pt idx="25">
                  <c:v>212.12299999999999</c:v>
                </c:pt>
                <c:pt idx="26">
                  <c:v>215.20599999999999</c:v>
                </c:pt>
                <c:pt idx="27">
                  <c:v>216.239</c:v>
                </c:pt>
                <c:pt idx="28">
                  <c:v>213.9</c:v>
                </c:pt>
                <c:pt idx="29" formatCode="#\ ##0.000">
                  <c:v>216.68</c:v>
                </c:pt>
                <c:pt idx="30" formatCode="#\ ##0.000">
                  <c:v>212.44300000000001</c:v>
                </c:pt>
                <c:pt idx="31" formatCode="#\ ##0.000">
                  <c:v>215.61099999999999</c:v>
                </c:pt>
                <c:pt idx="32" formatCode="#\ ##0.000">
                  <c:v>216.32300000000001</c:v>
                </c:pt>
                <c:pt idx="33" formatCode="#\ ##0.000">
                  <c:v>220.511</c:v>
                </c:pt>
                <c:pt idx="34" formatCode="#\ ##0.000">
                  <c:v>225.22300000000001</c:v>
                </c:pt>
                <c:pt idx="35" formatCode="#\ ##0.000">
                  <c:v>229.01400000000001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9ED-45B9-89A6-6C3E0A69DBCC}"/>
            </c:ext>
          </c:extLst>
        </c:ser>
        <c:ser>
          <c:idx val="2"/>
          <c:order val="6"/>
          <c:tx>
            <c:strRef>
              <c:f>'Trh práce-2b'!$A$38</c:f>
              <c:strCache>
                <c:ptCount val="1"/>
                <c:pt idx="0">
                  <c:v>Pracující cizinci (občané ostat. zemí)</c:v>
                </c:pt>
              </c:strCache>
            </c:strRef>
          </c:tx>
          <c:spPr>
            <a:ln w="15875">
              <a:solidFill>
                <a:srgbClr val="85BF5E"/>
              </a:solidFill>
              <a:prstDash val="sysDash"/>
            </a:ln>
          </c:spPr>
          <c:marker>
            <c:symbol val="none"/>
          </c:marker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práce-2b'!$J$38:$AT$38</c:f>
              <c:numCache>
                <c:formatCode>#,##0</c:formatCode>
                <c:ptCount val="37"/>
                <c:pt idx="0">
                  <c:v>173.614</c:v>
                </c:pt>
                <c:pt idx="1">
                  <c:v>187.52799999999999</c:v>
                </c:pt>
                <c:pt idx="2">
                  <c:v>199.11799999999999</c:v>
                </c:pt>
                <c:pt idx="3">
                  <c:v>213.59899999999999</c:v>
                </c:pt>
                <c:pt idx="4">
                  <c:v>228.61600000000001</c:v>
                </c:pt>
                <c:pt idx="5">
                  <c:v>244.029</c:v>
                </c:pt>
                <c:pt idx="6">
                  <c:v>258.82100000000003</c:v>
                </c:pt>
                <c:pt idx="7">
                  <c:v>255.77199999999999</c:v>
                </c:pt>
                <c:pt idx="8">
                  <c:v>255.12200000000001</c:v>
                </c:pt>
                <c:pt idx="9">
                  <c:v>262.36599999999999</c:v>
                </c:pt>
                <c:pt idx="10">
                  <c:v>277.37400000000002</c:v>
                </c:pt>
                <c:pt idx="11">
                  <c:v>275.80399999999997</c:v>
                </c:pt>
                <c:pt idx="12">
                  <c:v>277.709</c:v>
                </c:pt>
                <c:pt idx="13">
                  <c:v>270.178</c:v>
                </c:pt>
                <c:pt idx="14">
                  <c:v>278.71699999999998</c:v>
                </c:pt>
                <c:pt idx="15">
                  <c:v>280.40199999999999</c:v>
                </c:pt>
                <c:pt idx="16">
                  <c:v>281.459</c:v>
                </c:pt>
                <c:pt idx="17">
                  <c:v>285.55</c:v>
                </c:pt>
                <c:pt idx="18">
                  <c:v>297.53500000000003</c:v>
                </c:pt>
                <c:pt idx="19">
                  <c:v>297.44099999999997</c:v>
                </c:pt>
                <c:pt idx="20">
                  <c:v>300.39299999999997</c:v>
                </c:pt>
                <c:pt idx="21">
                  <c:v>307.61</c:v>
                </c:pt>
                <c:pt idx="22">
                  <c:v>310.33499999999998</c:v>
                </c:pt>
                <c:pt idx="23">
                  <c:v>309.93200000000002</c:v>
                </c:pt>
                <c:pt idx="24">
                  <c:v>308.2</c:v>
                </c:pt>
                <c:pt idx="25">
                  <c:v>314.923</c:v>
                </c:pt>
                <c:pt idx="26">
                  <c:v>320.48399999999998</c:v>
                </c:pt>
                <c:pt idx="27">
                  <c:v>322.161</c:v>
                </c:pt>
                <c:pt idx="28">
                  <c:v>320.39100000000002</c:v>
                </c:pt>
                <c:pt idx="29" formatCode="#\ ##0.000">
                  <c:v>324.68299999999999</c:v>
                </c:pt>
                <c:pt idx="30" formatCode="#\ ##0.000">
                  <c:v>319.55900000000003</c:v>
                </c:pt>
                <c:pt idx="31" formatCode="#\ ##0.000">
                  <c:v>325.17500000000001</c:v>
                </c:pt>
                <c:pt idx="32" formatCode="#\ ##0.000">
                  <c:v>329.69</c:v>
                </c:pt>
                <c:pt idx="33" formatCode="#\ ##0.000">
                  <c:v>336.50700000000001</c:v>
                </c:pt>
                <c:pt idx="34" formatCode="#\ ##0.000">
                  <c:v>342.87900000000002</c:v>
                </c:pt>
                <c:pt idx="35" formatCode="#\ ##0.000">
                  <c:v>348.49700000000001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9ED-45B9-89A6-6C3E0A69DBCC}"/>
            </c:ext>
          </c:extLst>
        </c:ser>
        <c:ser>
          <c:idx val="3"/>
          <c:order val="7"/>
          <c:tx>
            <c:strRef>
              <c:f>'Trh práce-2b'!$A$39</c:f>
              <c:strCache>
                <c:ptCount val="1"/>
                <c:pt idx="0">
                  <c:v>Očekávání vývoje nezaměstnanosti</c:v>
                </c:pt>
              </c:strCache>
            </c:strRef>
          </c:tx>
          <c:spPr>
            <a:ln w="15875">
              <a:noFill/>
              <a:prstDash val="solid"/>
            </a:ln>
          </c:spPr>
          <c:marker>
            <c:symbol val="diamond"/>
            <c:size val="5"/>
            <c:spPr>
              <a:solidFill>
                <a:srgbClr val="CC9610"/>
              </a:solidFill>
              <a:ln>
                <a:noFill/>
              </a:ln>
            </c:spPr>
          </c:marker>
          <c:cat>
            <c:multiLvlStrRef>
              <c:f>'Trh práce-2b'!$J$30:$AT$31</c:f>
              <c:multiLvlStrCache>
                <c:ptCount val="3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  <c:pt idx="36">
                    <c:v>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  <c:pt idx="36">
                    <c:v>2026</c:v>
                  </c:pt>
                </c:lvl>
              </c:multiLvlStrCache>
            </c:multiLvlStrRef>
          </c:cat>
          <c:val>
            <c:numRef>
              <c:f>'Trh práce-2b'!$J$39:$AT$39</c:f>
              <c:numCache>
                <c:formatCode>0.0</c:formatCode>
                <c:ptCount val="37"/>
                <c:pt idx="0">
                  <c:v>1</c:v>
                </c:pt>
                <c:pt idx="1">
                  <c:v>-3</c:v>
                </c:pt>
                <c:pt idx="2">
                  <c:v>0</c:v>
                </c:pt>
                <c:pt idx="3">
                  <c:v>-1</c:v>
                </c:pt>
                <c:pt idx="4">
                  <c:v>-1</c:v>
                </c:pt>
                <c:pt idx="5">
                  <c:v>-2</c:v>
                </c:pt>
                <c:pt idx="6">
                  <c:v>-2</c:v>
                </c:pt>
                <c:pt idx="7">
                  <c:v>4</c:v>
                </c:pt>
                <c:pt idx="8">
                  <c:v>8</c:v>
                </c:pt>
                <c:pt idx="9">
                  <c:v>8</c:v>
                </c:pt>
                <c:pt idx="10">
                  <c:v>11</c:v>
                </c:pt>
                <c:pt idx="11">
                  <c:v>12</c:v>
                </c:pt>
                <c:pt idx="12">
                  <c:v>18</c:v>
                </c:pt>
                <c:pt idx="13">
                  <c:v>49</c:v>
                </c:pt>
                <c:pt idx="14">
                  <c:v>46</c:v>
                </c:pt>
                <c:pt idx="15">
                  <c:v>60</c:v>
                </c:pt>
                <c:pt idx="16">
                  <c:v>57</c:v>
                </c:pt>
                <c:pt idx="17">
                  <c:v>24</c:v>
                </c:pt>
                <c:pt idx="18">
                  <c:v>16</c:v>
                </c:pt>
                <c:pt idx="19">
                  <c:v>20</c:v>
                </c:pt>
                <c:pt idx="20">
                  <c:v>14</c:v>
                </c:pt>
                <c:pt idx="21">
                  <c:v>20</c:v>
                </c:pt>
                <c:pt idx="22">
                  <c:v>26</c:v>
                </c:pt>
                <c:pt idx="23">
                  <c:v>40</c:v>
                </c:pt>
                <c:pt idx="24">
                  <c:v>35</c:v>
                </c:pt>
                <c:pt idx="25">
                  <c:v>29</c:v>
                </c:pt>
                <c:pt idx="26">
                  <c:v>25</c:v>
                </c:pt>
                <c:pt idx="27">
                  <c:v>17</c:v>
                </c:pt>
                <c:pt idx="28">
                  <c:v>25</c:v>
                </c:pt>
                <c:pt idx="29">
                  <c:v>22</c:v>
                </c:pt>
                <c:pt idx="30">
                  <c:v>24</c:v>
                </c:pt>
                <c:pt idx="31">
                  <c:v>19</c:v>
                </c:pt>
                <c:pt idx="32">
                  <c:v>30</c:v>
                </c:pt>
                <c:pt idx="33">
                  <c:v>30</c:v>
                </c:pt>
                <c:pt idx="34">
                  <c:v>27</c:v>
                </c:pt>
                <c:pt idx="35">
                  <c:v>15</c:v>
                </c:pt>
                <c:pt idx="36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9ED-45B9-89A6-6C3E0A69DB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1670576"/>
        <c:axId val="323971328"/>
      </c:lineChart>
      <c:catAx>
        <c:axId val="10065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101647488"/>
        <c:crossesAt val="-50"/>
        <c:auto val="1"/>
        <c:lblAlgn val="ctr"/>
        <c:lblOffset val="0"/>
        <c:noMultiLvlLbl val="0"/>
      </c:catAx>
      <c:valAx>
        <c:axId val="101647488"/>
        <c:scaling>
          <c:orientation val="minMax"/>
          <c:max val="6.5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Míra nezaměstnanosti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54464"/>
        <c:crosses val="autoZero"/>
        <c:crossBetween val="between"/>
        <c:majorUnit val="0.5"/>
      </c:valAx>
      <c:valAx>
        <c:axId val="323971328"/>
        <c:scaling>
          <c:orientation val="minMax"/>
          <c:max val="360"/>
          <c:min val="-3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Volná</a:t>
                </a:r>
                <a:r>
                  <a:rPr lang="cs-CZ" sz="700" b="0" i="1" baseline="0"/>
                  <a:t> prac. místa, zaměstnaní cizinci, saldo oček. nezam.</a:t>
                </a:r>
                <a:endParaRPr lang="cs-CZ" sz="700" b="0" i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331670576"/>
        <c:crosses val="max"/>
        <c:crossBetween val="between"/>
        <c:majorUnit val="30"/>
      </c:valAx>
      <c:catAx>
        <c:axId val="331670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3971328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2346890231882358E-2"/>
          <c:y val="0.87065667466923102"/>
          <c:w val="0.85260043993190393"/>
          <c:h val="0.12573975955987693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7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11162452186132E-2"/>
          <c:y val="2.0203894786331125E-2"/>
          <c:w val="0.94100987714831696"/>
          <c:h val="0.75146425386922477"/>
        </c:manualLayout>
      </c:layout>
      <c:barChart>
        <c:barDir val="col"/>
        <c:grouping val="clustered"/>
        <c:varyColors val="0"/>
        <c:ser>
          <c:idx val="4"/>
          <c:order val="1"/>
          <c:tx>
            <c:strRef>
              <c:f>'Trh práce 3'!$D$75</c:f>
              <c:strCache>
                <c:ptCount val="1"/>
                <c:pt idx="0">
                  <c:v>Průměrná mzda celkem (reálně)</c:v>
                </c:pt>
              </c:strCache>
            </c:strRef>
          </c:tx>
          <c:spPr>
            <a:solidFill>
              <a:srgbClr val="B8BBC0"/>
            </a:solidFill>
            <a:ln w="19050">
              <a:noFill/>
            </a:ln>
          </c:spPr>
          <c:invertIfNegative val="0"/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3'!$D$76:$D$96</c:f>
              <c:numCache>
                <c:formatCode>#\ ##0.0</c:formatCode>
                <c:ptCount val="21"/>
                <c:pt idx="0">
                  <c:v>3</c:v>
                </c:pt>
                <c:pt idx="1">
                  <c:v>4</c:v>
                </c:pt>
                <c:pt idx="2">
                  <c:v>4.2999999999999972</c:v>
                </c:pt>
                <c:pt idx="3">
                  <c:v>1.4000000000000057</c:v>
                </c:pt>
                <c:pt idx="4">
                  <c:v>2.2999999999999972</c:v>
                </c:pt>
                <c:pt idx="5">
                  <c:v>0.70000000000000284</c:v>
                </c:pt>
                <c:pt idx="6">
                  <c:v>0.59999999999999432</c:v>
                </c:pt>
                <c:pt idx="7">
                  <c:v>-0.79999999999999716</c:v>
                </c:pt>
                <c:pt idx="8">
                  <c:v>-1.5</c:v>
                </c:pt>
                <c:pt idx="9">
                  <c:v>2.5</c:v>
                </c:pt>
                <c:pt idx="10">
                  <c:v>2.9000000000000057</c:v>
                </c:pt>
                <c:pt idx="11">
                  <c:v>3.7000000000000028</c:v>
                </c:pt>
                <c:pt idx="12">
                  <c:v>4.2000000000000028</c:v>
                </c:pt>
                <c:pt idx="13">
                  <c:v>5.9000000000000057</c:v>
                </c:pt>
                <c:pt idx="14">
                  <c:v>5</c:v>
                </c:pt>
                <c:pt idx="15">
                  <c:v>1.4000000000000057</c:v>
                </c:pt>
                <c:pt idx="16">
                  <c:v>1.9000000000000057</c:v>
                </c:pt>
                <c:pt idx="17">
                  <c:v>-9.4000000000000057</c:v>
                </c:pt>
                <c:pt idx="18">
                  <c:v>-3.2000000000000028</c:v>
                </c:pt>
                <c:pt idx="19">
                  <c:v>4.7000000000000028</c:v>
                </c:pt>
                <c:pt idx="20">
                  <c:v>4.5999999999999943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75-4016-B545-6991500B7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0688640"/>
        <c:axId val="100690560"/>
      </c:barChart>
      <c:lineChart>
        <c:grouping val="standard"/>
        <c:varyColors val="0"/>
        <c:ser>
          <c:idx val="0"/>
          <c:order val="0"/>
          <c:tx>
            <c:strRef>
              <c:f>'Trh práce 3'!$C$75</c:f>
              <c:strCache>
                <c:ptCount val="1"/>
                <c:pt idx="0">
                  <c:v>Průměrná mzda celkem (nominálně)</c:v>
                </c:pt>
              </c:strCache>
            </c:strRef>
          </c:tx>
          <c:spPr>
            <a:ln w="15875">
              <a:solidFill>
                <a:srgbClr val="85898E"/>
              </a:solidFill>
              <a:prstDash val="solid"/>
            </a:ln>
          </c:spPr>
          <c:marker>
            <c:symbol val="none"/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3'!$C$76:$C$96</c:f>
              <c:numCache>
                <c:formatCode>0.0</c:formatCode>
                <c:ptCount val="21"/>
                <c:pt idx="0">
                  <c:v>5.0269094240238132</c:v>
                </c:pt>
                <c:pt idx="1">
                  <c:v>6.5525512429132107</c:v>
                </c:pt>
                <c:pt idx="2">
                  <c:v>7.2188683106517999</c:v>
                </c:pt>
                <c:pt idx="3">
                  <c:v>7.8016891730686666</c:v>
                </c:pt>
                <c:pt idx="4">
                  <c:v>3.3286118980169874</c:v>
                </c:pt>
                <c:pt idx="5">
                  <c:v>2.2275531185743631</c:v>
                </c:pt>
                <c:pt idx="6">
                  <c:v>2.4765336909151898</c:v>
                </c:pt>
                <c:pt idx="7">
                  <c:v>2.5025557145778095</c:v>
                </c:pt>
                <c:pt idx="8">
                  <c:v>-0.12765787688992702</c:v>
                </c:pt>
                <c:pt idx="9">
                  <c:v>2.9279009386858519</c:v>
                </c:pt>
                <c:pt idx="10">
                  <c:v>3.1938838869916282</c:v>
                </c:pt>
                <c:pt idx="11">
                  <c:v>4.4112669700274552</c:v>
                </c:pt>
                <c:pt idx="12">
                  <c:v>6.7497478749459816</c:v>
                </c:pt>
                <c:pt idx="13">
                  <c:v>8.1415750050610711</c:v>
                </c:pt>
                <c:pt idx="14">
                  <c:v>7.8843093819225771</c:v>
                </c:pt>
                <c:pt idx="15">
                  <c:v>4.6214355948869184</c:v>
                </c:pt>
                <c:pt idx="16">
                  <c:v>5.8077178239716858</c:v>
                </c:pt>
                <c:pt idx="17">
                  <c:v>4.3237453300937858</c:v>
                </c:pt>
                <c:pt idx="18">
                  <c:v>7.1847140138234948</c:v>
                </c:pt>
                <c:pt idx="19">
                  <c:v>7.2381486413868714</c:v>
                </c:pt>
                <c:pt idx="20">
                  <c:v>7.2245582692433317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75-4016-B545-6991500B769A}"/>
            </c:ext>
          </c:extLst>
        </c:ser>
        <c:ser>
          <c:idx val="5"/>
          <c:order val="2"/>
          <c:tx>
            <c:strRef>
              <c:f>'Trh práce 3'!$E$75</c:f>
              <c:strCache>
                <c:ptCount val="1"/>
                <c:pt idx="0">
                  <c:v>Prům. mzda v průmyslu (nominálně)</c:v>
                </c:pt>
              </c:strCache>
            </c:strRef>
          </c:tx>
          <c:spPr>
            <a:ln w="12700">
              <a:solidFill>
                <a:srgbClr val="BC5B80"/>
              </a:solidFill>
              <a:prstDash val="dash"/>
            </a:ln>
          </c:spPr>
          <c:marker>
            <c:symbol val="none"/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3'!$E$76:$E$96</c:f>
              <c:numCache>
                <c:formatCode>0.0</c:formatCode>
                <c:ptCount val="21"/>
                <c:pt idx="0">
                  <c:v>4.7940779037659382</c:v>
                </c:pt>
                <c:pt idx="1">
                  <c:v>6.3912092840724455</c:v>
                </c:pt>
                <c:pt idx="2">
                  <c:v>7.0295621014912797</c:v>
                </c:pt>
                <c:pt idx="3">
                  <c:v>8.8966569839003427</c:v>
                </c:pt>
                <c:pt idx="4">
                  <c:v>2.2922506555746338</c:v>
                </c:pt>
                <c:pt idx="5">
                  <c:v>4.4817679558011037</c:v>
                </c:pt>
                <c:pt idx="6">
                  <c:v>3.1854139345996089</c:v>
                </c:pt>
                <c:pt idx="7">
                  <c:v>3.0337815677271323</c:v>
                </c:pt>
                <c:pt idx="8">
                  <c:v>0.81171414929173125</c:v>
                </c:pt>
                <c:pt idx="9">
                  <c:v>3.3154404799494728</c:v>
                </c:pt>
                <c:pt idx="10">
                  <c:v>2.6016198044009684</c:v>
                </c:pt>
                <c:pt idx="11">
                  <c:v>4.2558737014558545</c:v>
                </c:pt>
                <c:pt idx="12">
                  <c:v>6.8214285714285836</c:v>
                </c:pt>
                <c:pt idx="13">
                  <c:v>7.7465730524908025</c:v>
                </c:pt>
                <c:pt idx="14">
                  <c:v>6.6310857355633459</c:v>
                </c:pt>
                <c:pt idx="15">
                  <c:v>2.0282854149691616</c:v>
                </c:pt>
                <c:pt idx="16">
                  <c:v>5.1110920966315803</c:v>
                </c:pt>
                <c:pt idx="17">
                  <c:v>5.9778037066181753</c:v>
                </c:pt>
                <c:pt idx="18">
                  <c:v>8.5543834494059752</c:v>
                </c:pt>
                <c:pt idx="19">
                  <c:v>7.9581102436493154</c:v>
                </c:pt>
                <c:pt idx="20">
                  <c:v>6.539074960127607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75-4016-B545-6991500B769A}"/>
            </c:ext>
          </c:extLst>
        </c:ser>
        <c:ser>
          <c:idx val="1"/>
          <c:order val="3"/>
          <c:tx>
            <c:strRef>
              <c:f>'Trh práce 3'!$F$75</c:f>
              <c:strCache>
                <c:ptCount val="1"/>
                <c:pt idx="0">
                  <c:v>Prům. mzda v obchodu (nominálně)</c:v>
                </c:pt>
              </c:strCache>
            </c:strRef>
          </c:tx>
          <c:spPr>
            <a:ln w="12700">
              <a:solidFill>
                <a:srgbClr val="0070C0"/>
              </a:solidFill>
              <a:prstDash val="dash"/>
            </a:ln>
          </c:spPr>
          <c:marker>
            <c:symbol val="none"/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3'!$F$76:$F$96</c:f>
              <c:numCache>
                <c:formatCode>0.0</c:formatCode>
                <c:ptCount val="21"/>
                <c:pt idx="0">
                  <c:v>4.6374677953625394</c:v>
                </c:pt>
                <c:pt idx="1">
                  <c:v>6.9175753312228778</c:v>
                </c:pt>
                <c:pt idx="2">
                  <c:v>8.6796797894505886</c:v>
                </c:pt>
                <c:pt idx="3">
                  <c:v>7.6686342767771549</c:v>
                </c:pt>
                <c:pt idx="4">
                  <c:v>7.9658872592673902E-2</c:v>
                </c:pt>
                <c:pt idx="5">
                  <c:v>3.193182882292362</c:v>
                </c:pt>
                <c:pt idx="6">
                  <c:v>3.5117967332123357</c:v>
                </c:pt>
                <c:pt idx="7">
                  <c:v>2.25738581572719</c:v>
                </c:pt>
                <c:pt idx="8">
                  <c:v>-0.84015602897680708</c:v>
                </c:pt>
                <c:pt idx="9">
                  <c:v>3.3156097350105966</c:v>
                </c:pt>
                <c:pt idx="10">
                  <c:v>4.2301255230125605</c:v>
                </c:pt>
                <c:pt idx="11">
                  <c:v>4.7609489783629613</c:v>
                </c:pt>
                <c:pt idx="12">
                  <c:v>7.4453002260796382</c:v>
                </c:pt>
                <c:pt idx="13">
                  <c:v>6.9400855920113997</c:v>
                </c:pt>
                <c:pt idx="14">
                  <c:v>7.7869672513839703</c:v>
                </c:pt>
                <c:pt idx="15">
                  <c:v>3.5920918288419301</c:v>
                </c:pt>
                <c:pt idx="16">
                  <c:v>6.8723493220237657</c:v>
                </c:pt>
                <c:pt idx="17">
                  <c:v>5.2538915127294956</c:v>
                </c:pt>
                <c:pt idx="18">
                  <c:v>6.7466744550354463</c:v>
                </c:pt>
                <c:pt idx="19">
                  <c:v>6.2157994229429931</c:v>
                </c:pt>
                <c:pt idx="20">
                  <c:v>6.4047022457438487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F75-4016-B545-6991500B769A}"/>
            </c:ext>
          </c:extLst>
        </c:ser>
        <c:ser>
          <c:idx val="2"/>
          <c:order val="4"/>
          <c:tx>
            <c:strRef>
              <c:f>'Trh práce 3'!$G$75</c:f>
              <c:strCache>
                <c:ptCount val="1"/>
                <c:pt idx="0">
                  <c:v>Prům. mzda ve veř. službách (nominálně)*</c:v>
                </c:pt>
              </c:strCache>
            </c:strRef>
          </c:tx>
          <c:spPr>
            <a:ln w="12700">
              <a:solidFill>
                <a:srgbClr val="85BF5E"/>
              </a:solidFill>
              <a:prstDash val="dash"/>
            </a:ln>
          </c:spPr>
          <c:marker>
            <c:symbol val="none"/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3'!$G$76:$G$96</c:f>
              <c:numCache>
                <c:formatCode>0.0</c:formatCode>
                <c:ptCount val="21"/>
                <c:pt idx="0">
                  <c:v>5.7448429075864311</c:v>
                </c:pt>
                <c:pt idx="1">
                  <c:v>6.2139886096904462</c:v>
                </c:pt>
                <c:pt idx="2">
                  <c:v>6.5213266053676193</c:v>
                </c:pt>
                <c:pt idx="3">
                  <c:v>4.5033471199856336</c:v>
                </c:pt>
                <c:pt idx="4">
                  <c:v>5.6068124661603491</c:v>
                </c:pt>
                <c:pt idx="5">
                  <c:v>9.2548488337286017E-2</c:v>
                </c:pt>
                <c:pt idx="6">
                  <c:v>1.3745128342853405</c:v>
                </c:pt>
                <c:pt idx="7">
                  <c:v>1.9623700739873584</c:v>
                </c:pt>
                <c:pt idx="8">
                  <c:v>0.61373585270925446</c:v>
                </c:pt>
                <c:pt idx="9">
                  <c:v>2.5772633649077363</c:v>
                </c:pt>
                <c:pt idx="10">
                  <c:v>3.7559457553514335</c:v>
                </c:pt>
                <c:pt idx="11">
                  <c:v>4.9014309200953221</c:v>
                </c:pt>
                <c:pt idx="12">
                  <c:v>7.9550010446935602</c:v>
                </c:pt>
                <c:pt idx="13">
                  <c:v>10.160948468455345</c:v>
                </c:pt>
                <c:pt idx="14">
                  <c:v>9.5948437653510865</c:v>
                </c:pt>
                <c:pt idx="15">
                  <c:v>8.4588710877466298</c:v>
                </c:pt>
                <c:pt idx="16">
                  <c:v>6.4793472347561334</c:v>
                </c:pt>
                <c:pt idx="17">
                  <c:v>-0.33488952451867249</c:v>
                </c:pt>
                <c:pt idx="18">
                  <c:v>6.4804196156700726</c:v>
                </c:pt>
                <c:pt idx="19">
                  <c:v>4.5131657822914804</c:v>
                </c:pt>
                <c:pt idx="20">
                  <c:v>6.3661055260310917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F75-4016-B545-6991500B769A}"/>
            </c:ext>
          </c:extLst>
        </c:ser>
        <c:ser>
          <c:idx val="3"/>
          <c:order val="5"/>
          <c:tx>
            <c:strRef>
              <c:f>'Trh práce 3'!$H$75</c:f>
              <c:strCache>
                <c:ptCount val="1"/>
              </c:strCache>
            </c:strRef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chemeClr val="bg1"/>
              </a:solidFill>
              <a:ln w="6350">
                <a:noFill/>
              </a:ln>
            </c:spPr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3'!$H$76:$H$96</c:f>
              <c:numCache>
                <c:formatCode>General</c:formatCode>
                <c:ptCount val="2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F75-4016-B545-6991500B769A}"/>
            </c:ext>
          </c:extLst>
        </c:ser>
        <c:ser>
          <c:idx val="6"/>
          <c:order val="6"/>
          <c:tx>
            <c:strRef>
              <c:f>'Trh práce 3'!$I$75</c:f>
              <c:strCache>
                <c:ptCount val="1"/>
                <c:pt idx="0">
                  <c:v>Produktivita práce na zam. v NH (reálně)**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5"/>
            <c:spPr>
              <a:solidFill>
                <a:srgbClr val="CC9610"/>
              </a:solidFill>
              <a:ln>
                <a:noFill/>
              </a:ln>
            </c:spPr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3'!$I$76:$I$96</c:f>
              <c:numCache>
                <c:formatCode>0.0</c:formatCode>
                <c:ptCount val="21"/>
                <c:pt idx="0">
                  <c:v>4.4078067941773895</c:v>
                </c:pt>
                <c:pt idx="1">
                  <c:v>5.3588204979348149</c:v>
                </c:pt>
                <c:pt idx="2">
                  <c:v>3.3210673429916255</c:v>
                </c:pt>
                <c:pt idx="3">
                  <c:v>0.28542145488682991</c:v>
                </c:pt>
                <c:pt idx="4">
                  <c:v>-2.9251700061347634</c:v>
                </c:pt>
                <c:pt idx="5">
                  <c:v>3.6484036284706036</c:v>
                </c:pt>
                <c:pt idx="6">
                  <c:v>2.2803838830276533</c:v>
                </c:pt>
                <c:pt idx="7">
                  <c:v>-1.2234484136217674</c:v>
                </c:pt>
                <c:pt idx="8">
                  <c:v>-0.40033756666883846</c:v>
                </c:pt>
                <c:pt idx="9">
                  <c:v>1.703360798255531</c:v>
                </c:pt>
                <c:pt idx="10">
                  <c:v>3.5835468295633035</c:v>
                </c:pt>
                <c:pt idx="11">
                  <c:v>1.447133275055819</c:v>
                </c:pt>
                <c:pt idx="12">
                  <c:v>3.9637150492475115</c:v>
                </c:pt>
                <c:pt idx="13">
                  <c:v>1.6456273419258878</c:v>
                </c:pt>
                <c:pt idx="14">
                  <c:v>3.6573686744589367</c:v>
                </c:pt>
                <c:pt idx="15">
                  <c:v>-3.0734124527580775</c:v>
                </c:pt>
                <c:pt idx="16">
                  <c:v>2.9461746627515311</c:v>
                </c:pt>
                <c:pt idx="17">
                  <c:v>1.8118515296462476</c:v>
                </c:pt>
                <c:pt idx="18">
                  <c:v>-1.4080919220346857</c:v>
                </c:pt>
                <c:pt idx="19">
                  <c:v>0.52720774457036157</c:v>
                </c:pt>
                <c:pt idx="20">
                  <c:v>1.5160659350122074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F75-4016-B545-6991500B769A}"/>
            </c:ext>
          </c:extLst>
        </c:ser>
        <c:ser>
          <c:idx val="7"/>
          <c:order val="7"/>
          <c:tx>
            <c:strRef>
              <c:f>'Trh práce 3'!$J$75</c:f>
              <c:strCache>
                <c:ptCount val="1"/>
                <c:pt idx="0">
                  <c:v>Hodinová produkt. práce v NH (reálně)***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5"/>
            <c:spPr>
              <a:solidFill>
                <a:schemeClr val="bg1"/>
              </a:solidFill>
              <a:ln>
                <a:solidFill>
                  <a:srgbClr val="CC9610"/>
                </a:solidFill>
              </a:ln>
            </c:spPr>
          </c:marker>
          <c:cat>
            <c:numRef>
              <c:f>'Trh práce 3'!$B$76:$B$96</c:f>
              <c:numCache>
                <c:formatCode>General</c:formatCode>
                <c:ptCount val="2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</c:numCache>
            </c:numRef>
          </c:cat>
          <c:val>
            <c:numRef>
              <c:f>'Trh práce 3'!$J$76:$J$96</c:f>
              <c:numCache>
                <c:formatCode>0.0</c:formatCode>
                <c:ptCount val="21"/>
                <c:pt idx="0">
                  <c:v>4.8583538409178999</c:v>
                </c:pt>
                <c:pt idx="1">
                  <c:v>5.766984370657994</c:v>
                </c:pt>
                <c:pt idx="2">
                  <c:v>4.1595039586152893</c:v>
                </c:pt>
                <c:pt idx="3">
                  <c:v>-0.20758020149193612</c:v>
                </c:pt>
                <c:pt idx="4">
                  <c:v>-2.7262055119233963</c:v>
                </c:pt>
                <c:pt idx="5">
                  <c:v>2.9164764623595971</c:v>
                </c:pt>
                <c:pt idx="6">
                  <c:v>1.9566037733275436</c:v>
                </c:pt>
                <c:pt idx="7">
                  <c:v>0.29595742015509074</c:v>
                </c:pt>
                <c:pt idx="8">
                  <c:v>0.28996779626604052</c:v>
                </c:pt>
                <c:pt idx="9">
                  <c:v>1.0866145718159146</c:v>
                </c:pt>
                <c:pt idx="10">
                  <c:v>4.723084764468922</c:v>
                </c:pt>
                <c:pt idx="11">
                  <c:v>0.31993269813285963</c:v>
                </c:pt>
                <c:pt idx="12">
                  <c:v>3.4302733189548889</c:v>
                </c:pt>
                <c:pt idx="13">
                  <c:v>1.1900439338448336</c:v>
                </c:pt>
                <c:pt idx="14">
                  <c:v>3.7429096099441921</c:v>
                </c:pt>
                <c:pt idx="15">
                  <c:v>3.4387394796415265</c:v>
                </c:pt>
                <c:pt idx="16">
                  <c:v>0.21784363554210984</c:v>
                </c:pt>
                <c:pt idx="17">
                  <c:v>-1.4914057259189235</c:v>
                </c:pt>
                <c:pt idx="18">
                  <c:v>-1.9277532928291521</c:v>
                </c:pt>
                <c:pt idx="19">
                  <c:v>-0.42185736032953969</c:v>
                </c:pt>
                <c:pt idx="20">
                  <c:v>0.30669723596010101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F75-4016-B545-6991500B7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688640"/>
        <c:axId val="100690560"/>
      </c:lineChart>
      <c:catAx>
        <c:axId val="10068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-2400000" vert="horz"/>
          <a:lstStyle/>
          <a:p>
            <a:pPr>
              <a:defRPr/>
            </a:pPr>
            <a:endParaRPr lang="cs-CZ"/>
          </a:p>
        </c:txPr>
        <c:crossAx val="100690560"/>
        <c:crosses val="autoZero"/>
        <c:auto val="1"/>
        <c:lblAlgn val="ctr"/>
        <c:lblOffset val="0"/>
        <c:tickMarkSkip val="4"/>
        <c:noMultiLvlLbl val="0"/>
      </c:catAx>
      <c:valAx>
        <c:axId val="100690560"/>
        <c:scaling>
          <c:orientation val="minMax"/>
          <c:max val="11"/>
          <c:min val="-1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00688640"/>
        <c:crosses val="autoZero"/>
        <c:crossBetween val="between"/>
        <c:majorUnit val="1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3.7640045338093301E-3"/>
          <c:y val="0.86131781450641354"/>
          <c:w val="0.98815493910376873"/>
          <c:h val="0.13479604985479049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4061</Words>
  <Characters>23966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6</cp:revision>
  <cp:lastPrinted>2014-07-17T14:07:00Z</cp:lastPrinted>
  <dcterms:created xsi:type="dcterms:W3CDTF">2026-03-20T11:45:00Z</dcterms:created>
  <dcterms:modified xsi:type="dcterms:W3CDTF">2026-03-20T12:01:00Z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