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A7D" w:rsidRPr="006B1D99" w:rsidRDefault="00085A7D" w:rsidP="006B1D9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jc w:val="both"/>
        <w:rPr>
          <w:rFonts w:ascii="Arial" w:hAnsi="Arial" w:cs="Arial"/>
          <w:bCs/>
          <w:color w:val="0071BC"/>
          <w:sz w:val="24"/>
          <w:szCs w:val="24"/>
          <w:lang w:val="cs-CZ"/>
        </w:rPr>
      </w:pPr>
      <w:r w:rsidRPr="006B1D99">
        <w:rPr>
          <w:rFonts w:ascii="Arial" w:hAnsi="Arial" w:cs="Arial"/>
          <w:b/>
          <w:bCs/>
          <w:color w:val="0071BC"/>
          <w:sz w:val="24"/>
          <w:szCs w:val="24"/>
          <w:lang w:val="cs-CZ"/>
        </w:rPr>
        <w:t>1</w:t>
      </w:r>
      <w:r w:rsidR="00854A81" w:rsidRPr="006B1D99">
        <w:rPr>
          <w:rFonts w:ascii="Arial" w:hAnsi="Arial" w:cs="Arial"/>
          <w:b/>
          <w:bCs/>
          <w:color w:val="0071BC"/>
          <w:sz w:val="24"/>
          <w:szCs w:val="24"/>
          <w:lang w:val="cs-CZ"/>
        </w:rPr>
        <w:t>9</w:t>
      </w:r>
      <w:r w:rsidR="009855A4" w:rsidRPr="006B1D99">
        <w:rPr>
          <w:rFonts w:ascii="Arial" w:hAnsi="Arial" w:cs="Arial"/>
          <w:b/>
          <w:bCs/>
          <w:color w:val="0071BC"/>
          <w:sz w:val="24"/>
          <w:szCs w:val="24"/>
          <w:lang w:val="cs-CZ"/>
        </w:rPr>
        <w:t xml:space="preserve"> </w:t>
      </w:r>
      <w:r w:rsidRPr="006B1D99">
        <w:rPr>
          <w:rFonts w:ascii="Arial" w:hAnsi="Arial" w:cs="Arial"/>
          <w:b/>
          <w:bCs/>
          <w:color w:val="0071BC"/>
          <w:sz w:val="24"/>
          <w:szCs w:val="24"/>
          <w:lang w:val="cs-CZ"/>
        </w:rPr>
        <w:t xml:space="preserve"> CESTOVNÍ RUCH</w:t>
      </w:r>
    </w:p>
    <w:p w:rsidR="00085A7D" w:rsidRDefault="00085A7D" w:rsidP="006B1D9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jc w:val="both"/>
        <w:rPr>
          <w:rFonts w:ascii="Arial" w:hAnsi="Arial" w:cs="Arial"/>
          <w:sz w:val="18"/>
          <w:szCs w:val="18"/>
          <w:lang w:val="cs-CZ"/>
        </w:rPr>
      </w:pPr>
    </w:p>
    <w:p w:rsidR="0017785D" w:rsidRPr="0017785D" w:rsidRDefault="0017785D" w:rsidP="0017785D">
      <w:pPr>
        <w:widowControl/>
        <w:autoSpaceDE/>
        <w:autoSpaceDN/>
        <w:adjustRightInd/>
        <w:jc w:val="both"/>
        <w:rPr>
          <w:rFonts w:ascii="Arial" w:hAnsi="Arial" w:cs="Arial"/>
          <w:b/>
          <w:color w:val="0071BC"/>
          <w:lang w:val="cs-CZ"/>
        </w:rPr>
      </w:pPr>
      <w:r w:rsidRPr="0017785D">
        <w:rPr>
          <w:rFonts w:ascii="Arial" w:hAnsi="Arial" w:cs="Arial"/>
          <w:b/>
          <w:color w:val="0071BC"/>
          <w:lang w:val="cs-CZ"/>
        </w:rPr>
        <w:t>Metodické vysvětlivky</w:t>
      </w:r>
    </w:p>
    <w:p w:rsidR="0017785D" w:rsidRPr="006B1D99" w:rsidRDefault="0017785D" w:rsidP="006B1D99">
      <w:pPr>
        <w:widowControl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jc w:val="both"/>
        <w:rPr>
          <w:rFonts w:ascii="Arial" w:hAnsi="Arial" w:cs="Arial"/>
          <w:sz w:val="18"/>
          <w:szCs w:val="18"/>
          <w:lang w:val="cs-CZ"/>
        </w:rPr>
      </w:pPr>
    </w:p>
    <w:p w:rsidR="003879D3" w:rsidRPr="006B1D99" w:rsidRDefault="00AD50E1" w:rsidP="006B1D99">
      <w:pPr>
        <w:pStyle w:val="Zkladntext2"/>
        <w:widowControl/>
        <w:rPr>
          <w:rFonts w:cs="Arial"/>
          <w:sz w:val="18"/>
          <w:szCs w:val="18"/>
          <w:lang w:val="cs-CZ"/>
        </w:rPr>
      </w:pPr>
      <w:r w:rsidRPr="006B1D99">
        <w:rPr>
          <w:rFonts w:cs="Arial"/>
          <w:sz w:val="18"/>
          <w:szCs w:val="18"/>
          <w:lang w:val="cs-CZ"/>
        </w:rPr>
        <w:t>Do statistiky cestovního ruchu jsou zahrnuty údaje o kapacitě a výkonech hromadných ubytovacích zařízení sloužících cestovnímu ruchu, údaje z výběrového šetření v domácnostech o cestovních zvyklostech rezidentů, satelitního účtu cestovního ruchu (TSA) a modulu zaměstnanosti cestovního ruchu.</w:t>
      </w:r>
    </w:p>
    <w:p w:rsidR="00400E61" w:rsidRPr="006B1D99" w:rsidRDefault="00400E61" w:rsidP="006B1D99">
      <w:pPr>
        <w:widowControl/>
        <w:suppressAutoHyphens/>
        <w:jc w:val="both"/>
        <w:rPr>
          <w:rFonts w:ascii="Arial" w:hAnsi="Arial" w:cs="Arial"/>
          <w:sz w:val="18"/>
          <w:szCs w:val="18"/>
          <w:lang w:val="cs-CZ"/>
        </w:rPr>
      </w:pPr>
    </w:p>
    <w:p w:rsidR="00AD50E1" w:rsidRPr="006B1D99" w:rsidRDefault="00AD50E1" w:rsidP="006B1D99">
      <w:pPr>
        <w:jc w:val="both"/>
        <w:rPr>
          <w:rFonts w:ascii="Arial" w:hAnsi="Arial" w:cs="Arial"/>
          <w:b/>
          <w:sz w:val="18"/>
          <w:szCs w:val="18"/>
          <w:lang w:val="cs-CZ"/>
        </w:rPr>
      </w:pPr>
    </w:p>
    <w:p w:rsidR="00AD50E1" w:rsidRPr="006B1D99" w:rsidRDefault="00AD50E1" w:rsidP="006B1D99">
      <w:pPr>
        <w:jc w:val="both"/>
        <w:rPr>
          <w:rFonts w:ascii="Arial" w:hAnsi="Arial" w:cs="Arial"/>
          <w:b/>
          <w:color w:val="0071BC"/>
          <w:lang w:val="cs-CZ"/>
        </w:rPr>
      </w:pPr>
      <w:r w:rsidRPr="006B1D99">
        <w:rPr>
          <w:rFonts w:ascii="Arial" w:hAnsi="Arial" w:cs="Arial"/>
          <w:b/>
          <w:color w:val="0071BC"/>
          <w:lang w:val="cs-CZ"/>
        </w:rPr>
        <w:t>Poznámky k tabulkám</w:t>
      </w:r>
    </w:p>
    <w:p w:rsidR="00AD50E1" w:rsidRPr="006B1D99" w:rsidRDefault="00AD50E1" w:rsidP="006B1D99">
      <w:pPr>
        <w:widowControl/>
        <w:suppressAutoHyphens/>
        <w:jc w:val="both"/>
        <w:rPr>
          <w:rFonts w:ascii="Arial" w:hAnsi="Arial" w:cs="Arial"/>
          <w:sz w:val="18"/>
          <w:szCs w:val="18"/>
          <w:lang w:val="cs-CZ"/>
        </w:rPr>
      </w:pPr>
    </w:p>
    <w:p w:rsidR="00AD50E1" w:rsidRPr="006B1D99" w:rsidRDefault="00AD50E1" w:rsidP="006B1D9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jc w:val="both"/>
        <w:rPr>
          <w:rFonts w:ascii="Arial" w:hAnsi="Arial" w:cs="Arial"/>
          <w:b/>
          <w:bCs/>
          <w:color w:val="0071BC"/>
          <w:lang w:val="cs-CZ"/>
        </w:rPr>
      </w:pPr>
      <w:r w:rsidRPr="006B1D99">
        <w:rPr>
          <w:rFonts w:ascii="Arial" w:hAnsi="Arial" w:cs="Arial"/>
          <w:b/>
          <w:color w:val="0071BC"/>
          <w:lang w:val="cs-CZ"/>
        </w:rPr>
        <w:t xml:space="preserve">Tab. </w:t>
      </w:r>
      <w:r w:rsidRPr="006B1D99">
        <w:rPr>
          <w:rFonts w:ascii="Arial" w:hAnsi="Arial" w:cs="Arial"/>
          <w:b/>
          <w:bCs/>
          <w:color w:val="0071BC"/>
          <w:lang w:val="cs-CZ"/>
        </w:rPr>
        <w:t>1</w:t>
      </w:r>
      <w:r w:rsidR="00854A81" w:rsidRPr="006B1D99">
        <w:rPr>
          <w:rFonts w:ascii="Arial" w:hAnsi="Arial" w:cs="Arial"/>
          <w:b/>
          <w:bCs/>
          <w:color w:val="0071BC"/>
          <w:lang w:val="cs-CZ"/>
        </w:rPr>
        <w:t>9</w:t>
      </w:r>
      <w:r w:rsidR="006B1D99">
        <w:rPr>
          <w:rFonts w:ascii="Arial" w:hAnsi="Arial" w:cs="Arial"/>
          <w:b/>
          <w:color w:val="0071BC"/>
          <w:lang w:val="cs-CZ"/>
        </w:rPr>
        <w:t>-1</w:t>
      </w:r>
      <w:r w:rsidRPr="006B1D99">
        <w:rPr>
          <w:rFonts w:ascii="Arial" w:hAnsi="Arial" w:cs="Arial"/>
          <w:b/>
          <w:color w:val="0071BC"/>
          <w:lang w:val="cs-CZ"/>
        </w:rPr>
        <w:t xml:space="preserve"> až </w:t>
      </w:r>
      <w:r w:rsidRPr="006B1D99">
        <w:rPr>
          <w:rFonts w:ascii="Arial" w:hAnsi="Arial" w:cs="Arial"/>
          <w:b/>
          <w:bCs/>
          <w:color w:val="0071BC"/>
          <w:lang w:val="cs-CZ"/>
        </w:rPr>
        <w:t>1</w:t>
      </w:r>
      <w:r w:rsidR="00854A81" w:rsidRPr="006B1D99">
        <w:rPr>
          <w:rFonts w:ascii="Arial" w:hAnsi="Arial" w:cs="Arial"/>
          <w:b/>
          <w:bCs/>
          <w:color w:val="0071BC"/>
          <w:lang w:val="cs-CZ"/>
        </w:rPr>
        <w:t>9</w:t>
      </w:r>
      <w:r w:rsidR="00C8011B" w:rsidRPr="006B1D99">
        <w:rPr>
          <w:rFonts w:ascii="Arial" w:hAnsi="Arial" w:cs="Arial"/>
          <w:b/>
          <w:color w:val="0071BC"/>
          <w:lang w:val="cs-CZ"/>
        </w:rPr>
        <w:t xml:space="preserve">-4 </w:t>
      </w:r>
      <w:r w:rsidRPr="006B1D99">
        <w:rPr>
          <w:rFonts w:ascii="Arial" w:hAnsi="Arial" w:cs="Arial"/>
          <w:b/>
          <w:color w:val="0071BC"/>
          <w:lang w:val="cs-CZ"/>
        </w:rPr>
        <w:t xml:space="preserve"> </w:t>
      </w:r>
      <w:r w:rsidRPr="006B1D99">
        <w:rPr>
          <w:rFonts w:ascii="Arial" w:hAnsi="Arial" w:cs="Arial"/>
          <w:b/>
          <w:bCs/>
          <w:color w:val="0071BC"/>
          <w:lang w:val="cs-CZ"/>
        </w:rPr>
        <w:t>Hromadná ubytovací zařízení cestovního ruchu</w:t>
      </w:r>
    </w:p>
    <w:p w:rsidR="00AD50E1" w:rsidRPr="006B1D99" w:rsidRDefault="00AD50E1" w:rsidP="006B1D9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/>
        <w:jc w:val="both"/>
        <w:rPr>
          <w:rFonts w:ascii="Arial" w:hAnsi="Arial" w:cs="Arial"/>
          <w:bCs/>
          <w:sz w:val="18"/>
          <w:szCs w:val="18"/>
          <w:lang w:val="cs-CZ"/>
        </w:rPr>
      </w:pPr>
      <w:r w:rsidRPr="006B1D99">
        <w:rPr>
          <w:rFonts w:ascii="Arial" w:hAnsi="Arial" w:cs="Arial"/>
          <w:bCs/>
          <w:sz w:val="18"/>
          <w:szCs w:val="18"/>
          <w:lang w:val="cs-CZ"/>
        </w:rPr>
        <w:t xml:space="preserve">Údaje o ubytovacích zařízeních jsou získávány ze šetření o kapacitách a návštěvnosti hromadných ubytovacích zařízení. </w:t>
      </w:r>
      <w:r w:rsidRPr="006B1D99">
        <w:rPr>
          <w:rFonts w:ascii="Arial" w:hAnsi="Arial" w:cs="Arial"/>
          <w:sz w:val="18"/>
          <w:szCs w:val="18"/>
          <w:lang w:val="cs-CZ"/>
        </w:rPr>
        <w:t xml:space="preserve">Uváděné údaje jsou souhrnem dat za zpracované dotazníky </w:t>
      </w:r>
      <w:r w:rsidR="00856909" w:rsidRPr="006B1D99">
        <w:rPr>
          <w:rFonts w:ascii="Arial" w:hAnsi="Arial" w:cs="Arial"/>
          <w:sz w:val="18"/>
          <w:szCs w:val="18"/>
          <w:lang w:val="cs-CZ"/>
        </w:rPr>
        <w:t>a </w:t>
      </w:r>
      <w:r w:rsidRPr="006B1D99">
        <w:rPr>
          <w:rFonts w:ascii="Arial" w:hAnsi="Arial" w:cs="Arial"/>
          <w:sz w:val="18"/>
          <w:szCs w:val="18"/>
          <w:lang w:val="cs-CZ"/>
        </w:rPr>
        <w:t>dopočtenou non-response.</w:t>
      </w:r>
    </w:p>
    <w:p w:rsidR="00AD50E1" w:rsidRPr="006B1D99" w:rsidRDefault="00AD50E1" w:rsidP="006B1D9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/>
        <w:jc w:val="both"/>
        <w:rPr>
          <w:rFonts w:ascii="Arial" w:hAnsi="Arial" w:cs="Arial"/>
          <w:sz w:val="18"/>
          <w:szCs w:val="18"/>
          <w:lang w:val="cs-CZ"/>
        </w:rPr>
      </w:pPr>
      <w:r w:rsidRPr="006B1D99">
        <w:rPr>
          <w:rFonts w:ascii="Arial" w:hAnsi="Arial" w:cs="Arial"/>
          <w:b/>
          <w:bCs/>
          <w:sz w:val="18"/>
          <w:szCs w:val="18"/>
          <w:lang w:val="cs-CZ"/>
        </w:rPr>
        <w:t xml:space="preserve">Hromadná ubytovací zařízení </w:t>
      </w:r>
      <w:r w:rsidRPr="006B1D99">
        <w:rPr>
          <w:rFonts w:ascii="Arial" w:hAnsi="Arial" w:cs="Arial"/>
          <w:sz w:val="18"/>
          <w:szCs w:val="18"/>
          <w:lang w:val="cs-CZ"/>
        </w:rPr>
        <w:t>jsou zařízení s</w:t>
      </w:r>
      <w:r w:rsidR="00F21603">
        <w:rPr>
          <w:rFonts w:ascii="Arial" w:hAnsi="Arial" w:cs="Arial"/>
          <w:sz w:val="18"/>
          <w:szCs w:val="18"/>
          <w:lang w:val="cs-CZ"/>
        </w:rPr>
        <w:t xml:space="preserve"> minimálně </w:t>
      </w:r>
      <w:r w:rsidRPr="006B1D99">
        <w:rPr>
          <w:rFonts w:ascii="Arial" w:hAnsi="Arial" w:cs="Arial"/>
          <w:sz w:val="18"/>
          <w:szCs w:val="18"/>
          <w:lang w:val="cs-CZ"/>
        </w:rPr>
        <w:t xml:space="preserve">pěti </w:t>
      </w:r>
      <w:r w:rsidR="00F21603">
        <w:rPr>
          <w:rFonts w:ascii="Arial" w:hAnsi="Arial" w:cs="Arial"/>
          <w:sz w:val="18"/>
          <w:szCs w:val="18"/>
          <w:lang w:val="cs-CZ"/>
        </w:rPr>
        <w:t>samosta</w:t>
      </w:r>
      <w:r w:rsidR="00F00C1A">
        <w:rPr>
          <w:rFonts w:ascii="Arial" w:hAnsi="Arial" w:cs="Arial"/>
          <w:sz w:val="18"/>
          <w:szCs w:val="18"/>
          <w:lang w:val="cs-CZ"/>
        </w:rPr>
        <w:t>t</w:t>
      </w:r>
      <w:r w:rsidR="00F21603">
        <w:rPr>
          <w:rFonts w:ascii="Arial" w:hAnsi="Arial" w:cs="Arial"/>
          <w:sz w:val="18"/>
          <w:szCs w:val="18"/>
          <w:lang w:val="cs-CZ"/>
        </w:rPr>
        <w:t>nými ubytovacími jednotkami (pokoji či apartmány)</w:t>
      </w:r>
      <w:r w:rsidRPr="006B1D99">
        <w:rPr>
          <w:rFonts w:ascii="Arial" w:hAnsi="Arial" w:cs="Arial"/>
          <w:sz w:val="18"/>
          <w:szCs w:val="18"/>
          <w:lang w:val="cs-CZ"/>
        </w:rPr>
        <w:t xml:space="preserve"> </w:t>
      </w:r>
      <w:r w:rsidR="00873F9A">
        <w:rPr>
          <w:rFonts w:ascii="Arial" w:hAnsi="Arial" w:cs="Arial"/>
          <w:sz w:val="18"/>
          <w:szCs w:val="18"/>
          <w:lang w:val="cs-CZ"/>
        </w:rPr>
        <w:br/>
      </w:r>
      <w:bookmarkStart w:id="0" w:name="_GoBack"/>
      <w:bookmarkEnd w:id="0"/>
      <w:r w:rsidRPr="006B1D99">
        <w:rPr>
          <w:rFonts w:ascii="Arial" w:hAnsi="Arial" w:cs="Arial"/>
          <w:sz w:val="18"/>
          <w:szCs w:val="18"/>
          <w:lang w:val="cs-CZ"/>
        </w:rPr>
        <w:t xml:space="preserve">a </w:t>
      </w:r>
      <w:r w:rsidR="009D5AB4">
        <w:rPr>
          <w:rFonts w:ascii="Arial" w:hAnsi="Arial" w:cs="Arial"/>
          <w:sz w:val="18"/>
          <w:szCs w:val="18"/>
          <w:lang w:val="cs-CZ"/>
        </w:rPr>
        <w:t xml:space="preserve">zároveň </w:t>
      </w:r>
      <w:r w:rsidRPr="006B1D99">
        <w:rPr>
          <w:rFonts w:ascii="Arial" w:hAnsi="Arial" w:cs="Arial"/>
          <w:sz w:val="18"/>
          <w:szCs w:val="18"/>
          <w:lang w:val="cs-CZ"/>
        </w:rPr>
        <w:t>deseti a více lůžky, která poskytují přechodné ubytování hostům. Patří mezi ně hotely, motely, botely, penziony, turistické ubytovny, chatové osady, kempy a ostatní ubytovací zařízení. Ostatní ubytovací zařízení zahrnují např. rekreační zařízení podniků, školicí střediska, kulturně-historické objekty, lázeňská zařízení a jiná ubytovací zařízení, která vyčleňují lůžkovou kapacitu pro cestovní ruch (např. domovy mládeže, vysokoškolské koleje, podnikové ubytovny apod.).</w:t>
      </w:r>
    </w:p>
    <w:p w:rsidR="00AD50E1" w:rsidRPr="006B1D99" w:rsidRDefault="00AD50E1" w:rsidP="006B1D99">
      <w:pPr>
        <w:widowControl/>
        <w:suppressAutoHyphens/>
        <w:spacing w:before="120"/>
        <w:jc w:val="both"/>
        <w:rPr>
          <w:rFonts w:ascii="Arial" w:hAnsi="Arial" w:cs="Arial"/>
          <w:sz w:val="18"/>
          <w:szCs w:val="18"/>
          <w:lang w:val="cs-CZ"/>
        </w:rPr>
      </w:pPr>
      <w:r w:rsidRPr="006B1D99">
        <w:rPr>
          <w:rFonts w:ascii="Arial" w:hAnsi="Arial" w:cs="Arial"/>
          <w:b/>
          <w:bCs/>
          <w:sz w:val="18"/>
          <w:szCs w:val="18"/>
          <w:lang w:val="cs-CZ"/>
        </w:rPr>
        <w:t>Maximální kapacita</w:t>
      </w:r>
      <w:r w:rsidRPr="006B1D99">
        <w:rPr>
          <w:rFonts w:ascii="Arial" w:hAnsi="Arial" w:cs="Arial"/>
          <w:sz w:val="18"/>
          <w:szCs w:val="18"/>
          <w:lang w:val="cs-CZ"/>
        </w:rPr>
        <w:t xml:space="preserve"> hromadných ubytovacích zařízení cestovního ruchu je součtem maximálních kapacit za jednotlivá ubytovací zařízení.</w:t>
      </w:r>
    </w:p>
    <w:p w:rsidR="00A975A2" w:rsidRPr="006B1D99" w:rsidRDefault="00A975A2" w:rsidP="006B1D99">
      <w:pPr>
        <w:widowControl/>
        <w:suppressAutoHyphens/>
        <w:spacing w:before="120"/>
        <w:jc w:val="both"/>
        <w:rPr>
          <w:rFonts w:ascii="Arial" w:hAnsi="Arial" w:cs="Arial"/>
          <w:bCs/>
          <w:sz w:val="18"/>
          <w:szCs w:val="18"/>
          <w:lang w:val="cs-CZ"/>
        </w:rPr>
      </w:pPr>
      <w:r w:rsidRPr="006B1D99">
        <w:rPr>
          <w:rFonts w:ascii="Arial" w:hAnsi="Arial" w:cs="Arial"/>
          <w:b/>
          <w:bCs/>
          <w:sz w:val="18"/>
          <w:szCs w:val="18"/>
          <w:lang w:val="cs-CZ"/>
        </w:rPr>
        <w:t xml:space="preserve">Pokoje </w:t>
      </w:r>
      <w:r w:rsidRPr="006B1D99">
        <w:rPr>
          <w:rFonts w:ascii="Arial" w:hAnsi="Arial" w:cs="Arial"/>
          <w:bCs/>
          <w:sz w:val="18"/>
          <w:szCs w:val="18"/>
          <w:lang w:val="cs-CZ"/>
        </w:rPr>
        <w:t xml:space="preserve">udávají maximální počet pokojů sloužících pro cestovní ruch. Nezapočítávají se pokoje pro ubytování personálu, majitelů zařízení a pokoje dlouhodobě sloužící pro ubytování zaměstnanců jiných podniků </w:t>
      </w:r>
      <w:r w:rsidR="00D62837">
        <w:rPr>
          <w:rFonts w:ascii="Arial" w:hAnsi="Arial" w:cs="Arial"/>
          <w:bCs/>
          <w:sz w:val="18"/>
          <w:szCs w:val="18"/>
          <w:lang w:val="cs-CZ"/>
        </w:rPr>
        <w:t xml:space="preserve">nebo studentů </w:t>
      </w:r>
      <w:r w:rsidRPr="006B1D99">
        <w:rPr>
          <w:rFonts w:ascii="Arial" w:hAnsi="Arial" w:cs="Arial"/>
          <w:bCs/>
          <w:sz w:val="18"/>
          <w:szCs w:val="18"/>
          <w:lang w:val="cs-CZ"/>
        </w:rPr>
        <w:t>(déle než 1 rok).</w:t>
      </w:r>
    </w:p>
    <w:p w:rsidR="00AD50E1" w:rsidRPr="006B1D99" w:rsidRDefault="00AD50E1" w:rsidP="006B1D9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/>
        <w:jc w:val="both"/>
        <w:rPr>
          <w:rFonts w:ascii="Arial" w:hAnsi="Arial" w:cs="Arial"/>
          <w:sz w:val="18"/>
          <w:szCs w:val="18"/>
          <w:lang w:val="cs-CZ"/>
        </w:rPr>
      </w:pPr>
      <w:r w:rsidRPr="006B1D99">
        <w:rPr>
          <w:rFonts w:ascii="Arial" w:hAnsi="Arial" w:cs="Arial"/>
          <w:b/>
          <w:bCs/>
          <w:sz w:val="18"/>
          <w:szCs w:val="18"/>
          <w:lang w:val="cs-CZ"/>
        </w:rPr>
        <w:t>Lůžka</w:t>
      </w:r>
      <w:r w:rsidRPr="006B1D99">
        <w:rPr>
          <w:rFonts w:ascii="Arial" w:hAnsi="Arial" w:cs="Arial"/>
          <w:sz w:val="18"/>
          <w:szCs w:val="18"/>
          <w:lang w:val="cs-CZ"/>
        </w:rPr>
        <w:t xml:space="preserve"> v hromadných ubytovacích zařízeních udávají maximální počet všech </w:t>
      </w:r>
      <w:r w:rsidRPr="006B1D99">
        <w:rPr>
          <w:rFonts w:ascii="Arial" w:hAnsi="Arial" w:cs="Arial"/>
          <w:bCs/>
          <w:sz w:val="18"/>
          <w:szCs w:val="18"/>
          <w:lang w:val="cs-CZ"/>
        </w:rPr>
        <w:t>stálých</w:t>
      </w:r>
      <w:r w:rsidRPr="006B1D99">
        <w:rPr>
          <w:rFonts w:ascii="Arial" w:hAnsi="Arial" w:cs="Arial"/>
          <w:sz w:val="18"/>
          <w:szCs w:val="18"/>
          <w:lang w:val="cs-CZ"/>
        </w:rPr>
        <w:t xml:space="preserve"> lůžek, která jsou využívána výhradně pro noční odpočinek hostů (bez lůžek příležitostných – přistýlek).</w:t>
      </w:r>
    </w:p>
    <w:p w:rsidR="00AD50E1" w:rsidRPr="006B1D99" w:rsidRDefault="00AD50E1" w:rsidP="006B1D9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/>
        <w:jc w:val="both"/>
        <w:rPr>
          <w:rFonts w:ascii="Arial" w:hAnsi="Arial" w:cs="Arial"/>
          <w:sz w:val="18"/>
          <w:szCs w:val="18"/>
          <w:lang w:val="cs-CZ"/>
        </w:rPr>
      </w:pPr>
      <w:r w:rsidRPr="006B1D99">
        <w:rPr>
          <w:rFonts w:ascii="Arial" w:hAnsi="Arial" w:cs="Arial"/>
          <w:b/>
          <w:bCs/>
          <w:sz w:val="18"/>
          <w:szCs w:val="18"/>
          <w:lang w:val="cs-CZ"/>
        </w:rPr>
        <w:t>Místa pro stany a karavany</w:t>
      </w:r>
      <w:r w:rsidRPr="006B1D99">
        <w:rPr>
          <w:rFonts w:ascii="Arial" w:hAnsi="Arial" w:cs="Arial"/>
          <w:sz w:val="18"/>
          <w:szCs w:val="18"/>
          <w:lang w:val="cs-CZ"/>
        </w:rPr>
        <w:t xml:space="preserve"> udávají maximální počet stanovišť pro umístění stanů, obytných přívěsů a karavanů.</w:t>
      </w:r>
    </w:p>
    <w:p w:rsidR="00AD50E1" w:rsidRPr="006B1D99" w:rsidRDefault="00AD50E1" w:rsidP="006B1D9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/>
        <w:jc w:val="both"/>
        <w:rPr>
          <w:rFonts w:ascii="Arial" w:hAnsi="Arial" w:cs="Arial"/>
          <w:sz w:val="18"/>
          <w:szCs w:val="18"/>
          <w:lang w:val="cs-CZ"/>
        </w:rPr>
      </w:pPr>
      <w:r w:rsidRPr="006B1D99">
        <w:rPr>
          <w:rFonts w:ascii="Arial" w:hAnsi="Arial" w:cs="Arial"/>
          <w:b/>
          <w:bCs/>
          <w:sz w:val="18"/>
          <w:szCs w:val="18"/>
          <w:lang w:val="cs-CZ"/>
        </w:rPr>
        <w:t>Host</w:t>
      </w:r>
      <w:r w:rsidRPr="006B1D99">
        <w:rPr>
          <w:rFonts w:ascii="Arial" w:hAnsi="Arial" w:cs="Arial"/>
          <w:sz w:val="18"/>
          <w:szCs w:val="18"/>
          <w:lang w:val="cs-CZ"/>
        </w:rPr>
        <w:t xml:space="preserve"> v ubytovacím zařízení je každá osoba včetně dětí, která se zde přechodně ubytovala (kromě personálu a majitelů ubytovacího zařízení). Příjezd hosta nastává v okamžiku jeho nahlášení v ubytovacím zařízení. Host může využít služeb ubytovacího zařízení z důvodu dovolené, zájezdu, služební cesty, školení, kurzu, kongresu, sympozia, lázeňského léčebného pobytu, pobytu dětí ve škole v přírodě nebo na letních a zimních táborech apod. Mezi hosty se nezapočítávají osoby, které využívají služeb ubytovacího zařízení pro přechodné ubytování za účelem zaměstnání, či řádného studia.</w:t>
      </w:r>
    </w:p>
    <w:p w:rsidR="00AD50E1" w:rsidRPr="006B1D99" w:rsidRDefault="00C95471" w:rsidP="006B1D9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/>
        <w:jc w:val="both"/>
        <w:rPr>
          <w:rFonts w:ascii="Arial" w:hAnsi="Arial" w:cs="Arial"/>
          <w:sz w:val="18"/>
          <w:szCs w:val="18"/>
          <w:lang w:val="cs-CZ"/>
        </w:rPr>
      </w:pPr>
      <w:r w:rsidRPr="006B1D99">
        <w:rPr>
          <w:rFonts w:ascii="Arial" w:hAnsi="Arial" w:cs="Arial"/>
          <w:b/>
          <w:sz w:val="18"/>
          <w:szCs w:val="18"/>
          <w:lang w:val="cs-CZ"/>
        </w:rPr>
        <w:t>Nerezidentem</w:t>
      </w:r>
      <w:r w:rsidRPr="006B1D99">
        <w:rPr>
          <w:rFonts w:ascii="Arial" w:hAnsi="Arial" w:cs="Arial"/>
          <w:sz w:val="18"/>
          <w:szCs w:val="18"/>
          <w:lang w:val="cs-CZ"/>
        </w:rPr>
        <w:t xml:space="preserve"> je osoba, která trvale žije v jiné zemi a na území ČR se zdržuje dobu kratší než 1 rok (včetně občanů České republiky).</w:t>
      </w:r>
    </w:p>
    <w:p w:rsidR="00AD50E1" w:rsidRPr="006B1D99" w:rsidRDefault="00AD50E1" w:rsidP="006B1D99">
      <w:pPr>
        <w:widowControl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/>
        <w:jc w:val="both"/>
        <w:rPr>
          <w:rFonts w:ascii="Arial" w:hAnsi="Arial" w:cs="Arial"/>
          <w:sz w:val="18"/>
          <w:szCs w:val="18"/>
          <w:lang w:val="cs-CZ"/>
        </w:rPr>
      </w:pPr>
      <w:r w:rsidRPr="006B1D99">
        <w:rPr>
          <w:rFonts w:ascii="Arial" w:hAnsi="Arial" w:cs="Arial"/>
          <w:b/>
          <w:bCs/>
          <w:sz w:val="18"/>
          <w:szCs w:val="18"/>
          <w:lang w:val="cs-CZ"/>
        </w:rPr>
        <w:t xml:space="preserve">Počet přenocování </w:t>
      </w:r>
      <w:r w:rsidRPr="006B1D99">
        <w:rPr>
          <w:rFonts w:ascii="Arial" w:hAnsi="Arial" w:cs="Arial"/>
          <w:sz w:val="18"/>
          <w:szCs w:val="18"/>
          <w:lang w:val="cs-CZ"/>
        </w:rPr>
        <w:t>je celkový počet přenocování (strávených nocí) hostů v hromadných ubytovacích zařízeních ve sledovaném období.</w:t>
      </w:r>
    </w:p>
    <w:p w:rsidR="00AD50E1" w:rsidRPr="006B1D99" w:rsidRDefault="00AD50E1" w:rsidP="006B1D9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/>
        <w:jc w:val="both"/>
        <w:rPr>
          <w:rFonts w:ascii="Arial" w:hAnsi="Arial" w:cs="Arial"/>
          <w:sz w:val="18"/>
          <w:szCs w:val="18"/>
          <w:lang w:val="cs-CZ"/>
        </w:rPr>
      </w:pPr>
      <w:r w:rsidRPr="006B1D99">
        <w:rPr>
          <w:rFonts w:ascii="Arial" w:hAnsi="Arial" w:cs="Arial"/>
          <w:b/>
          <w:bCs/>
          <w:sz w:val="18"/>
          <w:szCs w:val="18"/>
          <w:lang w:val="cs-CZ"/>
        </w:rPr>
        <w:t>Čisté využití lůžek</w:t>
      </w:r>
      <w:r w:rsidRPr="006B1D99">
        <w:rPr>
          <w:rFonts w:ascii="Arial" w:hAnsi="Arial" w:cs="Arial"/>
          <w:sz w:val="18"/>
          <w:szCs w:val="18"/>
          <w:lang w:val="cs-CZ"/>
        </w:rPr>
        <w:t xml:space="preserve"> je podílem počtu přenocování za sledované období a součinu průměrného počtu lůžek k dispozici s počtem provozních dnů.</w:t>
      </w:r>
    </w:p>
    <w:p w:rsidR="00AD50E1" w:rsidRPr="006B1D99" w:rsidRDefault="00AD50E1" w:rsidP="006B1D9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/>
        <w:jc w:val="both"/>
        <w:rPr>
          <w:rFonts w:ascii="Arial" w:hAnsi="Arial" w:cs="Arial"/>
          <w:sz w:val="18"/>
          <w:szCs w:val="18"/>
          <w:lang w:val="cs-CZ"/>
        </w:rPr>
      </w:pPr>
      <w:r w:rsidRPr="006B1D99">
        <w:rPr>
          <w:rFonts w:ascii="Arial" w:hAnsi="Arial" w:cs="Arial"/>
          <w:b/>
          <w:sz w:val="18"/>
          <w:szCs w:val="18"/>
          <w:lang w:val="cs-CZ"/>
        </w:rPr>
        <w:t xml:space="preserve">Využití pokojů </w:t>
      </w:r>
      <w:r w:rsidRPr="006B1D99">
        <w:rPr>
          <w:rFonts w:ascii="Arial" w:hAnsi="Arial" w:cs="Arial"/>
          <w:sz w:val="18"/>
          <w:szCs w:val="18"/>
          <w:lang w:val="cs-CZ"/>
        </w:rPr>
        <w:t xml:space="preserve">je podílem počtu realizovaných </w:t>
      </w:r>
      <w:proofErr w:type="spellStart"/>
      <w:r w:rsidRPr="006B1D99">
        <w:rPr>
          <w:rFonts w:ascii="Arial" w:hAnsi="Arial" w:cs="Arial"/>
          <w:sz w:val="18"/>
          <w:szCs w:val="18"/>
          <w:lang w:val="cs-CZ"/>
        </w:rPr>
        <w:t>pokojodnů</w:t>
      </w:r>
      <w:proofErr w:type="spellEnd"/>
      <w:r w:rsidRPr="006B1D99">
        <w:rPr>
          <w:rFonts w:ascii="Arial" w:hAnsi="Arial" w:cs="Arial"/>
          <w:sz w:val="18"/>
          <w:szCs w:val="18"/>
          <w:lang w:val="cs-CZ"/>
        </w:rPr>
        <w:t xml:space="preserve"> (tj. počtu obsazených pokojů za jednotlivé dny sledovaného období) a součinu průměrného počtu pokojů k dispozici s počtem provozních dnů.</w:t>
      </w:r>
    </w:p>
    <w:p w:rsidR="00AD50E1" w:rsidRPr="006B1D99" w:rsidRDefault="00AD50E1" w:rsidP="006B1D9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/>
        <w:jc w:val="both"/>
        <w:rPr>
          <w:rFonts w:ascii="Arial" w:hAnsi="Arial" w:cs="Arial"/>
          <w:sz w:val="18"/>
          <w:szCs w:val="18"/>
          <w:lang w:val="cs-CZ"/>
        </w:rPr>
      </w:pPr>
      <w:r w:rsidRPr="006B1D99">
        <w:rPr>
          <w:rFonts w:ascii="Arial" w:hAnsi="Arial" w:cs="Arial"/>
          <w:b/>
          <w:bCs/>
          <w:sz w:val="18"/>
          <w:szCs w:val="18"/>
          <w:lang w:val="cs-CZ"/>
        </w:rPr>
        <w:t xml:space="preserve">Průměrný počet přenocování </w:t>
      </w:r>
      <w:r w:rsidRPr="006B1D99">
        <w:rPr>
          <w:rFonts w:ascii="Arial" w:hAnsi="Arial" w:cs="Arial"/>
          <w:sz w:val="18"/>
          <w:szCs w:val="18"/>
          <w:lang w:val="cs-CZ"/>
        </w:rPr>
        <w:t>je</w:t>
      </w:r>
      <w:r w:rsidRPr="006B1D99">
        <w:rPr>
          <w:rFonts w:ascii="Arial" w:hAnsi="Arial" w:cs="Arial"/>
          <w:b/>
          <w:bCs/>
          <w:sz w:val="18"/>
          <w:szCs w:val="18"/>
          <w:lang w:val="cs-CZ"/>
        </w:rPr>
        <w:t xml:space="preserve"> </w:t>
      </w:r>
      <w:r w:rsidRPr="006B1D99">
        <w:rPr>
          <w:rFonts w:ascii="Arial" w:hAnsi="Arial" w:cs="Arial"/>
          <w:sz w:val="18"/>
          <w:szCs w:val="18"/>
          <w:lang w:val="cs-CZ"/>
        </w:rPr>
        <w:t>průměrný počet přenocování připadající na jednoho hosta ve sledovaném období.</w:t>
      </w:r>
    </w:p>
    <w:p w:rsidR="00AD50E1" w:rsidRPr="006B1D99" w:rsidRDefault="00AD50E1" w:rsidP="006B1D9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/>
        <w:jc w:val="both"/>
        <w:rPr>
          <w:rFonts w:ascii="Arial" w:hAnsi="Arial" w:cs="Arial"/>
          <w:sz w:val="18"/>
          <w:szCs w:val="18"/>
          <w:lang w:val="cs-CZ"/>
        </w:rPr>
      </w:pPr>
      <w:r w:rsidRPr="006B1D99">
        <w:rPr>
          <w:rFonts w:ascii="Arial" w:hAnsi="Arial" w:cs="Arial"/>
          <w:b/>
          <w:bCs/>
          <w:sz w:val="18"/>
          <w:szCs w:val="18"/>
          <w:lang w:val="cs-CZ"/>
        </w:rPr>
        <w:t>Průměrná doba pobytu</w:t>
      </w:r>
      <w:r w:rsidRPr="006B1D99">
        <w:rPr>
          <w:rFonts w:ascii="Arial" w:hAnsi="Arial" w:cs="Arial"/>
          <w:sz w:val="18"/>
          <w:szCs w:val="18"/>
          <w:lang w:val="cs-CZ"/>
        </w:rPr>
        <w:t xml:space="preserve"> je o jeden den vyšší než průměrný počet přenocování.</w:t>
      </w:r>
    </w:p>
    <w:p w:rsidR="00AD50E1" w:rsidRPr="006B1D99" w:rsidRDefault="00AD50E1" w:rsidP="006B1D9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jc w:val="both"/>
        <w:rPr>
          <w:rFonts w:ascii="Arial" w:hAnsi="Arial" w:cs="Arial"/>
          <w:sz w:val="18"/>
          <w:szCs w:val="18"/>
          <w:lang w:val="cs-CZ"/>
        </w:rPr>
      </w:pPr>
    </w:p>
    <w:p w:rsidR="00AD50E1" w:rsidRPr="006B1D99" w:rsidRDefault="00AD50E1" w:rsidP="006B1D9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jc w:val="both"/>
        <w:rPr>
          <w:rFonts w:ascii="Arial" w:hAnsi="Arial" w:cs="Arial"/>
          <w:sz w:val="18"/>
          <w:szCs w:val="18"/>
          <w:lang w:val="cs-CZ"/>
        </w:rPr>
      </w:pPr>
    </w:p>
    <w:p w:rsidR="00AD50E1" w:rsidRPr="006B1D99" w:rsidRDefault="00AD50E1" w:rsidP="006B1D9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jc w:val="both"/>
        <w:rPr>
          <w:rFonts w:ascii="Arial" w:hAnsi="Arial" w:cs="Arial"/>
          <w:b/>
          <w:color w:val="0071BC"/>
          <w:lang w:val="cs-CZ"/>
        </w:rPr>
      </w:pPr>
      <w:r w:rsidRPr="006B1D99">
        <w:rPr>
          <w:rFonts w:ascii="Arial" w:hAnsi="Arial" w:cs="Arial"/>
          <w:b/>
          <w:color w:val="0071BC"/>
          <w:lang w:val="cs-CZ"/>
        </w:rPr>
        <w:t xml:space="preserve">Tab. </w:t>
      </w:r>
      <w:r w:rsidRPr="006B1D99">
        <w:rPr>
          <w:rFonts w:ascii="Arial" w:hAnsi="Arial" w:cs="Arial"/>
          <w:b/>
          <w:bCs/>
          <w:color w:val="0071BC"/>
          <w:lang w:val="cs-CZ"/>
        </w:rPr>
        <w:t>1</w:t>
      </w:r>
      <w:r w:rsidR="00854A81" w:rsidRPr="006B1D99">
        <w:rPr>
          <w:rFonts w:ascii="Arial" w:hAnsi="Arial" w:cs="Arial"/>
          <w:b/>
          <w:bCs/>
          <w:color w:val="0071BC"/>
          <w:lang w:val="cs-CZ"/>
        </w:rPr>
        <w:t>9</w:t>
      </w:r>
      <w:r w:rsidR="00C8011B" w:rsidRPr="006B1D99">
        <w:rPr>
          <w:rFonts w:ascii="Arial" w:hAnsi="Arial" w:cs="Arial"/>
          <w:b/>
          <w:color w:val="0071BC"/>
          <w:lang w:val="cs-CZ"/>
        </w:rPr>
        <w:t xml:space="preserve">-5 </w:t>
      </w:r>
      <w:r w:rsidRPr="006B1D99">
        <w:rPr>
          <w:rFonts w:ascii="Arial" w:hAnsi="Arial" w:cs="Arial"/>
          <w:b/>
          <w:color w:val="0071BC"/>
          <w:lang w:val="cs-CZ"/>
        </w:rPr>
        <w:t xml:space="preserve"> </w:t>
      </w:r>
      <w:r w:rsidRPr="006B1D99">
        <w:rPr>
          <w:rFonts w:ascii="Arial" w:hAnsi="Arial" w:cs="Arial"/>
          <w:b/>
          <w:bCs/>
          <w:color w:val="0071BC"/>
          <w:lang w:val="cs-CZ"/>
        </w:rPr>
        <w:t>Delší cesty za účelem trávení volného času</w:t>
      </w:r>
    </w:p>
    <w:p w:rsidR="00AD50E1" w:rsidRPr="006B1D99" w:rsidRDefault="00164103" w:rsidP="006B1D99">
      <w:pPr>
        <w:pStyle w:val="Zkladntext"/>
        <w:widowControl/>
        <w:tabs>
          <w:tab w:val="left" w:pos="540"/>
        </w:tabs>
        <w:spacing w:before="120"/>
        <w:rPr>
          <w:rFonts w:ascii="Arial" w:hAnsi="Arial" w:cs="Arial"/>
          <w:b w:val="0"/>
          <w:bCs w:val="0"/>
          <w:sz w:val="18"/>
          <w:szCs w:val="18"/>
          <w:lang w:val="cs-CZ"/>
        </w:rPr>
      </w:pPr>
      <w:r w:rsidRPr="006B1D99">
        <w:rPr>
          <w:rFonts w:ascii="Arial" w:hAnsi="Arial" w:cs="Arial"/>
          <w:b w:val="0"/>
          <w:bCs w:val="0"/>
          <w:sz w:val="18"/>
          <w:szCs w:val="18"/>
          <w:lang w:val="cs-CZ"/>
        </w:rPr>
        <w:t xml:space="preserve">Zdrojem údajů je </w:t>
      </w:r>
      <w:r w:rsidRPr="006B1D99">
        <w:rPr>
          <w:rFonts w:ascii="Arial" w:hAnsi="Arial" w:cs="Arial"/>
          <w:b w:val="0"/>
          <w:sz w:val="18"/>
          <w:szCs w:val="18"/>
          <w:lang w:val="cs-CZ"/>
        </w:rPr>
        <w:t xml:space="preserve">výběrové šetření cestovního ruchu </w:t>
      </w:r>
      <w:r w:rsidRPr="006B1D99">
        <w:rPr>
          <w:rFonts w:ascii="Arial" w:hAnsi="Arial" w:cs="Arial"/>
          <w:b w:val="0"/>
          <w:bCs w:val="0"/>
          <w:sz w:val="18"/>
          <w:szCs w:val="18"/>
          <w:lang w:val="cs-CZ"/>
        </w:rPr>
        <w:t>(VŠCR). Šetření se provádí každý měsíc v náhodně vybraném vzorku domácností, dotazovány jsou osoby ve věku 15 a více let.</w:t>
      </w:r>
      <w:r w:rsidRPr="006B1D99">
        <w:rPr>
          <w:rFonts w:ascii="Arial" w:hAnsi="Arial" w:cs="Arial"/>
          <w:b w:val="0"/>
          <w:sz w:val="18"/>
          <w:szCs w:val="18"/>
          <w:lang w:val="cs-CZ"/>
        </w:rPr>
        <w:t xml:space="preserve"> </w:t>
      </w:r>
      <w:r w:rsidRPr="006B1D99">
        <w:rPr>
          <w:rFonts w:ascii="Arial" w:hAnsi="Arial" w:cs="Arial"/>
          <w:b w:val="0"/>
          <w:bCs w:val="0"/>
          <w:sz w:val="18"/>
          <w:szCs w:val="18"/>
          <w:lang w:val="cs-CZ"/>
        </w:rPr>
        <w:t>Údaje o cestovních zvyklostech jsou zjišťovány u všech členů domácnosti a jsou pomocí váhových koeficientů přepočteny na populaci České republiky ve věku 15 a více let.</w:t>
      </w:r>
    </w:p>
    <w:p w:rsidR="00AD50E1" w:rsidRPr="006B1D99" w:rsidRDefault="00164103" w:rsidP="006B1D99">
      <w:pPr>
        <w:pStyle w:val="Zkladntext"/>
        <w:widowControl/>
        <w:tabs>
          <w:tab w:val="left" w:pos="540"/>
        </w:tabs>
        <w:spacing w:before="120"/>
        <w:rPr>
          <w:rFonts w:ascii="Arial" w:hAnsi="Arial" w:cs="Arial"/>
          <w:b w:val="0"/>
          <w:bCs w:val="0"/>
          <w:sz w:val="18"/>
          <w:szCs w:val="18"/>
          <w:lang w:val="cs-CZ"/>
        </w:rPr>
      </w:pPr>
      <w:r w:rsidRPr="006B1D99">
        <w:rPr>
          <w:rFonts w:ascii="Arial" w:hAnsi="Arial" w:cs="Arial"/>
          <w:b w:val="0"/>
          <w:bCs w:val="0"/>
          <w:sz w:val="18"/>
          <w:szCs w:val="18"/>
          <w:lang w:val="cs-CZ"/>
        </w:rPr>
        <w:t>Respondenti jsou vedle dalších ukazatelů cestovního ruchu dotazováni na cesty s noclehem, jež uskutečnili ve sledovaném období za účelem trávení volného času a rekreace mimo své obvyklé prostředí (mimo své trvalé a přechodné bydliště, obvyklé pracoviště, školu a podobně). Za delší cesty jsou považovány cesty s nejméně 4 noclehy v řadě za sebou. Do celkového počtu delších cest nejsou zahrnuty služební cesty, pobyty v nemocnici apod.</w:t>
      </w:r>
    </w:p>
    <w:p w:rsidR="00AD50E1" w:rsidRPr="006B1D99" w:rsidRDefault="00AD50E1" w:rsidP="006B1D9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/>
        <w:jc w:val="both"/>
        <w:rPr>
          <w:rFonts w:ascii="Arial" w:hAnsi="Arial" w:cs="Arial"/>
          <w:sz w:val="18"/>
          <w:szCs w:val="18"/>
          <w:lang w:val="cs-CZ"/>
        </w:rPr>
      </w:pPr>
      <w:r w:rsidRPr="006B1D99">
        <w:rPr>
          <w:rFonts w:ascii="Arial" w:hAnsi="Arial" w:cs="Arial"/>
          <w:sz w:val="18"/>
          <w:szCs w:val="18"/>
          <w:lang w:val="cs-CZ"/>
        </w:rPr>
        <w:t>U delších cest se za přenocování považuje nocleh v hromadném ubytovacím zařízení nebo placené či neplacené ubytování v soukromí, tj. včetně pobytu na vlastní chatě a chalupě, u příbuzných a známých, případně v přírodě, dále také ubytování v dopravním prostředku v průběhu uskutečněné cesty apod.</w:t>
      </w:r>
    </w:p>
    <w:p w:rsidR="00AD50E1" w:rsidRPr="006B1D99" w:rsidRDefault="00AD50E1" w:rsidP="006B1D9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jc w:val="both"/>
        <w:rPr>
          <w:rFonts w:ascii="Arial" w:hAnsi="Arial" w:cs="Arial"/>
          <w:sz w:val="18"/>
          <w:szCs w:val="18"/>
          <w:lang w:val="cs-CZ"/>
        </w:rPr>
      </w:pPr>
    </w:p>
    <w:p w:rsidR="00AD50E1" w:rsidRPr="006B1D99" w:rsidRDefault="00AD50E1" w:rsidP="006B1D9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jc w:val="both"/>
        <w:rPr>
          <w:rFonts w:ascii="Arial" w:hAnsi="Arial" w:cs="Arial"/>
          <w:sz w:val="18"/>
          <w:szCs w:val="18"/>
          <w:lang w:val="cs-CZ"/>
        </w:rPr>
      </w:pPr>
    </w:p>
    <w:p w:rsidR="003879D3" w:rsidRPr="006B1D99" w:rsidRDefault="00164103" w:rsidP="006B1D99">
      <w:pPr>
        <w:pStyle w:val="Zkladntext2"/>
        <w:keepNext/>
        <w:widowControl/>
        <w:rPr>
          <w:rFonts w:cs="Arial"/>
          <w:b/>
          <w:bCs/>
          <w:color w:val="0071BC"/>
          <w:lang w:val="cs-CZ"/>
        </w:rPr>
      </w:pPr>
      <w:r w:rsidRPr="006B1D99">
        <w:rPr>
          <w:rFonts w:cs="Arial"/>
          <w:b/>
          <w:color w:val="0071BC"/>
          <w:lang w:val="cs-CZ"/>
        </w:rPr>
        <w:lastRenderedPageBreak/>
        <w:t xml:space="preserve">Tab. </w:t>
      </w:r>
      <w:r w:rsidRPr="006B1D99">
        <w:rPr>
          <w:rFonts w:cs="Arial"/>
          <w:b/>
          <w:bCs/>
          <w:color w:val="0071BC"/>
          <w:lang w:val="cs-CZ"/>
        </w:rPr>
        <w:t>1</w:t>
      </w:r>
      <w:r w:rsidR="00854A81" w:rsidRPr="006B1D99">
        <w:rPr>
          <w:rFonts w:cs="Arial"/>
          <w:b/>
          <w:bCs/>
          <w:color w:val="0071BC"/>
          <w:lang w:val="cs-CZ"/>
        </w:rPr>
        <w:t>9</w:t>
      </w:r>
      <w:r w:rsidR="00C8011B" w:rsidRPr="006B1D99">
        <w:rPr>
          <w:rFonts w:cs="Arial"/>
          <w:b/>
          <w:color w:val="0071BC"/>
          <w:lang w:val="cs-CZ"/>
        </w:rPr>
        <w:t xml:space="preserve">-6 </w:t>
      </w:r>
      <w:r w:rsidRPr="006B1D99">
        <w:rPr>
          <w:rFonts w:cs="Arial"/>
          <w:b/>
          <w:color w:val="0071BC"/>
          <w:lang w:val="cs-CZ"/>
        </w:rPr>
        <w:t xml:space="preserve"> </w:t>
      </w:r>
      <w:r w:rsidRPr="006B1D99">
        <w:rPr>
          <w:rFonts w:cs="Arial"/>
          <w:b/>
          <w:bCs/>
          <w:color w:val="0071BC"/>
          <w:lang w:val="cs-CZ"/>
        </w:rPr>
        <w:t>Satelitní účet cestovního ruchu České republiky</w:t>
      </w:r>
    </w:p>
    <w:p w:rsidR="008B1FC6" w:rsidRPr="006B1D99" w:rsidRDefault="008B1FC6" w:rsidP="006B1D99">
      <w:pPr>
        <w:keepNext/>
        <w:widowControl/>
        <w:suppressAutoHyphens/>
        <w:spacing w:before="120"/>
        <w:jc w:val="both"/>
        <w:rPr>
          <w:rFonts w:ascii="Arial" w:hAnsi="Arial" w:cs="Arial"/>
          <w:sz w:val="18"/>
          <w:szCs w:val="18"/>
          <w:lang w:val="cs-CZ"/>
        </w:rPr>
      </w:pPr>
      <w:r w:rsidRPr="006B1D99">
        <w:rPr>
          <w:rFonts w:ascii="Arial" w:hAnsi="Arial" w:cs="Arial"/>
          <w:b/>
          <w:bCs/>
          <w:sz w:val="18"/>
          <w:szCs w:val="18"/>
          <w:lang w:val="cs-CZ"/>
        </w:rPr>
        <w:t>Vnitřní cestovní ruch</w:t>
      </w:r>
      <w:r w:rsidRPr="006B1D99">
        <w:rPr>
          <w:rFonts w:ascii="Arial" w:hAnsi="Arial" w:cs="Arial"/>
          <w:sz w:val="18"/>
          <w:szCs w:val="18"/>
          <w:lang w:val="cs-CZ"/>
        </w:rPr>
        <w:t xml:space="preserve"> (domácí a příjezdový) je cestovní ruch rezidentů i nerezidentů na území České republiky. </w:t>
      </w:r>
      <w:r w:rsidRPr="006B1D99">
        <w:rPr>
          <w:rFonts w:ascii="Arial" w:hAnsi="Arial" w:cs="Arial"/>
          <w:b/>
          <w:bCs/>
          <w:sz w:val="18"/>
          <w:szCs w:val="18"/>
          <w:lang w:val="cs-CZ"/>
        </w:rPr>
        <w:t xml:space="preserve">Spotřeba ve vnitřním cestovním ruchu </w:t>
      </w:r>
      <w:r w:rsidRPr="006B1D99">
        <w:rPr>
          <w:rFonts w:ascii="Arial" w:hAnsi="Arial" w:cs="Arial"/>
          <w:sz w:val="18"/>
          <w:szCs w:val="18"/>
          <w:lang w:val="cs-CZ"/>
        </w:rPr>
        <w:t>v České republice</w:t>
      </w:r>
      <w:r w:rsidRPr="006B1D99">
        <w:rPr>
          <w:rFonts w:ascii="Arial" w:hAnsi="Arial" w:cs="Arial"/>
          <w:b/>
          <w:bCs/>
          <w:sz w:val="18"/>
          <w:szCs w:val="18"/>
          <w:lang w:val="cs-CZ"/>
        </w:rPr>
        <w:t xml:space="preserve"> </w:t>
      </w:r>
      <w:r w:rsidRPr="006B1D99">
        <w:rPr>
          <w:rFonts w:ascii="Arial" w:hAnsi="Arial" w:cs="Arial"/>
          <w:sz w:val="18"/>
          <w:szCs w:val="18"/>
          <w:lang w:val="cs-CZ"/>
        </w:rPr>
        <w:t>vyjadřuje celkový objem financí utracených za cestovní ruch v národním hospodářství, tj. všechny výdaje za cestovní ruch realizované v České republice.</w:t>
      </w:r>
    </w:p>
    <w:p w:rsidR="008B1FC6" w:rsidRPr="006B1D99" w:rsidRDefault="008B1FC6" w:rsidP="006B1D99">
      <w:pPr>
        <w:widowControl/>
        <w:suppressAutoHyphens/>
        <w:spacing w:before="120"/>
        <w:jc w:val="both"/>
        <w:rPr>
          <w:rFonts w:ascii="Arial" w:hAnsi="Arial" w:cs="Arial"/>
          <w:sz w:val="18"/>
          <w:szCs w:val="18"/>
          <w:lang w:val="cs-CZ"/>
        </w:rPr>
      </w:pPr>
      <w:r w:rsidRPr="006B1D99">
        <w:rPr>
          <w:rFonts w:ascii="Arial" w:hAnsi="Arial" w:cs="Arial"/>
          <w:b/>
          <w:bCs/>
          <w:sz w:val="18"/>
          <w:szCs w:val="18"/>
          <w:lang w:val="cs-CZ"/>
        </w:rPr>
        <w:t>Domácí cestovní ruch</w:t>
      </w:r>
      <w:r w:rsidRPr="006B1D99">
        <w:rPr>
          <w:rFonts w:ascii="Arial" w:hAnsi="Arial" w:cs="Arial"/>
          <w:sz w:val="18"/>
          <w:szCs w:val="18"/>
          <w:lang w:val="cs-CZ"/>
        </w:rPr>
        <w:t xml:space="preserve"> je cestovní ruch rezidentů na území České republiky. </w:t>
      </w:r>
      <w:r w:rsidRPr="006B1D99">
        <w:rPr>
          <w:rFonts w:ascii="Arial" w:hAnsi="Arial" w:cs="Arial"/>
          <w:b/>
          <w:bCs/>
          <w:sz w:val="18"/>
          <w:szCs w:val="18"/>
          <w:lang w:val="cs-CZ"/>
        </w:rPr>
        <w:t>Spotřeba v domácím</w:t>
      </w:r>
      <w:r w:rsidRPr="006B1D99">
        <w:rPr>
          <w:rFonts w:ascii="Arial" w:hAnsi="Arial" w:cs="Arial"/>
          <w:sz w:val="18"/>
          <w:szCs w:val="18"/>
          <w:lang w:val="cs-CZ"/>
        </w:rPr>
        <w:t xml:space="preserve"> </w:t>
      </w:r>
      <w:r w:rsidRPr="006B1D99">
        <w:rPr>
          <w:rFonts w:ascii="Arial" w:hAnsi="Arial" w:cs="Arial"/>
          <w:b/>
          <w:bCs/>
          <w:sz w:val="18"/>
          <w:szCs w:val="18"/>
          <w:lang w:val="cs-CZ"/>
        </w:rPr>
        <w:t xml:space="preserve">cestovním ruchu </w:t>
      </w:r>
      <w:r w:rsidRPr="006B1D99">
        <w:rPr>
          <w:rFonts w:ascii="Arial" w:hAnsi="Arial" w:cs="Arial"/>
          <w:sz w:val="18"/>
          <w:szCs w:val="18"/>
          <w:lang w:val="cs-CZ"/>
        </w:rPr>
        <w:t>je spotřeba rezidentů v České republice, a to i ta část spotřeby spojená s návštěvou (konečným cílem cesty) jiné země, pokud byla realizována v České republice (např. marže tuzemských cestovních kanceláří či agentur zajišťujících zahraniční zájezd).</w:t>
      </w:r>
    </w:p>
    <w:p w:rsidR="008B1FC6" w:rsidRPr="006B1D99" w:rsidRDefault="008B1FC6" w:rsidP="006B1D99">
      <w:pPr>
        <w:widowControl/>
        <w:suppressAutoHyphens/>
        <w:spacing w:before="120"/>
        <w:jc w:val="both"/>
        <w:rPr>
          <w:rFonts w:ascii="Arial" w:hAnsi="Arial" w:cs="Arial"/>
          <w:sz w:val="18"/>
          <w:szCs w:val="18"/>
          <w:lang w:val="cs-CZ"/>
        </w:rPr>
      </w:pPr>
      <w:r w:rsidRPr="006B1D99">
        <w:rPr>
          <w:rFonts w:ascii="Arial" w:hAnsi="Arial" w:cs="Arial"/>
          <w:b/>
          <w:bCs/>
          <w:sz w:val="18"/>
          <w:szCs w:val="18"/>
          <w:lang w:val="cs-CZ"/>
        </w:rPr>
        <w:t>Příjezdový cestovní ruch</w:t>
      </w:r>
      <w:r w:rsidRPr="006B1D99">
        <w:rPr>
          <w:rFonts w:ascii="Arial" w:hAnsi="Arial" w:cs="Arial"/>
          <w:sz w:val="18"/>
          <w:szCs w:val="18"/>
          <w:lang w:val="cs-CZ"/>
        </w:rPr>
        <w:t xml:space="preserve"> zahrnuje návštěvu a pobyt nerezidentů na území České republiky. </w:t>
      </w:r>
      <w:r w:rsidRPr="006B1D99">
        <w:rPr>
          <w:rFonts w:ascii="Arial" w:hAnsi="Arial" w:cs="Arial"/>
          <w:b/>
          <w:bCs/>
          <w:sz w:val="18"/>
          <w:szCs w:val="18"/>
          <w:lang w:val="cs-CZ"/>
        </w:rPr>
        <w:t>Spotřeba v příjezdovém cestovním ruchu</w:t>
      </w:r>
      <w:r w:rsidRPr="006B1D99">
        <w:rPr>
          <w:rFonts w:ascii="Arial" w:hAnsi="Arial" w:cs="Arial"/>
          <w:sz w:val="18"/>
          <w:szCs w:val="18"/>
          <w:lang w:val="cs-CZ"/>
        </w:rPr>
        <w:t xml:space="preserve"> vyjadřuje celkový objem prostředků vydaných nerezidenty na cestovní ruch plynoucích do navštívené země. Započítávají se do ní i výdaje zaplacené v zemi nerezidenta, jako jsou např. platby za ubytování v rámci zájezdu, které směřují různými formami plateb do České republiky.</w:t>
      </w:r>
    </w:p>
    <w:p w:rsidR="008B1FC6" w:rsidRPr="006B1D99" w:rsidRDefault="008B1FC6" w:rsidP="006B1D99">
      <w:pPr>
        <w:widowControl/>
        <w:suppressAutoHyphens/>
        <w:spacing w:before="120"/>
        <w:jc w:val="both"/>
        <w:rPr>
          <w:rFonts w:ascii="Arial" w:hAnsi="Arial" w:cs="Arial"/>
          <w:sz w:val="18"/>
          <w:szCs w:val="18"/>
          <w:lang w:val="cs-CZ"/>
        </w:rPr>
      </w:pPr>
      <w:r w:rsidRPr="006B1D99">
        <w:rPr>
          <w:rFonts w:ascii="Arial" w:hAnsi="Arial" w:cs="Arial"/>
          <w:b/>
          <w:bCs/>
          <w:sz w:val="18"/>
          <w:szCs w:val="18"/>
          <w:lang w:val="cs-CZ"/>
        </w:rPr>
        <w:t>Výjezdový cestovní ruch</w:t>
      </w:r>
      <w:r w:rsidRPr="006B1D99">
        <w:rPr>
          <w:rFonts w:ascii="Arial" w:hAnsi="Arial" w:cs="Arial"/>
          <w:sz w:val="18"/>
          <w:szCs w:val="18"/>
          <w:lang w:val="cs-CZ"/>
        </w:rPr>
        <w:t xml:space="preserve"> zahrnuje návštěvu a pobyt rezidentů mimo území České republiky. </w:t>
      </w:r>
      <w:r w:rsidRPr="006B1D99">
        <w:rPr>
          <w:rFonts w:ascii="Arial" w:hAnsi="Arial" w:cs="Arial"/>
          <w:b/>
          <w:bCs/>
          <w:sz w:val="18"/>
          <w:szCs w:val="18"/>
          <w:lang w:val="cs-CZ"/>
        </w:rPr>
        <w:t>Spotřeba ve výjezdovém cestovním ruchu</w:t>
      </w:r>
      <w:r w:rsidRPr="006B1D99">
        <w:rPr>
          <w:rFonts w:ascii="Arial" w:hAnsi="Arial" w:cs="Arial"/>
          <w:sz w:val="18"/>
          <w:szCs w:val="18"/>
          <w:lang w:val="cs-CZ"/>
        </w:rPr>
        <w:t xml:space="preserve"> je chápána jako spotřeba rezidentských návštěvníků mimo území vlastní země (tj. všechny výdaje rezidentů za cestovní ruch realizované v zahraničí). Nezahrnuje výrobky zakoupené na cestu nebo po cestě v České republice (ty patří do spotřeby v domácím cestovním ruchu).</w:t>
      </w:r>
    </w:p>
    <w:p w:rsidR="008B1FC6" w:rsidRPr="006B1D99" w:rsidRDefault="008B1FC6" w:rsidP="006B1D99">
      <w:pPr>
        <w:widowControl/>
        <w:suppressAutoHyphens/>
        <w:spacing w:before="120"/>
        <w:jc w:val="both"/>
        <w:rPr>
          <w:rFonts w:ascii="Arial" w:hAnsi="Arial" w:cs="Arial"/>
          <w:sz w:val="18"/>
          <w:szCs w:val="18"/>
          <w:lang w:val="cs-CZ"/>
        </w:rPr>
      </w:pPr>
      <w:r w:rsidRPr="006B1D99">
        <w:rPr>
          <w:rFonts w:ascii="Arial" w:hAnsi="Arial" w:cs="Arial"/>
          <w:b/>
          <w:bCs/>
          <w:sz w:val="18"/>
          <w:szCs w:val="18"/>
          <w:lang w:val="cs-CZ"/>
        </w:rPr>
        <w:t>Saldo cestovního ruchu</w:t>
      </w:r>
      <w:r w:rsidRPr="006B1D99">
        <w:rPr>
          <w:rFonts w:ascii="Arial" w:hAnsi="Arial" w:cs="Arial"/>
          <w:sz w:val="18"/>
          <w:szCs w:val="18"/>
          <w:lang w:val="cs-CZ"/>
        </w:rPr>
        <w:t xml:space="preserve"> vyjadřuje rozdíl mezi objemy finančních prostředků mířících ze zahraničí do České republiky a</w:t>
      </w:r>
      <w:r w:rsidR="00CB7FB5">
        <w:rPr>
          <w:rFonts w:ascii="Arial" w:hAnsi="Arial" w:cs="Arial"/>
          <w:sz w:val="18"/>
          <w:szCs w:val="18"/>
          <w:lang w:val="cs-CZ"/>
        </w:rPr>
        <w:t> </w:t>
      </w:r>
      <w:r w:rsidRPr="006B1D99">
        <w:rPr>
          <w:rFonts w:ascii="Arial" w:hAnsi="Arial" w:cs="Arial"/>
          <w:sz w:val="18"/>
          <w:szCs w:val="18"/>
          <w:lang w:val="cs-CZ"/>
        </w:rPr>
        <w:t>naopak.</w:t>
      </w:r>
    </w:p>
    <w:p w:rsidR="00AD50E1" w:rsidRPr="006B1D99" w:rsidRDefault="00AD50E1" w:rsidP="006B1D99">
      <w:pPr>
        <w:widowControl/>
        <w:suppressAutoHyphens/>
        <w:jc w:val="both"/>
        <w:rPr>
          <w:rFonts w:ascii="Arial" w:hAnsi="Arial" w:cs="Arial"/>
          <w:sz w:val="18"/>
          <w:szCs w:val="18"/>
          <w:lang w:val="cs-CZ"/>
        </w:rPr>
      </w:pPr>
    </w:p>
    <w:p w:rsidR="00AD50E1" w:rsidRPr="006B1D99" w:rsidRDefault="00AD50E1" w:rsidP="006B1D99">
      <w:pPr>
        <w:widowControl/>
        <w:suppressAutoHyphens/>
        <w:jc w:val="both"/>
        <w:rPr>
          <w:rFonts w:ascii="Arial" w:hAnsi="Arial" w:cs="Arial"/>
          <w:sz w:val="18"/>
          <w:szCs w:val="18"/>
          <w:lang w:val="cs-CZ"/>
        </w:rPr>
      </w:pPr>
    </w:p>
    <w:p w:rsidR="00AD50E1" w:rsidRPr="006B1D99" w:rsidRDefault="00AD50E1" w:rsidP="006B1D99">
      <w:pPr>
        <w:widowControl/>
        <w:suppressAutoHyphens/>
        <w:jc w:val="both"/>
        <w:rPr>
          <w:rFonts w:ascii="Arial" w:hAnsi="Arial" w:cs="Arial"/>
          <w:b/>
          <w:color w:val="0071BC"/>
          <w:lang w:val="cs-CZ"/>
        </w:rPr>
      </w:pPr>
      <w:r w:rsidRPr="006B1D99">
        <w:rPr>
          <w:rFonts w:ascii="Arial" w:hAnsi="Arial" w:cs="Arial"/>
          <w:b/>
          <w:color w:val="0071BC"/>
          <w:lang w:val="cs-CZ"/>
        </w:rPr>
        <w:t xml:space="preserve">Tab. </w:t>
      </w:r>
      <w:r w:rsidRPr="006B1D99">
        <w:rPr>
          <w:rFonts w:ascii="Arial" w:hAnsi="Arial" w:cs="Arial"/>
          <w:b/>
          <w:bCs/>
          <w:color w:val="0071BC"/>
          <w:lang w:val="cs-CZ"/>
        </w:rPr>
        <w:t>1</w:t>
      </w:r>
      <w:r w:rsidR="00854A81" w:rsidRPr="006B1D99">
        <w:rPr>
          <w:rFonts w:ascii="Arial" w:hAnsi="Arial" w:cs="Arial"/>
          <w:b/>
          <w:bCs/>
          <w:color w:val="0071BC"/>
          <w:lang w:val="cs-CZ"/>
        </w:rPr>
        <w:t>9</w:t>
      </w:r>
      <w:r w:rsidRPr="006B1D99">
        <w:rPr>
          <w:rFonts w:ascii="Arial" w:hAnsi="Arial" w:cs="Arial"/>
          <w:b/>
          <w:color w:val="0071BC"/>
          <w:lang w:val="cs-CZ"/>
        </w:rPr>
        <w:t>-</w:t>
      </w:r>
      <w:r w:rsidR="003A272C" w:rsidRPr="006B1D99">
        <w:rPr>
          <w:rFonts w:ascii="Arial" w:hAnsi="Arial" w:cs="Arial"/>
          <w:b/>
          <w:color w:val="0071BC"/>
          <w:lang w:val="cs-CZ"/>
        </w:rPr>
        <w:t>7</w:t>
      </w:r>
      <w:r w:rsidR="00C8011B" w:rsidRPr="006B1D99">
        <w:rPr>
          <w:rFonts w:ascii="Arial" w:hAnsi="Arial" w:cs="Arial"/>
          <w:b/>
          <w:color w:val="0071BC"/>
          <w:lang w:val="cs-CZ"/>
        </w:rPr>
        <w:t xml:space="preserve"> </w:t>
      </w:r>
      <w:r w:rsidRPr="006B1D99">
        <w:rPr>
          <w:rFonts w:ascii="Arial" w:hAnsi="Arial" w:cs="Arial"/>
          <w:b/>
          <w:color w:val="0071BC"/>
          <w:lang w:val="cs-CZ"/>
        </w:rPr>
        <w:t xml:space="preserve"> </w:t>
      </w:r>
      <w:r w:rsidRPr="006B1D99">
        <w:rPr>
          <w:rFonts w:ascii="Arial" w:hAnsi="Arial" w:cs="Arial"/>
          <w:b/>
          <w:bCs/>
          <w:color w:val="0071BC"/>
          <w:lang w:val="cs-CZ"/>
        </w:rPr>
        <w:t>Modul zaměstnanosti cestovního ruchu České republiky</w:t>
      </w:r>
    </w:p>
    <w:p w:rsidR="00AD50E1" w:rsidRPr="006B1D99" w:rsidRDefault="00AD50E1" w:rsidP="006B1D9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/>
        <w:jc w:val="both"/>
        <w:rPr>
          <w:rFonts w:ascii="Arial" w:hAnsi="Arial" w:cs="Arial"/>
          <w:sz w:val="18"/>
          <w:szCs w:val="18"/>
          <w:lang w:val="cs-CZ"/>
        </w:rPr>
      </w:pPr>
      <w:r w:rsidRPr="006B1D99">
        <w:rPr>
          <w:rFonts w:ascii="Arial" w:hAnsi="Arial" w:cs="Arial"/>
          <w:b/>
          <w:bCs/>
          <w:sz w:val="18"/>
          <w:szCs w:val="18"/>
          <w:lang w:val="cs-CZ"/>
        </w:rPr>
        <w:t>Počet zaměstnaných osob v cestovním ruchu</w:t>
      </w:r>
      <w:r w:rsidRPr="006B1D99">
        <w:rPr>
          <w:rFonts w:ascii="Arial" w:hAnsi="Arial" w:cs="Arial"/>
          <w:sz w:val="18"/>
          <w:szCs w:val="18"/>
          <w:lang w:val="cs-CZ"/>
        </w:rPr>
        <w:t xml:space="preserve"> udává roční průměr počtu všech fyzických osob, které pracují v odvětví cestovního ruchu v hlavním zaměstnání nebo které dočasně nepracují, ale mají tzv. formální pracovní poměr. Zahrnuje počet zaměstnanců </w:t>
      </w:r>
      <w:r w:rsidR="002C488C" w:rsidRPr="006B1D99">
        <w:rPr>
          <w:rFonts w:ascii="Arial" w:hAnsi="Arial" w:cs="Arial"/>
          <w:sz w:val="18"/>
          <w:szCs w:val="18"/>
          <w:lang w:val="cs-CZ"/>
        </w:rPr>
        <w:t>i </w:t>
      </w:r>
      <w:r w:rsidRPr="006B1D99">
        <w:rPr>
          <w:rFonts w:ascii="Arial" w:hAnsi="Arial" w:cs="Arial"/>
          <w:sz w:val="18"/>
          <w:szCs w:val="18"/>
          <w:lang w:val="cs-CZ"/>
        </w:rPr>
        <w:t xml:space="preserve">osoby </w:t>
      </w:r>
      <w:proofErr w:type="spellStart"/>
      <w:r w:rsidRPr="006B1D99">
        <w:rPr>
          <w:rFonts w:ascii="Arial" w:hAnsi="Arial" w:cs="Arial"/>
          <w:sz w:val="18"/>
          <w:szCs w:val="18"/>
          <w:lang w:val="cs-CZ"/>
        </w:rPr>
        <w:t>sebezaměstnané</w:t>
      </w:r>
      <w:proofErr w:type="spellEnd"/>
      <w:r w:rsidRPr="006B1D99">
        <w:rPr>
          <w:rFonts w:ascii="Arial" w:hAnsi="Arial" w:cs="Arial"/>
          <w:sz w:val="18"/>
          <w:szCs w:val="18"/>
          <w:lang w:val="cs-CZ"/>
        </w:rPr>
        <w:t>.</w:t>
      </w:r>
    </w:p>
    <w:p w:rsidR="00AD50E1" w:rsidRPr="006B1D99" w:rsidRDefault="00AD50E1" w:rsidP="006B1D9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spacing w:before="120"/>
        <w:jc w:val="both"/>
        <w:rPr>
          <w:rFonts w:ascii="Arial" w:hAnsi="Arial" w:cs="Arial"/>
          <w:sz w:val="18"/>
          <w:szCs w:val="18"/>
          <w:lang w:val="cs-CZ"/>
        </w:rPr>
      </w:pPr>
      <w:r w:rsidRPr="006B1D99">
        <w:rPr>
          <w:rFonts w:ascii="Arial" w:hAnsi="Arial" w:cs="Arial"/>
          <w:b/>
          <w:bCs/>
          <w:sz w:val="18"/>
          <w:szCs w:val="18"/>
          <w:lang w:val="cs-CZ"/>
        </w:rPr>
        <w:t>Počet pracovních míst v cestovním ruchu</w:t>
      </w:r>
      <w:r w:rsidRPr="006B1D99">
        <w:rPr>
          <w:rFonts w:ascii="Arial" w:hAnsi="Arial" w:cs="Arial"/>
          <w:sz w:val="18"/>
          <w:szCs w:val="18"/>
          <w:lang w:val="cs-CZ"/>
        </w:rPr>
        <w:t xml:space="preserve"> zahrnuje navíc druhá </w:t>
      </w:r>
      <w:r w:rsidR="002B321A" w:rsidRPr="006B1D99">
        <w:rPr>
          <w:rFonts w:ascii="Arial" w:hAnsi="Arial" w:cs="Arial"/>
          <w:sz w:val="18"/>
          <w:szCs w:val="18"/>
          <w:lang w:val="cs-CZ"/>
        </w:rPr>
        <w:t>a </w:t>
      </w:r>
      <w:r w:rsidRPr="006B1D99">
        <w:rPr>
          <w:rFonts w:ascii="Arial" w:hAnsi="Arial" w:cs="Arial"/>
          <w:sz w:val="18"/>
          <w:szCs w:val="18"/>
          <w:lang w:val="cs-CZ"/>
        </w:rPr>
        <w:t>další zaměstnání a zároveň je přepočítán na ekvivalent plné pracovní doby (plný úvazek).</w:t>
      </w:r>
    </w:p>
    <w:p w:rsidR="00AD50E1" w:rsidRPr="006B1D99" w:rsidRDefault="00164103" w:rsidP="006B1D99">
      <w:pPr>
        <w:pStyle w:val="Zkladntext2"/>
        <w:widowControl/>
        <w:spacing w:before="120"/>
        <w:rPr>
          <w:rFonts w:cs="Arial"/>
          <w:sz w:val="18"/>
          <w:szCs w:val="18"/>
          <w:lang w:val="cs-CZ"/>
        </w:rPr>
      </w:pPr>
      <w:r w:rsidRPr="006B1D99">
        <w:rPr>
          <w:rFonts w:cs="Arial"/>
          <w:b/>
          <w:bCs/>
          <w:sz w:val="18"/>
          <w:szCs w:val="18"/>
          <w:lang w:val="cs-CZ"/>
        </w:rPr>
        <w:t>Podíly cestovního ruchu</w:t>
      </w:r>
      <w:r w:rsidRPr="006B1D99">
        <w:rPr>
          <w:rFonts w:cs="Arial"/>
          <w:sz w:val="18"/>
          <w:szCs w:val="18"/>
          <w:lang w:val="cs-CZ"/>
        </w:rPr>
        <w:t xml:space="preserve"> na hlavních makroekonomických ukazatelích vyjadřují tzv. přímý vliv cestovního ruchu.</w:t>
      </w:r>
    </w:p>
    <w:p w:rsidR="00AD50E1" w:rsidRPr="006B1D99" w:rsidRDefault="00AD50E1" w:rsidP="006B1D99">
      <w:pPr>
        <w:jc w:val="both"/>
        <w:rPr>
          <w:rFonts w:ascii="Arial" w:hAnsi="Arial" w:cs="Arial"/>
          <w:sz w:val="18"/>
          <w:szCs w:val="18"/>
          <w:lang w:val="cs-CZ"/>
        </w:rPr>
      </w:pPr>
    </w:p>
    <w:p w:rsidR="002331CA" w:rsidRPr="006B1D99" w:rsidRDefault="002331CA" w:rsidP="006B1D99">
      <w:pPr>
        <w:jc w:val="both"/>
        <w:rPr>
          <w:rFonts w:ascii="Arial" w:hAnsi="Arial" w:cs="Arial"/>
          <w:sz w:val="18"/>
          <w:szCs w:val="18"/>
          <w:lang w:val="cs-CZ"/>
        </w:rPr>
      </w:pPr>
    </w:p>
    <w:p w:rsidR="003A272C" w:rsidRPr="006B1D99" w:rsidRDefault="003A272C" w:rsidP="006B1D99">
      <w:pPr>
        <w:widowControl/>
        <w:suppressAutoHyphens/>
        <w:jc w:val="both"/>
        <w:rPr>
          <w:rFonts w:ascii="Arial" w:hAnsi="Arial" w:cs="Arial"/>
          <w:b/>
          <w:color w:val="0071BC"/>
          <w:lang w:val="cs-CZ"/>
        </w:rPr>
      </w:pPr>
      <w:r w:rsidRPr="006B1D99">
        <w:rPr>
          <w:rFonts w:ascii="Arial" w:hAnsi="Arial" w:cs="Arial"/>
          <w:b/>
          <w:color w:val="0071BC"/>
          <w:lang w:val="cs-CZ"/>
        </w:rPr>
        <w:t xml:space="preserve">Tab. </w:t>
      </w:r>
      <w:r w:rsidRPr="006B1D99">
        <w:rPr>
          <w:rFonts w:ascii="Arial" w:hAnsi="Arial" w:cs="Arial"/>
          <w:b/>
          <w:bCs/>
          <w:color w:val="0071BC"/>
          <w:lang w:val="cs-CZ"/>
        </w:rPr>
        <w:t>19</w:t>
      </w:r>
      <w:r w:rsidR="00C8011B" w:rsidRPr="006B1D99">
        <w:rPr>
          <w:rFonts w:ascii="Arial" w:hAnsi="Arial" w:cs="Arial"/>
          <w:b/>
          <w:color w:val="0071BC"/>
          <w:lang w:val="cs-CZ"/>
        </w:rPr>
        <w:t xml:space="preserve">-8 </w:t>
      </w:r>
      <w:r w:rsidRPr="006B1D99">
        <w:rPr>
          <w:rFonts w:ascii="Arial" w:hAnsi="Arial" w:cs="Arial"/>
          <w:b/>
          <w:color w:val="0071BC"/>
          <w:lang w:val="cs-CZ"/>
        </w:rPr>
        <w:t xml:space="preserve"> </w:t>
      </w:r>
      <w:r w:rsidRPr="006B1D99">
        <w:rPr>
          <w:rFonts w:ascii="Arial" w:hAnsi="Arial" w:cs="Arial"/>
          <w:b/>
          <w:bCs/>
          <w:color w:val="0071BC"/>
          <w:lang w:val="cs-CZ"/>
        </w:rPr>
        <w:t>Regionální satelit</w:t>
      </w:r>
      <w:r w:rsidR="005D02B8" w:rsidRPr="006B1D99">
        <w:rPr>
          <w:rFonts w:ascii="Arial" w:hAnsi="Arial" w:cs="Arial"/>
          <w:b/>
          <w:bCs/>
          <w:color w:val="0071BC"/>
          <w:lang w:val="cs-CZ"/>
        </w:rPr>
        <w:t>ní účet cestovního ruchu Česk</w:t>
      </w:r>
      <w:r w:rsidR="00BE3095" w:rsidRPr="006B1D99">
        <w:rPr>
          <w:rFonts w:ascii="Arial" w:hAnsi="Arial" w:cs="Arial"/>
          <w:b/>
          <w:bCs/>
          <w:color w:val="0071BC"/>
          <w:lang w:val="cs-CZ"/>
        </w:rPr>
        <w:t>é r</w:t>
      </w:r>
      <w:r w:rsidRPr="006B1D99">
        <w:rPr>
          <w:rFonts w:ascii="Arial" w:hAnsi="Arial" w:cs="Arial"/>
          <w:b/>
          <w:bCs/>
          <w:color w:val="0071BC"/>
          <w:lang w:val="cs-CZ"/>
        </w:rPr>
        <w:t>epubliky</w:t>
      </w:r>
    </w:p>
    <w:p w:rsidR="003A272C" w:rsidRPr="006B1D99" w:rsidRDefault="003A272C" w:rsidP="006B1D99">
      <w:pPr>
        <w:pStyle w:val="Zkladntext2"/>
        <w:widowControl/>
        <w:spacing w:before="120"/>
        <w:rPr>
          <w:rFonts w:cs="Arial"/>
          <w:sz w:val="18"/>
          <w:szCs w:val="18"/>
          <w:lang w:val="cs-CZ"/>
        </w:rPr>
      </w:pPr>
      <w:r w:rsidRPr="006B1D99">
        <w:rPr>
          <w:rFonts w:cs="Arial"/>
          <w:b/>
          <w:bCs/>
          <w:sz w:val="18"/>
          <w:szCs w:val="18"/>
          <w:lang w:val="cs-CZ"/>
        </w:rPr>
        <w:t>Regionální satelitní účet cestovního ruchu</w:t>
      </w:r>
      <w:r w:rsidRPr="006B1D99">
        <w:rPr>
          <w:rFonts w:cs="Arial"/>
          <w:sz w:val="18"/>
          <w:szCs w:val="18"/>
          <w:lang w:val="cs-CZ"/>
        </w:rPr>
        <w:t xml:space="preserve"> </w:t>
      </w:r>
      <w:r w:rsidR="00A775C9" w:rsidRPr="006B1D99">
        <w:rPr>
          <w:rFonts w:cs="Arial"/>
          <w:sz w:val="18"/>
          <w:szCs w:val="18"/>
          <w:lang w:val="cs-CZ"/>
        </w:rPr>
        <w:t>poskytuje informace o</w:t>
      </w:r>
      <w:r w:rsidR="002B321A" w:rsidRPr="006B1D99">
        <w:rPr>
          <w:rFonts w:cs="Arial"/>
          <w:sz w:val="18"/>
          <w:szCs w:val="18"/>
          <w:lang w:val="cs-CZ"/>
        </w:rPr>
        <w:t> </w:t>
      </w:r>
      <w:r w:rsidRPr="006B1D99">
        <w:rPr>
          <w:rFonts w:cs="Arial"/>
          <w:sz w:val="18"/>
          <w:szCs w:val="18"/>
          <w:lang w:val="cs-CZ"/>
        </w:rPr>
        <w:t>ekonomické</w:t>
      </w:r>
      <w:r w:rsidR="00A775C9" w:rsidRPr="006B1D99">
        <w:rPr>
          <w:rFonts w:cs="Arial"/>
          <w:sz w:val="18"/>
          <w:szCs w:val="18"/>
          <w:lang w:val="cs-CZ"/>
        </w:rPr>
        <w:t>m</w:t>
      </w:r>
      <w:r w:rsidRPr="006B1D99">
        <w:rPr>
          <w:rFonts w:cs="Arial"/>
          <w:sz w:val="18"/>
          <w:szCs w:val="18"/>
          <w:lang w:val="cs-CZ"/>
        </w:rPr>
        <w:t xml:space="preserve"> významu cestovního ruchu v</w:t>
      </w:r>
      <w:r w:rsidR="00A775C9" w:rsidRPr="006B1D99">
        <w:rPr>
          <w:rFonts w:cs="Arial"/>
          <w:sz w:val="18"/>
          <w:szCs w:val="18"/>
          <w:lang w:val="cs-CZ"/>
        </w:rPr>
        <w:t> </w:t>
      </w:r>
      <w:r w:rsidRPr="006B1D99">
        <w:rPr>
          <w:rFonts w:cs="Arial"/>
          <w:sz w:val="18"/>
          <w:szCs w:val="18"/>
          <w:lang w:val="cs-CZ"/>
        </w:rPr>
        <w:t>regionech</w:t>
      </w:r>
      <w:r w:rsidR="00A775C9" w:rsidRPr="006B1D99">
        <w:rPr>
          <w:rFonts w:cs="Arial"/>
          <w:sz w:val="18"/>
          <w:szCs w:val="18"/>
          <w:lang w:val="cs-CZ"/>
        </w:rPr>
        <w:t xml:space="preserve"> České republiky. P</w:t>
      </w:r>
      <w:r w:rsidR="002331CA" w:rsidRPr="006B1D99">
        <w:rPr>
          <w:rFonts w:cs="Arial"/>
          <w:sz w:val="18"/>
          <w:szCs w:val="18"/>
          <w:lang w:val="cs-CZ"/>
        </w:rPr>
        <w:t>ředstavuje</w:t>
      </w:r>
      <w:r w:rsidRPr="006B1D99">
        <w:rPr>
          <w:rFonts w:cs="Arial"/>
          <w:sz w:val="18"/>
          <w:szCs w:val="18"/>
          <w:lang w:val="cs-CZ"/>
        </w:rPr>
        <w:t xml:space="preserve"> </w:t>
      </w:r>
      <w:r w:rsidR="00A775C9" w:rsidRPr="006B1D99">
        <w:rPr>
          <w:rFonts w:cs="Arial"/>
          <w:sz w:val="18"/>
          <w:szCs w:val="18"/>
          <w:lang w:val="cs-CZ"/>
        </w:rPr>
        <w:t>regionální specifikac</w:t>
      </w:r>
      <w:r w:rsidR="002331CA" w:rsidRPr="006B1D99">
        <w:rPr>
          <w:rFonts w:cs="Arial"/>
          <w:sz w:val="18"/>
          <w:szCs w:val="18"/>
          <w:lang w:val="cs-CZ"/>
        </w:rPr>
        <w:t>i</w:t>
      </w:r>
      <w:r w:rsidR="00A775C9" w:rsidRPr="006B1D99">
        <w:rPr>
          <w:rFonts w:cs="Arial"/>
          <w:sz w:val="18"/>
          <w:szCs w:val="18"/>
          <w:lang w:val="cs-CZ"/>
        </w:rPr>
        <w:t xml:space="preserve"> satelitního účtu cestovního ruchu (TSA)</w:t>
      </w:r>
      <w:r w:rsidR="002331CA" w:rsidRPr="006B1D99">
        <w:rPr>
          <w:rFonts w:cs="Arial"/>
          <w:sz w:val="18"/>
          <w:szCs w:val="18"/>
          <w:lang w:val="cs-CZ"/>
        </w:rPr>
        <w:t xml:space="preserve"> na národní úrovni. Při sest</w:t>
      </w:r>
      <w:r w:rsidR="00F40701" w:rsidRPr="006B1D99">
        <w:rPr>
          <w:rFonts w:cs="Arial"/>
          <w:sz w:val="18"/>
          <w:szCs w:val="18"/>
          <w:lang w:val="cs-CZ"/>
        </w:rPr>
        <w:t>avování je využívána metoda „top-</w:t>
      </w:r>
      <w:proofErr w:type="spellStart"/>
      <w:r w:rsidR="002331CA" w:rsidRPr="006B1D99">
        <w:rPr>
          <w:rFonts w:cs="Arial"/>
          <w:sz w:val="18"/>
          <w:szCs w:val="18"/>
          <w:lang w:val="cs-CZ"/>
        </w:rPr>
        <w:t>down</w:t>
      </w:r>
      <w:proofErr w:type="spellEnd"/>
      <w:r w:rsidR="00F40701" w:rsidRPr="006B1D99">
        <w:rPr>
          <w:rFonts w:cs="Arial"/>
          <w:sz w:val="18"/>
          <w:szCs w:val="18"/>
          <w:lang w:val="cs-CZ"/>
        </w:rPr>
        <w:t>“</w:t>
      </w:r>
      <w:r w:rsidR="002331CA" w:rsidRPr="006B1D99">
        <w:rPr>
          <w:rFonts w:cs="Arial"/>
          <w:sz w:val="18"/>
          <w:szCs w:val="18"/>
          <w:lang w:val="cs-CZ"/>
        </w:rPr>
        <w:t>.</w:t>
      </w:r>
    </w:p>
    <w:p w:rsidR="00A775C9" w:rsidRPr="006B1D99" w:rsidRDefault="002331CA" w:rsidP="006B1D99">
      <w:pPr>
        <w:pStyle w:val="Zkladntext2"/>
        <w:widowControl/>
        <w:spacing w:before="120"/>
        <w:rPr>
          <w:rFonts w:cs="Arial"/>
          <w:sz w:val="18"/>
          <w:szCs w:val="18"/>
          <w:lang w:val="cs-CZ"/>
        </w:rPr>
      </w:pPr>
      <w:r w:rsidRPr="006B1D99">
        <w:rPr>
          <w:rFonts w:cs="Arial"/>
          <w:sz w:val="18"/>
          <w:szCs w:val="18"/>
          <w:lang w:val="cs-CZ"/>
        </w:rPr>
        <w:t xml:space="preserve">Data jsou rozdělena podle </w:t>
      </w:r>
      <w:r w:rsidR="00A775C9" w:rsidRPr="006B1D99">
        <w:rPr>
          <w:rFonts w:cs="Arial"/>
          <w:sz w:val="18"/>
          <w:szCs w:val="18"/>
          <w:lang w:val="cs-CZ"/>
        </w:rPr>
        <w:t xml:space="preserve">klasifikace NUTS </w:t>
      </w:r>
      <w:r w:rsidRPr="006B1D99">
        <w:rPr>
          <w:rFonts w:cs="Arial"/>
          <w:sz w:val="18"/>
          <w:szCs w:val="18"/>
          <w:lang w:val="cs-CZ"/>
        </w:rPr>
        <w:t>(</w:t>
      </w:r>
      <w:r w:rsidR="00A775C9" w:rsidRPr="006B1D99">
        <w:rPr>
          <w:rFonts w:cs="Arial"/>
          <w:sz w:val="18"/>
          <w:szCs w:val="18"/>
          <w:lang w:val="cs-CZ"/>
        </w:rPr>
        <w:t>jednotn</w:t>
      </w:r>
      <w:r w:rsidRPr="006B1D99">
        <w:rPr>
          <w:rFonts w:cs="Arial"/>
          <w:sz w:val="18"/>
          <w:szCs w:val="18"/>
          <w:lang w:val="cs-CZ"/>
        </w:rPr>
        <w:t>á</w:t>
      </w:r>
      <w:r w:rsidR="00A775C9" w:rsidRPr="006B1D99">
        <w:rPr>
          <w:rFonts w:cs="Arial"/>
          <w:sz w:val="18"/>
          <w:szCs w:val="18"/>
          <w:lang w:val="cs-CZ"/>
        </w:rPr>
        <w:t xml:space="preserve"> klasifikace územního členění Evropské unie</w:t>
      </w:r>
      <w:r w:rsidR="00FD72C0" w:rsidRPr="006B1D99">
        <w:rPr>
          <w:rFonts w:cs="Arial"/>
          <w:sz w:val="18"/>
          <w:szCs w:val="18"/>
          <w:lang w:val="cs-CZ"/>
        </w:rPr>
        <w:t>) do úrovně</w:t>
      </w:r>
      <w:r w:rsidR="00A775C9" w:rsidRPr="006B1D99">
        <w:rPr>
          <w:rFonts w:cs="Arial"/>
          <w:sz w:val="18"/>
          <w:szCs w:val="18"/>
          <w:lang w:val="cs-CZ"/>
        </w:rPr>
        <w:t xml:space="preserve"> NUTS 2 – regiony soudržnosti a</w:t>
      </w:r>
      <w:r w:rsidR="002B321A" w:rsidRPr="006B1D99">
        <w:rPr>
          <w:rFonts w:cs="Arial"/>
          <w:sz w:val="18"/>
          <w:szCs w:val="18"/>
          <w:lang w:val="cs-CZ"/>
        </w:rPr>
        <w:t> </w:t>
      </w:r>
      <w:r w:rsidR="00A775C9" w:rsidRPr="006B1D99">
        <w:rPr>
          <w:rFonts w:cs="Arial"/>
          <w:sz w:val="18"/>
          <w:szCs w:val="18"/>
          <w:lang w:val="cs-CZ"/>
        </w:rPr>
        <w:t>NUTS 3 – kraje</w:t>
      </w:r>
      <w:r w:rsidR="00FD72C0" w:rsidRPr="006B1D99">
        <w:rPr>
          <w:rFonts w:cs="Arial"/>
          <w:sz w:val="18"/>
          <w:szCs w:val="18"/>
          <w:lang w:val="cs-CZ"/>
        </w:rPr>
        <w:t>.</w:t>
      </w:r>
    </w:p>
    <w:p w:rsidR="00FD72C0" w:rsidRPr="006B1D99" w:rsidRDefault="00FD72C0" w:rsidP="006B1D99">
      <w:pPr>
        <w:pStyle w:val="Zkladntext2"/>
        <w:widowControl/>
        <w:rPr>
          <w:rFonts w:cs="Arial"/>
          <w:sz w:val="18"/>
          <w:szCs w:val="18"/>
          <w:lang w:val="cs-CZ"/>
        </w:rPr>
      </w:pPr>
    </w:p>
    <w:p w:rsidR="00AD50E1" w:rsidRPr="006B1D99" w:rsidRDefault="00AD50E1" w:rsidP="006B1D99">
      <w:pPr>
        <w:pStyle w:val="Zkladntext2"/>
        <w:widowControl/>
        <w:rPr>
          <w:rFonts w:cs="Arial"/>
          <w:sz w:val="18"/>
          <w:szCs w:val="18"/>
          <w:lang w:val="cs-CZ"/>
        </w:rPr>
      </w:pPr>
    </w:p>
    <w:p w:rsidR="00AD50E1" w:rsidRPr="006B1D99" w:rsidRDefault="00AD50E1" w:rsidP="006B1D9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jc w:val="center"/>
        <w:rPr>
          <w:rFonts w:ascii="Arial" w:hAnsi="Arial" w:cs="Arial"/>
          <w:color w:val="0071BC"/>
          <w:lang w:val="cs-CZ"/>
        </w:rPr>
      </w:pPr>
      <w:r w:rsidRPr="006B1D99">
        <w:rPr>
          <w:rFonts w:ascii="Arial" w:hAnsi="Arial" w:cs="Arial"/>
          <w:color w:val="0071BC"/>
          <w:lang w:val="cs-CZ"/>
        </w:rPr>
        <w:t>*          *          *</w:t>
      </w:r>
    </w:p>
    <w:p w:rsidR="00AD50E1" w:rsidRPr="006B1D99" w:rsidRDefault="00AD50E1" w:rsidP="006B1D9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jc w:val="both"/>
        <w:rPr>
          <w:rFonts w:ascii="Arial" w:hAnsi="Arial" w:cs="Arial"/>
          <w:sz w:val="18"/>
          <w:szCs w:val="18"/>
          <w:lang w:val="cs-CZ"/>
        </w:rPr>
      </w:pPr>
    </w:p>
    <w:p w:rsidR="00AD50E1" w:rsidRPr="006B1D99" w:rsidRDefault="00AD50E1" w:rsidP="006B1D99">
      <w:pPr>
        <w:widowControl/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suppressAutoHyphens/>
        <w:jc w:val="both"/>
        <w:rPr>
          <w:rFonts w:ascii="Arial" w:hAnsi="Arial" w:cs="Arial"/>
          <w:sz w:val="18"/>
          <w:szCs w:val="18"/>
          <w:lang w:val="cs-CZ"/>
        </w:rPr>
      </w:pPr>
    </w:p>
    <w:p w:rsidR="00AD50E1" w:rsidRPr="006B1D99" w:rsidRDefault="00164103" w:rsidP="006B1D99">
      <w:pPr>
        <w:pStyle w:val="Zkladntextodsazen2"/>
        <w:widowControl/>
        <w:spacing w:before="0"/>
        <w:ind w:left="0" w:firstLine="0"/>
        <w:rPr>
          <w:rFonts w:ascii="Arial" w:hAnsi="Arial" w:cs="Arial"/>
          <w:sz w:val="18"/>
          <w:szCs w:val="18"/>
          <w:lang w:val="cs-CZ"/>
        </w:rPr>
      </w:pPr>
      <w:r w:rsidRPr="006B1D99">
        <w:rPr>
          <w:rFonts w:ascii="Arial" w:hAnsi="Arial" w:cs="Arial"/>
          <w:sz w:val="18"/>
          <w:szCs w:val="18"/>
          <w:lang w:val="cs-CZ"/>
        </w:rPr>
        <w:t>Další informace jsou dostupné na internetových stránkách Českého statistického úřadu:</w:t>
      </w:r>
    </w:p>
    <w:p w:rsidR="0054710E" w:rsidRPr="006B1D99" w:rsidRDefault="00164103" w:rsidP="006B1D99">
      <w:pPr>
        <w:pStyle w:val="Zkladntext2"/>
        <w:widowControl/>
        <w:spacing w:before="120"/>
        <w:rPr>
          <w:rFonts w:cs="Arial"/>
          <w:sz w:val="18"/>
          <w:szCs w:val="18"/>
          <w:lang w:val="cs-CZ"/>
        </w:rPr>
      </w:pPr>
      <w:r w:rsidRPr="006B1D99">
        <w:rPr>
          <w:rFonts w:cs="Arial"/>
          <w:sz w:val="18"/>
          <w:szCs w:val="18"/>
          <w:lang w:val="cs-CZ"/>
        </w:rPr>
        <w:t>–</w:t>
      </w:r>
      <w:r w:rsidRPr="006B1D99">
        <w:rPr>
          <w:rFonts w:cs="Arial"/>
          <w:sz w:val="18"/>
          <w:szCs w:val="18"/>
          <w:u w:val="single"/>
          <w:lang w:val="cs-CZ"/>
        </w:rPr>
        <w:t> </w:t>
      </w:r>
      <w:hyperlink r:id="rId6" w:history="1">
        <w:r w:rsidRPr="006B1D99">
          <w:rPr>
            <w:rStyle w:val="Hypertextovodkaz"/>
            <w:rFonts w:cs="Arial"/>
            <w:sz w:val="18"/>
            <w:szCs w:val="18"/>
            <w:lang w:val="cs-CZ"/>
          </w:rPr>
          <w:t>www.czso.cz/csu/czso/cestovni_ruch</w:t>
        </w:r>
      </w:hyperlink>
    </w:p>
    <w:sectPr w:rsidR="0054710E" w:rsidRPr="006B1D99" w:rsidSect="00390C29">
      <w:footnotePr>
        <w:numRestart w:val="eachSect"/>
      </w:footnotePr>
      <w:endnotePr>
        <w:numFmt w:val="decimal"/>
      </w:endnotePr>
      <w:pgSz w:w="11907" w:h="16840" w:code="9"/>
      <w:pgMar w:top="1134" w:right="964" w:bottom="1418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CE obye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63E1E"/>
    <w:multiLevelType w:val="hybridMultilevel"/>
    <w:tmpl w:val="0448B5A0"/>
    <w:lvl w:ilvl="0" w:tplc="6ECAB568">
      <w:start w:val="1"/>
      <w:numFmt w:val="upperLetter"/>
      <w:pStyle w:val="Nadpis5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7D"/>
    <w:rsid w:val="00000A90"/>
    <w:rsid w:val="00011948"/>
    <w:rsid w:val="00030E44"/>
    <w:rsid w:val="00037D6B"/>
    <w:rsid w:val="000407A7"/>
    <w:rsid w:val="000535C7"/>
    <w:rsid w:val="00062CDC"/>
    <w:rsid w:val="00085A7D"/>
    <w:rsid w:val="00085F1C"/>
    <w:rsid w:val="00097DA3"/>
    <w:rsid w:val="000B1B79"/>
    <w:rsid w:val="000B25AB"/>
    <w:rsid w:val="000C74FE"/>
    <w:rsid w:val="000F0DAB"/>
    <w:rsid w:val="001038CB"/>
    <w:rsid w:val="00115C6E"/>
    <w:rsid w:val="00126D7A"/>
    <w:rsid w:val="00134DCA"/>
    <w:rsid w:val="00160537"/>
    <w:rsid w:val="00164103"/>
    <w:rsid w:val="0016503F"/>
    <w:rsid w:val="00171340"/>
    <w:rsid w:val="00177605"/>
    <w:rsid w:val="0017785D"/>
    <w:rsid w:val="0018065B"/>
    <w:rsid w:val="0018635B"/>
    <w:rsid w:val="001A1FDC"/>
    <w:rsid w:val="001D71A0"/>
    <w:rsid w:val="001E3653"/>
    <w:rsid w:val="001E7E5C"/>
    <w:rsid w:val="00212F32"/>
    <w:rsid w:val="0023206A"/>
    <w:rsid w:val="002331CA"/>
    <w:rsid w:val="0026185D"/>
    <w:rsid w:val="00285CC9"/>
    <w:rsid w:val="002915EF"/>
    <w:rsid w:val="002A15E7"/>
    <w:rsid w:val="002A16D3"/>
    <w:rsid w:val="002A18B0"/>
    <w:rsid w:val="002A457F"/>
    <w:rsid w:val="002B321A"/>
    <w:rsid w:val="002B5DFC"/>
    <w:rsid w:val="002C488C"/>
    <w:rsid w:val="002D02F4"/>
    <w:rsid w:val="00312923"/>
    <w:rsid w:val="00340E46"/>
    <w:rsid w:val="003522AA"/>
    <w:rsid w:val="00361029"/>
    <w:rsid w:val="003879D3"/>
    <w:rsid w:val="00390C29"/>
    <w:rsid w:val="003A272C"/>
    <w:rsid w:val="003E29C7"/>
    <w:rsid w:val="003E6FC9"/>
    <w:rsid w:val="00400E61"/>
    <w:rsid w:val="00417114"/>
    <w:rsid w:val="00421C96"/>
    <w:rsid w:val="004245AD"/>
    <w:rsid w:val="00435AE8"/>
    <w:rsid w:val="00435E6E"/>
    <w:rsid w:val="0044794C"/>
    <w:rsid w:val="004519E6"/>
    <w:rsid w:val="00460D95"/>
    <w:rsid w:val="004828D4"/>
    <w:rsid w:val="004A4F85"/>
    <w:rsid w:val="004C5995"/>
    <w:rsid w:val="004D09AE"/>
    <w:rsid w:val="004E0F88"/>
    <w:rsid w:val="004E59C8"/>
    <w:rsid w:val="0050671F"/>
    <w:rsid w:val="00513093"/>
    <w:rsid w:val="005139B3"/>
    <w:rsid w:val="00516A90"/>
    <w:rsid w:val="00535D97"/>
    <w:rsid w:val="0054710E"/>
    <w:rsid w:val="00547525"/>
    <w:rsid w:val="00565177"/>
    <w:rsid w:val="0056716C"/>
    <w:rsid w:val="005955AA"/>
    <w:rsid w:val="005A7EE2"/>
    <w:rsid w:val="005C3EDD"/>
    <w:rsid w:val="005D02B8"/>
    <w:rsid w:val="005E4D78"/>
    <w:rsid w:val="005E7C64"/>
    <w:rsid w:val="005F7B4D"/>
    <w:rsid w:val="0061133A"/>
    <w:rsid w:val="006A4CA9"/>
    <w:rsid w:val="006B1D99"/>
    <w:rsid w:val="006B7B3E"/>
    <w:rsid w:val="006B7CFF"/>
    <w:rsid w:val="006C5C55"/>
    <w:rsid w:val="006D69D0"/>
    <w:rsid w:val="006D7F06"/>
    <w:rsid w:val="006F06A4"/>
    <w:rsid w:val="006F4BE9"/>
    <w:rsid w:val="006F5186"/>
    <w:rsid w:val="00705711"/>
    <w:rsid w:val="00756121"/>
    <w:rsid w:val="00780AA1"/>
    <w:rsid w:val="00782CAA"/>
    <w:rsid w:val="00794043"/>
    <w:rsid w:val="007A0C58"/>
    <w:rsid w:val="007A4CB9"/>
    <w:rsid w:val="007F431F"/>
    <w:rsid w:val="00805398"/>
    <w:rsid w:val="00831010"/>
    <w:rsid w:val="00844CD2"/>
    <w:rsid w:val="00854A81"/>
    <w:rsid w:val="00856909"/>
    <w:rsid w:val="00860E9C"/>
    <w:rsid w:val="008701C1"/>
    <w:rsid w:val="00871C6C"/>
    <w:rsid w:val="00873F9A"/>
    <w:rsid w:val="00885281"/>
    <w:rsid w:val="008B1FC6"/>
    <w:rsid w:val="008C1D0C"/>
    <w:rsid w:val="008C4D3B"/>
    <w:rsid w:val="008E1E6C"/>
    <w:rsid w:val="00905EED"/>
    <w:rsid w:val="0091536F"/>
    <w:rsid w:val="00935CE8"/>
    <w:rsid w:val="00972D22"/>
    <w:rsid w:val="009815AA"/>
    <w:rsid w:val="009855A4"/>
    <w:rsid w:val="00987918"/>
    <w:rsid w:val="0099712C"/>
    <w:rsid w:val="009C3516"/>
    <w:rsid w:val="009D5AB4"/>
    <w:rsid w:val="009D74C7"/>
    <w:rsid w:val="009D7869"/>
    <w:rsid w:val="00A22D72"/>
    <w:rsid w:val="00A4568C"/>
    <w:rsid w:val="00A50980"/>
    <w:rsid w:val="00A61710"/>
    <w:rsid w:val="00A7548E"/>
    <w:rsid w:val="00A775C9"/>
    <w:rsid w:val="00A83D2F"/>
    <w:rsid w:val="00A9257D"/>
    <w:rsid w:val="00A957EB"/>
    <w:rsid w:val="00A975A2"/>
    <w:rsid w:val="00AD50E1"/>
    <w:rsid w:val="00AF59D9"/>
    <w:rsid w:val="00B173B1"/>
    <w:rsid w:val="00B455C6"/>
    <w:rsid w:val="00B74F8A"/>
    <w:rsid w:val="00B80EF4"/>
    <w:rsid w:val="00B95867"/>
    <w:rsid w:val="00BA2570"/>
    <w:rsid w:val="00BC2E6F"/>
    <w:rsid w:val="00BC4203"/>
    <w:rsid w:val="00BD0003"/>
    <w:rsid w:val="00BE0C67"/>
    <w:rsid w:val="00BE3095"/>
    <w:rsid w:val="00C1674E"/>
    <w:rsid w:val="00C16B4F"/>
    <w:rsid w:val="00C32CB2"/>
    <w:rsid w:val="00C504CB"/>
    <w:rsid w:val="00C8011B"/>
    <w:rsid w:val="00C813F2"/>
    <w:rsid w:val="00C95471"/>
    <w:rsid w:val="00CA58B7"/>
    <w:rsid w:val="00CB7FB5"/>
    <w:rsid w:val="00CC007A"/>
    <w:rsid w:val="00CE3D4A"/>
    <w:rsid w:val="00CE56A0"/>
    <w:rsid w:val="00CE7F77"/>
    <w:rsid w:val="00D11567"/>
    <w:rsid w:val="00D24E2B"/>
    <w:rsid w:val="00D30A09"/>
    <w:rsid w:val="00D403C4"/>
    <w:rsid w:val="00D62837"/>
    <w:rsid w:val="00D6329E"/>
    <w:rsid w:val="00D64A6E"/>
    <w:rsid w:val="00D6689F"/>
    <w:rsid w:val="00D816C4"/>
    <w:rsid w:val="00D91C63"/>
    <w:rsid w:val="00D96A21"/>
    <w:rsid w:val="00DA5346"/>
    <w:rsid w:val="00DA65BF"/>
    <w:rsid w:val="00DB2123"/>
    <w:rsid w:val="00DC68CB"/>
    <w:rsid w:val="00DE00F9"/>
    <w:rsid w:val="00DE76CD"/>
    <w:rsid w:val="00DF08D5"/>
    <w:rsid w:val="00DF7A9F"/>
    <w:rsid w:val="00E10E8D"/>
    <w:rsid w:val="00E16EB4"/>
    <w:rsid w:val="00E265D4"/>
    <w:rsid w:val="00E33D5A"/>
    <w:rsid w:val="00E62C1D"/>
    <w:rsid w:val="00E743B9"/>
    <w:rsid w:val="00E94093"/>
    <w:rsid w:val="00E94A9E"/>
    <w:rsid w:val="00EA45E0"/>
    <w:rsid w:val="00EA7047"/>
    <w:rsid w:val="00EB1BA0"/>
    <w:rsid w:val="00EB524B"/>
    <w:rsid w:val="00ED031E"/>
    <w:rsid w:val="00EE2DC0"/>
    <w:rsid w:val="00EF56FF"/>
    <w:rsid w:val="00EF5744"/>
    <w:rsid w:val="00EF789B"/>
    <w:rsid w:val="00F00C1A"/>
    <w:rsid w:val="00F0175E"/>
    <w:rsid w:val="00F03476"/>
    <w:rsid w:val="00F036E5"/>
    <w:rsid w:val="00F059E3"/>
    <w:rsid w:val="00F0608A"/>
    <w:rsid w:val="00F067C2"/>
    <w:rsid w:val="00F17BAC"/>
    <w:rsid w:val="00F21165"/>
    <w:rsid w:val="00F21603"/>
    <w:rsid w:val="00F24F0C"/>
    <w:rsid w:val="00F40701"/>
    <w:rsid w:val="00F601F5"/>
    <w:rsid w:val="00F61486"/>
    <w:rsid w:val="00F87CF5"/>
    <w:rsid w:val="00FB071E"/>
    <w:rsid w:val="00FD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6130"/>
  <w15:docId w15:val="{941DDBB8-769C-4606-B592-68A336E2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5A7D"/>
    <w:pPr>
      <w:widowControl w:val="0"/>
      <w:autoSpaceDE w:val="0"/>
      <w:autoSpaceDN w:val="0"/>
      <w:adjustRightInd w:val="0"/>
    </w:pPr>
    <w:rPr>
      <w:rFonts w:ascii="Times New Roman CE obyeejné" w:eastAsia="Times New Roman" w:hAnsi="Times New Roman CE obyeejné"/>
      <w:lang w:val="en-US"/>
    </w:rPr>
  </w:style>
  <w:style w:type="paragraph" w:styleId="Nadpis2">
    <w:name w:val="heading 2"/>
    <w:basedOn w:val="Normln"/>
    <w:next w:val="Normln"/>
    <w:link w:val="Nadpis2Char"/>
    <w:qFormat/>
    <w:rsid w:val="00085A7D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uppressAutoHyphens/>
      <w:jc w:val="both"/>
      <w:outlineLvl w:val="1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085A7D"/>
    <w:pPr>
      <w:keepNext/>
      <w:numPr>
        <w:numId w:val="1"/>
      </w:numPr>
      <w:tabs>
        <w:tab w:val="clear" w:pos="720"/>
        <w:tab w:val="left" w:pos="284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uppressAutoHyphens/>
      <w:ind w:left="284" w:hanging="284"/>
      <w:jc w:val="both"/>
      <w:outlineLvl w:val="4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085A7D"/>
    <w:rPr>
      <w:rFonts w:ascii="Times New Roman CE obyeejné" w:eastAsia="Times New Roman" w:hAnsi="Times New Roman CE obyeejné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link w:val="Nadpis5"/>
    <w:rsid w:val="00085A7D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085A7D"/>
    <w:pPr>
      <w:tabs>
        <w:tab w:val="left" w:pos="0"/>
        <w:tab w:val="left" w:pos="70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</w:tabs>
      <w:suppressAutoHyphens/>
      <w:jc w:val="both"/>
    </w:pPr>
    <w:rPr>
      <w:b/>
      <w:bCs/>
    </w:rPr>
  </w:style>
  <w:style w:type="character" w:customStyle="1" w:styleId="ZkladntextChar">
    <w:name w:val="Základní text Char"/>
    <w:link w:val="Zkladntext"/>
    <w:semiHidden/>
    <w:rsid w:val="00085A7D"/>
    <w:rPr>
      <w:rFonts w:ascii="Times New Roman CE obyeejné" w:eastAsia="Times New Roman" w:hAnsi="Times New Roman CE obyeejné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085A7D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uppressAutoHyphens/>
      <w:spacing w:before="120"/>
      <w:jc w:val="both"/>
    </w:pPr>
  </w:style>
  <w:style w:type="character" w:customStyle="1" w:styleId="ZkladntextodsazenChar">
    <w:name w:val="Základní text odsazený Char"/>
    <w:link w:val="Zkladntextodsazen"/>
    <w:semiHidden/>
    <w:rsid w:val="00085A7D"/>
    <w:rPr>
      <w:rFonts w:ascii="Times New Roman CE obyeejné" w:eastAsia="Times New Roman" w:hAnsi="Times New Roman CE obyeejné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085A7D"/>
    <w:pPr>
      <w:tabs>
        <w:tab w:val="left" w:pos="0"/>
        <w:tab w:val="left" w:pos="70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</w:tabs>
      <w:suppressAutoHyphens/>
      <w:spacing w:before="120"/>
      <w:ind w:left="879" w:hanging="709"/>
      <w:jc w:val="both"/>
    </w:pPr>
  </w:style>
  <w:style w:type="character" w:customStyle="1" w:styleId="Zkladntextodsazen2Char">
    <w:name w:val="Základní text odsazený 2 Char"/>
    <w:link w:val="Zkladntextodsazen2"/>
    <w:semiHidden/>
    <w:rsid w:val="00085A7D"/>
    <w:rPr>
      <w:rFonts w:ascii="Times New Roman CE obyeejné" w:eastAsia="Times New Roman" w:hAnsi="Times New Roman CE obyeejné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rsid w:val="00085A7D"/>
  </w:style>
  <w:style w:type="character" w:customStyle="1" w:styleId="TextkomenteChar">
    <w:name w:val="Text komentáře Char"/>
    <w:link w:val="Textkomente"/>
    <w:semiHidden/>
    <w:rsid w:val="00085A7D"/>
    <w:rPr>
      <w:rFonts w:ascii="Times New Roman CE obyeejné" w:eastAsia="Times New Roman" w:hAnsi="Times New Roman CE obyeejné" w:cs="Times New Roman"/>
      <w:sz w:val="20"/>
      <w:szCs w:val="20"/>
      <w:lang w:val="en-US" w:eastAsia="cs-CZ"/>
    </w:rPr>
  </w:style>
  <w:style w:type="paragraph" w:styleId="Zkladntext2">
    <w:name w:val="Body Text 2"/>
    <w:basedOn w:val="Normln"/>
    <w:link w:val="Zkladntext2Char"/>
    <w:semiHidden/>
    <w:rsid w:val="00085A7D"/>
    <w:pPr>
      <w:tabs>
        <w:tab w:val="left" w:pos="0"/>
        <w:tab w:val="left" w:pos="70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</w:tabs>
      <w:suppressAutoHyphens/>
      <w:jc w:val="both"/>
    </w:pPr>
    <w:rPr>
      <w:rFonts w:ascii="Arial" w:hAnsi="Arial"/>
    </w:rPr>
  </w:style>
  <w:style w:type="character" w:customStyle="1" w:styleId="Zkladntext2Char">
    <w:name w:val="Základní text 2 Char"/>
    <w:link w:val="Zkladntext2"/>
    <w:semiHidden/>
    <w:rsid w:val="00085A7D"/>
    <w:rPr>
      <w:rFonts w:ascii="Arial" w:eastAsia="Times New Roman" w:hAnsi="Arial" w:cs="Arial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18635B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DB2123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674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1674E"/>
    <w:rPr>
      <w:rFonts w:ascii="Tahoma" w:eastAsia="Times New Roman" w:hAnsi="Tahoma" w:cs="Tahoma"/>
      <w:sz w:val="16"/>
      <w:szCs w:val="16"/>
      <w:lang w:val="en-US"/>
    </w:rPr>
  </w:style>
  <w:style w:type="character" w:styleId="Odkaznakoment">
    <w:name w:val="annotation reference"/>
    <w:uiPriority w:val="99"/>
    <w:semiHidden/>
    <w:unhideWhenUsed/>
    <w:rsid w:val="00C1674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674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1674E"/>
    <w:rPr>
      <w:rFonts w:ascii="Times New Roman CE obyeejné" w:eastAsia="Times New Roman" w:hAnsi="Times New Roman CE obyeejné" w:cs="Times New Roman"/>
      <w:b/>
      <w:bCs/>
      <w:sz w:val="20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zso.cz/csu/czso/cestovni_ru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C6058-8567-4B88-B1AE-4D79A0A7E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1064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7331</CharactersWithSpaces>
  <SharedDoc>false</SharedDoc>
  <HLinks>
    <vt:vector size="24" baseType="variant">
      <vt:variant>
        <vt:i4>2293824</vt:i4>
      </vt:variant>
      <vt:variant>
        <vt:i4>9</vt:i4>
      </vt:variant>
      <vt:variant>
        <vt:i4>0</vt:i4>
      </vt:variant>
      <vt:variant>
        <vt:i4>5</vt:i4>
      </vt:variant>
      <vt:variant>
        <vt:lpwstr>http://www.tourism.cz/mapa/mapa.phtml?id_objektu=113950</vt:lpwstr>
      </vt:variant>
      <vt:variant>
        <vt:lpwstr/>
      </vt:variant>
      <vt:variant>
        <vt:i4>8323119</vt:i4>
      </vt:variant>
      <vt:variant>
        <vt:i4>6</vt:i4>
      </vt:variant>
      <vt:variant>
        <vt:i4>0</vt:i4>
      </vt:variant>
      <vt:variant>
        <vt:i4>5</vt:i4>
      </vt:variant>
      <vt:variant>
        <vt:lpwstr>http://www.czechtourism.cz/</vt:lpwstr>
      </vt:variant>
      <vt:variant>
        <vt:lpwstr/>
      </vt:variant>
      <vt:variant>
        <vt:i4>5439600</vt:i4>
      </vt:variant>
      <vt:variant>
        <vt:i4>3</vt:i4>
      </vt:variant>
      <vt:variant>
        <vt:i4>0</vt:i4>
      </vt:variant>
      <vt:variant>
        <vt:i4>5</vt:i4>
      </vt:variant>
      <vt:variant>
        <vt:lpwstr>http://www.czso.cz/csu/redakce.nsf/i/cestovni_ruch</vt:lpwstr>
      </vt:variant>
      <vt:variant>
        <vt:lpwstr/>
      </vt:variant>
      <vt:variant>
        <vt:i4>5242967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http://www.czso.cz/csu/redakce.nsf/i/obchod_pohostinstvi_ubytovani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  CESTOVNÍ RUCH, Metodické vysvětlivky, Statistická ročenka ČR 2023</dc:title>
  <dc:creator>Český statistický úřad</dc:creator>
  <cp:lastModifiedBy>Zadák Rostislav</cp:lastModifiedBy>
  <cp:revision>24</cp:revision>
  <cp:lastPrinted>2015-08-04T11:02:00Z</cp:lastPrinted>
  <dcterms:created xsi:type="dcterms:W3CDTF">2022-01-27T08:53:00Z</dcterms:created>
  <dcterms:modified xsi:type="dcterms:W3CDTF">2023-11-10T10:44:00Z</dcterms:modified>
</cp:coreProperties>
</file>