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9DFF1" w14:textId="2E609056" w:rsidR="00A668A3" w:rsidRPr="00C72884" w:rsidRDefault="00A668A3" w:rsidP="00A668A3">
      <w:pPr>
        <w:pStyle w:val="Nadpis1"/>
      </w:pPr>
      <w:bookmarkStart w:id="0" w:name="_Toc444112494"/>
      <w:bookmarkStart w:id="1" w:name="_Toc511215208"/>
      <w:bookmarkStart w:id="2" w:name="_Toc511215218"/>
      <w:r w:rsidRPr="00C72884">
        <w:t>1. Shrnutí</w:t>
      </w:r>
      <w:bookmarkEnd w:id="0"/>
      <w:bookmarkEnd w:id="1"/>
    </w:p>
    <w:p w14:paraId="5340E483" w14:textId="77777777" w:rsidR="00A668A3" w:rsidRPr="00C32964" w:rsidRDefault="00A668A3" w:rsidP="00A668A3">
      <w:pPr>
        <w:pStyle w:val="Normalodrka"/>
      </w:pPr>
      <w:r w:rsidRPr="00C32964">
        <w:t>Hrubý domácí produkt (HDP) v</w:t>
      </w:r>
      <w:r>
        <w:t>e</w:t>
      </w:r>
      <w:r w:rsidRPr="00C32964">
        <w:t xml:space="preserve"> </w:t>
      </w:r>
      <w:r>
        <w:t>2</w:t>
      </w:r>
      <w:r w:rsidRPr="00C32964">
        <w:t>. čtvrtletí 2024 rostl mezičtvrtletně o 0,3 %</w:t>
      </w:r>
      <w:r w:rsidRPr="00C32964">
        <w:rPr>
          <w:rStyle w:val="Znakapoznpodarou"/>
          <w:spacing w:val="-4"/>
        </w:rPr>
        <w:footnoteReference w:id="1"/>
      </w:r>
      <w:r w:rsidRPr="00C32964">
        <w:t>. Pokračovalo mezičtvrtletní oživení domácí spotřeby</w:t>
      </w:r>
      <w:r>
        <w:t xml:space="preserve">, rostla investiční aktivita </w:t>
      </w:r>
      <w:r w:rsidRPr="00C32964">
        <w:t xml:space="preserve">a na růst HDP </w:t>
      </w:r>
      <w:r>
        <w:t xml:space="preserve">mírně </w:t>
      </w:r>
      <w:r w:rsidRPr="00C32964">
        <w:t xml:space="preserve">pozitivně působila i </w:t>
      </w:r>
      <w:r>
        <w:t xml:space="preserve">zahraniční poptávka. Mezičtvrtletní </w:t>
      </w:r>
      <w:r w:rsidRPr="00C32964">
        <w:t xml:space="preserve">růst HDP </w:t>
      </w:r>
      <w:r>
        <w:t xml:space="preserve">naopak </w:t>
      </w:r>
      <w:r w:rsidRPr="00C32964">
        <w:t xml:space="preserve">brzdila </w:t>
      </w:r>
      <w:r>
        <w:t>změna zásob</w:t>
      </w:r>
      <w:r w:rsidRPr="00C32964">
        <w:t>. Meziročně byl HDP vyšší o 0,</w:t>
      </w:r>
      <w:r>
        <w:t>6</w:t>
      </w:r>
      <w:r w:rsidRPr="00C32964">
        <w:t xml:space="preserve"> %. Vyšší </w:t>
      </w:r>
      <w:r>
        <w:t xml:space="preserve">byla </w:t>
      </w:r>
      <w:r w:rsidRPr="00C32964">
        <w:t>spotřeba</w:t>
      </w:r>
      <w:r>
        <w:t xml:space="preserve"> domácností i vládních institucí </w:t>
      </w:r>
      <w:r w:rsidRPr="00C32964">
        <w:t>a</w:t>
      </w:r>
      <w:r>
        <w:t xml:space="preserve"> mírně pozitivně působila</w:t>
      </w:r>
      <w:r w:rsidRPr="00C32964">
        <w:t xml:space="preserve"> zahraniční poptávka</w:t>
      </w:r>
      <w:r>
        <w:t xml:space="preserve"> a investiční aktivita</w:t>
      </w:r>
      <w:r w:rsidRPr="00C32964">
        <w:t xml:space="preserve">. </w:t>
      </w:r>
      <w:r>
        <w:t xml:space="preserve">Na růst HDP </w:t>
      </w:r>
      <w:r w:rsidRPr="00C32964">
        <w:t xml:space="preserve">působila </w:t>
      </w:r>
      <w:r>
        <w:t xml:space="preserve">výrazně negativně </w:t>
      </w:r>
      <w:r w:rsidRPr="00C32964">
        <w:t>změna zásob. Hrubý domácí produkt v EU v</w:t>
      </w:r>
      <w:r>
        <w:t>e</w:t>
      </w:r>
      <w:r w:rsidRPr="00C32964">
        <w:t xml:space="preserve"> </w:t>
      </w:r>
      <w:r>
        <w:t>2</w:t>
      </w:r>
      <w:r w:rsidRPr="00C32964">
        <w:t>. čtvrtletí meziročně rostl o 0,</w:t>
      </w:r>
      <w:r>
        <w:t>8</w:t>
      </w:r>
      <w:r w:rsidRPr="00C32964">
        <w:t xml:space="preserve"> % a mezičtvrtletně o 0,</w:t>
      </w:r>
      <w:r>
        <w:t>2</w:t>
      </w:r>
      <w:r w:rsidRPr="00C32964">
        <w:t xml:space="preserve"> %. </w:t>
      </w:r>
      <w:r>
        <w:t>Německá ekonomika stagnovala a v</w:t>
      </w:r>
      <w:r w:rsidRPr="00C32964">
        <w:t xml:space="preserve"> rámci středoevropského regionu</w:t>
      </w:r>
      <w:r>
        <w:t xml:space="preserve"> se propadal HDP Rakouska a Maďarska.</w:t>
      </w:r>
      <w:r w:rsidRPr="00C32964">
        <w:t xml:space="preserve"> </w:t>
      </w:r>
      <w:r>
        <w:t>Mírně rostlo Slovensko. Ve stagnující střední Evropě je výjimkou Polsko, které ve 2. čtvrtletí rostlo nejvíce v EU.</w:t>
      </w:r>
    </w:p>
    <w:p w14:paraId="7B8B45C3" w14:textId="5B9AFCD9" w:rsidR="00A668A3" w:rsidRPr="00C32964" w:rsidRDefault="00A668A3" w:rsidP="00A668A3">
      <w:pPr>
        <w:pStyle w:val="Normalodrka"/>
      </w:pPr>
      <w:r w:rsidRPr="00C32964">
        <w:t>Hrubá přidaná hodnota (HPH) se ve 2. čtvrtletí mezičtvrtletně zvýšila o 0,5 %</w:t>
      </w:r>
      <w:r>
        <w:t xml:space="preserve"> a meziročně stagnovala (0,1 %)</w:t>
      </w:r>
      <w:r w:rsidRPr="00C32964">
        <w:t xml:space="preserve">. </w:t>
      </w:r>
      <w:r>
        <w:t>V meziročním i mezičtvrtletním srovnání bylo patrné pozitivní působení služeb, které čerpají z oživení domácí spotřeby. Naopak HPH průmyslu klesla mezičtvrtletně o 0,6 % a meziročně o 2,5 %. V samotném zpracovatelském průmyslu (</w:t>
      </w:r>
      <w:r w:rsidR="00D42211">
        <w:t>−</w:t>
      </w:r>
      <w:r>
        <w:t xml:space="preserve">1,7 % mezičtvrtletně a </w:t>
      </w:r>
      <w:r w:rsidR="00D42211">
        <w:t>−</w:t>
      </w:r>
      <w:r>
        <w:t xml:space="preserve">3,0 % meziročně) byl pokles dokonce hlubší než v průmyslu jako celku. </w:t>
      </w:r>
      <w:r w:rsidRPr="00C32964">
        <w:t>Ani 2.</w:t>
      </w:r>
      <w:r>
        <w:t> </w:t>
      </w:r>
      <w:r w:rsidRPr="00C32964">
        <w:t xml:space="preserve">čtvrtletí nepřineslo obrat v dlouhodobě </w:t>
      </w:r>
      <w:r w:rsidR="00D23C02">
        <w:t>stagnujícím</w:t>
      </w:r>
      <w:r w:rsidRPr="00C32964">
        <w:t xml:space="preserve"> stavebnictví</w:t>
      </w:r>
      <w:r>
        <w:t xml:space="preserve">, kde HPH mezičtvrtletně klesla o </w:t>
      </w:r>
      <w:r w:rsidRPr="00C32964">
        <w:t>0,3 %</w:t>
      </w:r>
      <w:r>
        <w:t xml:space="preserve"> a meziroční poklesy trvají nepřetržitě šest let. Ze služeb se dařilo </w:t>
      </w:r>
      <w:r w:rsidRPr="00C32964">
        <w:t>zejména peněžnictví a pojišťovnictví</w:t>
      </w:r>
      <w:r>
        <w:t xml:space="preserve"> a uskupení </w:t>
      </w:r>
      <w:r w:rsidRPr="00C32964">
        <w:t>obchod, doprav</w:t>
      </w:r>
      <w:r>
        <w:t>a</w:t>
      </w:r>
      <w:r w:rsidRPr="00C32964">
        <w:t>, ubytování a pohostinství</w:t>
      </w:r>
      <w:r>
        <w:t xml:space="preserve">. </w:t>
      </w:r>
      <w:r w:rsidRPr="00C32964">
        <w:t xml:space="preserve">  </w:t>
      </w:r>
    </w:p>
    <w:p w14:paraId="29003151" w14:textId="77777777" w:rsidR="00A668A3" w:rsidRPr="00AE31A7" w:rsidRDefault="00A668A3" w:rsidP="00A668A3">
      <w:pPr>
        <w:pStyle w:val="Normalodrka"/>
      </w:pPr>
      <w:r w:rsidRPr="00AE31A7">
        <w:t>Vývoz zboží a služeb v</w:t>
      </w:r>
      <w:r>
        <w:t>e</w:t>
      </w:r>
      <w:r w:rsidRPr="00AE31A7">
        <w:t xml:space="preserve"> </w:t>
      </w:r>
      <w:r>
        <w:t>2</w:t>
      </w:r>
      <w:r w:rsidRPr="00AE31A7">
        <w:t xml:space="preserve">. čtvrtletí 2024 reálně meziročně vzrostl o </w:t>
      </w:r>
      <w:r>
        <w:t>0,4</w:t>
      </w:r>
      <w:r w:rsidRPr="00AE31A7">
        <w:t xml:space="preserve"> %</w:t>
      </w:r>
      <w:r w:rsidRPr="00AE31A7">
        <w:rPr>
          <w:rStyle w:val="Znakapoznpodarou"/>
          <w:spacing w:val="-4"/>
        </w:rPr>
        <w:footnoteReference w:id="2"/>
      </w:r>
      <w:r w:rsidRPr="00AE31A7">
        <w:t xml:space="preserve"> a dovoz klesl o </w:t>
      </w:r>
      <w:r>
        <w:t>0,8</w:t>
      </w:r>
      <w:r w:rsidRPr="00AE31A7">
        <w:t xml:space="preserve"> %. Bilance zahraničního obchodu se zbožím a službami v běžných cenách v</w:t>
      </w:r>
      <w:r>
        <w:t>e</w:t>
      </w:r>
      <w:r w:rsidRPr="00AE31A7">
        <w:t xml:space="preserve"> </w:t>
      </w:r>
      <w:r>
        <w:t>2</w:t>
      </w:r>
      <w:r w:rsidRPr="00AE31A7">
        <w:t xml:space="preserve">. čtvrtletí celkově dosáhla přebytku </w:t>
      </w:r>
      <w:r>
        <w:t>143,0</w:t>
      </w:r>
      <w:r w:rsidRPr="00AE31A7">
        <w:t xml:space="preserve"> mld. korun a ten se tak meziročně zvýšil o </w:t>
      </w:r>
      <w:r>
        <w:t>45,4</w:t>
      </w:r>
      <w:r w:rsidRPr="00AE31A7">
        <w:t xml:space="preserve"> mld., zejména vlivem zvýšení přebytku obchodu se zbožím. K tomuto zlepšení nejvíce přispěl obchod s</w:t>
      </w:r>
      <w:r>
        <w:t xml:space="preserve"> motorovými vozidly, </w:t>
      </w:r>
      <w:r w:rsidRPr="00AE31A7">
        <w:t xml:space="preserve">elektrickými zařízeními </w:t>
      </w:r>
      <w:r>
        <w:t xml:space="preserve">a ropou a zemním plynem. </w:t>
      </w:r>
      <w:r>
        <w:rPr>
          <w:lang w:eastAsia="en-US"/>
        </w:rPr>
        <w:t>Nejvíce se ve 2. čtvrtletí meziročně zhoršila bilance obchodu s koksem a rafinovanými ropnými produkty, počítači, elektronickými a optickými přístroji a zařízeními a základními kovy.</w:t>
      </w:r>
    </w:p>
    <w:p w14:paraId="0770C46D" w14:textId="77777777" w:rsidR="00A668A3" w:rsidRPr="0046627E" w:rsidRDefault="00A668A3" w:rsidP="00A668A3">
      <w:pPr>
        <w:pStyle w:val="Normalodrka"/>
      </w:pPr>
      <w:r w:rsidRPr="0046627E">
        <w:t>Celková cenová hladina (podle deflátoru HDP) v</w:t>
      </w:r>
      <w:r>
        <w:t>e</w:t>
      </w:r>
      <w:r w:rsidRPr="0046627E">
        <w:t xml:space="preserve"> </w:t>
      </w:r>
      <w:r>
        <w:t>2</w:t>
      </w:r>
      <w:r w:rsidRPr="0046627E">
        <w:t xml:space="preserve">. čtvrtletí meziročně vzrostla o </w:t>
      </w:r>
      <w:r>
        <w:t>4,2</w:t>
      </w:r>
      <w:r w:rsidRPr="0046627E">
        <w:t xml:space="preserve"> % a mezičtvrtletně se zvýšila o 1,</w:t>
      </w:r>
      <w:r>
        <w:t>4</w:t>
      </w:r>
      <w:r w:rsidRPr="0046627E">
        <w:t xml:space="preserve"> %. Spotřebitelské ceny v</w:t>
      </w:r>
      <w:r>
        <w:t>e</w:t>
      </w:r>
      <w:r w:rsidRPr="0046627E">
        <w:t xml:space="preserve"> </w:t>
      </w:r>
      <w:r>
        <w:t>2</w:t>
      </w:r>
      <w:r w:rsidRPr="0046627E">
        <w:t>. čtvrtletí byly meziročně vyšší o 2,</w:t>
      </w:r>
      <w:r>
        <w:t>5</w:t>
      </w:r>
      <w:r w:rsidRPr="0046627E">
        <w:t xml:space="preserve"> % a mezičtvrtletně vzrostly o </w:t>
      </w:r>
      <w:r>
        <w:t>0,8</w:t>
      </w:r>
      <w:r w:rsidRPr="0046627E">
        <w:t xml:space="preserve"> %. Z</w:t>
      </w:r>
      <w:r>
        <w:t xml:space="preserve">rychlení </w:t>
      </w:r>
      <w:r w:rsidRPr="0046627E">
        <w:t xml:space="preserve">meziročního přírůstku spotřebitelských cen ovlivnil </w:t>
      </w:r>
      <w:r>
        <w:rPr>
          <w:lang w:eastAsia="en-US"/>
        </w:rPr>
        <w:t>výraznější růst cen dopravy a dále zmírnění poklesu u cen potravin a nealkoholických nápojů. K meziročnímu růstu spotřebitelských cen nejvíce přispívalo navýšení cen bydlení a energií. Meziročně klesly jen ceny potravin a nealkoholických nápojů a bytového vybavení a zařízení domácnosti</w:t>
      </w:r>
      <w:r w:rsidRPr="0046627E">
        <w:t>. Ceny průmyslových výrobců v</w:t>
      </w:r>
      <w:r>
        <w:t>e</w:t>
      </w:r>
      <w:r w:rsidRPr="0046627E">
        <w:t xml:space="preserve"> </w:t>
      </w:r>
      <w:r>
        <w:t>2</w:t>
      </w:r>
      <w:r w:rsidRPr="0046627E">
        <w:t>. čtvrtletí</w:t>
      </w:r>
      <w:r>
        <w:t xml:space="preserve"> meziročně vzrostly o 1,1 %. Zmírnil se </w:t>
      </w:r>
      <w:r w:rsidRPr="0046627E">
        <w:t>hlubok</w:t>
      </w:r>
      <w:r>
        <w:t>ý</w:t>
      </w:r>
      <w:r w:rsidRPr="0046627E">
        <w:t xml:space="preserve"> pokles cen zemědělských výrobců. </w:t>
      </w:r>
    </w:p>
    <w:p w14:paraId="0C2C2E77" w14:textId="77777777" w:rsidR="00A668A3" w:rsidRPr="00E43C1C" w:rsidRDefault="00A668A3" w:rsidP="00A668A3">
      <w:pPr>
        <w:pStyle w:val="Normalodrka"/>
      </w:pPr>
      <w:r>
        <w:t>Z</w:t>
      </w:r>
      <w:r w:rsidRPr="00E43C1C">
        <w:t xml:space="preserve">ákladní </w:t>
      </w:r>
      <w:proofErr w:type="spellStart"/>
      <w:r w:rsidRPr="00E43C1C">
        <w:t>měnověpolitické</w:t>
      </w:r>
      <w:proofErr w:type="spellEnd"/>
      <w:r w:rsidRPr="00E43C1C">
        <w:t xml:space="preserve"> úrokové sazby</w:t>
      </w:r>
      <w:r>
        <w:t xml:space="preserve"> dál klesaly a s</w:t>
      </w:r>
      <w:r w:rsidRPr="00E43C1C">
        <w:t xml:space="preserve">polu s nimi klesaly úrokové sazby u většiny druhů klientských vkladů. Patrné bylo </w:t>
      </w:r>
      <w:r>
        <w:t>oživení poptávky u hypotečních úvěrů i větší objem dojednávání nových podmínek existujících smluv.</w:t>
      </w:r>
    </w:p>
    <w:p w14:paraId="15FF4CCC" w14:textId="77777777" w:rsidR="00A668A3" w:rsidRPr="00314F9F" w:rsidRDefault="00A668A3" w:rsidP="00A668A3">
      <w:pPr>
        <w:pStyle w:val="Normalodrka"/>
      </w:pPr>
      <w:r w:rsidRPr="00314F9F">
        <w:t>Celková zaměstnanost</w:t>
      </w:r>
      <w:r w:rsidRPr="00314F9F">
        <w:rPr>
          <w:rStyle w:val="Znakapoznpodarou"/>
        </w:rPr>
        <w:footnoteReference w:id="3"/>
      </w:r>
      <w:r w:rsidRPr="00314F9F">
        <w:t xml:space="preserve"> v</w:t>
      </w:r>
      <w:r>
        <w:t>e</w:t>
      </w:r>
      <w:r w:rsidRPr="00314F9F">
        <w:t xml:space="preserve"> </w:t>
      </w:r>
      <w:r>
        <w:t>2</w:t>
      </w:r>
      <w:r w:rsidRPr="00314F9F">
        <w:t>. čtvrtletí byla meziročně vyšší o 0,</w:t>
      </w:r>
      <w:r>
        <w:t>2</w:t>
      </w:r>
      <w:r w:rsidRPr="00314F9F">
        <w:t xml:space="preserve"> %</w:t>
      </w:r>
      <w:r>
        <w:t xml:space="preserve"> a </w:t>
      </w:r>
      <w:r w:rsidRPr="00314F9F">
        <w:t>mezičtvrtletně</w:t>
      </w:r>
      <w:r>
        <w:t xml:space="preserve"> o 0,5 %.</w:t>
      </w:r>
      <w:r w:rsidRPr="00314F9F">
        <w:t xml:space="preserve"> Celková míra nezaměstnanosti </w:t>
      </w:r>
      <w:r>
        <w:t xml:space="preserve">stále </w:t>
      </w:r>
      <w:r w:rsidRPr="00314F9F">
        <w:t xml:space="preserve">kolísá </w:t>
      </w:r>
      <w:r>
        <w:t xml:space="preserve">pod </w:t>
      </w:r>
      <w:r w:rsidRPr="00314F9F">
        <w:t>3 %. Průměrná hrubá měsíční nominální mzda v</w:t>
      </w:r>
      <w:r>
        <w:t>e</w:t>
      </w:r>
      <w:r w:rsidRPr="00314F9F">
        <w:t xml:space="preserve"> </w:t>
      </w:r>
      <w:r>
        <w:t>2</w:t>
      </w:r>
      <w:r w:rsidRPr="00314F9F">
        <w:t xml:space="preserve">. čtvrtletí meziročně vzrostla o </w:t>
      </w:r>
      <w:r>
        <w:t>6,5</w:t>
      </w:r>
      <w:r w:rsidRPr="00314F9F">
        <w:t xml:space="preserve"> % a dosáhla 4</w:t>
      </w:r>
      <w:r>
        <w:t>5 854</w:t>
      </w:r>
      <w:r w:rsidRPr="00314F9F">
        <w:t xml:space="preserve"> korun. Reálně průměrná mzda vzrostla o </w:t>
      </w:r>
      <w:r>
        <w:t xml:space="preserve">3,9 </w:t>
      </w:r>
      <w:r w:rsidRPr="00314F9F">
        <w:t>%. Mezičtvrtletní nominální navýšení průměrné mzdy činilo 1,</w:t>
      </w:r>
      <w:r>
        <w:t>4</w:t>
      </w:r>
      <w:r w:rsidRPr="00314F9F">
        <w:t xml:space="preserve"> %.</w:t>
      </w:r>
    </w:p>
    <w:p w14:paraId="7E31DF1C" w14:textId="77777777" w:rsidR="00A668A3" w:rsidRPr="00314F9F" w:rsidRDefault="00A668A3" w:rsidP="00A668A3">
      <w:pPr>
        <w:pStyle w:val="Normalodrka"/>
        <w:spacing w:after="0"/>
      </w:pPr>
      <w:r>
        <w:t xml:space="preserve">Schodek </w:t>
      </w:r>
      <w:r w:rsidRPr="00314F9F">
        <w:t>státního rozpočtu na konci 1. pololetí</w:t>
      </w:r>
      <w:r>
        <w:t xml:space="preserve"> dosáhl</w:t>
      </w:r>
      <w:r w:rsidRPr="00314F9F">
        <w:t xml:space="preserve"> 178,6 mld. korun. </w:t>
      </w:r>
      <w:r>
        <w:t>Deficit se meziročně sní</w:t>
      </w:r>
      <w:r w:rsidRPr="00314F9F">
        <w:t>žil o</w:t>
      </w:r>
      <w:r>
        <w:t> </w:t>
      </w:r>
      <w:r w:rsidRPr="00314F9F">
        <w:t>37</w:t>
      </w:r>
      <w:r>
        <w:t> </w:t>
      </w:r>
      <w:r w:rsidRPr="00314F9F">
        <w:t>mld. korun. To souvisí hlavně s odezníváním potřeby mimořádných výdajů domácnostem i firmám zasažený</w:t>
      </w:r>
      <w:r>
        <w:t>m</w:t>
      </w:r>
      <w:r w:rsidRPr="00314F9F">
        <w:t xml:space="preserve"> dopady vysoké inflace. </w:t>
      </w:r>
      <w:r>
        <w:t>P</w:t>
      </w:r>
      <w:r w:rsidRPr="00314F9F">
        <w:t>říjmov</w:t>
      </w:r>
      <w:r>
        <w:t>á</w:t>
      </w:r>
      <w:r w:rsidRPr="00314F9F">
        <w:t xml:space="preserve"> str</w:t>
      </w:r>
      <w:r>
        <w:t>a</w:t>
      </w:r>
      <w:r w:rsidRPr="00314F9F">
        <w:t>n</w:t>
      </w:r>
      <w:r>
        <w:t>a</w:t>
      </w:r>
      <w:r w:rsidRPr="00314F9F">
        <w:t xml:space="preserve"> </w:t>
      </w:r>
      <w:r>
        <w:t xml:space="preserve">byla stále pozitivně ovlivněna výběrem </w:t>
      </w:r>
      <w:r w:rsidRPr="00314F9F">
        <w:t>mimořádných daní dočasně uvalených na vybrané sektory ekonomiky</w:t>
      </w:r>
      <w:r>
        <w:t xml:space="preserve">. Začalo se také </w:t>
      </w:r>
      <w:r w:rsidRPr="00314F9F">
        <w:t xml:space="preserve">projevovat </w:t>
      </w:r>
      <w:r>
        <w:t xml:space="preserve">oživení </w:t>
      </w:r>
      <w:r w:rsidRPr="00314F9F">
        <w:t>spotřeby domácností</w:t>
      </w:r>
      <w:r>
        <w:t xml:space="preserve"> a </w:t>
      </w:r>
      <w:r w:rsidRPr="00314F9F">
        <w:t>první dopady schváleného konsolidačního balíčku</w:t>
      </w:r>
      <w:r>
        <w:t xml:space="preserve">. Je patrná i </w:t>
      </w:r>
      <w:r w:rsidRPr="00314F9F">
        <w:t>změna rozpočtového určení daní, kter</w:t>
      </w:r>
      <w:r>
        <w:t>á</w:t>
      </w:r>
      <w:r w:rsidRPr="00314F9F">
        <w:t xml:space="preserve"> zvyšuje podíl na výnosu některých váhově významných daní ve prospěch </w:t>
      </w:r>
      <w:r>
        <w:t>státního rozpočtu</w:t>
      </w:r>
      <w:r w:rsidRPr="00314F9F">
        <w:t>.</w:t>
      </w:r>
    </w:p>
    <w:p w14:paraId="2143296F" w14:textId="6DA9E810" w:rsidR="00A50D73" w:rsidRDefault="00F50FC3" w:rsidP="0017479D">
      <w:pPr>
        <w:pStyle w:val="Nadpis1"/>
      </w:pPr>
      <w:bookmarkStart w:id="3" w:name="_GoBack"/>
      <w:r w:rsidRPr="00F50FC3">
        <w:rPr>
          <w:noProof/>
        </w:rPr>
        <w:lastRenderedPageBreak/>
        <w:drawing>
          <wp:inline distT="0" distB="0" distL="0" distR="0" wp14:anchorId="2412D979" wp14:editId="43C7FFC9">
            <wp:extent cx="5857875" cy="8867775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bookmarkEnd w:id="3"/>
    </w:p>
    <w:sectPr w:rsidR="00A50D73" w:rsidSect="0017479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2984" w14:textId="77777777" w:rsidR="00D42211" w:rsidRDefault="00D42211" w:rsidP="00E71A58">
      <w:r>
        <w:separator/>
      </w:r>
    </w:p>
  </w:endnote>
  <w:endnote w:type="continuationSeparator" w:id="0">
    <w:p w14:paraId="21432985" w14:textId="77777777" w:rsidR="00D42211" w:rsidRDefault="00D4221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0C33291C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2A3A4E">
      <w:rPr>
        <w:szCs w:val="16"/>
      </w:rPr>
      <w:t>4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63B6E877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pololetí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2A3A4E">
      <w:rPr>
        <w:rStyle w:val="ZpatChar"/>
        <w:szCs w:val="16"/>
      </w:rPr>
      <w:t>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2982" w14:textId="77777777" w:rsidR="00D42211" w:rsidRDefault="00D42211" w:rsidP="00EA4302">
      <w:pPr>
        <w:spacing w:after="0"/>
      </w:pPr>
      <w:r>
        <w:separator/>
      </w:r>
    </w:p>
  </w:footnote>
  <w:footnote w:type="continuationSeparator" w:id="0">
    <w:p w14:paraId="21432983" w14:textId="77777777" w:rsidR="00D42211" w:rsidRDefault="00D42211" w:rsidP="00E71A58">
      <w:r>
        <w:continuationSeparator/>
      </w:r>
    </w:p>
  </w:footnote>
  <w:footnote w:id="1">
    <w:p w14:paraId="5A492D6E" w14:textId="77777777" w:rsidR="00D42211" w:rsidRDefault="00D42211" w:rsidP="00A668A3">
      <w:pPr>
        <w:pStyle w:val="Textpoznpodarou"/>
        <w:rPr>
          <w:spacing w:val="-2"/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Data o HDP, hrubé přidané hodnotě a jejích složkách jsou vyjádřena ve stálých cenách a v očištění o sezónní a kalendářní vlivy.</w:t>
      </w:r>
    </w:p>
  </w:footnote>
  <w:footnote w:id="2">
    <w:p w14:paraId="4460C355" w14:textId="77777777" w:rsidR="00D42211" w:rsidRDefault="00D42211" w:rsidP="00A668A3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metodiky čtvrtletních národních účtů (vývoz a dovoz v ocenění FOB/FOB).</w:t>
      </w:r>
    </w:p>
  </w:footnote>
  <w:footnote w:id="3">
    <w:p w14:paraId="4F325CB5" w14:textId="77777777" w:rsidR="00D42211" w:rsidRDefault="00D42211" w:rsidP="00A668A3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  <w:spacing w:val="-2"/>
          <w:sz w:val="16"/>
          <w:szCs w:val="16"/>
        </w:rPr>
        <w:footnoteRef/>
      </w:r>
      <w:r>
        <w:rPr>
          <w:spacing w:val="-2"/>
          <w:sz w:val="16"/>
          <w:szCs w:val="16"/>
        </w:rPr>
        <w:t xml:space="preserve"> Údaje o zaměstnanosti jsou uvedeny v pojetí národních účtů a očištěny o sezónní vlivy.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4B85A09" w:rsidR="00D42211" w:rsidRPr="006F5416" w:rsidRDefault="002A3A4E" w:rsidP="00937AE2">
    <w:pPr>
      <w:pStyle w:val="Zhlav"/>
    </w:pPr>
    <w:r>
      <w:t xml:space="preserve">Vývoj ekonomiky České </w:t>
    </w:r>
    <w:proofErr w:type="spellStart"/>
    <w:r>
      <w:t>republiky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AA4D7" w14:textId="48E51B4C" w:rsidR="002A3A4E" w:rsidRDefault="002A3A4E" w:rsidP="002A3A4E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7D4"/>
    <w:rsid w:val="000B7C8D"/>
    <w:rsid w:val="000C3408"/>
    <w:rsid w:val="000C6AFD"/>
    <w:rsid w:val="000D5637"/>
    <w:rsid w:val="000E6FBD"/>
    <w:rsid w:val="00100F5C"/>
    <w:rsid w:val="00101CDA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479D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8D4"/>
    <w:rsid w:val="001D68B2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71465"/>
    <w:rsid w:val="00285412"/>
    <w:rsid w:val="00291640"/>
    <w:rsid w:val="002A16D4"/>
    <w:rsid w:val="002A230C"/>
    <w:rsid w:val="002A3A4E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7E62"/>
    <w:rsid w:val="003D6920"/>
    <w:rsid w:val="003E48F2"/>
    <w:rsid w:val="003E4C91"/>
    <w:rsid w:val="003F313C"/>
    <w:rsid w:val="003F37FC"/>
    <w:rsid w:val="003F4B2C"/>
    <w:rsid w:val="003F551C"/>
    <w:rsid w:val="003F72ED"/>
    <w:rsid w:val="003F7D23"/>
    <w:rsid w:val="00407C13"/>
    <w:rsid w:val="0041041D"/>
    <w:rsid w:val="00410638"/>
    <w:rsid w:val="0041501E"/>
    <w:rsid w:val="004159C3"/>
    <w:rsid w:val="00432A58"/>
    <w:rsid w:val="00434617"/>
    <w:rsid w:val="00440900"/>
    <w:rsid w:val="00441BF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6468"/>
    <w:rsid w:val="004B7125"/>
    <w:rsid w:val="004C384C"/>
    <w:rsid w:val="004C3867"/>
    <w:rsid w:val="004C4CD0"/>
    <w:rsid w:val="004C70DC"/>
    <w:rsid w:val="004D0211"/>
    <w:rsid w:val="004D0794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4307"/>
    <w:rsid w:val="0060487F"/>
    <w:rsid w:val="00604EAD"/>
    <w:rsid w:val="006104FB"/>
    <w:rsid w:val="00612A2F"/>
    <w:rsid w:val="00616E0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521E"/>
    <w:rsid w:val="007661E9"/>
    <w:rsid w:val="00776169"/>
    <w:rsid w:val="00776527"/>
    <w:rsid w:val="00780EF1"/>
    <w:rsid w:val="00790764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30FB1"/>
    <w:rsid w:val="0093139F"/>
    <w:rsid w:val="00932443"/>
    <w:rsid w:val="00937AE2"/>
    <w:rsid w:val="0094427A"/>
    <w:rsid w:val="00945245"/>
    <w:rsid w:val="0095759C"/>
    <w:rsid w:val="009721DB"/>
    <w:rsid w:val="00974923"/>
    <w:rsid w:val="00980D3D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C45BD"/>
    <w:rsid w:val="00AD168E"/>
    <w:rsid w:val="00AD306C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6D1E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C21F94"/>
    <w:rsid w:val="00C27913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7677"/>
    <w:rsid w:val="00D66223"/>
    <w:rsid w:val="00D71625"/>
    <w:rsid w:val="00D8084C"/>
    <w:rsid w:val="00D915EA"/>
    <w:rsid w:val="00DA7C0C"/>
    <w:rsid w:val="00DB08A9"/>
    <w:rsid w:val="00DB2EC8"/>
    <w:rsid w:val="00DC5B3B"/>
    <w:rsid w:val="00DD129F"/>
    <w:rsid w:val="00DE02BD"/>
    <w:rsid w:val="00DF42FF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7A4D"/>
    <w:rsid w:val="00F9785E"/>
    <w:rsid w:val="00FA5D4D"/>
    <w:rsid w:val="00FB0EE2"/>
    <w:rsid w:val="00FB542E"/>
    <w:rsid w:val="00FC0E5F"/>
    <w:rsid w:val="00FC1A95"/>
    <w:rsid w:val="00FC56DE"/>
    <w:rsid w:val="00FC684B"/>
    <w:rsid w:val="00FD3265"/>
    <w:rsid w:val="00FD5F92"/>
    <w:rsid w:val="00FE2F78"/>
    <w:rsid w:val="00FF7B96"/>
    <w:rsid w:val="11D0C0D9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242F-3FB6-473C-87F1-89DD6C1D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681AD-41B0-431A-9D34-CF6700A12FAC}">
  <ds:schemaRefs>
    <ds:schemaRef ds:uri="http://schemas.microsoft.com/office/2006/documentManagement/types"/>
    <ds:schemaRef ds:uri="b8c0c86d-151e-4fca-b0d5-747e6692fa1d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67D96B-F372-4354-872B-44F91409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5</cp:revision>
  <cp:lastPrinted>2014-07-17T14:07:00Z</cp:lastPrinted>
  <dcterms:created xsi:type="dcterms:W3CDTF">2024-09-13T09:25:00Z</dcterms:created>
  <dcterms:modified xsi:type="dcterms:W3CDTF">2024-09-13T09:40:00Z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