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86" w:rsidRPr="00742B86" w:rsidRDefault="003F15C8" w:rsidP="00E67696">
      <w:pPr>
        <w:rPr>
          <w:lang w:val="en-GB"/>
        </w:rPr>
      </w:pPr>
      <w:r>
        <w:rPr>
          <w:noProof/>
        </w:rPr>
        <mc:AlternateContent>
          <mc:Choice Requires="wpg">
            <w:drawing>
              <wp:anchor distT="0" distB="0" distL="114300" distR="114300" simplePos="0" relativeHeight="251662848" behindDoc="0" locked="0" layoutInCell="1" allowOverlap="1" wp14:editId="32E115D9">
                <wp:simplePos x="0" y="0"/>
                <wp:positionH relativeFrom="page">
                  <wp:posOffset>608330</wp:posOffset>
                </wp:positionH>
                <wp:positionV relativeFrom="page">
                  <wp:posOffset>507365</wp:posOffset>
                </wp:positionV>
                <wp:extent cx="2181860" cy="514985"/>
                <wp:effectExtent l="0" t="2540" r="635" b="6350"/>
                <wp:wrapNone/>
                <wp:docPr id="4" name="Skupin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81860" cy="514985"/>
                          <a:chOff x="0" y="0"/>
                          <a:chExt cx="1671002" cy="395288"/>
                        </a:xfrm>
                      </wpg:grpSpPr>
                      <wps:wsp>
                        <wps:cNvPr id="6" name="Rectangle 5"/>
                        <wps:cNvSpPr>
                          <a:spLocks noChangeArrowheads="1"/>
                        </wps:cNvSpPr>
                        <wps:spPr bwMode="auto">
                          <a:xfrm>
                            <a:off x="395287" y="4763"/>
                            <a:ext cx="419100" cy="9842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0" y="147638"/>
                            <a:ext cx="814705"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357187" y="295275"/>
                            <a:ext cx="457200"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8"/>
                        <wps:cNvSpPr>
                          <a:spLocks noEditPoints="1"/>
                        </wps:cNvSpPr>
                        <wps:spPr bwMode="auto">
                          <a:xfrm>
                            <a:off x="862012" y="290513"/>
                            <a:ext cx="455295" cy="104775"/>
                          </a:xfrm>
                          <a:custGeom>
                            <a:avLst/>
                            <a:gdLst>
                              <a:gd name="T0" fmla="*/ 34559 w 1436"/>
                              <a:gd name="T1" fmla="*/ 3175 h 330"/>
                              <a:gd name="T2" fmla="*/ 14268 w 1436"/>
                              <a:gd name="T3" fmla="*/ 16193 h 330"/>
                              <a:gd name="T4" fmla="*/ 1268 w 1436"/>
                              <a:gd name="T5" fmla="*/ 40640 h 330"/>
                              <a:gd name="T6" fmla="*/ 2536 w 1436"/>
                              <a:gd name="T7" fmla="*/ 67628 h 330"/>
                              <a:gd name="T8" fmla="*/ 15536 w 1436"/>
                              <a:gd name="T9" fmla="*/ 89535 h 330"/>
                              <a:gd name="T10" fmla="*/ 37096 w 1436"/>
                              <a:gd name="T11" fmla="*/ 102235 h 330"/>
                              <a:gd name="T12" fmla="*/ 63729 w 1436"/>
                              <a:gd name="T13" fmla="*/ 103823 h 330"/>
                              <a:gd name="T14" fmla="*/ 85923 w 1436"/>
                              <a:gd name="T15" fmla="*/ 95250 h 330"/>
                              <a:gd name="T16" fmla="*/ 103044 w 1436"/>
                              <a:gd name="T17" fmla="*/ 74613 h 330"/>
                              <a:gd name="T18" fmla="*/ 107483 w 1436"/>
                              <a:gd name="T19" fmla="*/ 47308 h 330"/>
                              <a:gd name="T20" fmla="*/ 99873 w 1436"/>
                              <a:gd name="T21" fmla="*/ 24448 h 330"/>
                              <a:gd name="T22" fmla="*/ 81167 w 1436"/>
                              <a:gd name="T23" fmla="*/ 6350 h 330"/>
                              <a:gd name="T24" fmla="*/ 53900 w 1436"/>
                              <a:gd name="T25" fmla="*/ 0 h 330"/>
                              <a:gd name="T26" fmla="*/ 62143 w 1436"/>
                              <a:gd name="T27" fmla="*/ 26353 h 330"/>
                              <a:gd name="T28" fmla="*/ 73557 w 1436"/>
                              <a:gd name="T29" fmla="*/ 33020 h 330"/>
                              <a:gd name="T30" fmla="*/ 80216 w 1436"/>
                              <a:gd name="T31" fmla="*/ 44133 h 330"/>
                              <a:gd name="T32" fmla="*/ 81167 w 1436"/>
                              <a:gd name="T33" fmla="*/ 58103 h 330"/>
                              <a:gd name="T34" fmla="*/ 75143 w 1436"/>
                              <a:gd name="T35" fmla="*/ 70168 h 330"/>
                              <a:gd name="T36" fmla="*/ 64363 w 1436"/>
                              <a:gd name="T37" fmla="*/ 78105 h 330"/>
                              <a:gd name="T38" fmla="*/ 51046 w 1436"/>
                              <a:gd name="T39" fmla="*/ 80010 h 330"/>
                              <a:gd name="T40" fmla="*/ 38364 w 1436"/>
                              <a:gd name="T41" fmla="*/ 75248 h 330"/>
                              <a:gd name="T42" fmla="*/ 29803 w 1436"/>
                              <a:gd name="T43" fmla="*/ 65405 h 330"/>
                              <a:gd name="T44" fmla="*/ 26633 w 1436"/>
                              <a:gd name="T45" fmla="*/ 52070 h 330"/>
                              <a:gd name="T46" fmla="*/ 29803 w 1436"/>
                              <a:gd name="T47" fmla="*/ 39053 h 330"/>
                              <a:gd name="T48" fmla="*/ 38681 w 1436"/>
                              <a:gd name="T49" fmla="*/ 29528 h 330"/>
                              <a:gd name="T50" fmla="*/ 51046 w 1436"/>
                              <a:gd name="T51" fmla="*/ 25083 h 330"/>
                              <a:gd name="T52" fmla="*/ 120482 w 1436"/>
                              <a:gd name="T53" fmla="*/ 3175 h 330"/>
                              <a:gd name="T54" fmla="*/ 173748 w 1436"/>
                              <a:gd name="T55" fmla="*/ 40958 h 330"/>
                              <a:gd name="T56" fmla="*/ 248890 w 1436"/>
                              <a:gd name="T57" fmla="*/ 3175 h 330"/>
                              <a:gd name="T58" fmla="*/ 246037 w 1436"/>
                              <a:gd name="T59" fmla="*/ 62548 h 330"/>
                              <a:gd name="T60" fmla="*/ 290742 w 1436"/>
                              <a:gd name="T61" fmla="*/ 3175 h 330"/>
                              <a:gd name="T62" fmla="*/ 380152 w 1436"/>
                              <a:gd name="T63" fmla="*/ 6033 h 330"/>
                              <a:gd name="T64" fmla="*/ 351617 w 1436"/>
                              <a:gd name="T65" fmla="*/ 1270 h 330"/>
                              <a:gd name="T66" fmla="*/ 327838 w 1436"/>
                              <a:gd name="T67" fmla="*/ 9843 h 330"/>
                              <a:gd name="T68" fmla="*/ 311668 w 1436"/>
                              <a:gd name="T69" fmla="*/ 27940 h 330"/>
                              <a:gd name="T70" fmla="*/ 305327 w 1436"/>
                              <a:gd name="T71" fmla="*/ 53023 h 330"/>
                              <a:gd name="T72" fmla="*/ 310717 w 1436"/>
                              <a:gd name="T73" fmla="*/ 75565 h 330"/>
                              <a:gd name="T74" fmla="*/ 326887 w 1436"/>
                              <a:gd name="T75" fmla="*/ 93980 h 330"/>
                              <a:gd name="T76" fmla="*/ 351934 w 1436"/>
                              <a:gd name="T77" fmla="*/ 103505 h 330"/>
                              <a:gd name="T78" fmla="*/ 380152 w 1436"/>
                              <a:gd name="T79" fmla="*/ 99060 h 330"/>
                              <a:gd name="T80" fmla="*/ 369689 w 1436"/>
                              <a:gd name="T81" fmla="*/ 76835 h 330"/>
                              <a:gd name="T82" fmla="*/ 355739 w 1436"/>
                              <a:gd name="T83" fmla="*/ 79375 h 330"/>
                              <a:gd name="T84" fmla="*/ 340520 w 1436"/>
                              <a:gd name="T85" fmla="*/ 73025 h 330"/>
                              <a:gd name="T86" fmla="*/ 333228 w 1436"/>
                              <a:gd name="T87" fmla="*/ 61595 h 330"/>
                              <a:gd name="T88" fmla="*/ 332277 w 1436"/>
                              <a:gd name="T89" fmla="*/ 46990 h 330"/>
                              <a:gd name="T90" fmla="*/ 337984 w 1436"/>
                              <a:gd name="T91" fmla="*/ 35560 h 330"/>
                              <a:gd name="T92" fmla="*/ 347812 w 1436"/>
                              <a:gd name="T93" fmla="*/ 27940 h 330"/>
                              <a:gd name="T94" fmla="*/ 361129 w 1436"/>
                              <a:gd name="T95" fmla="*/ 26035 h 330"/>
                              <a:gd name="T96" fmla="*/ 375396 w 1436"/>
                              <a:gd name="T97" fmla="*/ 31750 h 330"/>
                              <a:gd name="T98" fmla="*/ 455295 w 1436"/>
                              <a:gd name="T99" fmla="*/ 3175 h 330"/>
                              <a:gd name="T100" fmla="*/ 425175 w 1436"/>
                              <a:gd name="T101" fmla="*/ 79693 h 330"/>
                              <a:gd name="T102" fmla="*/ 425175 w 1436"/>
                              <a:gd name="T103" fmla="*/ 24765 h 33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EditPoints="1"/>
                        </wps:cNvSpPr>
                        <wps:spPr bwMode="auto">
                          <a:xfrm>
                            <a:off x="862012" y="147638"/>
                            <a:ext cx="808990" cy="102870"/>
                          </a:xfrm>
                          <a:custGeom>
                            <a:avLst/>
                            <a:gdLst>
                              <a:gd name="T0" fmla="*/ 45067 w 2549"/>
                              <a:gd name="T1" fmla="*/ 317 h 325"/>
                              <a:gd name="T2" fmla="*/ 20629 w 2549"/>
                              <a:gd name="T3" fmla="*/ 3482 h 325"/>
                              <a:gd name="T4" fmla="*/ 6348 w 2549"/>
                              <a:gd name="T5" fmla="*/ 19308 h 325"/>
                              <a:gd name="T6" fmla="*/ 5078 w 2549"/>
                              <a:gd name="T7" fmla="*/ 41465 h 325"/>
                              <a:gd name="T8" fmla="*/ 18408 w 2549"/>
                              <a:gd name="T9" fmla="*/ 56025 h 325"/>
                              <a:gd name="T10" fmla="*/ 44115 w 2549"/>
                              <a:gd name="T11" fmla="*/ 66153 h 325"/>
                              <a:gd name="T12" fmla="*/ 41894 w 2549"/>
                              <a:gd name="T13" fmla="*/ 78181 h 325"/>
                              <a:gd name="T14" fmla="*/ 25073 w 2549"/>
                              <a:gd name="T15" fmla="*/ 79764 h 325"/>
                              <a:gd name="T16" fmla="*/ 4126 w 2549"/>
                              <a:gd name="T17" fmla="*/ 94007 h 325"/>
                              <a:gd name="T18" fmla="*/ 33642 w 2549"/>
                              <a:gd name="T19" fmla="*/ 102237 h 325"/>
                              <a:gd name="T20" fmla="*/ 59349 w 2549"/>
                              <a:gd name="T21" fmla="*/ 95273 h 325"/>
                              <a:gd name="T22" fmla="*/ 71409 w 2549"/>
                              <a:gd name="T23" fmla="*/ 75649 h 325"/>
                              <a:gd name="T24" fmla="*/ 67601 w 2549"/>
                              <a:gd name="T25" fmla="*/ 52226 h 325"/>
                              <a:gd name="T26" fmla="*/ 47924 w 2549"/>
                              <a:gd name="T27" fmla="*/ 40515 h 325"/>
                              <a:gd name="T28" fmla="*/ 30468 w 2549"/>
                              <a:gd name="T29" fmla="*/ 31019 h 325"/>
                              <a:gd name="T30" fmla="*/ 36816 w 2549"/>
                              <a:gd name="T31" fmla="*/ 21524 h 325"/>
                              <a:gd name="T32" fmla="*/ 53954 w 2549"/>
                              <a:gd name="T33" fmla="*/ 24689 h 325"/>
                              <a:gd name="T34" fmla="*/ 79026 w 2549"/>
                              <a:gd name="T35" fmla="*/ 23739 h 325"/>
                              <a:gd name="T36" fmla="*/ 244379 w 2549"/>
                              <a:gd name="T37" fmla="*/ 100021 h 325"/>
                              <a:gd name="T38" fmla="*/ 204072 w 2549"/>
                              <a:gd name="T39" fmla="*/ 63621 h 325"/>
                              <a:gd name="T40" fmla="*/ 240571 w 2549"/>
                              <a:gd name="T41" fmla="*/ 1899 h 325"/>
                              <a:gd name="T42" fmla="*/ 320867 w 2549"/>
                              <a:gd name="T43" fmla="*/ 1899 h 325"/>
                              <a:gd name="T44" fmla="*/ 419888 w 2549"/>
                              <a:gd name="T45" fmla="*/ 2849 h 325"/>
                              <a:gd name="T46" fmla="*/ 393228 w 2549"/>
                              <a:gd name="T47" fmla="*/ 317 h 325"/>
                              <a:gd name="T48" fmla="*/ 374186 w 2549"/>
                              <a:gd name="T49" fmla="*/ 11078 h 325"/>
                              <a:gd name="T50" fmla="*/ 366886 w 2549"/>
                              <a:gd name="T51" fmla="*/ 32918 h 325"/>
                              <a:gd name="T52" fmla="*/ 372916 w 2549"/>
                              <a:gd name="T53" fmla="*/ 50327 h 325"/>
                              <a:gd name="T54" fmla="*/ 401163 w 2549"/>
                              <a:gd name="T55" fmla="*/ 62672 h 325"/>
                              <a:gd name="T56" fmla="*/ 408462 w 2549"/>
                              <a:gd name="T57" fmla="*/ 73433 h 325"/>
                              <a:gd name="T58" fmla="*/ 396402 w 2549"/>
                              <a:gd name="T59" fmla="*/ 81030 h 325"/>
                              <a:gd name="T60" fmla="*/ 377042 w 2549"/>
                              <a:gd name="T61" fmla="*/ 73433 h 325"/>
                              <a:gd name="T62" fmla="*/ 384024 w 2549"/>
                              <a:gd name="T63" fmla="*/ 100654 h 325"/>
                              <a:gd name="T64" fmla="*/ 412588 w 2549"/>
                              <a:gd name="T65" fmla="*/ 100021 h 325"/>
                              <a:gd name="T66" fmla="*/ 430996 w 2549"/>
                              <a:gd name="T67" fmla="*/ 85778 h 325"/>
                              <a:gd name="T68" fmla="*/ 433852 w 2549"/>
                              <a:gd name="T69" fmla="*/ 58240 h 325"/>
                              <a:gd name="T70" fmla="*/ 424331 w 2549"/>
                              <a:gd name="T71" fmla="*/ 45896 h 325"/>
                              <a:gd name="T72" fmla="*/ 395767 w 2549"/>
                              <a:gd name="T73" fmla="*/ 34184 h 325"/>
                              <a:gd name="T74" fmla="*/ 395450 w 2549"/>
                              <a:gd name="T75" fmla="*/ 24689 h 325"/>
                              <a:gd name="T76" fmla="*/ 408462 w 2549"/>
                              <a:gd name="T77" fmla="*/ 21524 h 325"/>
                              <a:gd name="T78" fmla="*/ 508435 w 2549"/>
                              <a:gd name="T79" fmla="*/ 23739 h 325"/>
                              <a:gd name="T80" fmla="*/ 487489 w 2549"/>
                              <a:gd name="T81" fmla="*/ 23739 h 325"/>
                              <a:gd name="T82" fmla="*/ 629673 w 2549"/>
                              <a:gd name="T83" fmla="*/ 2849 h 325"/>
                              <a:gd name="T84" fmla="*/ 592857 w 2549"/>
                              <a:gd name="T85" fmla="*/ 3798 h 325"/>
                              <a:gd name="T86" fmla="*/ 567785 w 2549"/>
                              <a:gd name="T87" fmla="*/ 26904 h 325"/>
                              <a:gd name="T88" fmla="*/ 562389 w 2549"/>
                              <a:gd name="T89" fmla="*/ 61405 h 325"/>
                              <a:gd name="T90" fmla="*/ 578575 w 2549"/>
                              <a:gd name="T91" fmla="*/ 89260 h 325"/>
                              <a:gd name="T92" fmla="*/ 613487 w 2549"/>
                              <a:gd name="T93" fmla="*/ 102870 h 325"/>
                              <a:gd name="T94" fmla="*/ 631260 w 2549"/>
                              <a:gd name="T95" fmla="*/ 72167 h 325"/>
                              <a:gd name="T96" fmla="*/ 611900 w 2549"/>
                              <a:gd name="T97" fmla="*/ 77865 h 325"/>
                              <a:gd name="T98" fmla="*/ 596666 w 2549"/>
                              <a:gd name="T99" fmla="*/ 71534 h 325"/>
                              <a:gd name="T100" fmla="*/ 588097 w 2549"/>
                              <a:gd name="T101" fmla="*/ 54758 h 325"/>
                              <a:gd name="T102" fmla="*/ 592540 w 2549"/>
                              <a:gd name="T103" fmla="*/ 36400 h 325"/>
                              <a:gd name="T104" fmla="*/ 606187 w 2549"/>
                              <a:gd name="T105" fmla="*/ 25638 h 325"/>
                              <a:gd name="T106" fmla="*/ 626499 w 2549"/>
                              <a:gd name="T107" fmla="*/ 27221 h 325"/>
                              <a:gd name="T108" fmla="*/ 717268 w 2549"/>
                              <a:gd name="T109" fmla="*/ 100021 h 325"/>
                              <a:gd name="T110" fmla="*/ 710921 w 2549"/>
                              <a:gd name="T111" fmla="*/ 82929 h 325"/>
                              <a:gd name="T112" fmla="*/ 753767 w 2549"/>
                              <a:gd name="T113" fmla="*/ 100021 h 325"/>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EditPoints="1"/>
                        </wps:cNvSpPr>
                        <wps:spPr bwMode="auto">
                          <a:xfrm>
                            <a:off x="862012" y="0"/>
                            <a:ext cx="421005" cy="102870"/>
                          </a:xfrm>
                          <a:custGeom>
                            <a:avLst/>
                            <a:gdLst>
                              <a:gd name="T0" fmla="*/ 57107 w 1327"/>
                              <a:gd name="T1" fmla="*/ 317 h 325"/>
                              <a:gd name="T2" fmla="*/ 36168 w 1327"/>
                              <a:gd name="T3" fmla="*/ 2532 h 325"/>
                              <a:gd name="T4" fmla="*/ 18718 w 1327"/>
                              <a:gd name="T5" fmla="*/ 12028 h 325"/>
                              <a:gd name="T6" fmla="*/ 6345 w 1327"/>
                              <a:gd name="T7" fmla="*/ 26904 h 325"/>
                              <a:gd name="T8" fmla="*/ 635 w 1327"/>
                              <a:gd name="T9" fmla="*/ 46529 h 325"/>
                              <a:gd name="T10" fmla="*/ 2221 w 1327"/>
                              <a:gd name="T11" fmla="*/ 65837 h 325"/>
                              <a:gd name="T12" fmla="*/ 9835 w 1327"/>
                              <a:gd name="T13" fmla="*/ 82296 h 325"/>
                              <a:gd name="T14" fmla="*/ 25698 w 1327"/>
                              <a:gd name="T15" fmla="*/ 95590 h 325"/>
                              <a:gd name="T16" fmla="*/ 46637 w 1327"/>
                              <a:gd name="T17" fmla="*/ 102553 h 325"/>
                              <a:gd name="T18" fmla="*/ 66942 w 1327"/>
                              <a:gd name="T19" fmla="*/ 100338 h 325"/>
                              <a:gd name="T20" fmla="*/ 69797 w 1327"/>
                              <a:gd name="T21" fmla="*/ 72167 h 325"/>
                              <a:gd name="T22" fmla="*/ 58693 w 1327"/>
                              <a:gd name="T23" fmla="*/ 77548 h 325"/>
                              <a:gd name="T24" fmla="*/ 47906 w 1327"/>
                              <a:gd name="T25" fmla="*/ 77548 h 325"/>
                              <a:gd name="T26" fmla="*/ 39340 w 1327"/>
                              <a:gd name="T27" fmla="*/ 74383 h 325"/>
                              <a:gd name="T28" fmla="*/ 31409 w 1327"/>
                              <a:gd name="T29" fmla="*/ 67419 h 325"/>
                              <a:gd name="T30" fmla="*/ 26967 w 1327"/>
                              <a:gd name="T31" fmla="*/ 57607 h 325"/>
                              <a:gd name="T32" fmla="*/ 26967 w 1327"/>
                              <a:gd name="T33" fmla="*/ 46212 h 325"/>
                              <a:gd name="T34" fmla="*/ 30774 w 1327"/>
                              <a:gd name="T35" fmla="*/ 36084 h 325"/>
                              <a:gd name="T36" fmla="*/ 37754 w 1327"/>
                              <a:gd name="T37" fmla="*/ 29120 h 325"/>
                              <a:gd name="T38" fmla="*/ 47272 w 1327"/>
                              <a:gd name="T39" fmla="*/ 25005 h 325"/>
                              <a:gd name="T40" fmla="*/ 59010 w 1327"/>
                              <a:gd name="T41" fmla="*/ 25322 h 325"/>
                              <a:gd name="T42" fmla="*/ 70115 w 1327"/>
                              <a:gd name="T43" fmla="*/ 30703 h 325"/>
                              <a:gd name="T44" fmla="*/ 123732 w 1327"/>
                              <a:gd name="T45" fmla="*/ 78181 h 325"/>
                              <a:gd name="T46" fmla="*/ 127222 w 1327"/>
                              <a:gd name="T47" fmla="*/ 23739 h 325"/>
                              <a:gd name="T48" fmla="*/ 123732 w 1327"/>
                              <a:gd name="T49" fmla="*/ 78181 h 325"/>
                              <a:gd name="T50" fmla="*/ 179570 w 1327"/>
                              <a:gd name="T51" fmla="*/ 100021 h 325"/>
                              <a:gd name="T52" fmla="*/ 204950 w 1327"/>
                              <a:gd name="T53" fmla="*/ 61405 h 325"/>
                              <a:gd name="T54" fmla="*/ 204950 w 1327"/>
                              <a:gd name="T55" fmla="*/ 23739 h 325"/>
                              <a:gd name="T56" fmla="*/ 308060 w 1327"/>
                              <a:gd name="T57" fmla="*/ 1266 h 325"/>
                              <a:gd name="T58" fmla="*/ 286804 w 1327"/>
                              <a:gd name="T59" fmla="*/ 1266 h 325"/>
                              <a:gd name="T60" fmla="*/ 268085 w 1327"/>
                              <a:gd name="T61" fmla="*/ 8863 h 325"/>
                              <a:gd name="T62" fmla="*/ 254126 w 1327"/>
                              <a:gd name="T63" fmla="*/ 22790 h 325"/>
                              <a:gd name="T64" fmla="*/ 246194 w 1327"/>
                              <a:gd name="T65" fmla="*/ 41148 h 325"/>
                              <a:gd name="T66" fmla="*/ 246194 w 1327"/>
                              <a:gd name="T67" fmla="*/ 61405 h 325"/>
                              <a:gd name="T68" fmla="*/ 252540 w 1327"/>
                              <a:gd name="T69" fmla="*/ 78181 h 325"/>
                              <a:gd name="T70" fmla="*/ 266499 w 1327"/>
                              <a:gd name="T71" fmla="*/ 93058 h 325"/>
                              <a:gd name="T72" fmla="*/ 286169 w 1327"/>
                              <a:gd name="T73" fmla="*/ 101604 h 325"/>
                              <a:gd name="T74" fmla="*/ 306791 w 1327"/>
                              <a:gd name="T75" fmla="*/ 101604 h 325"/>
                              <a:gd name="T76" fmla="*/ 317578 w 1327"/>
                              <a:gd name="T77" fmla="*/ 70268 h 325"/>
                              <a:gd name="T78" fmla="*/ 306791 w 1327"/>
                              <a:gd name="T79" fmla="*/ 76599 h 325"/>
                              <a:gd name="T80" fmla="*/ 295687 w 1327"/>
                              <a:gd name="T81" fmla="*/ 77865 h 325"/>
                              <a:gd name="T82" fmla="*/ 286804 w 1327"/>
                              <a:gd name="T83" fmla="*/ 75332 h 325"/>
                              <a:gd name="T84" fmla="*/ 278238 w 1327"/>
                              <a:gd name="T85" fmla="*/ 69635 h 325"/>
                              <a:gd name="T86" fmla="*/ 272844 w 1327"/>
                              <a:gd name="T87" fmla="*/ 60456 h 325"/>
                              <a:gd name="T88" fmla="*/ 271892 w 1327"/>
                              <a:gd name="T89" fmla="*/ 48745 h 325"/>
                              <a:gd name="T90" fmla="*/ 274748 w 1327"/>
                              <a:gd name="T91" fmla="*/ 38616 h 325"/>
                              <a:gd name="T92" fmla="*/ 281093 w 1327"/>
                              <a:gd name="T93" fmla="*/ 30703 h 325"/>
                              <a:gd name="T94" fmla="*/ 289976 w 1327"/>
                              <a:gd name="T95" fmla="*/ 25955 h 325"/>
                              <a:gd name="T96" fmla="*/ 301398 w 1327"/>
                              <a:gd name="T97" fmla="*/ 25005 h 325"/>
                              <a:gd name="T98" fmla="*/ 312819 w 1327"/>
                              <a:gd name="T99" fmla="*/ 29120 h 325"/>
                              <a:gd name="T100" fmla="*/ 319799 w 1327"/>
                              <a:gd name="T101" fmla="*/ 5064 h 325"/>
                              <a:gd name="T102" fmla="*/ 333758 w 1327"/>
                              <a:gd name="T103" fmla="*/ 100021 h 325"/>
                              <a:gd name="T104" fmla="*/ 395624 w 1327"/>
                              <a:gd name="T105" fmla="*/ 100021 h 325"/>
                              <a:gd name="T106" fmla="*/ 395624 w 1327"/>
                              <a:gd name="T107" fmla="*/ 40198 h 32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A12E72" id="Skupina 4" o:spid="_x0000_s1026" style="position:absolute;margin-left:47.9pt;margin-top:39.95pt;width:171.8pt;height:40.55pt;z-index:251662848;mso-position-horizontal-relative:page;mso-position-vertical-relative:page;mso-width-relative:margin;mso-height-relative:margin" coordsize="16710,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">
                <o:lock v:ext="edit" aspectratio="t"/>
                <v:rect id="Rectangle 5" o:spid="_x0000_s1027" style="position:absolute;left:3952;top:47;width:4191;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6" o:spid="_x0000_s1028" style="position:absolute;top:1476;width:8147;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rect id="Rectangle 7" o:spid="_x0000_s1029" style="position:absolute;left:3571;top:2952;width:457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" fillcolor="#0071bc" stroked="f"/>
                <v:shape id="Freeform 8" o:spid="_x0000_s1030" style="position:absolute;left:8620;top:2905;width:4553;height:1047;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10957200,1008063;4523781,5141278;402029,12903200;804059,21471890;4925810,28427363;11761576,32459613;20205777,32963803;27242557,30241875;32670904,23689628;34078323,15020290;31665514,7762240;25734630,2016125;17089415,0;19702923,8367078;23321821,10483850;25433108,14012228;25734630,18447703;23824674,22278340;20406791,24798338;16184532,25403175;12163605,23891240;9449274,20766088;8444200,16532225;9449274,12399328;12264113,9375140;16184532,7963853;38199758,1008063;55088159,13004165;78912516,1008063;78007950,19858990;92182019,1008063;120530157,1915478;111482912,403225;103943595,3125153;98816770,8870950;96806307,16834803;98515248,23991888;103642073,29838650;111583420,32862838;120530157,31451550;117212781,24395113;112789825,25201563;107964522,23185438;105652536,19556413;105351014,14919325;107160463,11290300;110276507,8870950;114498766,8266113;119022230,10080625;144354831,1008063;134805050,25302528;134805050,7862888" o:connectangles="0,0,0,0,0,0,0,0,0,0,0,0,0,0,0,0,0,0,0,0,0,0,0,0,0,0,0,0,0,0,0,0,0,0,0,0,0,0,0,0,0,0,0,0,0,0,0,0,0,0,0,0"/>
                  <o:lock v:ext="edit" verticies="t"/>
                </v:shape>
                <v:shape id="Freeform 9" o:spid="_x0000_s1031" style="position:absolute;left:8620;top:1476;width:8090;height:1029;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14303159,100338;6547138,1102133;2014699,6111428;1611632,13124629;5842247,17733205;14001018,20938951;13296127,24746091;7957554,25247147;1309491,29755385;10677145,32360370;18835915,30156103;22663463,23944654;21454897,16530734;15209901,12823932;9669795,9818229;11684494,6812843;17123675,7814638;25080912,7513941;77559893,31658955;64767441,20137515;76351327,601077;101835306,601077;133262139,901774;124800910,100338;118757447,3506443;116440606,10419307;118354380,15929657;127319284,19837134;129635808,23243239;125808260,25647865;119663871,23243239;121879786,31859314;130945299,31658955;136787546,27150716;137693970,18434304;134672238,14527143;125606726,10820025;125506118,7814638;129635808,6812843;161364783,7513941;154717037,7513941;199842746,901774;188158252,1202155;180201015,8515737;178488457,19436100;183625496,28252850;194705707,32560729;200346421,22842521;194202033,24646069;189367135,22642162;186647545,17332171;188057644,11521440;192388867,8115019;198835397,8616075;227643248,31658955;225628866,26248942;239227134,31658955" o:connectangles="0,0,0,0,0,0,0,0,0,0,0,0,0,0,0,0,0,0,0,0,0,0,0,0,0,0,0,0,0,0,0,0,0,0,0,0,0,0,0,0,0,0,0,0,0,0,0,0,0,0,0,0,0,0,0,0,0"/>
                  <o:lock v:ext="edit" verticies="t"/>
                </v:shape>
                <v:shape id="Freeform 10" o:spid="_x0000_s1032" style="position:absolute;left:8620;width:4210;height:1028;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18117809,100338;11474686,801436;5938487,3807140;2013019,8515737;201461,14727502;704636,20838930;3120259,26048583;8152966,30256441;14796089,32460391;21238068,31759292;22143848,22842521;18620985,24545732;15198693,24545732;12481037,23543936;9964843,21339669;8555570,18233945;8555570,14627164;9763382,11421419;11977862,9217152;14997550,7914660;18721556,8014997;22244737,9718208;39255306,24746091;40362546,7513941;39255306,24746091;56970511,31658955;65022588,19436100;65022588,7513941;97735343,400718;90991649,400718;85052845,2805344;80624202,7213561;78107690,13024292;78107690,19436100;80121027,24746091;84549670,29455004;90790188,32160011;97332739,32160011;100755031,22241444;97332739,24245351;93809876,24646069;90991649,23844316;88273993,22041084;86562689,19135719;86260657,15428917;87166753,12222855;89179773,9718208;91998000,8215356;95621752,7914660;99245187,9217152;101459667,1602873;105888310,31658955;125515962,31658955;125515962,12723595" o:connectangles="0,0,0,0,0,0,0,0,0,0,0,0,0,0,0,0,0,0,0,0,0,0,0,0,0,0,0,0,0,0,0,0,0,0,0,0,0,0,0,0,0,0,0,0,0,0,0,0,0,0,0,0,0,0"/>
                  <o:lock v:ext="edit" verticies="t"/>
                </v:shape>
                <w10:wrap anchorx="page" anchory="page"/>
              </v:group>
            </w:pict>
          </mc:Fallback>
        </mc:AlternateContent>
      </w:r>
      <w:r w:rsidR="00BF4329" w:rsidRPr="00742B86">
        <w:rPr>
          <w:noProof/>
        </w:rPr>
        <mc:AlternateContent>
          <mc:Choice Requires="wps">
            <w:drawing>
              <wp:anchor distT="0" distB="0" distL="114300" distR="114300" simplePos="0" relativeHeight="251656704" behindDoc="0" locked="1" layoutInCell="1" allowOverlap="1" wp14:anchorId="7D749472" wp14:editId="444072B8">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3F15C8" w:rsidRPr="00987C7A" w:rsidRDefault="003F15C8" w:rsidP="004924DC">
                            <w:pPr>
                              <w:rPr>
                                <w:lang w:val="en-GB"/>
                              </w:rPr>
                            </w:pPr>
                            <w:r w:rsidRPr="00987C7A">
                              <w:rPr>
                                <w:lang w:val="en-GB"/>
                              </w:rPr>
                              <w:t>Prepared by: Office of the President of the CZSO</w:t>
                            </w:r>
                          </w:p>
                          <w:p w:rsidR="003F15C8" w:rsidRPr="00987C7A" w:rsidRDefault="003F15C8" w:rsidP="004924DC">
                            <w:pPr>
                              <w:rPr>
                                <w:lang w:val="en-GB"/>
                              </w:rPr>
                            </w:pPr>
                            <w:r w:rsidRPr="00987C7A">
                              <w:rPr>
                                <w:lang w:val="en-GB"/>
                              </w:rPr>
                              <w:t xml:space="preserve">Director: </w:t>
                            </w:r>
                            <w:proofErr w:type="spellStart"/>
                            <w:r w:rsidRPr="00987C7A">
                              <w:rPr>
                                <w:lang w:val="en-GB"/>
                              </w:rPr>
                              <w:t>Egor</w:t>
                            </w:r>
                            <w:proofErr w:type="spellEnd"/>
                            <w:r w:rsidRPr="00987C7A">
                              <w:rPr>
                                <w:lang w:val="en-GB"/>
                              </w:rPr>
                              <w:t xml:space="preserve"> </w:t>
                            </w:r>
                            <w:proofErr w:type="spellStart"/>
                            <w:r w:rsidRPr="00987C7A">
                              <w:rPr>
                                <w:lang w:val="en-GB"/>
                              </w:rPr>
                              <w:t>Sidorov</w:t>
                            </w:r>
                            <w:proofErr w:type="spellEnd"/>
                            <w:r w:rsidRPr="00987C7A">
                              <w:rPr>
                                <w:lang w:val="en-GB"/>
                              </w:rPr>
                              <w:t>, Ph.D.</w:t>
                            </w:r>
                          </w:p>
                          <w:p w:rsidR="003F15C8" w:rsidRPr="006C5577" w:rsidRDefault="003F15C8" w:rsidP="004924DC">
                            <w:r w:rsidRPr="00987C7A">
                              <w:rPr>
                                <w:lang w:val="en-GB"/>
                              </w:rPr>
                              <w:t xml:space="preserve">Contact person: Karolína Zábojníková, e-mail: </w:t>
                            </w:r>
                            <w:proofErr w:type="spellStart"/>
                            <w:r w:rsidRPr="00987C7A">
                              <w:rPr>
                                <w:lang w:val="en-GB"/>
                              </w:rPr>
                              <w:t>karolina.zabojnikova</w:t>
                            </w:r>
                            <w:proofErr w:type="spellEnd"/>
                            <w:r>
                              <w:t>@czso.cz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49472"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QSAIAADs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B+&#10;TSvQSAIAADsEAAAOAAAAAAAAAAAAAAAAAC4CAABkcnMvZTJvRG9jLnhtbFBLAQItABQABgAIAAAA&#10;IQBU965p4gAAAA4BAAAPAAAAAAAAAAAAAAAAAKIEAABkcnMvZG93bnJldi54bWxQSwUGAAAAAAQA&#10;BADzAAAAsQUAAAAA&#10;" filled="f" stroked="f">
                <v:textbox inset="0,0,0,0">
                  <w:txbxContent>
                    <w:p w:rsidR="003F15C8" w:rsidRPr="00987C7A" w:rsidRDefault="003F15C8" w:rsidP="004924DC">
                      <w:pPr>
                        <w:rPr>
                          <w:lang w:val="en-GB"/>
                        </w:rPr>
                      </w:pPr>
                      <w:r w:rsidRPr="00987C7A">
                        <w:rPr>
                          <w:lang w:val="en-GB"/>
                        </w:rPr>
                        <w:t>Prepared by: Office of the President of the CZSO</w:t>
                      </w:r>
                    </w:p>
                    <w:p w:rsidR="003F15C8" w:rsidRPr="00987C7A" w:rsidRDefault="003F15C8" w:rsidP="004924DC">
                      <w:pPr>
                        <w:rPr>
                          <w:lang w:val="en-GB"/>
                        </w:rPr>
                      </w:pPr>
                      <w:r w:rsidRPr="00987C7A">
                        <w:rPr>
                          <w:lang w:val="en-GB"/>
                        </w:rPr>
                        <w:t xml:space="preserve">Director: </w:t>
                      </w:r>
                      <w:proofErr w:type="spellStart"/>
                      <w:r w:rsidRPr="00987C7A">
                        <w:rPr>
                          <w:lang w:val="en-GB"/>
                        </w:rPr>
                        <w:t>Egor</w:t>
                      </w:r>
                      <w:proofErr w:type="spellEnd"/>
                      <w:r w:rsidRPr="00987C7A">
                        <w:rPr>
                          <w:lang w:val="en-GB"/>
                        </w:rPr>
                        <w:t xml:space="preserve"> </w:t>
                      </w:r>
                      <w:proofErr w:type="spellStart"/>
                      <w:r w:rsidRPr="00987C7A">
                        <w:rPr>
                          <w:lang w:val="en-GB"/>
                        </w:rPr>
                        <w:t>Sidorov</w:t>
                      </w:r>
                      <w:proofErr w:type="spellEnd"/>
                      <w:r w:rsidRPr="00987C7A">
                        <w:rPr>
                          <w:lang w:val="en-GB"/>
                        </w:rPr>
                        <w:t>, Ph.D.</w:t>
                      </w:r>
                    </w:p>
                    <w:p w:rsidR="003F15C8" w:rsidRPr="006C5577" w:rsidRDefault="003F15C8" w:rsidP="004924DC">
                      <w:r w:rsidRPr="00987C7A">
                        <w:rPr>
                          <w:lang w:val="en-GB"/>
                        </w:rPr>
                        <w:t xml:space="preserve">Contact person: Karolína Zábojníková, e-mail: </w:t>
                      </w:r>
                      <w:proofErr w:type="spellStart"/>
                      <w:r w:rsidRPr="00987C7A">
                        <w:rPr>
                          <w:lang w:val="en-GB"/>
                        </w:rPr>
                        <w:t>karolina.zabojnikova</w:t>
                      </w:r>
                      <w:proofErr w:type="spellEnd"/>
                      <w:r>
                        <w:t>@czso.cz</w:t>
                      </w:r>
                    </w:p>
                  </w:txbxContent>
                </v:textbox>
                <w10:wrap anchorx="page" anchory="page"/>
                <w10:anchorlock/>
              </v:shape>
            </w:pict>
          </mc:Fallback>
        </mc:AlternateContent>
      </w:r>
      <w:r w:rsidR="00BF4329" w:rsidRPr="00742B86">
        <w:rPr>
          <w:noProof/>
        </w:rPr>
        <mc:AlternateContent>
          <mc:Choice Requires="wps">
            <w:drawing>
              <wp:anchor distT="0" distB="0" distL="114300" distR="114300" simplePos="0" relativeHeight="251655680" behindDoc="0" locked="1" layoutInCell="1" allowOverlap="1" wp14:anchorId="68FC7FBA" wp14:editId="39BCFF7A">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3F15C8" w:rsidRPr="00BE2A8A" w:rsidRDefault="003F15C8" w:rsidP="00BE2A8A">
                            <w:pPr>
                              <w:pStyle w:val="TLIdentifikace-sted"/>
                              <w:rPr>
                                <w:lang w:val="en-GB"/>
                              </w:rPr>
                            </w:pPr>
                            <w:r w:rsidRPr="00BE2A8A">
                              <w:rPr>
                                <w:lang w:val="en-GB"/>
                              </w:rPr>
                              <w:t>Summary Data on the Czech Republic</w:t>
                            </w:r>
                          </w:p>
                          <w:p w:rsidR="003F15C8" w:rsidRPr="00BE2A8A" w:rsidRDefault="003F15C8" w:rsidP="004924DC">
                            <w:pPr>
                              <w:pStyle w:val="TLIdentifikace-sted"/>
                              <w:rPr>
                                <w:lang w:val="en-GB"/>
                              </w:rPr>
                            </w:pPr>
                            <w:r>
                              <w:rPr>
                                <w:lang w:val="en-GB"/>
                              </w:rPr>
                              <w:t>Prague, 16th April</w:t>
                            </w:r>
                            <w:r w:rsidRPr="00BE2A8A">
                              <w:rPr>
                                <w:lang w:val="en-GB"/>
                              </w:rPr>
                              <w:t xml:space="preserve"> 2021</w:t>
                            </w:r>
                          </w:p>
                          <w:p w:rsidR="003F15C8" w:rsidRPr="00BE2A8A" w:rsidRDefault="003F15C8" w:rsidP="004924DC">
                            <w:pPr>
                              <w:pStyle w:val="TLIdentifikace-sted"/>
                              <w:rPr>
                                <w:lang w:val="en-GB"/>
                              </w:rPr>
                            </w:pPr>
                            <w:r>
                              <w:rPr>
                                <w:lang w:val="en-GB"/>
                              </w:rPr>
                              <w:t>Publication Code: 320194</w:t>
                            </w:r>
                            <w:r w:rsidRPr="00BE2A8A">
                              <w:rPr>
                                <w:lang w:val="en-GB"/>
                              </w:rPr>
                              <w:t>-20</w:t>
                            </w:r>
                          </w:p>
                          <w:p w:rsidR="003F15C8" w:rsidRPr="00BE2A8A" w:rsidRDefault="003F15C8" w:rsidP="004924DC">
                            <w:pPr>
                              <w:pStyle w:val="TLIdentifikace-sted"/>
                              <w:rPr>
                                <w:rFonts w:cs="Arial"/>
                                <w:lang w:val="en-GB"/>
                              </w:rPr>
                            </w:pPr>
                            <w:r w:rsidRPr="00BE2A8A">
                              <w:rPr>
                                <w:rFonts w:cs="Arial"/>
                                <w:lang w:val="en-GB"/>
                              </w:rPr>
                              <w:t xml:space="preserve">Reference No.: </w:t>
                            </w:r>
                            <w:r w:rsidRPr="00BE2A8A">
                              <w:rPr>
                                <w:rFonts w:eastAsia="Calibri" w:cs="Arial"/>
                                <w:lang w:val="en-GB" w:eastAsia="en-US"/>
                              </w:rPr>
                              <w:t>CSU: 002748/2021-01</w:t>
                            </w:r>
                          </w:p>
                          <w:p w:rsidR="003F15C8" w:rsidRPr="00BE2A8A" w:rsidRDefault="003F15C8" w:rsidP="004924DC">
                            <w:pPr>
                              <w:pStyle w:val="TLIdentifikace-sted"/>
                              <w:rPr>
                                <w:lang w:val="en-GB"/>
                              </w:rPr>
                            </w:pPr>
                            <w:r>
                              <w:rPr>
                                <w:lang w:val="en-GB"/>
                              </w:rPr>
                              <w:t xml:space="preserve">Yearly Publication Code: </w:t>
                            </w:r>
                            <w:proofErr w:type="gramStart"/>
                            <w:r>
                              <w:rPr>
                                <w:lang w:val="en-GB"/>
                              </w:rPr>
                              <w:t>2</w:t>
                            </w:r>
                            <w:proofErr w:type="gramEnd"/>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FC7FBA"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" filled="f" stroked="f">
                <v:textbox style="mso-fit-shape-to-text:t" inset="0,0,0,0">
                  <w:txbxContent>
                    <w:p w:rsidR="003F15C8" w:rsidRPr="00BE2A8A" w:rsidRDefault="003F15C8" w:rsidP="00BE2A8A">
                      <w:pPr>
                        <w:pStyle w:val="TLIdentifikace-sted"/>
                        <w:rPr>
                          <w:lang w:val="en-GB"/>
                        </w:rPr>
                      </w:pPr>
                      <w:r w:rsidRPr="00BE2A8A">
                        <w:rPr>
                          <w:lang w:val="en-GB"/>
                        </w:rPr>
                        <w:t>Summary Data on the Czech Republic</w:t>
                      </w:r>
                    </w:p>
                    <w:p w:rsidR="003F15C8" w:rsidRPr="00BE2A8A" w:rsidRDefault="003F15C8" w:rsidP="004924DC">
                      <w:pPr>
                        <w:pStyle w:val="TLIdentifikace-sted"/>
                        <w:rPr>
                          <w:lang w:val="en-GB"/>
                        </w:rPr>
                      </w:pPr>
                      <w:r>
                        <w:rPr>
                          <w:lang w:val="en-GB"/>
                        </w:rPr>
                        <w:t>Prague, 16th April</w:t>
                      </w:r>
                      <w:r w:rsidRPr="00BE2A8A">
                        <w:rPr>
                          <w:lang w:val="en-GB"/>
                        </w:rPr>
                        <w:t xml:space="preserve"> 2021</w:t>
                      </w:r>
                    </w:p>
                    <w:p w:rsidR="003F15C8" w:rsidRPr="00BE2A8A" w:rsidRDefault="003F15C8" w:rsidP="004924DC">
                      <w:pPr>
                        <w:pStyle w:val="TLIdentifikace-sted"/>
                        <w:rPr>
                          <w:lang w:val="en-GB"/>
                        </w:rPr>
                      </w:pPr>
                      <w:r>
                        <w:rPr>
                          <w:lang w:val="en-GB"/>
                        </w:rPr>
                        <w:t>Publication Code: 320194</w:t>
                      </w:r>
                      <w:r w:rsidRPr="00BE2A8A">
                        <w:rPr>
                          <w:lang w:val="en-GB"/>
                        </w:rPr>
                        <w:t>-20</w:t>
                      </w:r>
                    </w:p>
                    <w:p w:rsidR="003F15C8" w:rsidRPr="00BE2A8A" w:rsidRDefault="003F15C8" w:rsidP="004924DC">
                      <w:pPr>
                        <w:pStyle w:val="TLIdentifikace-sted"/>
                        <w:rPr>
                          <w:rFonts w:cs="Arial"/>
                          <w:lang w:val="en-GB"/>
                        </w:rPr>
                      </w:pPr>
                      <w:r w:rsidRPr="00BE2A8A">
                        <w:rPr>
                          <w:rFonts w:cs="Arial"/>
                          <w:lang w:val="en-GB"/>
                        </w:rPr>
                        <w:t xml:space="preserve">Reference No.: </w:t>
                      </w:r>
                      <w:r w:rsidRPr="00BE2A8A">
                        <w:rPr>
                          <w:rFonts w:eastAsia="Calibri" w:cs="Arial"/>
                          <w:lang w:val="en-GB" w:eastAsia="en-US"/>
                        </w:rPr>
                        <w:t>CSU: 002748/2021-01</w:t>
                      </w:r>
                    </w:p>
                    <w:p w:rsidR="003F15C8" w:rsidRPr="00BE2A8A" w:rsidRDefault="003F15C8" w:rsidP="004924DC">
                      <w:pPr>
                        <w:pStyle w:val="TLIdentifikace-sted"/>
                        <w:rPr>
                          <w:lang w:val="en-GB"/>
                        </w:rPr>
                      </w:pPr>
                      <w:r>
                        <w:rPr>
                          <w:lang w:val="en-GB"/>
                        </w:rPr>
                        <w:t xml:space="preserve">Yearly Publication Code: </w:t>
                      </w:r>
                      <w:proofErr w:type="gramStart"/>
                      <w:r>
                        <w:rPr>
                          <w:lang w:val="en-GB"/>
                        </w:rPr>
                        <w:t>2</w:t>
                      </w:r>
                      <w:proofErr w:type="gramEnd"/>
                    </w:p>
                  </w:txbxContent>
                </v:textbox>
                <w10:wrap anchorx="page" anchory="page"/>
                <w10:anchorlock/>
              </v:shape>
            </w:pict>
          </mc:Fallback>
        </mc:AlternateContent>
      </w:r>
      <w:r w:rsidR="00BF4329" w:rsidRPr="00742B86">
        <w:rPr>
          <w:noProof/>
        </w:rPr>
        <mc:AlternateContent>
          <mc:Choice Requires="wps">
            <w:drawing>
              <wp:anchor distT="0" distB="0" distL="114300" distR="114300" simplePos="0" relativeHeight="251654656" behindDoc="0" locked="1" layoutInCell="1" allowOverlap="1" wp14:anchorId="22A1BD4B" wp14:editId="31E7B52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3F15C8" w:rsidRPr="00BE2A8A" w:rsidRDefault="003F15C8" w:rsidP="000E6FBD">
                            <w:pPr>
                              <w:pStyle w:val="Nzev"/>
                              <w:rPr>
                                <w:lang w:val="en-GB"/>
                              </w:rPr>
                            </w:pPr>
                            <w:r w:rsidRPr="00BE2A8A">
                              <w:rPr>
                                <w:lang w:val="en-GB"/>
                              </w:rPr>
                              <w:t>The czech economy development</w:t>
                            </w:r>
                          </w:p>
                          <w:p w:rsidR="003F15C8" w:rsidRPr="00BE2A8A" w:rsidRDefault="003F15C8" w:rsidP="0012192F">
                            <w:pPr>
                              <w:pStyle w:val="Podnadpis"/>
                              <w:rPr>
                                <w:lang w:val="en-GB"/>
                              </w:rPr>
                            </w:pPr>
                          </w:p>
                          <w:p w:rsidR="003F15C8" w:rsidRPr="00BE2A8A" w:rsidRDefault="003F15C8" w:rsidP="00BE2A8A">
                            <w:pPr>
                              <w:pStyle w:val="Podnadpis"/>
                              <w:rPr>
                                <w:lang w:val="en-GB"/>
                              </w:rPr>
                            </w:pPr>
                            <w:r w:rsidRPr="00BE2A8A">
                              <w:rPr>
                                <w:lang w:val="en-GB"/>
                              </w:rPr>
                              <w:t>Year 2020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A1BD4B"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" filled="f" stroked="f">
                <v:textbox style="mso-fit-shape-to-text:t" inset="0,0,0,0">
                  <w:txbxContent>
                    <w:p w:rsidR="003F15C8" w:rsidRPr="00BE2A8A" w:rsidRDefault="003F15C8" w:rsidP="000E6FBD">
                      <w:pPr>
                        <w:pStyle w:val="Nzev"/>
                        <w:rPr>
                          <w:lang w:val="en-GB"/>
                        </w:rPr>
                      </w:pPr>
                      <w:r w:rsidRPr="00BE2A8A">
                        <w:rPr>
                          <w:lang w:val="en-GB"/>
                        </w:rPr>
                        <w:t>The czech economy development</w:t>
                      </w:r>
                    </w:p>
                    <w:p w:rsidR="003F15C8" w:rsidRPr="00BE2A8A" w:rsidRDefault="003F15C8" w:rsidP="0012192F">
                      <w:pPr>
                        <w:pStyle w:val="Podnadpis"/>
                        <w:rPr>
                          <w:lang w:val="en-GB"/>
                        </w:rPr>
                      </w:pPr>
                    </w:p>
                    <w:p w:rsidR="003F15C8" w:rsidRPr="00BE2A8A" w:rsidRDefault="003F15C8" w:rsidP="00BE2A8A">
                      <w:pPr>
                        <w:pStyle w:val="Podnadpis"/>
                        <w:rPr>
                          <w:lang w:val="en-GB"/>
                        </w:rPr>
                      </w:pPr>
                      <w:r w:rsidRPr="00BE2A8A">
                        <w:rPr>
                          <w:lang w:val="en-GB"/>
                        </w:rPr>
                        <w:t>Year 2020</w:t>
                      </w:r>
                    </w:p>
                  </w:txbxContent>
                </v:textbox>
                <w10:wrap anchorx="page" anchory="page"/>
                <w10:anchorlock/>
              </v:shape>
            </w:pict>
          </mc:Fallback>
        </mc:AlternateContent>
      </w:r>
      <w:r w:rsidR="00BF4329" w:rsidRPr="00742B86">
        <w:rPr>
          <w:noProof/>
        </w:rPr>
        <mc:AlternateContent>
          <mc:Choice Requires="wps">
            <w:drawing>
              <wp:anchor distT="0" distB="0" distL="114300" distR="114300" simplePos="0" relativeHeight="251658752" behindDoc="0" locked="1" layoutInCell="1" allowOverlap="1" wp14:anchorId="211D308C" wp14:editId="77DC381B">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3F15C8" w:rsidRPr="004924DC" w:rsidRDefault="003F15C8" w:rsidP="004924DC">
                            <w:r w:rsidRPr="004924DC">
                              <w:t xml:space="preserve">© </w:t>
                            </w:r>
                            <w:r>
                              <w:t xml:space="preserve">Czech </w:t>
                            </w:r>
                            <w:proofErr w:type="spellStart"/>
                            <w:r>
                              <w:t>Statistical</w:t>
                            </w:r>
                            <w:proofErr w:type="spellEnd"/>
                            <w:r>
                              <w:t xml:space="preserve"> Office</w:t>
                            </w:r>
                            <w:r w:rsidRPr="004924DC">
                              <w:t xml:space="preserve">, </w:t>
                            </w:r>
                            <w:r>
                              <w:t>Prague</w:t>
                            </w:r>
                            <w:r w:rsidRPr="004924DC">
                              <w:t xml:space="preserve">, </w:t>
                            </w:r>
                            <w:r>
                              <w:t>2021</w:t>
                            </w:r>
                          </w:p>
                          <w:p w:rsidR="003F15C8" w:rsidRPr="005251DD" w:rsidRDefault="003F15C8" w:rsidP="00665BA4"/>
                          <w:p w:rsidR="003F15C8" w:rsidRPr="005251DD" w:rsidRDefault="003F15C8" w:rsidP="00FC684B"/>
                          <w:p w:rsidR="003F15C8" w:rsidRDefault="003F15C8"/>
                          <w:p w:rsidR="003F15C8" w:rsidRPr="00097407" w:rsidRDefault="003F15C8"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3F15C8" w:rsidRPr="005251DD" w:rsidRDefault="003F15C8" w:rsidP="00665BA4"/>
                          <w:p w:rsidR="003F15C8" w:rsidRPr="005251DD" w:rsidRDefault="003F15C8"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D308C"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Bh&#10;B1+0SQIAAEIEAAAOAAAAAAAAAAAAAAAAAC4CAABkcnMvZTJvRG9jLnhtbFBLAQItABQABgAIAAAA&#10;IQAHZXB34QAAAA4BAAAPAAAAAAAAAAAAAAAAAKMEAABkcnMvZG93bnJldi54bWxQSwUGAAAAAAQA&#10;BADzAAAAsQUAAAAA&#10;" filled="f" stroked="f">
                <v:textbox inset="0,0,0,0">
                  <w:txbxContent>
                    <w:p w:rsidR="003F15C8" w:rsidRPr="004924DC" w:rsidRDefault="003F15C8" w:rsidP="004924DC">
                      <w:r w:rsidRPr="004924DC">
                        <w:t xml:space="preserve">© </w:t>
                      </w:r>
                      <w:r>
                        <w:t xml:space="preserve">Czech </w:t>
                      </w:r>
                      <w:proofErr w:type="spellStart"/>
                      <w:r>
                        <w:t>Statistical</w:t>
                      </w:r>
                      <w:proofErr w:type="spellEnd"/>
                      <w:r>
                        <w:t xml:space="preserve"> Office</w:t>
                      </w:r>
                      <w:r w:rsidRPr="004924DC">
                        <w:t xml:space="preserve">, </w:t>
                      </w:r>
                      <w:r>
                        <w:t>Prague</w:t>
                      </w:r>
                      <w:r w:rsidRPr="004924DC">
                        <w:t xml:space="preserve">, </w:t>
                      </w:r>
                      <w:r>
                        <w:t>2021</w:t>
                      </w:r>
                    </w:p>
                    <w:p w:rsidR="003F15C8" w:rsidRPr="005251DD" w:rsidRDefault="003F15C8" w:rsidP="00665BA4"/>
                    <w:p w:rsidR="003F15C8" w:rsidRPr="005251DD" w:rsidRDefault="003F15C8" w:rsidP="00FC684B"/>
                    <w:p w:rsidR="003F15C8" w:rsidRDefault="003F15C8"/>
                    <w:p w:rsidR="003F15C8" w:rsidRPr="00097407" w:rsidRDefault="003F15C8"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3F15C8" w:rsidRPr="005251DD" w:rsidRDefault="003F15C8" w:rsidP="00665BA4"/>
                    <w:p w:rsidR="003F15C8" w:rsidRPr="005251DD" w:rsidRDefault="003F15C8" w:rsidP="00FC684B"/>
                  </w:txbxContent>
                </v:textbox>
                <w10:wrap anchorx="page" anchory="page"/>
                <w10:anchorlock/>
              </v:shape>
            </w:pict>
          </mc:Fallback>
        </mc:AlternateContent>
      </w:r>
      <w:r w:rsidR="00BF4329" w:rsidRPr="00742B86">
        <w:rPr>
          <w:noProof/>
        </w:rPr>
        <mc:AlternateContent>
          <mc:Choice Requires="wps">
            <w:drawing>
              <wp:anchor distT="4294967293" distB="4294967293" distL="114300" distR="114300" simplePos="0" relativeHeight="251653632" behindDoc="0" locked="1" layoutInCell="0" allowOverlap="1" wp14:anchorId="56616E6D" wp14:editId="72D626EF">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F06386"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p>
    <w:p w:rsidR="00742B86" w:rsidRPr="00742B86" w:rsidRDefault="00742B86" w:rsidP="00742B86">
      <w:pPr>
        <w:rPr>
          <w:lang w:val="en-GB"/>
        </w:rPr>
      </w:pPr>
    </w:p>
    <w:p w:rsidR="00742B86" w:rsidRPr="00742B86" w:rsidRDefault="00742B86" w:rsidP="00742B86">
      <w:pPr>
        <w:rPr>
          <w:lang w:val="en-GB"/>
        </w:rPr>
      </w:pPr>
    </w:p>
    <w:p w:rsidR="00742B86" w:rsidRPr="00742B86" w:rsidRDefault="00742B86" w:rsidP="00742B86">
      <w:pPr>
        <w:rPr>
          <w:lang w:val="en-GB"/>
        </w:rPr>
      </w:pPr>
    </w:p>
    <w:p w:rsidR="00742B86" w:rsidRPr="00742B86" w:rsidRDefault="00742B86" w:rsidP="00742B86">
      <w:pPr>
        <w:rPr>
          <w:lang w:val="en-GB"/>
        </w:rPr>
      </w:pPr>
    </w:p>
    <w:p w:rsidR="00742B86" w:rsidRPr="00742B86" w:rsidRDefault="00742B86" w:rsidP="00742B86">
      <w:pPr>
        <w:rPr>
          <w:lang w:val="en-GB"/>
        </w:rPr>
      </w:pPr>
    </w:p>
    <w:p w:rsidR="00742B86" w:rsidRPr="00742B86" w:rsidRDefault="00742B86" w:rsidP="00742B86">
      <w:pPr>
        <w:rPr>
          <w:lang w:val="en-GB"/>
        </w:rPr>
      </w:pPr>
    </w:p>
    <w:p w:rsidR="00742B86" w:rsidRPr="00742B86" w:rsidRDefault="00742B86" w:rsidP="00E67696">
      <w:pPr>
        <w:rPr>
          <w:lang w:val="en-GB"/>
        </w:rPr>
      </w:pPr>
    </w:p>
    <w:p w:rsidR="00742B86" w:rsidRPr="00742B86" w:rsidRDefault="00742B86" w:rsidP="00742B86">
      <w:pPr>
        <w:tabs>
          <w:tab w:val="left" w:pos="5543"/>
        </w:tabs>
        <w:rPr>
          <w:lang w:val="en-GB"/>
        </w:rPr>
      </w:pPr>
      <w:r w:rsidRPr="00742B86">
        <w:rPr>
          <w:lang w:val="en-GB"/>
        </w:rPr>
        <w:tab/>
      </w:r>
    </w:p>
    <w:p w:rsidR="00A75E40" w:rsidRPr="00742B86" w:rsidRDefault="00F63FB7" w:rsidP="00E67696">
      <w:pPr>
        <w:rPr>
          <w:lang w:val="en-GB" w:eastAsia="ar-SA"/>
        </w:rPr>
        <w:sectPr w:rsidR="00A75E40" w:rsidRPr="00742B86" w:rsidSect="0085114D">
          <w:pgSz w:w="11906" w:h="16838" w:code="9"/>
          <w:pgMar w:top="1134" w:right="1134" w:bottom="1418" w:left="1134" w:header="709" w:footer="709" w:gutter="0"/>
          <w:pgNumType w:start="1"/>
          <w:cols w:space="708"/>
          <w:docGrid w:linePitch="360"/>
        </w:sectPr>
      </w:pPr>
      <w:r w:rsidRPr="00742B86">
        <w:rPr>
          <w:lang w:val="en-GB"/>
        </w:rPr>
        <w:br w:type="page"/>
      </w:r>
      <w:r w:rsidR="00D57677" w:rsidRPr="00742B86">
        <w:rPr>
          <w:lang w:val="en-GB"/>
        </w:rPr>
        <w:lastRenderedPageBreak/>
        <w:br w:type="page"/>
      </w:r>
      <w:r w:rsidR="00BF4329" w:rsidRPr="00742B86">
        <w:rPr>
          <w:noProof/>
        </w:rPr>
        <mc:AlternateContent>
          <mc:Choice Requires="wps">
            <w:drawing>
              <wp:anchor distT="0" distB="0" distL="114300" distR="114300" simplePos="0" relativeHeight="251659776" behindDoc="0" locked="1" layoutInCell="1" allowOverlap="1" wp14:anchorId="1CA088C6" wp14:editId="054DEB49">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3F15C8" w:rsidRPr="00987C7A" w:rsidRDefault="003F15C8" w:rsidP="00987C7A">
                            <w:pPr>
                              <w:pStyle w:val="TLKontaktyerven"/>
                              <w:rPr>
                                <w:lang w:val="en-GB"/>
                              </w:rPr>
                            </w:pPr>
                            <w:r w:rsidRPr="00987C7A">
                              <w:rPr>
                                <w:lang w:val="en-GB"/>
                              </w:rPr>
                              <w:t>CONTACTS IN THE HEADQUARTERS</w:t>
                            </w:r>
                          </w:p>
                          <w:p w:rsidR="003F15C8" w:rsidRPr="00987C7A" w:rsidRDefault="003F15C8" w:rsidP="00825C4D">
                            <w:pPr>
                              <w:pStyle w:val="TLKontakty"/>
                              <w:spacing w:after="80" w:line="240" w:lineRule="auto"/>
                              <w:contextualSpacing w:val="0"/>
                              <w:rPr>
                                <w:b w:val="0"/>
                                <w:color w:val="auto"/>
                                <w:lang w:val="en-GB"/>
                              </w:rPr>
                            </w:pPr>
                            <w:r w:rsidRPr="00987C7A">
                              <w:rPr>
                                <w:lang w:val="en-GB"/>
                              </w:rPr>
                              <w:t>Czech Statistical Office</w:t>
                            </w:r>
                            <w:r w:rsidRPr="00987C7A">
                              <w:rPr>
                                <w:b w:val="0"/>
                                <w:color w:val="auto"/>
                                <w:lang w:val="en-GB"/>
                              </w:rPr>
                              <w:t xml:space="preserve"> | Na </w:t>
                            </w:r>
                            <w:proofErr w:type="spellStart"/>
                            <w:r w:rsidRPr="00987C7A">
                              <w:rPr>
                                <w:b w:val="0"/>
                                <w:color w:val="auto"/>
                                <w:lang w:val="en-GB"/>
                              </w:rPr>
                              <w:t>padesátém</w:t>
                            </w:r>
                            <w:proofErr w:type="spellEnd"/>
                            <w:r w:rsidRPr="00987C7A">
                              <w:rPr>
                                <w:b w:val="0"/>
                                <w:color w:val="auto"/>
                                <w:lang w:val="en-GB"/>
                              </w:rPr>
                              <w:t xml:space="preserve"> 81, 100 82 Praha 10, ph.: 274 051 111 | </w:t>
                            </w:r>
                            <w:r w:rsidRPr="00987C7A">
                              <w:rPr>
                                <w:color w:val="auto"/>
                                <w:lang w:val="en-GB"/>
                              </w:rPr>
                              <w:t>www.czso.cz</w:t>
                            </w:r>
                          </w:p>
                          <w:p w:rsidR="003F15C8" w:rsidRPr="009A37D1" w:rsidRDefault="003F15C8" w:rsidP="00825C4D">
                            <w:pPr>
                              <w:pStyle w:val="TLKontakty"/>
                              <w:spacing w:after="80" w:line="240" w:lineRule="auto"/>
                              <w:contextualSpacing w:val="0"/>
                              <w:rPr>
                                <w:b w:val="0"/>
                                <w:color w:val="auto"/>
                                <w:lang w:val="fr-FR"/>
                              </w:rPr>
                            </w:pPr>
                            <w:r w:rsidRPr="009A37D1">
                              <w:rPr>
                                <w:color w:val="auto"/>
                                <w:lang w:val="fr-FR"/>
                              </w:rPr>
                              <w:t>Information Services</w:t>
                            </w:r>
                            <w:r w:rsidRPr="009A37D1">
                              <w:rPr>
                                <w:b w:val="0"/>
                                <w:color w:val="auto"/>
                                <w:lang w:val="fr-FR"/>
                              </w:rPr>
                              <w:t xml:space="preserve"> | ph.: 274 052 304, 274 052 451 | e-mail: infoservis@czso.cz</w:t>
                            </w:r>
                          </w:p>
                          <w:p w:rsidR="003F15C8" w:rsidRPr="00987C7A" w:rsidRDefault="003F15C8" w:rsidP="00825C4D">
                            <w:pPr>
                              <w:pStyle w:val="TLKontakty"/>
                              <w:spacing w:after="80" w:line="240" w:lineRule="auto"/>
                              <w:contextualSpacing w:val="0"/>
                              <w:rPr>
                                <w:b w:val="0"/>
                                <w:color w:val="auto"/>
                                <w:lang w:val="en-GB"/>
                              </w:rPr>
                            </w:pPr>
                            <w:r w:rsidRPr="00987C7A">
                              <w:rPr>
                                <w:color w:val="auto"/>
                                <w:lang w:val="en-GB"/>
                              </w:rPr>
                              <w:t>CZSO Publication Shop</w:t>
                            </w:r>
                            <w:r w:rsidRPr="00987C7A">
                              <w:rPr>
                                <w:b w:val="0"/>
                                <w:color w:val="auto"/>
                                <w:lang w:val="en-GB"/>
                              </w:rPr>
                              <w:t xml:space="preserve"> | ph.: 274 052 361 | e-mail: prodejna@czso.cz</w:t>
                            </w:r>
                          </w:p>
                          <w:p w:rsidR="003F15C8" w:rsidRPr="00987C7A" w:rsidRDefault="003F15C8" w:rsidP="00825C4D">
                            <w:pPr>
                              <w:pStyle w:val="TLKontakty"/>
                              <w:spacing w:after="80" w:line="240" w:lineRule="auto"/>
                              <w:contextualSpacing w:val="0"/>
                              <w:rPr>
                                <w:b w:val="0"/>
                                <w:color w:val="auto"/>
                                <w:lang w:val="en-GB"/>
                              </w:rPr>
                            </w:pPr>
                            <w:r w:rsidRPr="00987C7A">
                              <w:rPr>
                                <w:color w:val="auto"/>
                                <w:lang w:val="en-GB"/>
                              </w:rPr>
                              <w:t>European Data (ESDS), international comparison</w:t>
                            </w:r>
                            <w:r w:rsidRPr="00987C7A">
                              <w:rPr>
                                <w:b w:val="0"/>
                                <w:color w:val="auto"/>
                                <w:lang w:val="en-GB"/>
                              </w:rPr>
                              <w:t xml:space="preserve"> | ph.: 274 052 347 | e-mail: esds@czso.cz</w:t>
                            </w:r>
                          </w:p>
                          <w:p w:rsidR="003F15C8" w:rsidRPr="00987C7A" w:rsidRDefault="003F15C8" w:rsidP="00825C4D">
                            <w:pPr>
                              <w:pStyle w:val="TLKontakty"/>
                              <w:spacing w:after="80" w:line="240" w:lineRule="auto"/>
                              <w:contextualSpacing w:val="0"/>
                              <w:rPr>
                                <w:b w:val="0"/>
                                <w:color w:val="auto"/>
                                <w:lang w:val="en-GB"/>
                              </w:rPr>
                            </w:pPr>
                            <w:r w:rsidRPr="00987C7A">
                              <w:rPr>
                                <w:color w:val="auto"/>
                                <w:lang w:val="en-GB"/>
                              </w:rPr>
                              <w:t>Central Statistical Library</w:t>
                            </w:r>
                            <w:r w:rsidRPr="00987C7A">
                              <w:rPr>
                                <w:b w:val="0"/>
                                <w:color w:val="auto"/>
                                <w:lang w:val="en-GB"/>
                              </w:rPr>
                              <w:t xml:space="preserve"> | ph.: 274 052 361 | e-mail: knihovna@czso.cz</w:t>
                            </w:r>
                          </w:p>
                          <w:p w:rsidR="003F15C8" w:rsidRPr="00987C7A" w:rsidRDefault="003F15C8" w:rsidP="00825C4D">
                            <w:pPr>
                              <w:pStyle w:val="TLKontakty"/>
                              <w:spacing w:after="80" w:line="240" w:lineRule="auto"/>
                              <w:contextualSpacing w:val="0"/>
                              <w:rPr>
                                <w:color w:val="auto"/>
                                <w:lang w:val="en-GB"/>
                              </w:rPr>
                            </w:pPr>
                          </w:p>
                          <w:p w:rsidR="003F15C8" w:rsidRPr="00D66223" w:rsidRDefault="003F15C8" w:rsidP="00D66223">
                            <w:pPr>
                              <w:pStyle w:val="TLKontaktyerven"/>
                            </w:pPr>
                            <w:r w:rsidRPr="00D66223">
                              <w:t>INFORMA</w:t>
                            </w:r>
                            <w:r>
                              <w:t>TION SERVICES IN THE REGIONS</w:t>
                            </w:r>
                          </w:p>
                          <w:p w:rsidR="003F15C8" w:rsidRPr="00992CF3" w:rsidRDefault="003F15C8"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proofErr w:type="spellStart"/>
                            <w:r>
                              <w:rPr>
                                <w:b w:val="0"/>
                                <w:color w:val="auto"/>
                              </w:rPr>
                              <w:t>ph</w:t>
                            </w:r>
                            <w:proofErr w:type="spellEnd"/>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rsidR="003F15C8" w:rsidRPr="00992CF3" w:rsidRDefault="003F15C8"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3F15C8" w:rsidRPr="004A61C5" w:rsidRDefault="003F15C8" w:rsidP="00825C4D">
                            <w:pPr>
                              <w:pStyle w:val="TLKontakty"/>
                              <w:spacing w:after="80" w:line="240" w:lineRule="auto"/>
                              <w:rPr>
                                <w:color w:val="auto"/>
                              </w:rPr>
                            </w:pPr>
                          </w:p>
                          <w:p w:rsidR="003F15C8" w:rsidRPr="00992CF3" w:rsidRDefault="003F15C8"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 xml:space="preserve">10, </w:t>
                            </w:r>
                            <w:proofErr w:type="spellStart"/>
                            <w:r>
                              <w:rPr>
                                <w:b w:val="0"/>
                                <w:color w:val="auto"/>
                              </w:rPr>
                              <w:t>ph</w:t>
                            </w:r>
                            <w:proofErr w:type="spellEnd"/>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rsidR="003F15C8" w:rsidRPr="00992CF3" w:rsidRDefault="003F15C8"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3F15C8" w:rsidRPr="004A61C5" w:rsidRDefault="003F15C8" w:rsidP="00825C4D">
                            <w:pPr>
                              <w:pStyle w:val="TLKontakty"/>
                              <w:spacing w:after="80" w:line="240" w:lineRule="auto"/>
                              <w:rPr>
                                <w:color w:val="auto"/>
                              </w:rPr>
                            </w:pPr>
                          </w:p>
                          <w:p w:rsidR="003F15C8" w:rsidRPr="00992CF3" w:rsidRDefault="003F15C8"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proofErr w:type="spellStart"/>
                            <w:r>
                              <w:rPr>
                                <w:b w:val="0"/>
                                <w:color w:val="auto"/>
                              </w:rPr>
                              <w:t>ph</w:t>
                            </w:r>
                            <w:proofErr w:type="spellEnd"/>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rsidR="003F15C8" w:rsidRPr="00992CF3" w:rsidRDefault="003F15C8"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3F15C8" w:rsidRPr="004A61C5" w:rsidRDefault="003F15C8" w:rsidP="00825C4D">
                            <w:pPr>
                              <w:pStyle w:val="TLKontakty"/>
                              <w:spacing w:after="80" w:line="240" w:lineRule="auto"/>
                              <w:rPr>
                                <w:color w:val="auto"/>
                              </w:rPr>
                            </w:pPr>
                          </w:p>
                          <w:p w:rsidR="003F15C8" w:rsidRPr="00BC731E" w:rsidRDefault="003F15C8"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xml:space="preserve">,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 xml:space="preserve">1,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3F15C8" w:rsidRPr="004A61C5" w:rsidRDefault="003F15C8" w:rsidP="00825C4D">
                            <w:pPr>
                              <w:pStyle w:val="TLKontakty"/>
                              <w:spacing w:after="80" w:line="240" w:lineRule="auto"/>
                              <w:rPr>
                                <w:b w:val="0"/>
                                <w:color w:val="auto"/>
                              </w:rPr>
                            </w:pPr>
                          </w:p>
                          <w:p w:rsidR="003F15C8" w:rsidRPr="004A61C5" w:rsidRDefault="003F15C8"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proofErr w:type="spellStart"/>
                            <w:r>
                              <w:rPr>
                                <w:b w:val="0"/>
                                <w:color w:val="auto"/>
                              </w:rPr>
                              <w:t>ph</w:t>
                            </w:r>
                            <w:proofErr w:type="spellEnd"/>
                            <w:r>
                              <w:rPr>
                                <w:b w:val="0"/>
                                <w:color w:val="auto"/>
                              </w:rPr>
                              <w:t>.</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proofErr w:type="spellStart"/>
                            <w:r>
                              <w:rPr>
                                <w:b w:val="0"/>
                                <w:color w:val="auto"/>
                              </w:rPr>
                              <w:t>ph</w:t>
                            </w:r>
                            <w:proofErr w:type="spellEnd"/>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3F15C8" w:rsidRPr="004A61C5" w:rsidRDefault="003F15C8" w:rsidP="00825C4D">
                            <w:pPr>
                              <w:pStyle w:val="TLKontakty"/>
                              <w:spacing w:after="80" w:line="240" w:lineRule="auto"/>
                              <w:rPr>
                                <w:b w:val="0"/>
                                <w:color w:val="auto"/>
                              </w:rPr>
                            </w:pPr>
                          </w:p>
                          <w:p w:rsidR="003F15C8" w:rsidRPr="004A61C5" w:rsidRDefault="003F15C8"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w:t>
                            </w:r>
                            <w:proofErr w:type="spellStart"/>
                            <w:r>
                              <w:rPr>
                                <w:b w:val="0"/>
                                <w:color w:val="auto"/>
                              </w:rPr>
                              <w:t>ph</w:t>
                            </w:r>
                            <w:proofErr w:type="spellEnd"/>
                            <w:r>
                              <w:rPr>
                                <w:b w:val="0"/>
                                <w:color w:val="auto"/>
                              </w:rPr>
                              <w:t xml:space="preserve">.: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3F15C8" w:rsidRDefault="003F15C8" w:rsidP="00825C4D">
                            <w:pPr>
                              <w:pStyle w:val="TLKontakty"/>
                              <w:spacing w:after="80" w:line="240" w:lineRule="auto"/>
                            </w:pPr>
                          </w:p>
                          <w:p w:rsidR="003F15C8" w:rsidRPr="00BC731E" w:rsidRDefault="003F15C8"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proofErr w:type="spellStart"/>
                            <w:r>
                              <w:rPr>
                                <w:b w:val="0"/>
                                <w:color w:val="auto"/>
                              </w:rPr>
                              <w:t>ph</w:t>
                            </w:r>
                            <w:proofErr w:type="spellEnd"/>
                            <w:r>
                              <w:rPr>
                                <w:b w:val="0"/>
                                <w:color w:val="auto"/>
                              </w:rPr>
                              <w:t xml:space="preserve">.: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rsidR="003F15C8" w:rsidRPr="004A61C5" w:rsidRDefault="003F15C8"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3F15C8" w:rsidRPr="004A61C5" w:rsidRDefault="003F15C8" w:rsidP="00825C4D">
                            <w:pPr>
                              <w:pStyle w:val="TLKontakty"/>
                              <w:spacing w:after="80" w:line="240" w:lineRule="auto"/>
                              <w:rPr>
                                <w:b w:val="0"/>
                                <w:color w:val="auto"/>
                              </w:rPr>
                            </w:pPr>
                          </w:p>
                          <w:p w:rsidR="003F15C8" w:rsidRPr="005E7C78" w:rsidRDefault="003F15C8"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proofErr w:type="spellStart"/>
                            <w:r>
                              <w:rPr>
                                <w:b w:val="0"/>
                                <w:color w:val="auto"/>
                              </w:rPr>
                              <w:t>ph</w:t>
                            </w:r>
                            <w:proofErr w:type="spellEnd"/>
                            <w:r>
                              <w:rPr>
                                <w:b w:val="0"/>
                                <w:color w:val="auto"/>
                              </w:rPr>
                              <w:t xml:space="preserve">.: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rsidR="003F15C8" w:rsidRPr="005E7C78" w:rsidRDefault="003F15C8"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3F15C8" w:rsidRPr="005E7C78" w:rsidRDefault="003F15C8" w:rsidP="00825C4D">
                            <w:pPr>
                              <w:pStyle w:val="TLKontakty"/>
                              <w:spacing w:after="80" w:line="240" w:lineRule="auto"/>
                              <w:rPr>
                                <w:b w:val="0"/>
                                <w:color w:val="auto"/>
                              </w:rPr>
                            </w:pPr>
                          </w:p>
                          <w:p w:rsidR="003F15C8" w:rsidRPr="005E7C78" w:rsidRDefault="003F15C8"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proofErr w:type="spellStart"/>
                            <w:r>
                              <w:rPr>
                                <w:b w:val="0"/>
                                <w:color w:val="auto"/>
                              </w:rPr>
                              <w:t>ph</w:t>
                            </w:r>
                            <w:proofErr w:type="spellEnd"/>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rsidR="003F15C8" w:rsidRDefault="003F15C8"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3F15C8" w:rsidRPr="005E7C78" w:rsidRDefault="003F15C8" w:rsidP="00095135">
                            <w:pPr>
                              <w:pStyle w:val="TLKontakty"/>
                              <w:spacing w:after="80" w:line="240" w:lineRule="auto"/>
                              <w:rPr>
                                <w:b w:val="0"/>
                                <w:color w:val="auto"/>
                              </w:rPr>
                            </w:pPr>
                          </w:p>
                          <w:p w:rsidR="003F15C8" w:rsidRPr="005E7C78" w:rsidRDefault="003F15C8"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w:t>
                            </w:r>
                            <w:proofErr w:type="spellStart"/>
                            <w:r>
                              <w:rPr>
                                <w:b w:val="0"/>
                                <w:color w:val="auto"/>
                              </w:rPr>
                              <w:t>ph</w:t>
                            </w:r>
                            <w:proofErr w:type="spellEnd"/>
                            <w:r>
                              <w:rPr>
                                <w:b w:val="0"/>
                                <w:color w:val="auto"/>
                              </w:rPr>
                              <w:t xml:space="preserve">.: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rsidR="003F15C8" w:rsidRPr="00095135" w:rsidRDefault="003F15C8"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A088C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B7Ir+ksCAABDBAAADgAAAAAAAAAAAAAAAAAuAgAAZHJzL2Uyb0RvYy54bWxQSwECLQAUAAYACAAA&#10;ACEArRpGXOAAAAANAQAADwAAAAAAAAAAAAAAAAClBAAAZHJzL2Rvd25yZXYueG1sUEsFBgAAAAAE&#10;AAQA8wAAALIFAAAAAA==&#10;" filled="f" stroked="f">
                <v:textbox style="mso-fit-shape-to-text:t" inset="0,0,0,0">
                  <w:txbxContent>
                    <w:p w:rsidR="003F15C8" w:rsidRPr="00987C7A" w:rsidRDefault="003F15C8" w:rsidP="00987C7A">
                      <w:pPr>
                        <w:pStyle w:val="TLKontaktyerven"/>
                        <w:rPr>
                          <w:lang w:val="en-GB"/>
                        </w:rPr>
                      </w:pPr>
                      <w:r w:rsidRPr="00987C7A">
                        <w:rPr>
                          <w:lang w:val="en-GB"/>
                        </w:rPr>
                        <w:t>CONTACTS IN THE HEADQUARTERS</w:t>
                      </w:r>
                    </w:p>
                    <w:p w:rsidR="003F15C8" w:rsidRPr="00987C7A" w:rsidRDefault="003F15C8" w:rsidP="00825C4D">
                      <w:pPr>
                        <w:pStyle w:val="TLKontakty"/>
                        <w:spacing w:after="80" w:line="240" w:lineRule="auto"/>
                        <w:contextualSpacing w:val="0"/>
                        <w:rPr>
                          <w:b w:val="0"/>
                          <w:color w:val="auto"/>
                          <w:lang w:val="en-GB"/>
                        </w:rPr>
                      </w:pPr>
                      <w:r w:rsidRPr="00987C7A">
                        <w:rPr>
                          <w:lang w:val="en-GB"/>
                        </w:rPr>
                        <w:t>Czech Statistical Office</w:t>
                      </w:r>
                      <w:r w:rsidRPr="00987C7A">
                        <w:rPr>
                          <w:b w:val="0"/>
                          <w:color w:val="auto"/>
                          <w:lang w:val="en-GB"/>
                        </w:rPr>
                        <w:t xml:space="preserve"> | Na </w:t>
                      </w:r>
                      <w:proofErr w:type="spellStart"/>
                      <w:r w:rsidRPr="00987C7A">
                        <w:rPr>
                          <w:b w:val="0"/>
                          <w:color w:val="auto"/>
                          <w:lang w:val="en-GB"/>
                        </w:rPr>
                        <w:t>padesátém</w:t>
                      </w:r>
                      <w:proofErr w:type="spellEnd"/>
                      <w:r w:rsidRPr="00987C7A">
                        <w:rPr>
                          <w:b w:val="0"/>
                          <w:color w:val="auto"/>
                          <w:lang w:val="en-GB"/>
                        </w:rPr>
                        <w:t xml:space="preserve"> 81, 100 82 Praha 10, ph.: 274 051 111 | </w:t>
                      </w:r>
                      <w:r w:rsidRPr="00987C7A">
                        <w:rPr>
                          <w:color w:val="auto"/>
                          <w:lang w:val="en-GB"/>
                        </w:rPr>
                        <w:t>www.czso.cz</w:t>
                      </w:r>
                    </w:p>
                    <w:p w:rsidR="003F15C8" w:rsidRPr="009A37D1" w:rsidRDefault="003F15C8" w:rsidP="00825C4D">
                      <w:pPr>
                        <w:pStyle w:val="TLKontakty"/>
                        <w:spacing w:after="80" w:line="240" w:lineRule="auto"/>
                        <w:contextualSpacing w:val="0"/>
                        <w:rPr>
                          <w:b w:val="0"/>
                          <w:color w:val="auto"/>
                          <w:lang w:val="fr-FR"/>
                        </w:rPr>
                      </w:pPr>
                      <w:r w:rsidRPr="009A37D1">
                        <w:rPr>
                          <w:color w:val="auto"/>
                          <w:lang w:val="fr-FR"/>
                        </w:rPr>
                        <w:t>Information Services</w:t>
                      </w:r>
                      <w:r w:rsidRPr="009A37D1">
                        <w:rPr>
                          <w:b w:val="0"/>
                          <w:color w:val="auto"/>
                          <w:lang w:val="fr-FR"/>
                        </w:rPr>
                        <w:t xml:space="preserve"> | ph.: 274 052 304, 274 052 451 | e-mail: infoservis@czso.cz</w:t>
                      </w:r>
                    </w:p>
                    <w:p w:rsidR="003F15C8" w:rsidRPr="00987C7A" w:rsidRDefault="003F15C8" w:rsidP="00825C4D">
                      <w:pPr>
                        <w:pStyle w:val="TLKontakty"/>
                        <w:spacing w:after="80" w:line="240" w:lineRule="auto"/>
                        <w:contextualSpacing w:val="0"/>
                        <w:rPr>
                          <w:b w:val="0"/>
                          <w:color w:val="auto"/>
                          <w:lang w:val="en-GB"/>
                        </w:rPr>
                      </w:pPr>
                      <w:r w:rsidRPr="00987C7A">
                        <w:rPr>
                          <w:color w:val="auto"/>
                          <w:lang w:val="en-GB"/>
                        </w:rPr>
                        <w:t>CZSO Publication Shop</w:t>
                      </w:r>
                      <w:r w:rsidRPr="00987C7A">
                        <w:rPr>
                          <w:b w:val="0"/>
                          <w:color w:val="auto"/>
                          <w:lang w:val="en-GB"/>
                        </w:rPr>
                        <w:t xml:space="preserve"> | ph.: 274 052 361 | e-mail: prodejna@czso.cz</w:t>
                      </w:r>
                    </w:p>
                    <w:p w:rsidR="003F15C8" w:rsidRPr="00987C7A" w:rsidRDefault="003F15C8" w:rsidP="00825C4D">
                      <w:pPr>
                        <w:pStyle w:val="TLKontakty"/>
                        <w:spacing w:after="80" w:line="240" w:lineRule="auto"/>
                        <w:contextualSpacing w:val="0"/>
                        <w:rPr>
                          <w:b w:val="0"/>
                          <w:color w:val="auto"/>
                          <w:lang w:val="en-GB"/>
                        </w:rPr>
                      </w:pPr>
                      <w:r w:rsidRPr="00987C7A">
                        <w:rPr>
                          <w:color w:val="auto"/>
                          <w:lang w:val="en-GB"/>
                        </w:rPr>
                        <w:t>European Data (ESDS), international comparison</w:t>
                      </w:r>
                      <w:r w:rsidRPr="00987C7A">
                        <w:rPr>
                          <w:b w:val="0"/>
                          <w:color w:val="auto"/>
                          <w:lang w:val="en-GB"/>
                        </w:rPr>
                        <w:t xml:space="preserve"> | ph.: 274 052 347 | e-mail: esds@czso.cz</w:t>
                      </w:r>
                    </w:p>
                    <w:p w:rsidR="003F15C8" w:rsidRPr="00987C7A" w:rsidRDefault="003F15C8" w:rsidP="00825C4D">
                      <w:pPr>
                        <w:pStyle w:val="TLKontakty"/>
                        <w:spacing w:after="80" w:line="240" w:lineRule="auto"/>
                        <w:contextualSpacing w:val="0"/>
                        <w:rPr>
                          <w:b w:val="0"/>
                          <w:color w:val="auto"/>
                          <w:lang w:val="en-GB"/>
                        </w:rPr>
                      </w:pPr>
                      <w:r w:rsidRPr="00987C7A">
                        <w:rPr>
                          <w:color w:val="auto"/>
                          <w:lang w:val="en-GB"/>
                        </w:rPr>
                        <w:t>Central Statistical Library</w:t>
                      </w:r>
                      <w:r w:rsidRPr="00987C7A">
                        <w:rPr>
                          <w:b w:val="0"/>
                          <w:color w:val="auto"/>
                          <w:lang w:val="en-GB"/>
                        </w:rPr>
                        <w:t xml:space="preserve"> | ph.: 274 052 361 | e-mail: knihovna@czso.cz</w:t>
                      </w:r>
                    </w:p>
                    <w:p w:rsidR="003F15C8" w:rsidRPr="00987C7A" w:rsidRDefault="003F15C8" w:rsidP="00825C4D">
                      <w:pPr>
                        <w:pStyle w:val="TLKontakty"/>
                        <w:spacing w:after="80" w:line="240" w:lineRule="auto"/>
                        <w:contextualSpacing w:val="0"/>
                        <w:rPr>
                          <w:color w:val="auto"/>
                          <w:lang w:val="en-GB"/>
                        </w:rPr>
                      </w:pPr>
                    </w:p>
                    <w:p w:rsidR="003F15C8" w:rsidRPr="00D66223" w:rsidRDefault="003F15C8" w:rsidP="00D66223">
                      <w:pPr>
                        <w:pStyle w:val="TLKontaktyerven"/>
                      </w:pPr>
                      <w:r w:rsidRPr="00D66223">
                        <w:t>INFORMA</w:t>
                      </w:r>
                      <w:r>
                        <w:t>TION SERVICES IN THE REGIONS</w:t>
                      </w:r>
                    </w:p>
                    <w:p w:rsidR="003F15C8" w:rsidRPr="00992CF3" w:rsidRDefault="003F15C8"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proofErr w:type="spellStart"/>
                      <w:r>
                        <w:rPr>
                          <w:b w:val="0"/>
                          <w:color w:val="auto"/>
                        </w:rPr>
                        <w:t>ph</w:t>
                      </w:r>
                      <w:proofErr w:type="spellEnd"/>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rsidR="003F15C8" w:rsidRPr="00992CF3" w:rsidRDefault="003F15C8"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3F15C8" w:rsidRPr="004A61C5" w:rsidRDefault="003F15C8" w:rsidP="00825C4D">
                      <w:pPr>
                        <w:pStyle w:val="TLKontakty"/>
                        <w:spacing w:after="80" w:line="240" w:lineRule="auto"/>
                        <w:rPr>
                          <w:color w:val="auto"/>
                        </w:rPr>
                      </w:pPr>
                    </w:p>
                    <w:p w:rsidR="003F15C8" w:rsidRPr="00992CF3" w:rsidRDefault="003F15C8"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 xml:space="preserve">10, </w:t>
                      </w:r>
                      <w:proofErr w:type="spellStart"/>
                      <w:r>
                        <w:rPr>
                          <w:b w:val="0"/>
                          <w:color w:val="auto"/>
                        </w:rPr>
                        <w:t>ph</w:t>
                      </w:r>
                      <w:proofErr w:type="spellEnd"/>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rsidR="003F15C8" w:rsidRPr="00992CF3" w:rsidRDefault="003F15C8"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3F15C8" w:rsidRPr="004A61C5" w:rsidRDefault="003F15C8" w:rsidP="00825C4D">
                      <w:pPr>
                        <w:pStyle w:val="TLKontakty"/>
                        <w:spacing w:after="80" w:line="240" w:lineRule="auto"/>
                        <w:rPr>
                          <w:color w:val="auto"/>
                        </w:rPr>
                      </w:pPr>
                    </w:p>
                    <w:p w:rsidR="003F15C8" w:rsidRPr="00992CF3" w:rsidRDefault="003F15C8"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proofErr w:type="spellStart"/>
                      <w:r>
                        <w:rPr>
                          <w:b w:val="0"/>
                          <w:color w:val="auto"/>
                        </w:rPr>
                        <w:t>ph</w:t>
                      </w:r>
                      <w:proofErr w:type="spellEnd"/>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rsidR="003F15C8" w:rsidRPr="00992CF3" w:rsidRDefault="003F15C8"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3F15C8" w:rsidRPr="004A61C5" w:rsidRDefault="003F15C8" w:rsidP="00825C4D">
                      <w:pPr>
                        <w:pStyle w:val="TLKontakty"/>
                        <w:spacing w:after="80" w:line="240" w:lineRule="auto"/>
                        <w:rPr>
                          <w:color w:val="auto"/>
                        </w:rPr>
                      </w:pPr>
                    </w:p>
                    <w:p w:rsidR="003F15C8" w:rsidRPr="00BC731E" w:rsidRDefault="003F15C8"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xml:space="preserve">,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 xml:space="preserve">1, </w:t>
                      </w:r>
                      <w:proofErr w:type="spellStart"/>
                      <w:r>
                        <w:rPr>
                          <w:b w:val="0"/>
                          <w:color w:val="auto"/>
                        </w:rPr>
                        <w:t>ph</w:t>
                      </w:r>
                      <w:proofErr w:type="spellEnd"/>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3F15C8" w:rsidRPr="004A61C5" w:rsidRDefault="003F15C8" w:rsidP="00825C4D">
                      <w:pPr>
                        <w:pStyle w:val="TLKontakty"/>
                        <w:spacing w:after="80" w:line="240" w:lineRule="auto"/>
                        <w:rPr>
                          <w:b w:val="0"/>
                          <w:color w:val="auto"/>
                        </w:rPr>
                      </w:pPr>
                    </w:p>
                    <w:p w:rsidR="003F15C8" w:rsidRPr="004A61C5" w:rsidRDefault="003F15C8"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proofErr w:type="spellStart"/>
                      <w:r>
                        <w:rPr>
                          <w:b w:val="0"/>
                          <w:color w:val="auto"/>
                        </w:rPr>
                        <w:t>ph</w:t>
                      </w:r>
                      <w:proofErr w:type="spellEnd"/>
                      <w:r>
                        <w:rPr>
                          <w:b w:val="0"/>
                          <w:color w:val="auto"/>
                        </w:rPr>
                        <w:t>.</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3F15C8" w:rsidRPr="004A61C5" w:rsidRDefault="003F15C8" w:rsidP="00825C4D">
                      <w:pPr>
                        <w:pStyle w:val="TLKontakty"/>
                        <w:spacing w:after="80" w:line="240" w:lineRule="auto"/>
                        <w:rPr>
                          <w:color w:val="auto"/>
                        </w:rPr>
                      </w:pPr>
                    </w:p>
                    <w:p w:rsidR="003F15C8" w:rsidRPr="004A61C5" w:rsidRDefault="003F15C8"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proofErr w:type="spellStart"/>
                      <w:r>
                        <w:rPr>
                          <w:b w:val="0"/>
                          <w:color w:val="auto"/>
                        </w:rPr>
                        <w:t>ph</w:t>
                      </w:r>
                      <w:proofErr w:type="spellEnd"/>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3F15C8" w:rsidRPr="004A61C5" w:rsidRDefault="003F15C8" w:rsidP="00825C4D">
                      <w:pPr>
                        <w:pStyle w:val="TLKontakty"/>
                        <w:spacing w:after="80" w:line="240" w:lineRule="auto"/>
                        <w:rPr>
                          <w:b w:val="0"/>
                          <w:color w:val="auto"/>
                        </w:rPr>
                      </w:pPr>
                    </w:p>
                    <w:p w:rsidR="003F15C8" w:rsidRPr="004A61C5" w:rsidRDefault="003F15C8"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w:t>
                      </w:r>
                      <w:proofErr w:type="spellStart"/>
                      <w:r>
                        <w:rPr>
                          <w:b w:val="0"/>
                          <w:color w:val="auto"/>
                        </w:rPr>
                        <w:t>ph</w:t>
                      </w:r>
                      <w:proofErr w:type="spellEnd"/>
                      <w:r>
                        <w:rPr>
                          <w:b w:val="0"/>
                          <w:color w:val="auto"/>
                        </w:rPr>
                        <w:t xml:space="preserve">.: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rsidR="003F15C8" w:rsidRPr="004A61C5" w:rsidRDefault="003F15C8"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3F15C8" w:rsidRDefault="003F15C8" w:rsidP="00825C4D">
                      <w:pPr>
                        <w:pStyle w:val="TLKontakty"/>
                        <w:spacing w:after="80" w:line="240" w:lineRule="auto"/>
                      </w:pPr>
                    </w:p>
                    <w:p w:rsidR="003F15C8" w:rsidRPr="00BC731E" w:rsidRDefault="003F15C8"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proofErr w:type="spellStart"/>
                      <w:r>
                        <w:rPr>
                          <w:b w:val="0"/>
                          <w:color w:val="auto"/>
                        </w:rPr>
                        <w:t>ph</w:t>
                      </w:r>
                      <w:proofErr w:type="spellEnd"/>
                      <w:r>
                        <w:rPr>
                          <w:b w:val="0"/>
                          <w:color w:val="auto"/>
                        </w:rPr>
                        <w:t xml:space="preserve">.: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rsidR="003F15C8" w:rsidRPr="004A61C5" w:rsidRDefault="003F15C8"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3F15C8" w:rsidRPr="004A61C5" w:rsidRDefault="003F15C8" w:rsidP="00825C4D">
                      <w:pPr>
                        <w:pStyle w:val="TLKontakty"/>
                        <w:spacing w:after="80" w:line="240" w:lineRule="auto"/>
                        <w:rPr>
                          <w:b w:val="0"/>
                          <w:color w:val="auto"/>
                        </w:rPr>
                      </w:pPr>
                    </w:p>
                    <w:p w:rsidR="003F15C8" w:rsidRPr="005E7C78" w:rsidRDefault="003F15C8"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proofErr w:type="spellStart"/>
                      <w:r>
                        <w:rPr>
                          <w:b w:val="0"/>
                          <w:color w:val="auto"/>
                        </w:rPr>
                        <w:t>ph</w:t>
                      </w:r>
                      <w:proofErr w:type="spellEnd"/>
                      <w:r>
                        <w:rPr>
                          <w:b w:val="0"/>
                          <w:color w:val="auto"/>
                        </w:rPr>
                        <w:t xml:space="preserve">.: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rsidR="003F15C8" w:rsidRPr="005E7C78" w:rsidRDefault="003F15C8"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3F15C8" w:rsidRPr="005E7C78" w:rsidRDefault="003F15C8" w:rsidP="00825C4D">
                      <w:pPr>
                        <w:pStyle w:val="TLKontakty"/>
                        <w:spacing w:after="80" w:line="240" w:lineRule="auto"/>
                        <w:rPr>
                          <w:b w:val="0"/>
                          <w:color w:val="auto"/>
                        </w:rPr>
                      </w:pPr>
                    </w:p>
                    <w:p w:rsidR="003F15C8" w:rsidRPr="005E7C78" w:rsidRDefault="003F15C8"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proofErr w:type="spellStart"/>
                      <w:r>
                        <w:rPr>
                          <w:b w:val="0"/>
                          <w:color w:val="auto"/>
                        </w:rPr>
                        <w:t>ph</w:t>
                      </w:r>
                      <w:proofErr w:type="spellEnd"/>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rsidR="003F15C8" w:rsidRDefault="003F15C8"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3F15C8" w:rsidRPr="005E7C78" w:rsidRDefault="003F15C8" w:rsidP="00095135">
                      <w:pPr>
                        <w:pStyle w:val="TLKontakty"/>
                        <w:spacing w:after="80" w:line="240" w:lineRule="auto"/>
                        <w:rPr>
                          <w:b w:val="0"/>
                          <w:color w:val="auto"/>
                        </w:rPr>
                      </w:pPr>
                    </w:p>
                    <w:p w:rsidR="003F15C8" w:rsidRPr="005E7C78" w:rsidRDefault="003F15C8"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w:t>
                      </w:r>
                      <w:proofErr w:type="spellStart"/>
                      <w:r>
                        <w:rPr>
                          <w:b w:val="0"/>
                          <w:color w:val="auto"/>
                        </w:rPr>
                        <w:t>ph</w:t>
                      </w:r>
                      <w:proofErr w:type="spellEnd"/>
                      <w:r>
                        <w:rPr>
                          <w:b w:val="0"/>
                          <w:color w:val="auto"/>
                        </w:rPr>
                        <w:t xml:space="preserve">.: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rsidR="003F15C8" w:rsidRPr="00095135" w:rsidRDefault="003F15C8"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sidR="00BF4329" w:rsidRPr="00742B86">
        <w:rPr>
          <w:noProof/>
        </w:rPr>
        <mc:AlternateContent>
          <mc:Choice Requires="wps">
            <w:drawing>
              <wp:anchor distT="0" distB="0" distL="114300" distR="114300" simplePos="0" relativeHeight="251661824" behindDoc="0" locked="1" layoutInCell="1" allowOverlap="1" wp14:anchorId="3EE77A96" wp14:editId="5156964C">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3F15C8" w:rsidRPr="00321924" w:rsidRDefault="003F15C8" w:rsidP="00A16E1D">
                            <w:pPr>
                              <w:jc w:val="left"/>
                            </w:pPr>
                            <w:r w:rsidRPr="00321924">
                              <w:br/>
                              <w:t xml:space="preserve">© </w:t>
                            </w:r>
                            <w:r w:rsidRPr="00E95F74">
                              <w:rPr>
                                <w:lang w:val="en-GB"/>
                              </w:rPr>
                              <w:t>Czech Statistical Office, Prague, 2021</w:t>
                            </w:r>
                          </w:p>
                          <w:p w:rsidR="003F15C8" w:rsidRDefault="003F15C8"/>
                          <w:p w:rsidR="003F15C8" w:rsidRPr="00841D9F" w:rsidRDefault="003F15C8"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rsidR="003F15C8" w:rsidRPr="00AF2852" w:rsidRDefault="003F15C8"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7A96"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" filled="f" stroked="f">
                <v:textbox inset="0,0,0,0">
                  <w:txbxContent>
                    <w:p w:rsidR="003F15C8" w:rsidRPr="00321924" w:rsidRDefault="003F15C8" w:rsidP="00A16E1D">
                      <w:pPr>
                        <w:jc w:val="left"/>
                      </w:pPr>
                      <w:r w:rsidRPr="00321924">
                        <w:br/>
                        <w:t xml:space="preserve">© </w:t>
                      </w:r>
                      <w:r w:rsidRPr="00E95F74">
                        <w:rPr>
                          <w:lang w:val="en-GB"/>
                        </w:rPr>
                        <w:t>Czech Statistical Office, Prague, 2021</w:t>
                      </w:r>
                    </w:p>
                    <w:p w:rsidR="003F15C8" w:rsidRDefault="003F15C8"/>
                    <w:p w:rsidR="003F15C8" w:rsidRPr="00841D9F" w:rsidRDefault="003F15C8"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rsidR="003F15C8" w:rsidRPr="00AF2852" w:rsidRDefault="003F15C8"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sidR="00BF4329" w:rsidRPr="00742B86">
        <w:rPr>
          <w:noProof/>
        </w:rPr>
        <mc:AlternateContent>
          <mc:Choice Requires="wps">
            <w:drawing>
              <wp:anchor distT="0" distB="0" distL="114300" distR="114300" simplePos="0" relativeHeight="251660800" behindDoc="0" locked="1" layoutInCell="1" allowOverlap="1" wp14:anchorId="01D0B83B" wp14:editId="3F386203">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3F15C8" w:rsidRPr="009A1902" w:rsidRDefault="003F15C8" w:rsidP="000A3A2C">
                            <w:pPr>
                              <w:rPr>
                                <w:b/>
                                <w:bCs/>
                                <w:i/>
                                <w:sz w:val="24"/>
                              </w:rPr>
                            </w:pPr>
                            <w:r w:rsidRPr="006557C0">
                              <w:rPr>
                                <w:b/>
                                <w:color w:val="0071BC"/>
                                <w:sz w:val="24"/>
                                <w:lang w:val="en-GB"/>
                              </w:rPr>
                              <w:t xml:space="preserve">Are you interested in the latest data connected with inflation, GDP, population, average wages and much more? You can find them on the CZSO web page: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D0B83B"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" filled="f" stroked="f">
                <v:textbox style="mso-fit-shape-to-text:t" inset="0,0,0,0">
                  <w:txbxContent>
                    <w:p w:rsidR="003F15C8" w:rsidRPr="009A1902" w:rsidRDefault="003F15C8" w:rsidP="000A3A2C">
                      <w:pPr>
                        <w:rPr>
                          <w:b/>
                          <w:bCs/>
                          <w:i/>
                          <w:sz w:val="24"/>
                        </w:rPr>
                      </w:pPr>
                      <w:r w:rsidRPr="006557C0">
                        <w:rPr>
                          <w:b/>
                          <w:color w:val="0071BC"/>
                          <w:sz w:val="24"/>
                          <w:lang w:val="en-GB"/>
                        </w:rPr>
                        <w:t xml:space="preserve">Are you interested in the latest data connected with inflation, GDP, population, average wages and much more? You can find them on the CZSO web page: </w:t>
                      </w:r>
                      <w:r>
                        <w:rPr>
                          <w:b/>
                          <w:bCs/>
                          <w:sz w:val="24"/>
                        </w:rPr>
                        <w:t>www.czso.cz</w:t>
                      </w:r>
                    </w:p>
                  </w:txbxContent>
                </v:textbox>
                <w10:wrap anchorx="page" anchory="page"/>
                <w10:anchorlock/>
              </v:shape>
            </w:pict>
          </mc:Fallback>
        </mc:AlternateContent>
      </w:r>
    </w:p>
    <w:sdt>
      <w:sdtPr>
        <w:rPr>
          <w:b w:val="0"/>
          <w:color w:val="auto"/>
          <w:sz w:val="20"/>
          <w:lang w:val="en-GB"/>
        </w:rPr>
        <w:id w:val="5357999"/>
        <w:docPartObj>
          <w:docPartGallery w:val="Table of Contents"/>
          <w:docPartUnique/>
        </w:docPartObj>
      </w:sdtPr>
      <w:sdtEndPr/>
      <w:sdtContent>
        <w:p w:rsidR="00867DAB" w:rsidRPr="00742B86" w:rsidRDefault="00443A47" w:rsidP="00867DAB">
          <w:pPr>
            <w:pStyle w:val="Obsah"/>
            <w:rPr>
              <w:lang w:val="en-GB"/>
            </w:rPr>
          </w:pPr>
          <w:r w:rsidRPr="00742B86">
            <w:rPr>
              <w:lang w:val="en-GB"/>
            </w:rPr>
            <w:t>Contents</w:t>
          </w:r>
        </w:p>
        <w:bookmarkStart w:id="0" w:name="_GoBack"/>
        <w:bookmarkEnd w:id="0"/>
        <w:p w:rsidR="00C14F5C" w:rsidRDefault="007D42E5">
          <w:pPr>
            <w:pStyle w:val="Obsah1"/>
            <w:rPr>
              <w:rFonts w:asciiTheme="minorHAnsi" w:eastAsiaTheme="minorEastAsia" w:hAnsiTheme="minorHAnsi" w:cstheme="minorBidi"/>
              <w:noProof/>
              <w:sz w:val="22"/>
              <w:szCs w:val="22"/>
            </w:rPr>
          </w:pPr>
          <w:r w:rsidRPr="00742B86">
            <w:rPr>
              <w:lang w:val="en-GB"/>
            </w:rPr>
            <w:fldChar w:fldCharType="begin"/>
          </w:r>
          <w:r w:rsidR="00867DAB" w:rsidRPr="00742B86">
            <w:rPr>
              <w:lang w:val="en-GB"/>
            </w:rPr>
            <w:instrText xml:space="preserve"> TOC \o "1-3" \h \z \u </w:instrText>
          </w:r>
          <w:r w:rsidRPr="00742B86">
            <w:rPr>
              <w:lang w:val="en-GB"/>
            </w:rPr>
            <w:fldChar w:fldCharType="separate"/>
          </w:r>
          <w:hyperlink w:anchor="_Toc69370719" w:history="1">
            <w:r w:rsidR="00C14F5C" w:rsidRPr="00A204E7">
              <w:rPr>
                <w:rStyle w:val="Hypertextovodkaz"/>
                <w:noProof/>
                <w:lang w:val="en-GB"/>
              </w:rPr>
              <w:t>1. Summary</w:t>
            </w:r>
            <w:r w:rsidR="00C14F5C">
              <w:rPr>
                <w:noProof/>
                <w:webHidden/>
              </w:rPr>
              <w:tab/>
            </w:r>
            <w:r w:rsidR="00C14F5C">
              <w:rPr>
                <w:noProof/>
                <w:webHidden/>
              </w:rPr>
              <w:fldChar w:fldCharType="begin"/>
            </w:r>
            <w:r w:rsidR="00C14F5C">
              <w:rPr>
                <w:noProof/>
                <w:webHidden/>
              </w:rPr>
              <w:instrText xml:space="preserve"> PAGEREF _Toc69370719 \h </w:instrText>
            </w:r>
            <w:r w:rsidR="00C14F5C">
              <w:rPr>
                <w:noProof/>
                <w:webHidden/>
              </w:rPr>
            </w:r>
            <w:r w:rsidR="00C14F5C">
              <w:rPr>
                <w:noProof/>
                <w:webHidden/>
              </w:rPr>
              <w:fldChar w:fldCharType="separate"/>
            </w:r>
            <w:r w:rsidR="00C14F5C">
              <w:rPr>
                <w:noProof/>
                <w:webHidden/>
              </w:rPr>
              <w:t>4</w:t>
            </w:r>
            <w:r w:rsidR="00C14F5C">
              <w:rPr>
                <w:noProof/>
                <w:webHidden/>
              </w:rPr>
              <w:fldChar w:fldCharType="end"/>
            </w:r>
          </w:hyperlink>
        </w:p>
        <w:p w:rsidR="00C14F5C" w:rsidRDefault="00C14F5C">
          <w:pPr>
            <w:pStyle w:val="Obsah1"/>
            <w:rPr>
              <w:rFonts w:asciiTheme="minorHAnsi" w:eastAsiaTheme="minorEastAsia" w:hAnsiTheme="minorHAnsi" w:cstheme="minorBidi"/>
              <w:noProof/>
              <w:sz w:val="22"/>
              <w:szCs w:val="22"/>
            </w:rPr>
          </w:pPr>
          <w:hyperlink w:anchor="_Toc69370720" w:history="1">
            <w:r w:rsidRPr="00A204E7">
              <w:rPr>
                <w:rStyle w:val="Hypertextovodkaz"/>
                <w:noProof/>
                <w:lang w:val="en-GB"/>
              </w:rPr>
              <w:t>2. Overall Economic Performance</w:t>
            </w:r>
            <w:r>
              <w:rPr>
                <w:noProof/>
                <w:webHidden/>
              </w:rPr>
              <w:tab/>
            </w:r>
            <w:r>
              <w:rPr>
                <w:noProof/>
                <w:webHidden/>
              </w:rPr>
              <w:fldChar w:fldCharType="begin"/>
            </w:r>
            <w:r>
              <w:rPr>
                <w:noProof/>
                <w:webHidden/>
              </w:rPr>
              <w:instrText xml:space="preserve"> PAGEREF _Toc69370720 \h </w:instrText>
            </w:r>
            <w:r>
              <w:rPr>
                <w:noProof/>
                <w:webHidden/>
              </w:rPr>
            </w:r>
            <w:r>
              <w:rPr>
                <w:noProof/>
                <w:webHidden/>
              </w:rPr>
              <w:fldChar w:fldCharType="separate"/>
            </w:r>
            <w:r>
              <w:rPr>
                <w:noProof/>
                <w:webHidden/>
              </w:rPr>
              <w:t>6</w:t>
            </w:r>
            <w:r>
              <w:rPr>
                <w:noProof/>
                <w:webHidden/>
              </w:rPr>
              <w:fldChar w:fldCharType="end"/>
            </w:r>
          </w:hyperlink>
        </w:p>
        <w:p w:rsidR="00C14F5C" w:rsidRDefault="00C14F5C">
          <w:pPr>
            <w:pStyle w:val="Obsah1"/>
            <w:rPr>
              <w:rFonts w:asciiTheme="minorHAnsi" w:eastAsiaTheme="minorEastAsia" w:hAnsiTheme="minorHAnsi" w:cstheme="minorBidi"/>
              <w:noProof/>
              <w:sz w:val="22"/>
              <w:szCs w:val="22"/>
            </w:rPr>
          </w:pPr>
          <w:hyperlink w:anchor="_Toc69370721" w:history="1">
            <w:r w:rsidRPr="00A204E7">
              <w:rPr>
                <w:rStyle w:val="Hypertextovodkaz"/>
                <w:noProof/>
                <w:lang w:val="en-GB"/>
              </w:rPr>
              <w:t>3. Branches Performance</w:t>
            </w:r>
            <w:r>
              <w:rPr>
                <w:noProof/>
                <w:webHidden/>
              </w:rPr>
              <w:tab/>
            </w:r>
            <w:r>
              <w:rPr>
                <w:noProof/>
                <w:webHidden/>
              </w:rPr>
              <w:fldChar w:fldCharType="begin"/>
            </w:r>
            <w:r>
              <w:rPr>
                <w:noProof/>
                <w:webHidden/>
              </w:rPr>
              <w:instrText xml:space="preserve"> PAGEREF _Toc69370721 \h </w:instrText>
            </w:r>
            <w:r>
              <w:rPr>
                <w:noProof/>
                <w:webHidden/>
              </w:rPr>
            </w:r>
            <w:r>
              <w:rPr>
                <w:noProof/>
                <w:webHidden/>
              </w:rPr>
              <w:fldChar w:fldCharType="separate"/>
            </w:r>
            <w:r>
              <w:rPr>
                <w:noProof/>
                <w:webHidden/>
              </w:rPr>
              <w:t>10</w:t>
            </w:r>
            <w:r>
              <w:rPr>
                <w:noProof/>
                <w:webHidden/>
              </w:rPr>
              <w:fldChar w:fldCharType="end"/>
            </w:r>
          </w:hyperlink>
        </w:p>
        <w:p w:rsidR="00C14F5C" w:rsidRDefault="00C14F5C">
          <w:pPr>
            <w:pStyle w:val="Obsah1"/>
            <w:rPr>
              <w:rFonts w:asciiTheme="minorHAnsi" w:eastAsiaTheme="minorEastAsia" w:hAnsiTheme="minorHAnsi" w:cstheme="minorBidi"/>
              <w:noProof/>
              <w:sz w:val="22"/>
              <w:szCs w:val="22"/>
            </w:rPr>
          </w:pPr>
          <w:hyperlink w:anchor="_Toc69370722" w:history="1">
            <w:r w:rsidRPr="00A204E7">
              <w:rPr>
                <w:rStyle w:val="Hypertextovodkaz"/>
                <w:noProof/>
                <w:lang w:val="en-GB"/>
              </w:rPr>
              <w:t>4. External Relations</w:t>
            </w:r>
            <w:r>
              <w:rPr>
                <w:noProof/>
                <w:webHidden/>
              </w:rPr>
              <w:tab/>
            </w:r>
            <w:r>
              <w:rPr>
                <w:noProof/>
                <w:webHidden/>
              </w:rPr>
              <w:fldChar w:fldCharType="begin"/>
            </w:r>
            <w:r>
              <w:rPr>
                <w:noProof/>
                <w:webHidden/>
              </w:rPr>
              <w:instrText xml:space="preserve"> PAGEREF _Toc69370722 \h </w:instrText>
            </w:r>
            <w:r>
              <w:rPr>
                <w:noProof/>
                <w:webHidden/>
              </w:rPr>
            </w:r>
            <w:r>
              <w:rPr>
                <w:noProof/>
                <w:webHidden/>
              </w:rPr>
              <w:fldChar w:fldCharType="separate"/>
            </w:r>
            <w:r>
              <w:rPr>
                <w:noProof/>
                <w:webHidden/>
              </w:rPr>
              <w:t>18</w:t>
            </w:r>
            <w:r>
              <w:rPr>
                <w:noProof/>
                <w:webHidden/>
              </w:rPr>
              <w:fldChar w:fldCharType="end"/>
            </w:r>
          </w:hyperlink>
        </w:p>
        <w:p w:rsidR="00C14F5C" w:rsidRDefault="00C14F5C">
          <w:pPr>
            <w:pStyle w:val="Obsah1"/>
            <w:rPr>
              <w:rFonts w:asciiTheme="minorHAnsi" w:eastAsiaTheme="minorEastAsia" w:hAnsiTheme="minorHAnsi" w:cstheme="minorBidi"/>
              <w:noProof/>
              <w:sz w:val="22"/>
              <w:szCs w:val="22"/>
            </w:rPr>
          </w:pPr>
          <w:hyperlink w:anchor="_Toc69370723" w:history="1">
            <w:r w:rsidRPr="00A204E7">
              <w:rPr>
                <w:rStyle w:val="Hypertextovodkaz"/>
                <w:noProof/>
                <w:lang w:val="en-GB"/>
              </w:rPr>
              <w:t>5. Prices</w:t>
            </w:r>
            <w:r>
              <w:rPr>
                <w:noProof/>
                <w:webHidden/>
              </w:rPr>
              <w:tab/>
            </w:r>
            <w:r>
              <w:rPr>
                <w:noProof/>
                <w:webHidden/>
              </w:rPr>
              <w:fldChar w:fldCharType="begin"/>
            </w:r>
            <w:r>
              <w:rPr>
                <w:noProof/>
                <w:webHidden/>
              </w:rPr>
              <w:instrText xml:space="preserve"> PAGEREF _Toc69370723 \h </w:instrText>
            </w:r>
            <w:r>
              <w:rPr>
                <w:noProof/>
                <w:webHidden/>
              </w:rPr>
            </w:r>
            <w:r>
              <w:rPr>
                <w:noProof/>
                <w:webHidden/>
              </w:rPr>
              <w:fldChar w:fldCharType="separate"/>
            </w:r>
            <w:r>
              <w:rPr>
                <w:noProof/>
                <w:webHidden/>
              </w:rPr>
              <w:t>21</w:t>
            </w:r>
            <w:r>
              <w:rPr>
                <w:noProof/>
                <w:webHidden/>
              </w:rPr>
              <w:fldChar w:fldCharType="end"/>
            </w:r>
          </w:hyperlink>
        </w:p>
        <w:p w:rsidR="00C14F5C" w:rsidRDefault="00C14F5C">
          <w:pPr>
            <w:pStyle w:val="Obsah1"/>
            <w:rPr>
              <w:rFonts w:asciiTheme="minorHAnsi" w:eastAsiaTheme="minorEastAsia" w:hAnsiTheme="minorHAnsi" w:cstheme="minorBidi"/>
              <w:noProof/>
              <w:sz w:val="22"/>
              <w:szCs w:val="22"/>
            </w:rPr>
          </w:pPr>
          <w:hyperlink w:anchor="_Toc69370724" w:history="1">
            <w:r w:rsidRPr="00A204E7">
              <w:rPr>
                <w:rStyle w:val="Hypertextovodkaz"/>
                <w:noProof/>
                <w:lang w:val="en-GB"/>
              </w:rPr>
              <w:t>6. Labour Market</w:t>
            </w:r>
            <w:r>
              <w:rPr>
                <w:noProof/>
                <w:webHidden/>
              </w:rPr>
              <w:tab/>
            </w:r>
            <w:r>
              <w:rPr>
                <w:noProof/>
                <w:webHidden/>
              </w:rPr>
              <w:fldChar w:fldCharType="begin"/>
            </w:r>
            <w:r>
              <w:rPr>
                <w:noProof/>
                <w:webHidden/>
              </w:rPr>
              <w:instrText xml:space="preserve"> PAGEREF _Toc69370724 \h </w:instrText>
            </w:r>
            <w:r>
              <w:rPr>
                <w:noProof/>
                <w:webHidden/>
              </w:rPr>
            </w:r>
            <w:r>
              <w:rPr>
                <w:noProof/>
                <w:webHidden/>
              </w:rPr>
              <w:fldChar w:fldCharType="separate"/>
            </w:r>
            <w:r>
              <w:rPr>
                <w:noProof/>
                <w:webHidden/>
              </w:rPr>
              <w:t>27</w:t>
            </w:r>
            <w:r>
              <w:rPr>
                <w:noProof/>
                <w:webHidden/>
              </w:rPr>
              <w:fldChar w:fldCharType="end"/>
            </w:r>
          </w:hyperlink>
        </w:p>
        <w:p w:rsidR="00C14F5C" w:rsidRDefault="00C14F5C">
          <w:pPr>
            <w:pStyle w:val="Obsah1"/>
            <w:rPr>
              <w:rFonts w:asciiTheme="minorHAnsi" w:eastAsiaTheme="minorEastAsia" w:hAnsiTheme="minorHAnsi" w:cstheme="minorBidi"/>
              <w:noProof/>
              <w:sz w:val="22"/>
              <w:szCs w:val="22"/>
            </w:rPr>
          </w:pPr>
          <w:hyperlink w:anchor="_Toc69370725" w:history="1">
            <w:r w:rsidRPr="00A204E7">
              <w:rPr>
                <w:rStyle w:val="Hypertextovodkaz"/>
                <w:noProof/>
                <w:lang w:val="en-GB"/>
              </w:rPr>
              <w:t>7. Monetary Conditions</w:t>
            </w:r>
            <w:r>
              <w:rPr>
                <w:noProof/>
                <w:webHidden/>
              </w:rPr>
              <w:tab/>
            </w:r>
            <w:r>
              <w:rPr>
                <w:noProof/>
                <w:webHidden/>
              </w:rPr>
              <w:fldChar w:fldCharType="begin"/>
            </w:r>
            <w:r>
              <w:rPr>
                <w:noProof/>
                <w:webHidden/>
              </w:rPr>
              <w:instrText xml:space="preserve"> PAGEREF _Toc69370725 \h </w:instrText>
            </w:r>
            <w:r>
              <w:rPr>
                <w:noProof/>
                <w:webHidden/>
              </w:rPr>
            </w:r>
            <w:r>
              <w:rPr>
                <w:noProof/>
                <w:webHidden/>
              </w:rPr>
              <w:fldChar w:fldCharType="separate"/>
            </w:r>
            <w:r>
              <w:rPr>
                <w:noProof/>
                <w:webHidden/>
              </w:rPr>
              <w:t>33</w:t>
            </w:r>
            <w:r>
              <w:rPr>
                <w:noProof/>
                <w:webHidden/>
              </w:rPr>
              <w:fldChar w:fldCharType="end"/>
            </w:r>
          </w:hyperlink>
        </w:p>
        <w:p w:rsidR="00C14F5C" w:rsidRDefault="00C14F5C">
          <w:pPr>
            <w:pStyle w:val="Obsah1"/>
            <w:rPr>
              <w:rFonts w:asciiTheme="minorHAnsi" w:eastAsiaTheme="minorEastAsia" w:hAnsiTheme="minorHAnsi" w:cstheme="minorBidi"/>
              <w:noProof/>
              <w:sz w:val="22"/>
              <w:szCs w:val="22"/>
            </w:rPr>
          </w:pPr>
          <w:hyperlink w:anchor="_Toc69370726" w:history="1">
            <w:r w:rsidRPr="00A204E7">
              <w:rPr>
                <w:rStyle w:val="Hypertextovodkaz"/>
                <w:noProof/>
                <w:lang w:val="en-GB"/>
              </w:rPr>
              <w:t>8. State Budget</w:t>
            </w:r>
            <w:r>
              <w:rPr>
                <w:noProof/>
                <w:webHidden/>
              </w:rPr>
              <w:tab/>
            </w:r>
            <w:r>
              <w:rPr>
                <w:noProof/>
                <w:webHidden/>
              </w:rPr>
              <w:fldChar w:fldCharType="begin"/>
            </w:r>
            <w:r>
              <w:rPr>
                <w:noProof/>
                <w:webHidden/>
              </w:rPr>
              <w:instrText xml:space="preserve"> PAGEREF _Toc69370726 \h </w:instrText>
            </w:r>
            <w:r>
              <w:rPr>
                <w:noProof/>
                <w:webHidden/>
              </w:rPr>
            </w:r>
            <w:r>
              <w:rPr>
                <w:noProof/>
                <w:webHidden/>
              </w:rPr>
              <w:fldChar w:fldCharType="separate"/>
            </w:r>
            <w:r>
              <w:rPr>
                <w:noProof/>
                <w:webHidden/>
              </w:rPr>
              <w:t>36</w:t>
            </w:r>
            <w:r>
              <w:rPr>
                <w:noProof/>
                <w:webHidden/>
              </w:rPr>
              <w:fldChar w:fldCharType="end"/>
            </w:r>
          </w:hyperlink>
        </w:p>
        <w:p w:rsidR="00867DAB" w:rsidRPr="00742B86" w:rsidRDefault="007D42E5">
          <w:pPr>
            <w:rPr>
              <w:lang w:val="en-GB"/>
            </w:rPr>
          </w:pPr>
          <w:r w:rsidRPr="00742B86">
            <w:rPr>
              <w:lang w:val="en-GB"/>
            </w:rPr>
            <w:fldChar w:fldCharType="end"/>
          </w:r>
        </w:p>
      </w:sdtContent>
    </w:sdt>
    <w:p w:rsidR="00003F5C" w:rsidRPr="00742B86" w:rsidRDefault="00003F5C" w:rsidP="00003F5C">
      <w:pPr>
        <w:pStyle w:val="Textpoznpodarou"/>
        <w:jc w:val="both"/>
        <w:rPr>
          <w:rFonts w:cs="Arial"/>
          <w:color w:val="000000"/>
          <w:lang w:val="en-GB"/>
        </w:rPr>
      </w:pPr>
    </w:p>
    <w:p w:rsidR="00003F5C" w:rsidRPr="00742B86" w:rsidRDefault="00003F5C" w:rsidP="00003F5C">
      <w:pPr>
        <w:pStyle w:val="Textpoznpodarou"/>
        <w:jc w:val="both"/>
        <w:rPr>
          <w:rFonts w:cs="Arial"/>
          <w:color w:val="000000"/>
          <w:lang w:val="en-GB"/>
        </w:rPr>
      </w:pPr>
    </w:p>
    <w:p w:rsidR="00003F5C" w:rsidRPr="00742B86" w:rsidRDefault="00003F5C" w:rsidP="00003F5C">
      <w:pPr>
        <w:pStyle w:val="Textpoznpodarou"/>
        <w:jc w:val="both"/>
        <w:rPr>
          <w:rFonts w:cs="Arial"/>
          <w:color w:val="000000"/>
          <w:lang w:val="en-GB"/>
        </w:rPr>
      </w:pPr>
    </w:p>
    <w:p w:rsidR="00003F5C" w:rsidRPr="00742B86" w:rsidRDefault="00003F5C" w:rsidP="00003F5C">
      <w:pPr>
        <w:pStyle w:val="Textpoznpodarou"/>
        <w:jc w:val="both"/>
        <w:rPr>
          <w:rFonts w:cs="Arial"/>
          <w:color w:val="000000"/>
          <w:lang w:val="en-GB"/>
        </w:rPr>
      </w:pPr>
    </w:p>
    <w:p w:rsidR="00003F5C" w:rsidRPr="00742B86" w:rsidRDefault="00003F5C" w:rsidP="00003F5C">
      <w:pPr>
        <w:pStyle w:val="Textpoznpodarou"/>
        <w:jc w:val="both"/>
        <w:rPr>
          <w:rFonts w:cs="Arial"/>
          <w:color w:val="000000"/>
          <w:lang w:val="en-GB"/>
        </w:rPr>
      </w:pPr>
    </w:p>
    <w:p w:rsidR="00003F5C" w:rsidRPr="00742B86" w:rsidRDefault="00003F5C" w:rsidP="00003F5C">
      <w:pPr>
        <w:pStyle w:val="Textpoznpodarou"/>
        <w:jc w:val="both"/>
        <w:rPr>
          <w:rFonts w:cs="Arial"/>
          <w:color w:val="000000"/>
          <w:lang w:val="en-GB"/>
        </w:rPr>
      </w:pPr>
    </w:p>
    <w:p w:rsidR="00635CF8" w:rsidRPr="00742B86" w:rsidRDefault="00635CF8" w:rsidP="00635CF8">
      <w:pPr>
        <w:pStyle w:val="Textpoznpodarou"/>
        <w:jc w:val="both"/>
        <w:rPr>
          <w:rFonts w:cs="Arial"/>
          <w:color w:val="000000"/>
          <w:lang w:val="en-GB"/>
        </w:rPr>
      </w:pPr>
      <w:r w:rsidRPr="00742B86">
        <w:rPr>
          <w:rFonts w:cs="Arial"/>
          <w:color w:val="000000"/>
          <w:lang w:val="en-GB"/>
        </w:rPr>
        <w:t xml:space="preserve">Source of data in the whole analysis: Czech Statistical Office (CZSO), Ministry of Finance (MF CR), Czech National Bank (CNB), Ministry of Labour and Social Affairs (MLSA), </w:t>
      </w:r>
      <w:r w:rsidR="00AB61AA" w:rsidRPr="00742B86">
        <w:rPr>
          <w:rFonts w:cs="Arial"/>
          <w:color w:val="000000"/>
          <w:lang w:val="en-GB"/>
        </w:rPr>
        <w:t xml:space="preserve">Czech Social Security Administration (CSSA), </w:t>
      </w:r>
      <w:r w:rsidRPr="00742B86">
        <w:rPr>
          <w:rFonts w:cs="Arial"/>
          <w:color w:val="000000"/>
          <w:lang w:val="en-GB"/>
        </w:rPr>
        <w:t>Eurostat, CZSO calculations.</w:t>
      </w:r>
    </w:p>
    <w:p w:rsidR="00635CF8" w:rsidRPr="00742B86" w:rsidRDefault="00635CF8" w:rsidP="00635CF8">
      <w:pPr>
        <w:pStyle w:val="Textpoznpodarou"/>
        <w:jc w:val="both"/>
        <w:rPr>
          <w:rFonts w:cs="Arial"/>
          <w:color w:val="000000"/>
          <w:lang w:val="en-GB"/>
        </w:rPr>
      </w:pPr>
      <w:r w:rsidRPr="00742B86">
        <w:rPr>
          <w:rFonts w:cs="Arial"/>
          <w:color w:val="000000"/>
          <w:lang w:val="en-GB"/>
        </w:rPr>
        <w:t xml:space="preserve">Latest information provided in this report </w:t>
      </w:r>
      <w:proofErr w:type="gramStart"/>
      <w:r w:rsidRPr="00742B86">
        <w:rPr>
          <w:rFonts w:cs="Arial"/>
          <w:color w:val="000000"/>
          <w:lang w:val="en-GB"/>
        </w:rPr>
        <w:t>has been dated</w:t>
      </w:r>
      <w:proofErr w:type="gramEnd"/>
      <w:r w:rsidRPr="00742B86">
        <w:rPr>
          <w:rFonts w:cs="Arial"/>
          <w:color w:val="000000"/>
          <w:lang w:val="en-GB"/>
        </w:rPr>
        <w:t xml:space="preserve"> the 15</w:t>
      </w:r>
      <w:r w:rsidRPr="00742B86">
        <w:rPr>
          <w:rFonts w:cs="Arial"/>
          <w:color w:val="000000"/>
          <w:vertAlign w:val="superscript"/>
          <w:lang w:val="en-GB"/>
        </w:rPr>
        <w:t>th</w:t>
      </w:r>
      <w:r w:rsidRPr="00742B86">
        <w:rPr>
          <w:rFonts w:cs="Arial"/>
          <w:color w:val="000000"/>
          <w:lang w:val="en-GB"/>
        </w:rPr>
        <w:t xml:space="preserve"> March 2021.</w:t>
      </w:r>
    </w:p>
    <w:p w:rsidR="002F1D56" w:rsidRPr="00742B86" w:rsidRDefault="002F1D56" w:rsidP="00003F5C">
      <w:pPr>
        <w:pStyle w:val="Textpoznpodarou"/>
        <w:jc w:val="both"/>
        <w:rPr>
          <w:rFonts w:cs="Arial"/>
          <w:color w:val="000000"/>
          <w:lang w:val="en-GB"/>
        </w:rPr>
      </w:pPr>
    </w:p>
    <w:p w:rsidR="002F1D56" w:rsidRPr="00742B86" w:rsidRDefault="002F1D56" w:rsidP="00003F5C">
      <w:pPr>
        <w:pStyle w:val="Textpoznpodarou"/>
        <w:jc w:val="both"/>
        <w:rPr>
          <w:rFonts w:cs="Arial"/>
          <w:lang w:val="en-GB"/>
        </w:rPr>
      </w:pPr>
    </w:p>
    <w:p w:rsidR="00AB61AA" w:rsidRPr="00742B86" w:rsidRDefault="00AB61AA" w:rsidP="00AB61AA">
      <w:pPr>
        <w:pStyle w:val="Textpoznpodarou"/>
        <w:jc w:val="both"/>
        <w:rPr>
          <w:rFonts w:cs="Arial"/>
          <w:lang w:val="en-GB"/>
        </w:rPr>
      </w:pPr>
      <w:r w:rsidRPr="00742B86">
        <w:rPr>
          <w:rStyle w:val="Zdraznn"/>
          <w:rFonts w:cs="Arial"/>
          <w:i w:val="0"/>
          <w:lang w:val="en-GB"/>
        </w:rPr>
        <w:t xml:space="preserve">Aggregated data for the EU used in this text contain 27 Union states without Great Britain. </w:t>
      </w:r>
    </w:p>
    <w:p w:rsidR="000C72B7" w:rsidRPr="00742B86" w:rsidRDefault="00087F2B" w:rsidP="000C72B7">
      <w:pPr>
        <w:pStyle w:val="Nadpis1"/>
        <w:rPr>
          <w:lang w:val="en-GB"/>
        </w:rPr>
      </w:pPr>
      <w:r w:rsidRPr="00742B86">
        <w:rPr>
          <w:color w:val="auto"/>
          <w:lang w:val="en-GB"/>
        </w:rPr>
        <w:br w:type="page"/>
      </w:r>
      <w:bookmarkStart w:id="1" w:name="_Toc444112494"/>
      <w:bookmarkStart w:id="2" w:name="_Toc511215208"/>
      <w:bookmarkStart w:id="3" w:name="_Toc26865017"/>
      <w:bookmarkStart w:id="4" w:name="_Toc19090676"/>
      <w:bookmarkStart w:id="5" w:name="_Toc69370719"/>
      <w:r w:rsidR="000C72B7" w:rsidRPr="00742B86">
        <w:rPr>
          <w:lang w:val="en-GB"/>
        </w:rPr>
        <w:lastRenderedPageBreak/>
        <w:t>1. S</w:t>
      </w:r>
      <w:r w:rsidR="006B1E91" w:rsidRPr="00742B86">
        <w:rPr>
          <w:lang w:val="en-GB"/>
        </w:rPr>
        <w:t>ummary</w:t>
      </w:r>
      <w:bookmarkEnd w:id="5"/>
    </w:p>
    <w:bookmarkEnd w:id="1"/>
    <w:bookmarkEnd w:id="2"/>
    <w:p w:rsidR="00121609" w:rsidRPr="00742B86" w:rsidRDefault="006B1E91" w:rsidP="00121609">
      <w:pPr>
        <w:pStyle w:val="Normalodrka"/>
        <w:spacing w:after="100"/>
        <w:rPr>
          <w:spacing w:val="-4"/>
          <w:lang w:val="en-GB"/>
        </w:rPr>
      </w:pPr>
      <w:r w:rsidRPr="00742B86">
        <w:rPr>
          <w:spacing w:val="-4"/>
          <w:lang w:val="en-GB"/>
        </w:rPr>
        <w:t xml:space="preserve">The Gross domestic product </w:t>
      </w:r>
      <w:r w:rsidR="00121609" w:rsidRPr="00742B86">
        <w:rPr>
          <w:spacing w:val="-4"/>
          <w:lang w:val="en-GB"/>
        </w:rPr>
        <w:t>(</w:t>
      </w:r>
      <w:r w:rsidRPr="00742B86">
        <w:rPr>
          <w:spacing w:val="-4"/>
          <w:lang w:val="en-GB"/>
        </w:rPr>
        <w:t>GDP</w:t>
      </w:r>
      <w:r w:rsidR="00121609" w:rsidRPr="00742B86">
        <w:rPr>
          <w:spacing w:val="-4"/>
          <w:lang w:val="en-GB"/>
        </w:rPr>
        <w:t>)</w:t>
      </w:r>
      <w:r w:rsidRPr="00742B86">
        <w:rPr>
          <w:spacing w:val="-4"/>
          <w:lang w:val="en-GB"/>
        </w:rPr>
        <w:t xml:space="preserve"> of the Czech economy</w:t>
      </w:r>
      <w:r w:rsidR="00C96C69" w:rsidRPr="00742B86">
        <w:rPr>
          <w:spacing w:val="-4"/>
          <w:lang w:val="en-GB"/>
        </w:rPr>
        <w:t xml:space="preserve"> plunged </w:t>
      </w:r>
      <w:r w:rsidRPr="00742B86">
        <w:rPr>
          <w:spacing w:val="-4"/>
          <w:lang w:val="en-GB"/>
        </w:rPr>
        <w:t xml:space="preserve">by </w:t>
      </w:r>
      <w:r w:rsidR="00121609" w:rsidRPr="00742B86">
        <w:rPr>
          <w:spacing w:val="-4"/>
          <w:lang w:val="en-GB"/>
        </w:rPr>
        <w:t>5</w:t>
      </w:r>
      <w:r w:rsidRPr="00742B86">
        <w:rPr>
          <w:spacing w:val="-4"/>
          <w:lang w:val="en-GB"/>
        </w:rPr>
        <w:t>.</w:t>
      </w:r>
      <w:r w:rsidR="00121609" w:rsidRPr="00742B86">
        <w:rPr>
          <w:spacing w:val="-4"/>
          <w:lang w:val="en-GB"/>
        </w:rPr>
        <w:t>6%</w:t>
      </w:r>
      <w:r w:rsidR="00121609" w:rsidRPr="00742B86">
        <w:rPr>
          <w:rStyle w:val="Znakapoznpodarou"/>
          <w:spacing w:val="-4"/>
          <w:szCs w:val="20"/>
          <w:lang w:val="en-GB"/>
        </w:rPr>
        <w:footnoteReference w:id="1"/>
      </w:r>
      <w:r w:rsidRPr="00742B86">
        <w:rPr>
          <w:spacing w:val="-4"/>
          <w:lang w:val="en-GB"/>
        </w:rPr>
        <w:t xml:space="preserve"> in real terms in year 2020</w:t>
      </w:r>
      <w:r w:rsidR="00121609" w:rsidRPr="00742B86">
        <w:rPr>
          <w:spacing w:val="-4"/>
          <w:lang w:val="en-GB"/>
        </w:rPr>
        <w:t xml:space="preserve">, </w:t>
      </w:r>
      <w:r w:rsidRPr="00742B86">
        <w:rPr>
          <w:spacing w:val="-4"/>
          <w:lang w:val="en-GB"/>
        </w:rPr>
        <w:t>which</w:t>
      </w:r>
      <w:r w:rsidR="00C96C69" w:rsidRPr="00742B86">
        <w:rPr>
          <w:spacing w:val="-4"/>
          <w:lang w:val="en-GB"/>
        </w:rPr>
        <w:t xml:space="preserve"> represented the most severe downturn in the existence of the independent CR. </w:t>
      </w:r>
      <w:r w:rsidRPr="00742B86">
        <w:rPr>
          <w:spacing w:val="-4"/>
          <w:lang w:val="en-GB"/>
        </w:rPr>
        <w:t>All GDP components contributed to the</w:t>
      </w:r>
      <w:r w:rsidR="00C96C69" w:rsidRPr="00742B86">
        <w:rPr>
          <w:spacing w:val="-4"/>
          <w:lang w:val="en-GB"/>
        </w:rPr>
        <w:t xml:space="preserve"> slump </w:t>
      </w:r>
      <w:r w:rsidRPr="00742B86">
        <w:rPr>
          <w:spacing w:val="-4"/>
          <w:lang w:val="en-GB"/>
        </w:rPr>
        <w:t xml:space="preserve">last year, the domestic consumption and investment the most. </w:t>
      </w:r>
      <w:r w:rsidR="00AB0E44" w:rsidRPr="00742B86">
        <w:rPr>
          <w:spacing w:val="-4"/>
          <w:lang w:val="en-GB"/>
        </w:rPr>
        <w:t>Q</w:t>
      </w:r>
      <w:r w:rsidR="00121609" w:rsidRPr="00742B86">
        <w:rPr>
          <w:spacing w:val="-4"/>
          <w:lang w:val="en-GB"/>
        </w:rPr>
        <w:t>4</w:t>
      </w:r>
      <w:r w:rsidR="00AB0E44" w:rsidRPr="00742B86">
        <w:rPr>
          <w:spacing w:val="-4"/>
          <w:lang w:val="en-GB"/>
        </w:rPr>
        <w:t xml:space="preserve"> </w:t>
      </w:r>
      <w:r w:rsidR="00121609" w:rsidRPr="00742B86">
        <w:rPr>
          <w:spacing w:val="-4"/>
          <w:lang w:val="en-GB"/>
        </w:rPr>
        <w:t>2020</w:t>
      </w:r>
      <w:r w:rsidR="00AB0E44" w:rsidRPr="00742B86">
        <w:rPr>
          <w:spacing w:val="-4"/>
          <w:lang w:val="en-GB"/>
        </w:rPr>
        <w:t xml:space="preserve"> itself </w:t>
      </w:r>
      <w:proofErr w:type="gramStart"/>
      <w:r w:rsidR="00AB0E44" w:rsidRPr="00742B86">
        <w:rPr>
          <w:spacing w:val="-4"/>
          <w:lang w:val="en-GB"/>
        </w:rPr>
        <w:t>was affected</w:t>
      </w:r>
      <w:proofErr w:type="gramEnd"/>
      <w:r w:rsidR="00AB0E44" w:rsidRPr="00742B86">
        <w:rPr>
          <w:spacing w:val="-4"/>
          <w:lang w:val="en-GB"/>
        </w:rPr>
        <w:t xml:space="preserve"> by further wave of measures against the spread of </w:t>
      </w:r>
      <w:r w:rsidR="00121609" w:rsidRPr="00742B86">
        <w:rPr>
          <w:spacing w:val="-4"/>
          <w:lang w:val="en-GB"/>
        </w:rPr>
        <w:t xml:space="preserve">covid-19. </w:t>
      </w:r>
      <w:r w:rsidRPr="00742B86">
        <w:rPr>
          <w:spacing w:val="-4"/>
          <w:lang w:val="en-GB"/>
        </w:rPr>
        <w:t xml:space="preserve">The foreign demand was not however hit </w:t>
      </w:r>
      <w:proofErr w:type="gramStart"/>
      <w:r w:rsidRPr="00742B86">
        <w:rPr>
          <w:spacing w:val="-4"/>
          <w:lang w:val="en-GB"/>
        </w:rPr>
        <w:t>to such a large extent</w:t>
      </w:r>
      <w:proofErr w:type="gramEnd"/>
      <w:r w:rsidRPr="00742B86">
        <w:rPr>
          <w:spacing w:val="-4"/>
          <w:lang w:val="en-GB"/>
        </w:rPr>
        <w:t xml:space="preserve"> in comparison to Q2. </w:t>
      </w:r>
      <w:r w:rsidR="00AB0E44" w:rsidRPr="00742B86">
        <w:rPr>
          <w:spacing w:val="-4"/>
          <w:lang w:val="en-GB"/>
        </w:rPr>
        <w:t xml:space="preserve">Resulting year-on-year decrease thus reduced to </w:t>
      </w:r>
      <w:r w:rsidR="00121609" w:rsidRPr="00742B86">
        <w:rPr>
          <w:spacing w:val="-4"/>
          <w:lang w:val="en-GB"/>
        </w:rPr>
        <w:t>4</w:t>
      </w:r>
      <w:r w:rsidR="00AB0E44" w:rsidRPr="00742B86">
        <w:rPr>
          <w:spacing w:val="-4"/>
          <w:lang w:val="en-GB"/>
        </w:rPr>
        <w:t>.</w:t>
      </w:r>
      <w:r w:rsidR="00121609" w:rsidRPr="00742B86">
        <w:rPr>
          <w:spacing w:val="-4"/>
          <w:lang w:val="en-GB"/>
        </w:rPr>
        <w:t>7%</w:t>
      </w:r>
      <w:r w:rsidR="00AB0E44" w:rsidRPr="00742B86">
        <w:rPr>
          <w:spacing w:val="-4"/>
          <w:lang w:val="en-GB"/>
        </w:rPr>
        <w:t xml:space="preserve"> and the GDP increased by </w:t>
      </w:r>
      <w:r w:rsidR="00121609" w:rsidRPr="00742B86">
        <w:rPr>
          <w:spacing w:val="-4"/>
          <w:lang w:val="en-GB"/>
        </w:rPr>
        <w:t>0</w:t>
      </w:r>
      <w:r w:rsidR="00AB0E44" w:rsidRPr="00742B86">
        <w:rPr>
          <w:spacing w:val="-4"/>
          <w:lang w:val="en-GB"/>
        </w:rPr>
        <w:t>.</w:t>
      </w:r>
      <w:r w:rsidR="00121609" w:rsidRPr="00742B86">
        <w:rPr>
          <w:spacing w:val="-4"/>
          <w:lang w:val="en-GB"/>
        </w:rPr>
        <w:t>6%</w:t>
      </w:r>
      <w:r w:rsidR="00AB0E44" w:rsidRPr="00742B86">
        <w:rPr>
          <w:spacing w:val="-4"/>
          <w:lang w:val="en-GB"/>
        </w:rPr>
        <w:t xml:space="preserve"> quarter-on-quarter</w:t>
      </w:r>
      <w:r w:rsidR="00121609" w:rsidRPr="00742B86">
        <w:rPr>
          <w:spacing w:val="-4"/>
          <w:lang w:val="en-GB"/>
        </w:rPr>
        <w:t>.</w:t>
      </w:r>
      <w:r w:rsidR="00AB0E44" w:rsidRPr="00742B86">
        <w:rPr>
          <w:spacing w:val="-4"/>
          <w:lang w:val="en-GB"/>
        </w:rPr>
        <w:t xml:space="preserve"> However, both the domestic consumption and investment markedly diminished in Q</w:t>
      </w:r>
      <w:r w:rsidR="00121609" w:rsidRPr="00742B86">
        <w:rPr>
          <w:spacing w:val="-4"/>
          <w:lang w:val="en-GB"/>
        </w:rPr>
        <w:t>4.</w:t>
      </w:r>
      <w:r w:rsidR="00AB0E44" w:rsidRPr="00742B86">
        <w:rPr>
          <w:spacing w:val="-4"/>
          <w:lang w:val="en-GB"/>
        </w:rPr>
        <w:t xml:space="preserve"> </w:t>
      </w:r>
      <w:r w:rsidR="00121609" w:rsidRPr="00742B86">
        <w:rPr>
          <w:spacing w:val="-4"/>
          <w:lang w:val="en-GB"/>
        </w:rPr>
        <w:t>N</w:t>
      </w:r>
      <w:r w:rsidR="00CD128E" w:rsidRPr="00742B86">
        <w:rPr>
          <w:spacing w:val="-4"/>
          <w:lang w:val="en-GB"/>
        </w:rPr>
        <w:t xml:space="preserve">ew wave of infections </w:t>
      </w:r>
      <w:r w:rsidR="00C85047" w:rsidRPr="00742B86">
        <w:rPr>
          <w:spacing w:val="-4"/>
          <w:lang w:val="en-GB"/>
        </w:rPr>
        <w:t xml:space="preserve">also compelled the rest of the EU to adopt measures. </w:t>
      </w:r>
      <w:r w:rsidR="00CD128E" w:rsidRPr="00742B86">
        <w:rPr>
          <w:spacing w:val="-4"/>
          <w:lang w:val="en-GB"/>
        </w:rPr>
        <w:t xml:space="preserve">The Gross domestic product in the </w:t>
      </w:r>
      <w:r w:rsidR="00C85047" w:rsidRPr="00742B86">
        <w:rPr>
          <w:spacing w:val="-4"/>
          <w:lang w:val="en-GB"/>
        </w:rPr>
        <w:t>U</w:t>
      </w:r>
      <w:r w:rsidR="00CD128E" w:rsidRPr="00742B86">
        <w:rPr>
          <w:spacing w:val="-4"/>
          <w:lang w:val="en-GB"/>
        </w:rPr>
        <w:t xml:space="preserve">nion thus fell by </w:t>
      </w:r>
      <w:r w:rsidR="00121609" w:rsidRPr="00742B86">
        <w:rPr>
          <w:spacing w:val="-4"/>
          <w:lang w:val="en-GB"/>
        </w:rPr>
        <w:t>0</w:t>
      </w:r>
      <w:r w:rsidR="00CD128E" w:rsidRPr="00742B86">
        <w:rPr>
          <w:spacing w:val="-4"/>
          <w:lang w:val="en-GB"/>
        </w:rPr>
        <w:t>.</w:t>
      </w:r>
      <w:r w:rsidR="00121609" w:rsidRPr="00742B86">
        <w:rPr>
          <w:spacing w:val="-4"/>
          <w:lang w:val="en-GB"/>
        </w:rPr>
        <w:t>4%</w:t>
      </w:r>
      <w:r w:rsidR="00CD128E" w:rsidRPr="00742B86">
        <w:rPr>
          <w:spacing w:val="-4"/>
          <w:lang w:val="en-GB"/>
        </w:rPr>
        <w:t xml:space="preserve"> quarter-on-quarter and the year-on-year decrease deepen</w:t>
      </w:r>
      <w:r w:rsidR="00C85047" w:rsidRPr="00742B86">
        <w:rPr>
          <w:spacing w:val="-4"/>
          <w:lang w:val="en-GB"/>
        </w:rPr>
        <w:t>e</w:t>
      </w:r>
      <w:r w:rsidR="00CD128E" w:rsidRPr="00742B86">
        <w:rPr>
          <w:spacing w:val="-4"/>
          <w:lang w:val="en-GB"/>
        </w:rPr>
        <w:t xml:space="preserve">d to </w:t>
      </w:r>
      <w:r w:rsidR="00121609" w:rsidRPr="00742B86">
        <w:rPr>
          <w:spacing w:val="-4"/>
          <w:lang w:val="en-GB"/>
        </w:rPr>
        <w:t>–4</w:t>
      </w:r>
      <w:r w:rsidR="00CD128E" w:rsidRPr="00742B86">
        <w:rPr>
          <w:spacing w:val="-4"/>
          <w:lang w:val="en-GB"/>
        </w:rPr>
        <w:t>.</w:t>
      </w:r>
      <w:r w:rsidR="00121609" w:rsidRPr="00742B86">
        <w:rPr>
          <w:spacing w:val="-4"/>
          <w:lang w:val="en-GB"/>
        </w:rPr>
        <w:t xml:space="preserve">8%. </w:t>
      </w:r>
      <w:r w:rsidR="00C85047" w:rsidRPr="00742B86">
        <w:rPr>
          <w:spacing w:val="-4"/>
          <w:lang w:val="en-GB"/>
        </w:rPr>
        <w:t xml:space="preserve">Results </w:t>
      </w:r>
      <w:proofErr w:type="gramStart"/>
      <w:r w:rsidR="00C85047" w:rsidRPr="00742B86">
        <w:rPr>
          <w:spacing w:val="-4"/>
          <w:lang w:val="en-GB"/>
        </w:rPr>
        <w:t>were adversely impacted</w:t>
      </w:r>
      <w:proofErr w:type="gramEnd"/>
      <w:r w:rsidR="00C85047" w:rsidRPr="00742B86">
        <w:rPr>
          <w:spacing w:val="-4"/>
          <w:lang w:val="en-GB"/>
        </w:rPr>
        <w:t xml:space="preserve"> by the quarter-on-quarter downturn in large economies </w:t>
      </w:r>
      <w:r w:rsidR="00121609" w:rsidRPr="00742B86">
        <w:rPr>
          <w:spacing w:val="-4"/>
          <w:lang w:val="en-GB"/>
        </w:rPr>
        <w:t>– Franc</w:t>
      </w:r>
      <w:r w:rsidR="00C85047" w:rsidRPr="00742B86">
        <w:rPr>
          <w:spacing w:val="-4"/>
          <w:lang w:val="en-GB"/>
        </w:rPr>
        <w:t>e and Italy</w:t>
      </w:r>
      <w:r w:rsidR="00121609" w:rsidRPr="00742B86">
        <w:rPr>
          <w:spacing w:val="-4"/>
          <w:lang w:val="en-GB"/>
        </w:rPr>
        <w:t xml:space="preserve">. </w:t>
      </w:r>
      <w:r w:rsidRPr="00742B86">
        <w:rPr>
          <w:spacing w:val="-4"/>
          <w:lang w:val="en-GB"/>
        </w:rPr>
        <w:t xml:space="preserve">Large number of European economies on the contrary </w:t>
      </w:r>
      <w:r w:rsidR="00C85047" w:rsidRPr="00742B86">
        <w:rPr>
          <w:spacing w:val="-4"/>
          <w:lang w:val="en-GB"/>
        </w:rPr>
        <w:t>mildly</w:t>
      </w:r>
      <w:r w:rsidRPr="00742B86">
        <w:rPr>
          <w:spacing w:val="-4"/>
          <w:lang w:val="en-GB"/>
        </w:rPr>
        <w:t xml:space="preserve"> grew quarter-on-quarter. </w:t>
      </w:r>
    </w:p>
    <w:p w:rsidR="00121609" w:rsidRPr="00E444F5" w:rsidRDefault="00640DC3" w:rsidP="00121609">
      <w:pPr>
        <w:pStyle w:val="Normalodrka"/>
        <w:spacing w:after="100"/>
        <w:rPr>
          <w:spacing w:val="-2"/>
          <w:lang w:val="en-GB"/>
        </w:rPr>
      </w:pPr>
      <w:r w:rsidRPr="00E444F5">
        <w:rPr>
          <w:spacing w:val="-2"/>
          <w:lang w:val="en-GB"/>
        </w:rPr>
        <w:t xml:space="preserve">The Gross </w:t>
      </w:r>
      <w:proofErr w:type="gramStart"/>
      <w:r w:rsidRPr="00E444F5">
        <w:rPr>
          <w:spacing w:val="-2"/>
          <w:lang w:val="en-GB"/>
        </w:rPr>
        <w:t>value added</w:t>
      </w:r>
      <w:proofErr w:type="gramEnd"/>
      <w:r w:rsidRPr="00E444F5">
        <w:rPr>
          <w:spacing w:val="-2"/>
          <w:lang w:val="en-GB"/>
        </w:rPr>
        <w:t xml:space="preserve"> </w:t>
      </w:r>
      <w:r w:rsidR="00121609" w:rsidRPr="00E444F5">
        <w:rPr>
          <w:spacing w:val="-2"/>
          <w:lang w:val="en-GB"/>
        </w:rPr>
        <w:t>(</w:t>
      </w:r>
      <w:r w:rsidRPr="00E444F5">
        <w:rPr>
          <w:spacing w:val="-2"/>
          <w:lang w:val="en-GB"/>
        </w:rPr>
        <w:t>GVA)</w:t>
      </w:r>
      <w:r w:rsidR="00121609" w:rsidRPr="00E444F5">
        <w:rPr>
          <w:spacing w:val="-2"/>
          <w:lang w:val="en-GB"/>
        </w:rPr>
        <w:t xml:space="preserve"> </w:t>
      </w:r>
      <w:r w:rsidR="00D406BB" w:rsidRPr="00E444F5">
        <w:rPr>
          <w:spacing w:val="-2"/>
          <w:lang w:val="en-GB"/>
        </w:rPr>
        <w:t xml:space="preserve">fell by </w:t>
      </w:r>
      <w:r w:rsidR="00121609" w:rsidRPr="00E444F5">
        <w:rPr>
          <w:spacing w:val="-2"/>
          <w:lang w:val="en-GB"/>
        </w:rPr>
        <w:t>5</w:t>
      </w:r>
      <w:r w:rsidR="00D406BB" w:rsidRPr="00E444F5">
        <w:rPr>
          <w:spacing w:val="-2"/>
          <w:lang w:val="en-GB"/>
        </w:rPr>
        <w:t>.</w:t>
      </w:r>
      <w:r w:rsidR="00121609" w:rsidRPr="00E444F5">
        <w:rPr>
          <w:spacing w:val="-2"/>
          <w:lang w:val="en-GB"/>
        </w:rPr>
        <w:t>5%</w:t>
      </w:r>
      <w:r w:rsidR="00D406BB" w:rsidRPr="00E444F5">
        <w:rPr>
          <w:spacing w:val="-2"/>
          <w:lang w:val="en-GB"/>
        </w:rPr>
        <w:t xml:space="preserve"> last year</w:t>
      </w:r>
      <w:r w:rsidR="00121609" w:rsidRPr="00E444F5">
        <w:rPr>
          <w:spacing w:val="-2"/>
          <w:lang w:val="en-GB"/>
        </w:rPr>
        <w:t xml:space="preserve"> a</w:t>
      </w:r>
      <w:r w:rsidR="00742B86" w:rsidRPr="00E444F5">
        <w:rPr>
          <w:spacing w:val="-2"/>
          <w:lang w:val="en-GB"/>
        </w:rPr>
        <w:t>nd the slump hit majority of</w:t>
      </w:r>
      <w:r w:rsidR="00121609" w:rsidRPr="00E444F5">
        <w:rPr>
          <w:spacing w:val="-2"/>
          <w:lang w:val="en-GB"/>
        </w:rPr>
        <w:t> </w:t>
      </w:r>
      <w:r w:rsidR="00D406BB" w:rsidRPr="00E444F5">
        <w:rPr>
          <w:spacing w:val="-2"/>
          <w:lang w:val="en-GB"/>
        </w:rPr>
        <w:t>branches</w:t>
      </w:r>
      <w:r w:rsidR="00E444F5" w:rsidRPr="00E444F5">
        <w:rPr>
          <w:spacing w:val="-2"/>
          <w:lang w:val="en-GB"/>
        </w:rPr>
        <w:t xml:space="preserve"> (w</w:t>
      </w:r>
      <w:r w:rsidR="00D406BB" w:rsidRPr="00E444F5">
        <w:rPr>
          <w:spacing w:val="-2"/>
          <w:lang w:val="en-GB"/>
        </w:rPr>
        <w:t>ith the exception of agriculture</w:t>
      </w:r>
      <w:r w:rsidR="00E444F5" w:rsidRPr="00E444F5">
        <w:rPr>
          <w:spacing w:val="-2"/>
          <w:lang w:val="en-GB"/>
        </w:rPr>
        <w:t xml:space="preserve"> and forestry</w:t>
      </w:r>
      <w:r w:rsidR="00D406BB" w:rsidRPr="00E444F5">
        <w:rPr>
          <w:spacing w:val="-2"/>
          <w:lang w:val="en-GB"/>
        </w:rPr>
        <w:t>,</w:t>
      </w:r>
      <w:r w:rsidR="00E444F5" w:rsidRPr="00E444F5">
        <w:rPr>
          <w:spacing w:val="-2"/>
          <w:lang w:val="en-GB"/>
        </w:rPr>
        <w:t xml:space="preserve"> information and communication, and also the segment of </w:t>
      </w:r>
      <w:r w:rsidR="00D406BB" w:rsidRPr="00E444F5">
        <w:rPr>
          <w:spacing w:val="-2"/>
          <w:lang w:val="en-GB"/>
        </w:rPr>
        <w:t xml:space="preserve">public administration, education, </w:t>
      </w:r>
      <w:r w:rsidR="00E444F5" w:rsidRPr="00E444F5">
        <w:rPr>
          <w:spacing w:val="-2"/>
          <w:lang w:val="en-GB"/>
        </w:rPr>
        <w:t>health</w:t>
      </w:r>
      <w:r w:rsidR="00FF230E">
        <w:rPr>
          <w:spacing w:val="-2"/>
          <w:lang w:val="en-GB"/>
        </w:rPr>
        <w:t>,</w:t>
      </w:r>
      <w:r w:rsidR="00E444F5" w:rsidRPr="00E444F5">
        <w:rPr>
          <w:spacing w:val="-2"/>
          <w:lang w:val="en-GB"/>
        </w:rPr>
        <w:t xml:space="preserve"> and social work).</w:t>
      </w:r>
      <w:r w:rsidR="00D406BB" w:rsidRPr="00E444F5">
        <w:rPr>
          <w:spacing w:val="-2"/>
          <w:lang w:val="en-GB"/>
        </w:rPr>
        <w:t xml:space="preserve"> </w:t>
      </w:r>
      <w:r w:rsidR="00633AB2" w:rsidRPr="00E444F5">
        <w:rPr>
          <w:spacing w:val="-2"/>
          <w:lang w:val="en-GB"/>
        </w:rPr>
        <w:t xml:space="preserve">Grouping </w:t>
      </w:r>
      <w:r w:rsidR="00E444F5" w:rsidRPr="00E444F5">
        <w:rPr>
          <w:spacing w:val="-2"/>
          <w:lang w:val="en-GB"/>
        </w:rPr>
        <w:t xml:space="preserve">of </w:t>
      </w:r>
      <w:r w:rsidR="00633AB2" w:rsidRPr="00E444F5">
        <w:rPr>
          <w:spacing w:val="-2"/>
          <w:lang w:val="en-GB"/>
        </w:rPr>
        <w:t>trade</w:t>
      </w:r>
      <w:r w:rsidR="00FF230E">
        <w:rPr>
          <w:spacing w:val="-2"/>
          <w:lang w:val="en-GB"/>
        </w:rPr>
        <w:t>, transportation, accommodation,</w:t>
      </w:r>
      <w:r w:rsidR="00633AB2" w:rsidRPr="00E444F5">
        <w:rPr>
          <w:spacing w:val="-2"/>
          <w:lang w:val="en-GB"/>
        </w:rPr>
        <w:t xml:space="preserve"> and </w:t>
      </w:r>
      <w:proofErr w:type="gramStart"/>
      <w:r w:rsidR="00633AB2" w:rsidRPr="00E444F5">
        <w:rPr>
          <w:spacing w:val="-2"/>
          <w:lang w:val="en-GB"/>
        </w:rPr>
        <w:t>food service</w:t>
      </w:r>
      <w:proofErr w:type="gramEnd"/>
      <w:r w:rsidR="00633AB2" w:rsidRPr="00E444F5">
        <w:rPr>
          <w:spacing w:val="-2"/>
          <w:lang w:val="en-GB"/>
        </w:rPr>
        <w:t xml:space="preserve"> </w:t>
      </w:r>
      <w:r w:rsidR="00121609" w:rsidRPr="00E444F5">
        <w:rPr>
          <w:spacing w:val="-2"/>
          <w:lang w:val="en-GB"/>
        </w:rPr>
        <w:t>(–11</w:t>
      </w:r>
      <w:r w:rsidR="00633AB2" w:rsidRPr="00E444F5">
        <w:rPr>
          <w:spacing w:val="-2"/>
          <w:lang w:val="en-GB"/>
        </w:rPr>
        <w:t>.</w:t>
      </w:r>
      <w:r w:rsidR="00121609" w:rsidRPr="00E444F5">
        <w:rPr>
          <w:spacing w:val="-2"/>
          <w:lang w:val="en-GB"/>
        </w:rPr>
        <w:t>8%)</w:t>
      </w:r>
      <w:r w:rsidR="00633AB2" w:rsidRPr="00E444F5">
        <w:rPr>
          <w:spacing w:val="-2"/>
          <w:lang w:val="en-GB"/>
        </w:rPr>
        <w:t xml:space="preserve"> as well as prof</w:t>
      </w:r>
      <w:r w:rsidR="00E444F5" w:rsidRPr="00E444F5">
        <w:rPr>
          <w:spacing w:val="-2"/>
          <w:lang w:val="en-GB"/>
        </w:rPr>
        <w:t>essional, scientific, technical</w:t>
      </w:r>
      <w:r w:rsidR="00FF230E">
        <w:rPr>
          <w:spacing w:val="-2"/>
          <w:lang w:val="en-GB"/>
        </w:rPr>
        <w:t>,</w:t>
      </w:r>
      <w:r w:rsidR="00633AB2" w:rsidRPr="00E444F5">
        <w:rPr>
          <w:spacing w:val="-2"/>
          <w:lang w:val="en-GB"/>
        </w:rPr>
        <w:t xml:space="preserve"> and administrative activities </w:t>
      </w:r>
      <w:r w:rsidR="00121609" w:rsidRPr="00E444F5">
        <w:rPr>
          <w:spacing w:val="-2"/>
          <w:lang w:val="en-GB"/>
        </w:rPr>
        <w:t>(–9</w:t>
      </w:r>
      <w:r w:rsidR="00224A20" w:rsidRPr="00E444F5">
        <w:rPr>
          <w:spacing w:val="-2"/>
          <w:lang w:val="en-GB"/>
        </w:rPr>
        <w:t>.</w:t>
      </w:r>
      <w:r w:rsidR="00121609" w:rsidRPr="00E444F5">
        <w:rPr>
          <w:spacing w:val="-2"/>
          <w:lang w:val="en-GB"/>
        </w:rPr>
        <w:t>3%)</w:t>
      </w:r>
      <w:r w:rsidR="00633AB2" w:rsidRPr="00E444F5">
        <w:rPr>
          <w:spacing w:val="-2"/>
          <w:lang w:val="en-GB"/>
        </w:rPr>
        <w:t xml:space="preserve"> recorded deep downswing</w:t>
      </w:r>
      <w:r w:rsidR="00121609" w:rsidRPr="00E444F5">
        <w:rPr>
          <w:spacing w:val="-2"/>
          <w:lang w:val="en-GB"/>
        </w:rPr>
        <w:t xml:space="preserve">. </w:t>
      </w:r>
      <w:r w:rsidR="0062641C" w:rsidRPr="00E444F5">
        <w:rPr>
          <w:spacing w:val="-2"/>
          <w:lang w:val="en-GB"/>
        </w:rPr>
        <w:t xml:space="preserve">Export oriented manufacturing plummeted as well </w:t>
      </w:r>
      <w:r w:rsidR="00121609" w:rsidRPr="00E444F5">
        <w:rPr>
          <w:spacing w:val="-2"/>
          <w:lang w:val="en-GB"/>
        </w:rPr>
        <w:t>(–6</w:t>
      </w:r>
      <w:r w:rsidR="0062641C" w:rsidRPr="00E444F5">
        <w:rPr>
          <w:spacing w:val="-2"/>
          <w:lang w:val="en-GB"/>
        </w:rPr>
        <w:t>.</w:t>
      </w:r>
      <w:r w:rsidR="00121609" w:rsidRPr="00E444F5">
        <w:rPr>
          <w:spacing w:val="-2"/>
          <w:lang w:val="en-GB"/>
        </w:rPr>
        <w:t xml:space="preserve">9%). </w:t>
      </w:r>
      <w:r w:rsidR="00875C6B" w:rsidRPr="00E444F5">
        <w:rPr>
          <w:spacing w:val="-2"/>
          <w:lang w:val="en-GB"/>
        </w:rPr>
        <w:t xml:space="preserve">The </w:t>
      </w:r>
      <w:r w:rsidR="00FF230E">
        <w:rPr>
          <w:spacing w:val="-2"/>
          <w:lang w:val="en-GB"/>
        </w:rPr>
        <w:t xml:space="preserve">total </w:t>
      </w:r>
      <w:r w:rsidR="00875C6B" w:rsidRPr="00E444F5">
        <w:rPr>
          <w:spacing w:val="-2"/>
          <w:lang w:val="en-GB"/>
        </w:rPr>
        <w:t>GVA lagged behind t</w:t>
      </w:r>
      <w:r w:rsidR="00742B86" w:rsidRPr="00E444F5">
        <w:rPr>
          <w:spacing w:val="-2"/>
          <w:lang w:val="en-GB"/>
        </w:rPr>
        <w:t xml:space="preserve">he level of the preceding year </w:t>
      </w:r>
      <w:r w:rsidR="00875C6B" w:rsidRPr="00E444F5">
        <w:rPr>
          <w:spacing w:val="-2"/>
          <w:lang w:val="en-GB"/>
        </w:rPr>
        <w:t xml:space="preserve">by </w:t>
      </w:r>
      <w:r w:rsidR="00121609" w:rsidRPr="00E444F5">
        <w:rPr>
          <w:spacing w:val="-2"/>
          <w:lang w:val="en-GB"/>
        </w:rPr>
        <w:t>4</w:t>
      </w:r>
      <w:r w:rsidR="00875C6B" w:rsidRPr="00E444F5">
        <w:rPr>
          <w:spacing w:val="-2"/>
          <w:lang w:val="en-GB"/>
        </w:rPr>
        <w:t>.</w:t>
      </w:r>
      <w:r w:rsidR="00121609" w:rsidRPr="00E444F5">
        <w:rPr>
          <w:spacing w:val="-2"/>
          <w:lang w:val="en-GB"/>
        </w:rPr>
        <w:t>7%</w:t>
      </w:r>
      <w:r w:rsidR="00875C6B" w:rsidRPr="00E444F5">
        <w:rPr>
          <w:spacing w:val="-2"/>
          <w:lang w:val="en-GB"/>
        </w:rPr>
        <w:t xml:space="preserve"> in Q4</w:t>
      </w:r>
      <w:r w:rsidR="00121609" w:rsidRPr="00E444F5">
        <w:rPr>
          <w:spacing w:val="-2"/>
          <w:lang w:val="en-GB"/>
        </w:rPr>
        <w:t xml:space="preserve">, </w:t>
      </w:r>
      <w:r w:rsidR="00633AB2" w:rsidRPr="00E444F5">
        <w:rPr>
          <w:spacing w:val="-2"/>
          <w:lang w:val="en-GB"/>
        </w:rPr>
        <w:t xml:space="preserve">but it grew by </w:t>
      </w:r>
      <w:r w:rsidR="00121609" w:rsidRPr="00E444F5">
        <w:rPr>
          <w:spacing w:val="-2"/>
          <w:lang w:val="en-GB"/>
        </w:rPr>
        <w:t>0</w:t>
      </w:r>
      <w:r w:rsidR="00633AB2" w:rsidRPr="00E444F5">
        <w:rPr>
          <w:spacing w:val="-2"/>
          <w:lang w:val="en-GB"/>
        </w:rPr>
        <w:t>.</w:t>
      </w:r>
      <w:r w:rsidR="00121609" w:rsidRPr="00E444F5">
        <w:rPr>
          <w:spacing w:val="-2"/>
          <w:lang w:val="en-GB"/>
        </w:rPr>
        <w:t>5%</w:t>
      </w:r>
      <w:r w:rsidR="00633AB2" w:rsidRPr="00E444F5">
        <w:rPr>
          <w:spacing w:val="-2"/>
          <w:lang w:val="en-GB"/>
        </w:rPr>
        <w:t xml:space="preserve"> quarter-on-quarter</w:t>
      </w:r>
      <w:r w:rsidR="00121609" w:rsidRPr="00E444F5">
        <w:rPr>
          <w:spacing w:val="-2"/>
          <w:lang w:val="en-GB"/>
        </w:rPr>
        <w:t xml:space="preserve">. </w:t>
      </w:r>
      <w:r w:rsidR="00633AB2" w:rsidRPr="00E444F5">
        <w:rPr>
          <w:spacing w:val="-2"/>
          <w:lang w:val="en-GB"/>
        </w:rPr>
        <w:t xml:space="preserve">Other activities </w:t>
      </w:r>
      <w:r w:rsidR="00121609" w:rsidRPr="00E444F5">
        <w:rPr>
          <w:spacing w:val="-2"/>
          <w:lang w:val="en-GB"/>
        </w:rPr>
        <w:t>(</w:t>
      </w:r>
      <w:r w:rsidR="00633AB2" w:rsidRPr="00E444F5">
        <w:rPr>
          <w:spacing w:val="-2"/>
          <w:lang w:val="en-GB"/>
        </w:rPr>
        <w:t xml:space="preserve">especially personal services, such as hairdressing etc., year-on-year GVA decrease of </w:t>
      </w:r>
      <w:r w:rsidR="00121609" w:rsidRPr="00E444F5">
        <w:rPr>
          <w:spacing w:val="-2"/>
          <w:lang w:val="en-GB"/>
        </w:rPr>
        <w:t>20</w:t>
      </w:r>
      <w:r w:rsidR="00633AB2" w:rsidRPr="00E444F5">
        <w:rPr>
          <w:spacing w:val="-2"/>
          <w:lang w:val="en-GB"/>
        </w:rPr>
        <w:t>.</w:t>
      </w:r>
      <w:r w:rsidR="00121609" w:rsidRPr="00E444F5">
        <w:rPr>
          <w:spacing w:val="-2"/>
          <w:lang w:val="en-GB"/>
        </w:rPr>
        <w:t>9%) a</w:t>
      </w:r>
      <w:r w:rsidR="00633AB2" w:rsidRPr="00E444F5">
        <w:rPr>
          <w:spacing w:val="-2"/>
          <w:lang w:val="en-GB"/>
        </w:rPr>
        <w:t xml:space="preserve">nd trade, transportation, </w:t>
      </w:r>
      <w:r w:rsidR="00875C6B" w:rsidRPr="00E444F5">
        <w:rPr>
          <w:spacing w:val="-2"/>
          <w:lang w:val="en-GB"/>
        </w:rPr>
        <w:t>accommodation,</w:t>
      </w:r>
      <w:r w:rsidR="00633AB2" w:rsidRPr="00E444F5">
        <w:rPr>
          <w:spacing w:val="-2"/>
          <w:lang w:val="en-GB"/>
        </w:rPr>
        <w:t xml:space="preserve"> and food service </w:t>
      </w:r>
      <w:r w:rsidR="00121609" w:rsidRPr="00E444F5">
        <w:rPr>
          <w:spacing w:val="-2"/>
          <w:lang w:val="en-GB"/>
        </w:rPr>
        <w:t>(–14</w:t>
      </w:r>
      <w:r w:rsidR="00633AB2" w:rsidRPr="00E444F5">
        <w:rPr>
          <w:spacing w:val="-2"/>
          <w:lang w:val="en-GB"/>
        </w:rPr>
        <w:t>.</w:t>
      </w:r>
      <w:r w:rsidR="00121609" w:rsidRPr="00E444F5">
        <w:rPr>
          <w:spacing w:val="-2"/>
          <w:lang w:val="en-GB"/>
        </w:rPr>
        <w:t>7%)</w:t>
      </w:r>
      <w:r w:rsidR="00633AB2" w:rsidRPr="00E444F5">
        <w:rPr>
          <w:spacing w:val="-2"/>
          <w:lang w:val="en-GB"/>
        </w:rPr>
        <w:t xml:space="preserve"> were again the most affected given the new wave of measures</w:t>
      </w:r>
      <w:r w:rsidR="00121609" w:rsidRPr="00E444F5">
        <w:rPr>
          <w:spacing w:val="-2"/>
          <w:lang w:val="en-GB"/>
        </w:rPr>
        <w:t xml:space="preserve">. </w:t>
      </w:r>
      <w:r w:rsidR="00633AB2" w:rsidRPr="00E444F5">
        <w:rPr>
          <w:spacing w:val="-2"/>
          <w:lang w:val="en-GB"/>
        </w:rPr>
        <w:t xml:space="preserve">In contrast, the year-on-year decline moderated to </w:t>
      </w:r>
      <w:r w:rsidR="00121609" w:rsidRPr="00E444F5">
        <w:rPr>
          <w:spacing w:val="-2"/>
          <w:lang w:val="en-GB"/>
        </w:rPr>
        <w:t>1</w:t>
      </w:r>
      <w:r w:rsidR="00633AB2" w:rsidRPr="00E444F5">
        <w:rPr>
          <w:spacing w:val="-2"/>
          <w:lang w:val="en-GB"/>
        </w:rPr>
        <w:t>.</w:t>
      </w:r>
      <w:r w:rsidR="00121609" w:rsidRPr="00E444F5">
        <w:rPr>
          <w:spacing w:val="-2"/>
          <w:lang w:val="en-GB"/>
        </w:rPr>
        <w:t>1%</w:t>
      </w:r>
      <w:r w:rsidR="00633AB2" w:rsidRPr="00E444F5">
        <w:rPr>
          <w:spacing w:val="-2"/>
          <w:lang w:val="en-GB"/>
        </w:rPr>
        <w:t xml:space="preserve"> in manufacturing</w:t>
      </w:r>
      <w:r w:rsidR="00121609" w:rsidRPr="00E444F5">
        <w:rPr>
          <w:spacing w:val="-2"/>
          <w:lang w:val="en-GB"/>
        </w:rPr>
        <w:t>.</w:t>
      </w:r>
    </w:p>
    <w:p w:rsidR="00121609" w:rsidRPr="00742B86" w:rsidRDefault="004C3B1F" w:rsidP="00121609">
      <w:pPr>
        <w:pStyle w:val="Normalodrka"/>
        <w:spacing w:after="100"/>
        <w:rPr>
          <w:spacing w:val="-4"/>
          <w:lang w:val="en-GB"/>
        </w:rPr>
      </w:pPr>
      <w:r w:rsidRPr="00742B86">
        <w:rPr>
          <w:spacing w:val="-4"/>
          <w:lang w:val="en-GB"/>
        </w:rPr>
        <w:t>All-encompassing restriction of the economic operations during Q</w:t>
      </w:r>
      <w:r w:rsidR="00121609" w:rsidRPr="00742B86">
        <w:rPr>
          <w:spacing w:val="-4"/>
          <w:lang w:val="en-GB"/>
        </w:rPr>
        <w:t>2</w:t>
      </w:r>
      <w:r w:rsidRPr="00742B86">
        <w:rPr>
          <w:spacing w:val="-4"/>
          <w:lang w:val="en-GB"/>
        </w:rPr>
        <w:t xml:space="preserve"> </w:t>
      </w:r>
      <w:r w:rsidR="001870D3" w:rsidRPr="00742B86">
        <w:rPr>
          <w:spacing w:val="-4"/>
          <w:lang w:val="en-GB"/>
        </w:rPr>
        <w:t xml:space="preserve">negatively affected the foreign trade and the exporters strived to make up for the losses in the second half of the year. Total export of goods and </w:t>
      </w:r>
      <w:r w:rsidRPr="00742B86">
        <w:rPr>
          <w:spacing w:val="-4"/>
          <w:lang w:val="en-GB"/>
        </w:rPr>
        <w:t>s</w:t>
      </w:r>
      <w:r w:rsidR="001870D3" w:rsidRPr="00742B86">
        <w:rPr>
          <w:spacing w:val="-4"/>
          <w:lang w:val="en-GB"/>
        </w:rPr>
        <w:t xml:space="preserve">ervices dropped by </w:t>
      </w:r>
      <w:r w:rsidR="00121609" w:rsidRPr="00742B86">
        <w:rPr>
          <w:spacing w:val="-4"/>
          <w:lang w:val="en-GB"/>
        </w:rPr>
        <w:t>6</w:t>
      </w:r>
      <w:r w:rsidR="001870D3" w:rsidRPr="00742B86">
        <w:rPr>
          <w:spacing w:val="-4"/>
          <w:lang w:val="en-GB"/>
        </w:rPr>
        <w:t>.</w:t>
      </w:r>
      <w:r w:rsidR="00121609" w:rsidRPr="00742B86">
        <w:rPr>
          <w:spacing w:val="-4"/>
          <w:lang w:val="en-GB"/>
        </w:rPr>
        <w:t>0%</w:t>
      </w:r>
      <w:r w:rsidR="00121609" w:rsidRPr="00742B86">
        <w:rPr>
          <w:rStyle w:val="Znakapoznpodarou"/>
          <w:lang w:val="en-GB"/>
        </w:rPr>
        <w:footnoteReference w:id="2"/>
      </w:r>
      <w:r w:rsidR="00121609" w:rsidRPr="00742B86">
        <w:rPr>
          <w:spacing w:val="-4"/>
          <w:lang w:val="en-GB"/>
        </w:rPr>
        <w:t xml:space="preserve"> a</w:t>
      </w:r>
      <w:r w:rsidR="001870D3" w:rsidRPr="00742B86">
        <w:rPr>
          <w:spacing w:val="-4"/>
          <w:lang w:val="en-GB"/>
        </w:rPr>
        <w:t xml:space="preserve">nd import by </w:t>
      </w:r>
      <w:r w:rsidR="00121609" w:rsidRPr="00742B86">
        <w:rPr>
          <w:spacing w:val="-4"/>
          <w:lang w:val="en-GB"/>
        </w:rPr>
        <w:t>6</w:t>
      </w:r>
      <w:r w:rsidR="001870D3" w:rsidRPr="00742B86">
        <w:rPr>
          <w:spacing w:val="-4"/>
          <w:lang w:val="en-GB"/>
        </w:rPr>
        <w:t>.</w:t>
      </w:r>
      <w:r w:rsidR="00121609" w:rsidRPr="00742B86">
        <w:rPr>
          <w:spacing w:val="-4"/>
          <w:lang w:val="en-GB"/>
        </w:rPr>
        <w:t>1%</w:t>
      </w:r>
      <w:r w:rsidR="001870D3" w:rsidRPr="00742B86">
        <w:rPr>
          <w:spacing w:val="-4"/>
          <w:lang w:val="en-GB"/>
        </w:rPr>
        <w:t xml:space="preserve"> in real terms last year</w:t>
      </w:r>
      <w:r w:rsidR="00121609" w:rsidRPr="00742B86">
        <w:rPr>
          <w:spacing w:val="-4"/>
          <w:lang w:val="en-GB"/>
        </w:rPr>
        <w:t xml:space="preserve">. </w:t>
      </w:r>
      <w:r w:rsidR="001870D3" w:rsidRPr="00742B86">
        <w:rPr>
          <w:spacing w:val="-4"/>
          <w:lang w:val="en-GB"/>
        </w:rPr>
        <w:t xml:space="preserve">The balance reached surplus of </w:t>
      </w:r>
      <w:r w:rsidR="00121609" w:rsidRPr="00742B86">
        <w:rPr>
          <w:spacing w:val="-4"/>
          <w:lang w:val="en-GB"/>
        </w:rPr>
        <w:t>390</w:t>
      </w:r>
      <w:r w:rsidR="001870D3" w:rsidRPr="00742B86">
        <w:rPr>
          <w:spacing w:val="-4"/>
          <w:lang w:val="en-GB"/>
        </w:rPr>
        <w:t>.</w:t>
      </w:r>
      <w:r w:rsidR="00121609" w:rsidRPr="00742B86">
        <w:rPr>
          <w:spacing w:val="-4"/>
          <w:lang w:val="en-GB"/>
        </w:rPr>
        <w:t>5</w:t>
      </w:r>
      <w:r w:rsidR="001870D3" w:rsidRPr="00742B86">
        <w:rPr>
          <w:spacing w:val="-4"/>
          <w:lang w:val="en-GB"/>
        </w:rPr>
        <w:t xml:space="preserve"> CZK </w:t>
      </w:r>
      <w:proofErr w:type="spellStart"/>
      <w:r w:rsidR="001870D3" w:rsidRPr="00742B86">
        <w:rPr>
          <w:spacing w:val="-4"/>
          <w:lang w:val="en-GB"/>
        </w:rPr>
        <w:t>bn</w:t>
      </w:r>
      <w:proofErr w:type="spellEnd"/>
      <w:r w:rsidR="00121609" w:rsidRPr="00742B86">
        <w:rPr>
          <w:spacing w:val="-4"/>
          <w:lang w:val="en-GB"/>
        </w:rPr>
        <w:t>,</w:t>
      </w:r>
      <w:r w:rsidR="001870D3" w:rsidRPr="00742B86">
        <w:rPr>
          <w:spacing w:val="-4"/>
          <w:lang w:val="en-GB"/>
        </w:rPr>
        <w:t xml:space="preserve"> which was by </w:t>
      </w:r>
      <w:r w:rsidR="00121609" w:rsidRPr="00742B86">
        <w:rPr>
          <w:spacing w:val="-4"/>
          <w:lang w:val="en-GB"/>
        </w:rPr>
        <w:t>42</w:t>
      </w:r>
      <w:r w:rsidR="001870D3" w:rsidRPr="00742B86">
        <w:rPr>
          <w:spacing w:val="-4"/>
          <w:lang w:val="en-GB"/>
        </w:rPr>
        <w:t>.</w:t>
      </w:r>
      <w:r w:rsidR="00121609" w:rsidRPr="00742B86">
        <w:rPr>
          <w:spacing w:val="-4"/>
          <w:lang w:val="en-GB"/>
        </w:rPr>
        <w:t>3</w:t>
      </w:r>
      <w:r w:rsidR="001870D3" w:rsidRPr="00742B86">
        <w:rPr>
          <w:spacing w:val="-4"/>
          <w:lang w:val="en-GB"/>
        </w:rPr>
        <w:t xml:space="preserve"> </w:t>
      </w:r>
      <w:proofErr w:type="spellStart"/>
      <w:r w:rsidR="001870D3" w:rsidRPr="00742B86">
        <w:rPr>
          <w:spacing w:val="-4"/>
          <w:lang w:val="en-GB"/>
        </w:rPr>
        <w:t>bn</w:t>
      </w:r>
      <w:proofErr w:type="spellEnd"/>
      <w:r w:rsidR="001870D3" w:rsidRPr="00742B86">
        <w:rPr>
          <w:spacing w:val="-4"/>
          <w:lang w:val="en-GB"/>
        </w:rPr>
        <w:t xml:space="preserve"> more year-on-year</w:t>
      </w:r>
      <w:r w:rsidR="00121609" w:rsidRPr="00742B86">
        <w:rPr>
          <w:spacing w:val="-4"/>
          <w:lang w:val="en-GB"/>
        </w:rPr>
        <w:t xml:space="preserve">. </w:t>
      </w:r>
      <w:r w:rsidR="00A546EA" w:rsidRPr="00742B86">
        <w:rPr>
          <w:spacing w:val="-4"/>
          <w:lang w:val="en-GB"/>
        </w:rPr>
        <w:t xml:space="preserve">Improvement concerned exclusively the trade with goods. </w:t>
      </w:r>
      <w:r w:rsidR="00D60DE7" w:rsidRPr="00742B86">
        <w:rPr>
          <w:spacing w:val="-4"/>
          <w:lang w:val="en-GB"/>
        </w:rPr>
        <w:t>Especially the trade with oil and natural gas influenced the increase of the positive surplus</w:t>
      </w:r>
      <w:r w:rsidR="00121609" w:rsidRPr="00742B86">
        <w:rPr>
          <w:spacing w:val="-4"/>
          <w:lang w:val="en-GB"/>
        </w:rPr>
        <w:t xml:space="preserve">, </w:t>
      </w:r>
      <w:r w:rsidR="008A32D9" w:rsidRPr="00742B86">
        <w:rPr>
          <w:spacing w:val="-4"/>
          <w:lang w:val="en-GB"/>
        </w:rPr>
        <w:t>in contrast the surplus of sale of motor vehicles decreased. In Q</w:t>
      </w:r>
      <w:r w:rsidR="00121609" w:rsidRPr="00742B86">
        <w:rPr>
          <w:spacing w:val="-4"/>
          <w:lang w:val="en-GB"/>
        </w:rPr>
        <w:t>4</w:t>
      </w:r>
      <w:r w:rsidR="008A32D9" w:rsidRPr="00742B86">
        <w:rPr>
          <w:spacing w:val="-4"/>
          <w:lang w:val="en-GB"/>
        </w:rPr>
        <w:t xml:space="preserve">, the foreign trade attained record results </w:t>
      </w:r>
      <w:r w:rsidR="00121609" w:rsidRPr="00742B86">
        <w:rPr>
          <w:spacing w:val="-4"/>
          <w:lang w:val="en-GB"/>
        </w:rPr>
        <w:t>(</w:t>
      </w:r>
      <w:r w:rsidR="008A32D9" w:rsidRPr="00742B86">
        <w:rPr>
          <w:spacing w:val="-4"/>
          <w:lang w:val="en-GB"/>
        </w:rPr>
        <w:t xml:space="preserve">surplus of </w:t>
      </w:r>
      <w:r w:rsidR="00121609" w:rsidRPr="00742B86">
        <w:rPr>
          <w:spacing w:val="-4"/>
          <w:lang w:val="en-GB"/>
        </w:rPr>
        <w:t>145</w:t>
      </w:r>
      <w:r w:rsidR="008A32D9" w:rsidRPr="00742B86">
        <w:rPr>
          <w:spacing w:val="-4"/>
          <w:lang w:val="en-GB"/>
        </w:rPr>
        <w:t>.</w:t>
      </w:r>
      <w:r w:rsidR="00121609" w:rsidRPr="00742B86">
        <w:rPr>
          <w:spacing w:val="-4"/>
          <w:lang w:val="en-GB"/>
        </w:rPr>
        <w:t>5</w:t>
      </w:r>
      <w:r w:rsidR="008A32D9" w:rsidRPr="00742B86">
        <w:rPr>
          <w:spacing w:val="-4"/>
          <w:lang w:val="en-GB"/>
        </w:rPr>
        <w:t xml:space="preserve"> </w:t>
      </w:r>
      <w:proofErr w:type="spellStart"/>
      <w:r w:rsidR="008A32D9" w:rsidRPr="00742B86">
        <w:rPr>
          <w:spacing w:val="-4"/>
          <w:lang w:val="en-GB"/>
        </w:rPr>
        <w:t>bn</w:t>
      </w:r>
      <w:proofErr w:type="spellEnd"/>
      <w:r w:rsidR="00121609" w:rsidRPr="00742B86">
        <w:rPr>
          <w:spacing w:val="-4"/>
          <w:lang w:val="en-GB"/>
        </w:rPr>
        <w:t xml:space="preserve">), </w:t>
      </w:r>
      <w:r w:rsidR="00D60DE7" w:rsidRPr="00742B86">
        <w:rPr>
          <w:spacing w:val="-4"/>
          <w:lang w:val="en-GB"/>
        </w:rPr>
        <w:t xml:space="preserve">in which just the sale of motor vehicles on the contrary </w:t>
      </w:r>
      <w:r w:rsidR="001F101A" w:rsidRPr="00742B86">
        <w:rPr>
          <w:spacing w:val="-4"/>
          <w:lang w:val="en-GB"/>
        </w:rPr>
        <w:t xml:space="preserve">participated </w:t>
      </w:r>
      <w:proofErr w:type="gramStart"/>
      <w:r w:rsidR="001F101A" w:rsidRPr="00742B86">
        <w:rPr>
          <w:spacing w:val="-4"/>
          <w:lang w:val="en-GB"/>
        </w:rPr>
        <w:t>to a large extent</w:t>
      </w:r>
      <w:proofErr w:type="gramEnd"/>
      <w:r w:rsidR="001F101A" w:rsidRPr="00742B86">
        <w:rPr>
          <w:spacing w:val="-4"/>
          <w:lang w:val="en-GB"/>
        </w:rPr>
        <w:t xml:space="preserve">. </w:t>
      </w:r>
    </w:p>
    <w:p w:rsidR="00121609" w:rsidRPr="00742B86" w:rsidRDefault="001F101A" w:rsidP="00121609">
      <w:pPr>
        <w:pStyle w:val="Normalodrka"/>
        <w:spacing w:after="100"/>
        <w:rPr>
          <w:spacing w:val="-4"/>
          <w:lang w:val="en-GB"/>
        </w:rPr>
      </w:pPr>
      <w:r w:rsidRPr="00742B86">
        <w:rPr>
          <w:spacing w:val="-4"/>
          <w:lang w:val="en-GB"/>
        </w:rPr>
        <w:t xml:space="preserve">The total growth of the price level according to the GDP deflator reached </w:t>
      </w:r>
      <w:r w:rsidR="00121609" w:rsidRPr="00742B86">
        <w:rPr>
          <w:spacing w:val="-4"/>
          <w:lang w:val="en-GB"/>
        </w:rPr>
        <w:t>4</w:t>
      </w:r>
      <w:r w:rsidRPr="00742B86">
        <w:rPr>
          <w:spacing w:val="-4"/>
          <w:lang w:val="en-GB"/>
        </w:rPr>
        <w:t>.</w:t>
      </w:r>
      <w:r w:rsidR="00121609" w:rsidRPr="00742B86">
        <w:rPr>
          <w:spacing w:val="-4"/>
          <w:lang w:val="en-GB"/>
        </w:rPr>
        <w:t>1%</w:t>
      </w:r>
      <w:r w:rsidRPr="00742B86">
        <w:rPr>
          <w:spacing w:val="-4"/>
          <w:lang w:val="en-GB"/>
        </w:rPr>
        <w:t xml:space="preserve"> last year</w:t>
      </w:r>
      <w:r w:rsidR="00121609" w:rsidRPr="00742B86">
        <w:rPr>
          <w:spacing w:val="-4"/>
          <w:lang w:val="en-GB"/>
        </w:rPr>
        <w:t xml:space="preserve">, </w:t>
      </w:r>
      <w:r w:rsidR="00640DC3" w:rsidRPr="00742B86">
        <w:rPr>
          <w:spacing w:val="-4"/>
          <w:lang w:val="en-GB"/>
        </w:rPr>
        <w:t xml:space="preserve">which is the most since year </w:t>
      </w:r>
      <w:r w:rsidR="00121609" w:rsidRPr="00742B86">
        <w:rPr>
          <w:spacing w:val="-4"/>
          <w:lang w:val="en-GB"/>
        </w:rPr>
        <w:t xml:space="preserve">2001. </w:t>
      </w:r>
      <w:r w:rsidR="00933F9B" w:rsidRPr="00742B86">
        <w:rPr>
          <w:spacing w:val="-4"/>
          <w:lang w:val="en-GB"/>
        </w:rPr>
        <w:t xml:space="preserve">Both prices of consumption and capital goods significantly grew. </w:t>
      </w:r>
      <w:r w:rsidR="00911EC0" w:rsidRPr="00742B86">
        <w:rPr>
          <w:spacing w:val="-4"/>
          <w:lang w:val="en-GB"/>
        </w:rPr>
        <w:t xml:space="preserve">Consumer price index increased by </w:t>
      </w:r>
      <w:r w:rsidR="00121609" w:rsidRPr="00742B86">
        <w:rPr>
          <w:spacing w:val="-4"/>
          <w:lang w:val="en-GB"/>
        </w:rPr>
        <w:t>3</w:t>
      </w:r>
      <w:r w:rsidR="00911EC0" w:rsidRPr="00742B86">
        <w:rPr>
          <w:spacing w:val="-4"/>
          <w:lang w:val="en-GB"/>
        </w:rPr>
        <w:t>.</w:t>
      </w:r>
      <w:r w:rsidR="00121609" w:rsidRPr="00742B86">
        <w:rPr>
          <w:spacing w:val="-4"/>
          <w:lang w:val="en-GB"/>
        </w:rPr>
        <w:t>2%</w:t>
      </w:r>
      <w:r w:rsidR="00911EC0" w:rsidRPr="00742B86">
        <w:rPr>
          <w:spacing w:val="-4"/>
          <w:lang w:val="en-GB"/>
        </w:rPr>
        <w:t xml:space="preserve"> last year</w:t>
      </w:r>
      <w:r w:rsidR="00121609" w:rsidRPr="00742B86">
        <w:rPr>
          <w:spacing w:val="-4"/>
          <w:lang w:val="en-GB"/>
        </w:rPr>
        <w:t xml:space="preserve">, </w:t>
      </w:r>
      <w:r w:rsidR="00933F9B" w:rsidRPr="00742B86">
        <w:rPr>
          <w:spacing w:val="-4"/>
          <w:lang w:val="en-GB"/>
        </w:rPr>
        <w:t xml:space="preserve">mainly under the effect of raised prices of food and non-alcoholic beverages, alcoholic beverages and tobacco and housing and energies. </w:t>
      </w:r>
      <w:r w:rsidR="00F97A10" w:rsidRPr="00742B86">
        <w:rPr>
          <w:spacing w:val="-4"/>
          <w:lang w:val="en-GB"/>
        </w:rPr>
        <w:t xml:space="preserve">The growth of the consumer prices markedly slowed down to </w:t>
      </w:r>
      <w:r w:rsidR="00121609" w:rsidRPr="00742B86">
        <w:rPr>
          <w:spacing w:val="-4"/>
          <w:lang w:val="en-GB"/>
        </w:rPr>
        <w:t>2</w:t>
      </w:r>
      <w:r w:rsidR="00F97A10" w:rsidRPr="00742B86">
        <w:rPr>
          <w:spacing w:val="-4"/>
          <w:lang w:val="en-GB"/>
        </w:rPr>
        <w:t>.</w:t>
      </w:r>
      <w:r w:rsidR="00121609" w:rsidRPr="00742B86">
        <w:rPr>
          <w:spacing w:val="-4"/>
          <w:lang w:val="en-GB"/>
        </w:rPr>
        <w:t>6%</w:t>
      </w:r>
      <w:r w:rsidR="00F97A10" w:rsidRPr="00742B86">
        <w:rPr>
          <w:spacing w:val="-4"/>
          <w:lang w:val="en-GB"/>
        </w:rPr>
        <w:t xml:space="preserve"> in Q4</w:t>
      </w:r>
      <w:r w:rsidR="00121609" w:rsidRPr="00742B86">
        <w:rPr>
          <w:spacing w:val="-4"/>
          <w:lang w:val="en-GB"/>
        </w:rPr>
        <w:t xml:space="preserve">, </w:t>
      </w:r>
      <w:r w:rsidR="00911EC0" w:rsidRPr="00742B86">
        <w:rPr>
          <w:spacing w:val="-4"/>
          <w:lang w:val="en-GB"/>
        </w:rPr>
        <w:t xml:space="preserve">mainly due to the slower dynamics of prices of food. </w:t>
      </w:r>
      <w:r w:rsidR="00F97A10" w:rsidRPr="00742B86">
        <w:rPr>
          <w:spacing w:val="-4"/>
          <w:lang w:val="en-GB"/>
        </w:rPr>
        <w:t>Slump of oil prices last year affected the majority of monitored prices indices</w:t>
      </w:r>
      <w:r w:rsidR="00121609" w:rsidRPr="00742B86">
        <w:rPr>
          <w:spacing w:val="-4"/>
          <w:lang w:val="en-GB"/>
        </w:rPr>
        <w:t xml:space="preserve">, </w:t>
      </w:r>
      <w:r w:rsidR="00F97A10" w:rsidRPr="00742B86">
        <w:rPr>
          <w:spacing w:val="-4"/>
          <w:lang w:val="en-GB"/>
        </w:rPr>
        <w:t>which dampened the year-on-year growth of industrial producer prices as well as import prices</w:t>
      </w:r>
      <w:r w:rsidR="00121609" w:rsidRPr="00742B86">
        <w:rPr>
          <w:spacing w:val="-4"/>
          <w:lang w:val="en-GB"/>
        </w:rPr>
        <w:t>.</w:t>
      </w:r>
    </w:p>
    <w:p w:rsidR="00121609" w:rsidRPr="00742B86" w:rsidRDefault="00121609" w:rsidP="00121609">
      <w:pPr>
        <w:pStyle w:val="Normalodrka"/>
        <w:spacing w:after="100"/>
        <w:rPr>
          <w:spacing w:val="-4"/>
          <w:lang w:val="en-GB"/>
        </w:rPr>
      </w:pPr>
      <w:r w:rsidRPr="00742B86">
        <w:rPr>
          <w:spacing w:val="-4"/>
          <w:lang w:val="en-GB"/>
        </w:rPr>
        <w:t>M</w:t>
      </w:r>
      <w:r w:rsidR="00244276" w:rsidRPr="00742B86">
        <w:rPr>
          <w:spacing w:val="-2"/>
          <w:lang w:val="en-GB"/>
        </w:rPr>
        <w:t xml:space="preserve">onetary policy-relevant rates </w:t>
      </w:r>
      <w:proofErr w:type="gramStart"/>
      <w:r w:rsidR="00244276" w:rsidRPr="00742B86">
        <w:rPr>
          <w:spacing w:val="-2"/>
          <w:lang w:val="en-GB"/>
        </w:rPr>
        <w:t>were lowered</w:t>
      </w:r>
      <w:proofErr w:type="gramEnd"/>
      <w:r w:rsidR="00244276" w:rsidRPr="00742B86">
        <w:rPr>
          <w:spacing w:val="-2"/>
          <w:lang w:val="en-GB"/>
        </w:rPr>
        <w:t xml:space="preserve"> in the first half of the year</w:t>
      </w:r>
      <w:r w:rsidRPr="00742B86">
        <w:rPr>
          <w:spacing w:val="-4"/>
          <w:lang w:val="en-GB"/>
        </w:rPr>
        <w:t>,</w:t>
      </w:r>
      <w:r w:rsidR="00244276" w:rsidRPr="00742B86">
        <w:rPr>
          <w:spacing w:val="-4"/>
          <w:lang w:val="en-GB"/>
        </w:rPr>
        <w:t xml:space="preserve"> </w:t>
      </w:r>
      <w:r w:rsidR="00A546EA" w:rsidRPr="00742B86">
        <w:rPr>
          <w:spacing w:val="-4"/>
          <w:lang w:val="en-GB"/>
        </w:rPr>
        <w:t xml:space="preserve">which also affected other interest rates, especially the deposit interest rates. </w:t>
      </w:r>
      <w:r w:rsidR="00244276" w:rsidRPr="00742B86">
        <w:rPr>
          <w:spacing w:val="-4"/>
          <w:lang w:val="en-GB"/>
        </w:rPr>
        <w:t xml:space="preserve">Decreased consumption subdued the dynamics of consumer credit for households, the volume of mortgages remained relatively unaffected.  </w:t>
      </w:r>
    </w:p>
    <w:p w:rsidR="00121609" w:rsidRPr="00742B86" w:rsidRDefault="00A546EA" w:rsidP="00121609">
      <w:pPr>
        <w:pStyle w:val="Normalodrka"/>
        <w:spacing w:after="100"/>
        <w:rPr>
          <w:spacing w:val="-4"/>
          <w:lang w:val="en-GB"/>
        </w:rPr>
      </w:pPr>
      <w:r w:rsidRPr="00742B86">
        <w:rPr>
          <w:spacing w:val="-4"/>
          <w:lang w:val="en-GB"/>
        </w:rPr>
        <w:t xml:space="preserve">The economic downswing also affected the employment, which fell by </w:t>
      </w:r>
      <w:r w:rsidR="00121609" w:rsidRPr="00742B86">
        <w:rPr>
          <w:spacing w:val="-4"/>
          <w:lang w:val="en-GB"/>
        </w:rPr>
        <w:t>1</w:t>
      </w:r>
      <w:r w:rsidRPr="00742B86">
        <w:rPr>
          <w:spacing w:val="-4"/>
          <w:lang w:val="en-GB"/>
        </w:rPr>
        <w:t>.</w:t>
      </w:r>
      <w:r w:rsidR="00121609" w:rsidRPr="00742B86">
        <w:rPr>
          <w:spacing w:val="-4"/>
          <w:lang w:val="en-GB"/>
        </w:rPr>
        <w:t>5%</w:t>
      </w:r>
      <w:r w:rsidR="00121609" w:rsidRPr="00742B86">
        <w:rPr>
          <w:rStyle w:val="Znakapoznpodarou"/>
          <w:spacing w:val="-4"/>
          <w:lang w:val="en-GB"/>
        </w:rPr>
        <w:footnoteReference w:id="3"/>
      </w:r>
      <w:r w:rsidRPr="00742B86">
        <w:rPr>
          <w:spacing w:val="-4"/>
          <w:lang w:val="en-GB"/>
        </w:rPr>
        <w:t xml:space="preserve"> last year</w:t>
      </w:r>
      <w:r w:rsidR="00121609" w:rsidRPr="00742B86">
        <w:rPr>
          <w:spacing w:val="-4"/>
          <w:lang w:val="en-GB"/>
        </w:rPr>
        <w:t xml:space="preserve">. </w:t>
      </w:r>
      <w:r w:rsidR="008A3529" w:rsidRPr="00742B86">
        <w:rPr>
          <w:spacing w:val="-4"/>
          <w:lang w:val="en-GB"/>
        </w:rPr>
        <w:t>In manufacturing, which contributed significantly</w:t>
      </w:r>
      <w:r w:rsidR="00E07FBC">
        <w:rPr>
          <w:spacing w:val="-4"/>
          <w:lang w:val="en-GB"/>
        </w:rPr>
        <w:t xml:space="preserve"> to this fall</w:t>
      </w:r>
      <w:r w:rsidR="008A3529" w:rsidRPr="00742B86">
        <w:rPr>
          <w:spacing w:val="-4"/>
          <w:lang w:val="en-GB"/>
        </w:rPr>
        <w:t>, the situation rather improved in Q</w:t>
      </w:r>
      <w:r w:rsidR="00121609" w:rsidRPr="00742B86">
        <w:rPr>
          <w:spacing w:val="-4"/>
          <w:lang w:val="en-GB"/>
        </w:rPr>
        <w:t>4</w:t>
      </w:r>
      <w:r w:rsidR="00E07FBC">
        <w:rPr>
          <w:spacing w:val="-4"/>
          <w:lang w:val="en-GB"/>
        </w:rPr>
        <w:t xml:space="preserve"> 2020 and the decrease</w:t>
      </w:r>
      <w:r w:rsidR="008A3529" w:rsidRPr="00742B86">
        <w:rPr>
          <w:spacing w:val="-4"/>
          <w:lang w:val="en-GB"/>
        </w:rPr>
        <w:t xml:space="preserve"> did not deepen further</w:t>
      </w:r>
      <w:r w:rsidR="00121609" w:rsidRPr="00742B86">
        <w:rPr>
          <w:spacing w:val="-4"/>
          <w:lang w:val="en-GB"/>
        </w:rPr>
        <w:t xml:space="preserve">. </w:t>
      </w:r>
      <w:r w:rsidRPr="00742B86">
        <w:rPr>
          <w:spacing w:val="-4"/>
          <w:lang w:val="en-GB"/>
        </w:rPr>
        <w:t xml:space="preserve">On the contrary, </w:t>
      </w:r>
      <w:r w:rsidR="00E07FBC">
        <w:rPr>
          <w:spacing w:val="-4"/>
          <w:lang w:val="en-GB"/>
        </w:rPr>
        <w:t xml:space="preserve">the </w:t>
      </w:r>
      <w:r w:rsidR="008A3529" w:rsidRPr="00742B86">
        <w:rPr>
          <w:spacing w:val="-4"/>
          <w:lang w:val="en-GB"/>
        </w:rPr>
        <w:t xml:space="preserve">employment plummeted down to 5% in the segment </w:t>
      </w:r>
      <w:r w:rsidR="00E07FBC">
        <w:rPr>
          <w:spacing w:val="-4"/>
          <w:lang w:val="en-GB"/>
        </w:rPr>
        <w:t xml:space="preserve">of </w:t>
      </w:r>
      <w:r w:rsidR="008A3529" w:rsidRPr="00742B86">
        <w:rPr>
          <w:spacing w:val="-4"/>
          <w:lang w:val="en-GB"/>
        </w:rPr>
        <w:t>trade, transportation, accommodation, and food service in Q</w:t>
      </w:r>
      <w:r w:rsidR="00121609" w:rsidRPr="00742B86">
        <w:rPr>
          <w:spacing w:val="-4"/>
          <w:lang w:val="en-GB"/>
        </w:rPr>
        <w:t>4.</w:t>
      </w:r>
      <w:r w:rsidR="008A3529" w:rsidRPr="00742B86">
        <w:rPr>
          <w:spacing w:val="-4"/>
          <w:lang w:val="en-GB"/>
        </w:rPr>
        <w:t xml:space="preserve"> </w:t>
      </w:r>
      <w:r w:rsidR="001E486E" w:rsidRPr="00742B86">
        <w:rPr>
          <w:spacing w:val="-4"/>
          <w:lang w:val="en-GB"/>
        </w:rPr>
        <w:t>The substantial development of information and communi</w:t>
      </w:r>
      <w:r w:rsidR="00E07FBC">
        <w:rPr>
          <w:spacing w:val="-4"/>
          <w:lang w:val="en-GB"/>
        </w:rPr>
        <w:t>cation on the contrary continued</w:t>
      </w:r>
      <w:r w:rsidR="001E486E" w:rsidRPr="00742B86">
        <w:rPr>
          <w:spacing w:val="-4"/>
          <w:lang w:val="en-GB"/>
        </w:rPr>
        <w:t xml:space="preserve"> </w:t>
      </w:r>
      <w:r w:rsidR="00121609" w:rsidRPr="00742B86">
        <w:rPr>
          <w:spacing w:val="-4"/>
          <w:lang w:val="en-GB"/>
        </w:rPr>
        <w:t>(</w:t>
      </w:r>
      <w:r w:rsidR="00E07FBC">
        <w:rPr>
          <w:spacing w:val="-4"/>
          <w:lang w:val="en-GB"/>
        </w:rPr>
        <w:t>+</w:t>
      </w:r>
      <w:r w:rsidR="00121609" w:rsidRPr="00742B86">
        <w:rPr>
          <w:spacing w:val="-4"/>
          <w:lang w:val="en-GB"/>
        </w:rPr>
        <w:t>3</w:t>
      </w:r>
      <w:r w:rsidR="001E486E" w:rsidRPr="00742B86">
        <w:rPr>
          <w:spacing w:val="-4"/>
          <w:lang w:val="en-GB"/>
        </w:rPr>
        <w:t>.</w:t>
      </w:r>
      <w:r w:rsidR="00121609" w:rsidRPr="00742B86">
        <w:rPr>
          <w:spacing w:val="-4"/>
          <w:lang w:val="en-GB"/>
        </w:rPr>
        <w:t xml:space="preserve">5%). </w:t>
      </w:r>
      <w:r w:rsidRPr="00742B86">
        <w:rPr>
          <w:spacing w:val="-4"/>
          <w:lang w:val="en-GB"/>
        </w:rPr>
        <w:t>The general unemployment ra</w:t>
      </w:r>
      <w:r w:rsidR="00FF710A" w:rsidRPr="00742B86">
        <w:rPr>
          <w:spacing w:val="-4"/>
          <w:lang w:val="en-GB"/>
        </w:rPr>
        <w:t>t</w:t>
      </w:r>
      <w:r w:rsidR="00E07FBC">
        <w:rPr>
          <w:spacing w:val="-4"/>
          <w:lang w:val="en-GB"/>
        </w:rPr>
        <w:t xml:space="preserve">e grew only slightly, which </w:t>
      </w:r>
      <w:proofErr w:type="gramStart"/>
      <w:r w:rsidR="00E07FBC">
        <w:rPr>
          <w:spacing w:val="-4"/>
          <w:lang w:val="en-GB"/>
        </w:rPr>
        <w:t>wa</w:t>
      </w:r>
      <w:r w:rsidRPr="00742B86">
        <w:rPr>
          <w:spacing w:val="-4"/>
          <w:lang w:val="en-GB"/>
        </w:rPr>
        <w:t>s connected</w:t>
      </w:r>
      <w:proofErr w:type="gramEnd"/>
      <w:r w:rsidRPr="00742B86">
        <w:rPr>
          <w:spacing w:val="-4"/>
          <w:lang w:val="en-GB"/>
        </w:rPr>
        <w:t xml:space="preserve"> to the governmental stabilisation programmes as well as relatively notable increase of the number of economically inactive p</w:t>
      </w:r>
      <w:r w:rsidR="001E486E" w:rsidRPr="00742B86">
        <w:rPr>
          <w:spacing w:val="-4"/>
          <w:lang w:val="en-GB"/>
        </w:rPr>
        <w:t>e</w:t>
      </w:r>
      <w:r w:rsidRPr="00742B86">
        <w:rPr>
          <w:spacing w:val="-4"/>
          <w:lang w:val="en-GB"/>
        </w:rPr>
        <w:t xml:space="preserve">rsons. </w:t>
      </w:r>
      <w:r w:rsidR="00AE0DD4" w:rsidRPr="00742B86">
        <w:rPr>
          <w:spacing w:val="-4"/>
          <w:lang w:val="en-GB"/>
        </w:rPr>
        <w:t xml:space="preserve">The average </w:t>
      </w:r>
      <w:r w:rsidR="00E07FBC">
        <w:rPr>
          <w:spacing w:val="-4"/>
          <w:lang w:val="en-GB"/>
        </w:rPr>
        <w:t xml:space="preserve">gross monthly </w:t>
      </w:r>
      <w:r w:rsidR="00AE0DD4" w:rsidRPr="00742B86">
        <w:rPr>
          <w:spacing w:val="-4"/>
          <w:lang w:val="en-GB"/>
        </w:rPr>
        <w:t xml:space="preserve">wage grew by </w:t>
      </w:r>
      <w:r w:rsidR="00121609" w:rsidRPr="00742B86">
        <w:rPr>
          <w:spacing w:val="-4"/>
          <w:lang w:val="en-GB"/>
        </w:rPr>
        <w:t>4</w:t>
      </w:r>
      <w:r w:rsidR="00AE0DD4" w:rsidRPr="00742B86">
        <w:rPr>
          <w:spacing w:val="-4"/>
          <w:lang w:val="en-GB"/>
        </w:rPr>
        <w:t>.</w:t>
      </w:r>
      <w:r w:rsidR="00121609" w:rsidRPr="00742B86">
        <w:rPr>
          <w:spacing w:val="-4"/>
          <w:lang w:val="en-GB"/>
        </w:rPr>
        <w:t xml:space="preserve">4% </w:t>
      </w:r>
      <w:r w:rsidR="00AE0DD4" w:rsidRPr="00742B86">
        <w:rPr>
          <w:spacing w:val="-4"/>
          <w:lang w:val="en-GB"/>
        </w:rPr>
        <w:t xml:space="preserve">to </w:t>
      </w:r>
      <w:r w:rsidR="00121609" w:rsidRPr="00742B86">
        <w:rPr>
          <w:spacing w:val="-4"/>
          <w:lang w:val="en-GB"/>
        </w:rPr>
        <w:t>35</w:t>
      </w:r>
      <w:r w:rsidR="00AE0DD4" w:rsidRPr="00742B86">
        <w:rPr>
          <w:spacing w:val="-4"/>
          <w:lang w:val="en-GB"/>
        </w:rPr>
        <w:t>.</w:t>
      </w:r>
      <w:r w:rsidR="00121609" w:rsidRPr="00742B86">
        <w:rPr>
          <w:spacing w:val="-4"/>
          <w:lang w:val="en-GB"/>
        </w:rPr>
        <w:t>6 </w:t>
      </w:r>
      <w:r w:rsidR="00AE0DD4" w:rsidRPr="00742B86">
        <w:rPr>
          <w:spacing w:val="-4"/>
          <w:lang w:val="en-GB"/>
        </w:rPr>
        <w:t xml:space="preserve">CZK </w:t>
      </w:r>
      <w:proofErr w:type="gramStart"/>
      <w:r w:rsidR="00AE0DD4" w:rsidRPr="00742B86">
        <w:rPr>
          <w:spacing w:val="-4"/>
          <w:lang w:val="en-GB"/>
        </w:rPr>
        <w:t>thousand</w:t>
      </w:r>
      <w:proofErr w:type="gramEnd"/>
      <w:r w:rsidR="00AE0DD4" w:rsidRPr="00742B86">
        <w:rPr>
          <w:spacing w:val="-4"/>
          <w:lang w:val="en-GB"/>
        </w:rPr>
        <w:t xml:space="preserve"> last year</w:t>
      </w:r>
      <w:r w:rsidR="00121609" w:rsidRPr="00742B86">
        <w:rPr>
          <w:spacing w:val="-4"/>
          <w:lang w:val="en-GB"/>
        </w:rPr>
        <w:t xml:space="preserve">. </w:t>
      </w:r>
      <w:r w:rsidR="00E07FBC">
        <w:rPr>
          <w:spacing w:val="-4"/>
          <w:lang w:val="en-GB"/>
        </w:rPr>
        <w:t>However, l</w:t>
      </w:r>
      <w:r w:rsidR="00712B87" w:rsidRPr="00742B86">
        <w:rPr>
          <w:spacing w:val="-4"/>
          <w:lang w:val="en-GB"/>
        </w:rPr>
        <w:t>arge dif</w:t>
      </w:r>
      <w:r w:rsidR="00E07FBC">
        <w:rPr>
          <w:spacing w:val="-4"/>
          <w:lang w:val="en-GB"/>
        </w:rPr>
        <w:t>ferences in the wage dynamic</w:t>
      </w:r>
      <w:r w:rsidR="00712B87" w:rsidRPr="00742B86">
        <w:rPr>
          <w:spacing w:val="-4"/>
          <w:lang w:val="en-GB"/>
        </w:rPr>
        <w:t xml:space="preserve"> among the individual branches</w:t>
      </w:r>
      <w:r w:rsidR="00E07FBC">
        <w:rPr>
          <w:spacing w:val="-4"/>
          <w:lang w:val="en-GB"/>
        </w:rPr>
        <w:t xml:space="preserve"> </w:t>
      </w:r>
      <w:r w:rsidR="00E07FBC" w:rsidRPr="00742B86">
        <w:rPr>
          <w:spacing w:val="-4"/>
          <w:lang w:val="en-GB"/>
        </w:rPr>
        <w:t>prevailed</w:t>
      </w:r>
      <w:r w:rsidR="00712B87" w:rsidRPr="00742B86">
        <w:rPr>
          <w:spacing w:val="-4"/>
          <w:lang w:val="en-GB"/>
        </w:rPr>
        <w:t xml:space="preserve">. </w:t>
      </w:r>
    </w:p>
    <w:p w:rsidR="00275758" w:rsidRPr="00742B86" w:rsidRDefault="00AE0DD4" w:rsidP="00121609">
      <w:pPr>
        <w:pStyle w:val="Normalodrka"/>
        <w:spacing w:after="0"/>
        <w:rPr>
          <w:spacing w:val="-4"/>
          <w:lang w:val="en-GB"/>
        </w:rPr>
      </w:pPr>
      <w:r w:rsidRPr="00742B86">
        <w:rPr>
          <w:spacing w:val="-4"/>
          <w:lang w:val="en-GB"/>
        </w:rPr>
        <w:lastRenderedPageBreak/>
        <w:t xml:space="preserve">The state budget </w:t>
      </w:r>
      <w:r w:rsidR="003C2B05">
        <w:rPr>
          <w:spacing w:val="-4"/>
          <w:lang w:val="en-GB"/>
        </w:rPr>
        <w:t>reached a</w:t>
      </w:r>
      <w:r w:rsidR="00994E5B" w:rsidRPr="00742B86">
        <w:rPr>
          <w:spacing w:val="-4"/>
          <w:lang w:val="en-GB"/>
        </w:rPr>
        <w:t xml:space="preserve"> deficit </w:t>
      </w:r>
      <w:proofErr w:type="gramStart"/>
      <w:r w:rsidR="00994E5B" w:rsidRPr="00742B86">
        <w:rPr>
          <w:spacing w:val="-4"/>
          <w:lang w:val="en-GB"/>
        </w:rPr>
        <w:t xml:space="preserve">in the amount of </w:t>
      </w:r>
      <w:r w:rsidR="00121609" w:rsidRPr="00742B86">
        <w:rPr>
          <w:spacing w:val="-4"/>
          <w:lang w:val="en-GB"/>
        </w:rPr>
        <w:t>367</w:t>
      </w:r>
      <w:r w:rsidR="00994E5B" w:rsidRPr="00742B86">
        <w:rPr>
          <w:spacing w:val="-4"/>
          <w:lang w:val="en-GB"/>
        </w:rPr>
        <w:t>.</w:t>
      </w:r>
      <w:r w:rsidR="00121609" w:rsidRPr="00742B86">
        <w:rPr>
          <w:spacing w:val="-4"/>
          <w:lang w:val="en-GB"/>
        </w:rPr>
        <w:t>4</w:t>
      </w:r>
      <w:r w:rsidR="00994E5B" w:rsidRPr="00742B86">
        <w:rPr>
          <w:spacing w:val="-4"/>
          <w:lang w:val="en-GB"/>
        </w:rPr>
        <w:t xml:space="preserve"> CZK</w:t>
      </w:r>
      <w:proofErr w:type="gramEnd"/>
      <w:r w:rsidR="00994E5B" w:rsidRPr="00742B86">
        <w:rPr>
          <w:spacing w:val="-4"/>
          <w:lang w:val="en-GB"/>
        </w:rPr>
        <w:t xml:space="preserve"> </w:t>
      </w:r>
      <w:proofErr w:type="spellStart"/>
      <w:r w:rsidR="00994E5B" w:rsidRPr="00742B86">
        <w:rPr>
          <w:spacing w:val="-4"/>
          <w:lang w:val="en-GB"/>
        </w:rPr>
        <w:t>bn</w:t>
      </w:r>
      <w:proofErr w:type="spellEnd"/>
      <w:r w:rsidR="00994E5B" w:rsidRPr="00742B86">
        <w:rPr>
          <w:spacing w:val="-4"/>
          <w:lang w:val="en-GB"/>
        </w:rPr>
        <w:t xml:space="preserve"> last year</w:t>
      </w:r>
      <w:r w:rsidR="00121609" w:rsidRPr="00742B86">
        <w:rPr>
          <w:spacing w:val="-4"/>
          <w:lang w:val="en-GB"/>
        </w:rPr>
        <w:t xml:space="preserve">. </w:t>
      </w:r>
      <w:r w:rsidR="00640DC3" w:rsidRPr="00742B86">
        <w:rPr>
          <w:spacing w:val="-4"/>
          <w:lang w:val="en-GB"/>
        </w:rPr>
        <w:t xml:space="preserve">The deficit deepened by nearly </w:t>
      </w:r>
      <w:proofErr w:type="gramStart"/>
      <w:r w:rsidR="00121609" w:rsidRPr="00742B86">
        <w:rPr>
          <w:spacing w:val="-4"/>
          <w:lang w:val="en-GB"/>
        </w:rPr>
        <w:t>340 </w:t>
      </w:r>
      <w:proofErr w:type="spellStart"/>
      <w:r w:rsidR="00640DC3" w:rsidRPr="00742B86">
        <w:rPr>
          <w:spacing w:val="-4"/>
          <w:lang w:val="en-GB"/>
        </w:rPr>
        <w:t>bn</w:t>
      </w:r>
      <w:proofErr w:type="spellEnd"/>
      <w:proofErr w:type="gramEnd"/>
      <w:r w:rsidR="00640DC3" w:rsidRPr="00742B86">
        <w:rPr>
          <w:spacing w:val="-4"/>
          <w:lang w:val="en-GB"/>
        </w:rPr>
        <w:t xml:space="preserve"> year-on-year</w:t>
      </w:r>
      <w:r w:rsidR="00121609" w:rsidRPr="00742B86">
        <w:rPr>
          <w:spacing w:val="-4"/>
          <w:lang w:val="en-GB"/>
        </w:rPr>
        <w:t xml:space="preserve">. </w:t>
      </w:r>
      <w:r w:rsidR="009E4E41" w:rsidRPr="00742B86">
        <w:rPr>
          <w:spacing w:val="-4"/>
          <w:lang w:val="en-GB"/>
        </w:rPr>
        <w:t xml:space="preserve">The </w:t>
      </w:r>
      <w:r w:rsidR="00BD054B">
        <w:rPr>
          <w:spacing w:val="-4"/>
          <w:lang w:val="en-GB"/>
        </w:rPr>
        <w:t>counter pandemic measures stood behind</w:t>
      </w:r>
      <w:r w:rsidR="00C756D8" w:rsidRPr="00742B86">
        <w:rPr>
          <w:spacing w:val="-4"/>
          <w:lang w:val="en-GB"/>
        </w:rPr>
        <w:t xml:space="preserve"> a deci</w:t>
      </w:r>
      <w:r w:rsidR="00BD054B">
        <w:rPr>
          <w:spacing w:val="-4"/>
          <w:lang w:val="en-GB"/>
        </w:rPr>
        <w:t>sive part of</w:t>
      </w:r>
      <w:r w:rsidR="003C2B05">
        <w:rPr>
          <w:spacing w:val="-4"/>
          <w:lang w:val="en-GB"/>
        </w:rPr>
        <w:t xml:space="preserve"> the budget deficit. O</w:t>
      </w:r>
      <w:r w:rsidR="00C756D8" w:rsidRPr="00742B86">
        <w:rPr>
          <w:spacing w:val="-4"/>
          <w:lang w:val="en-GB"/>
        </w:rPr>
        <w:t>n one h</w:t>
      </w:r>
      <w:r w:rsidR="003C2B05">
        <w:rPr>
          <w:spacing w:val="-4"/>
          <w:lang w:val="en-GB"/>
        </w:rPr>
        <w:t xml:space="preserve">and they were major force </w:t>
      </w:r>
      <w:r w:rsidR="00923332">
        <w:rPr>
          <w:spacing w:val="-4"/>
          <w:lang w:val="en-GB"/>
        </w:rPr>
        <w:t>behind</w:t>
      </w:r>
      <w:r w:rsidR="003C2B05">
        <w:rPr>
          <w:spacing w:val="-4"/>
          <w:lang w:val="en-GB"/>
        </w:rPr>
        <w:t xml:space="preserve"> the total </w:t>
      </w:r>
      <w:r w:rsidR="00C756D8" w:rsidRPr="00742B86">
        <w:rPr>
          <w:spacing w:val="-4"/>
          <w:lang w:val="en-GB"/>
        </w:rPr>
        <w:t xml:space="preserve">budget costs </w:t>
      </w:r>
      <w:r w:rsidR="003C2B05">
        <w:rPr>
          <w:spacing w:val="-4"/>
          <w:lang w:val="en-GB"/>
        </w:rPr>
        <w:t xml:space="preserve">growth </w:t>
      </w:r>
      <w:r w:rsidR="00121609" w:rsidRPr="00742B86">
        <w:rPr>
          <w:spacing w:val="-4"/>
          <w:lang w:val="en-GB"/>
        </w:rPr>
        <w:t>(</w:t>
      </w:r>
      <w:r w:rsidR="003C2B05">
        <w:rPr>
          <w:spacing w:val="-4"/>
          <w:lang w:val="en-GB"/>
        </w:rPr>
        <w:t>+</w:t>
      </w:r>
      <w:r w:rsidR="00121609" w:rsidRPr="00742B86">
        <w:rPr>
          <w:spacing w:val="-4"/>
          <w:lang w:val="en-GB"/>
        </w:rPr>
        <w:t>18</w:t>
      </w:r>
      <w:r w:rsidR="00C756D8" w:rsidRPr="00742B86">
        <w:rPr>
          <w:spacing w:val="-4"/>
          <w:lang w:val="en-GB"/>
        </w:rPr>
        <w:t>.</w:t>
      </w:r>
      <w:r w:rsidR="00121609" w:rsidRPr="00742B86">
        <w:rPr>
          <w:spacing w:val="-4"/>
          <w:lang w:val="en-GB"/>
        </w:rPr>
        <w:t xml:space="preserve">8%), </w:t>
      </w:r>
      <w:r w:rsidR="00994E5B" w:rsidRPr="00742B86">
        <w:rPr>
          <w:spacing w:val="-4"/>
          <w:lang w:val="en-GB"/>
        </w:rPr>
        <w:t>simultaneously it however led to the slump of</w:t>
      </w:r>
      <w:r w:rsidR="003C2B05">
        <w:rPr>
          <w:spacing w:val="-4"/>
          <w:lang w:val="en-GB"/>
        </w:rPr>
        <w:t xml:space="preserve"> total</w:t>
      </w:r>
      <w:r w:rsidR="00994E5B" w:rsidRPr="00742B86">
        <w:rPr>
          <w:spacing w:val="-4"/>
          <w:lang w:val="en-GB"/>
        </w:rPr>
        <w:t xml:space="preserve"> revenues </w:t>
      </w:r>
      <w:r w:rsidR="00121609" w:rsidRPr="00742B86">
        <w:rPr>
          <w:spacing w:val="-4"/>
          <w:lang w:val="en-GB"/>
        </w:rPr>
        <w:t>(–3</w:t>
      </w:r>
      <w:r w:rsidR="00994E5B" w:rsidRPr="00742B86">
        <w:rPr>
          <w:spacing w:val="-4"/>
          <w:lang w:val="en-GB"/>
        </w:rPr>
        <w:t>.</w:t>
      </w:r>
      <w:r w:rsidR="00121609" w:rsidRPr="00742B86">
        <w:rPr>
          <w:spacing w:val="-4"/>
          <w:lang w:val="en-GB"/>
        </w:rPr>
        <w:t xml:space="preserve">1%). </w:t>
      </w:r>
      <w:r w:rsidR="00994E5B" w:rsidRPr="00742B86">
        <w:rPr>
          <w:spacing w:val="-4"/>
          <w:lang w:val="en-GB"/>
        </w:rPr>
        <w:t xml:space="preserve">On the revenue side, considerable revenue fallout occurred </w:t>
      </w:r>
      <w:proofErr w:type="gramStart"/>
      <w:r w:rsidR="00994E5B" w:rsidRPr="00742B86">
        <w:rPr>
          <w:spacing w:val="-4"/>
          <w:lang w:val="en-GB"/>
        </w:rPr>
        <w:t>both on the part of tax income and collection</w:t>
      </w:r>
      <w:proofErr w:type="gramEnd"/>
      <w:r w:rsidR="00994E5B" w:rsidRPr="00742B86">
        <w:rPr>
          <w:spacing w:val="-4"/>
          <w:lang w:val="en-GB"/>
        </w:rPr>
        <w:t xml:space="preserve"> of social security insurance. </w:t>
      </w:r>
      <w:r w:rsidR="00C756D8" w:rsidRPr="00742B86">
        <w:rPr>
          <w:spacing w:val="-4"/>
          <w:lang w:val="en-GB"/>
        </w:rPr>
        <w:t>Current outlays expanded, also including the compensation provisions to businesses, muni</w:t>
      </w:r>
      <w:r w:rsidR="00923332">
        <w:rPr>
          <w:spacing w:val="-4"/>
          <w:lang w:val="en-GB"/>
        </w:rPr>
        <w:t>cipalities as well as household</w:t>
      </w:r>
      <w:r w:rsidR="00C756D8" w:rsidRPr="00742B86">
        <w:rPr>
          <w:spacing w:val="-4"/>
          <w:lang w:val="en-GB"/>
        </w:rPr>
        <w:t xml:space="preserve">s. </w:t>
      </w:r>
      <w:r w:rsidR="00712B87" w:rsidRPr="00742B86">
        <w:rPr>
          <w:spacing w:val="-4"/>
          <w:lang w:val="en-GB"/>
        </w:rPr>
        <w:t>The marked increase also included the social benefits (both pension and non-pension benefits</w:t>
      </w:r>
      <w:r w:rsidR="00121609" w:rsidRPr="00742B86">
        <w:rPr>
          <w:spacing w:val="-4"/>
          <w:lang w:val="en-GB"/>
        </w:rPr>
        <w:t>).</w:t>
      </w:r>
      <w:r w:rsidR="00121609" w:rsidRPr="00742B86">
        <w:rPr>
          <w:spacing w:val="-4"/>
          <w:lang w:val="en-GB"/>
        </w:rPr>
        <w:br w:type="page"/>
      </w:r>
    </w:p>
    <w:p w:rsidR="00791BF4" w:rsidRPr="00742B86" w:rsidRDefault="00791BF4" w:rsidP="00791BF4">
      <w:pPr>
        <w:pStyle w:val="Nadpis1"/>
        <w:rPr>
          <w:lang w:val="en-GB"/>
        </w:rPr>
      </w:pPr>
      <w:bookmarkStart w:id="6" w:name="_Toc58605372"/>
      <w:bookmarkStart w:id="7" w:name="_Toc69287525"/>
      <w:bookmarkStart w:id="8" w:name="_Toc532558284"/>
      <w:bookmarkStart w:id="9" w:name="_Toc26539341"/>
      <w:bookmarkStart w:id="10" w:name="_Toc11237634"/>
      <w:bookmarkStart w:id="11" w:name="_Toc69370720"/>
      <w:bookmarkEnd w:id="3"/>
      <w:bookmarkEnd w:id="4"/>
      <w:r w:rsidRPr="00742B86">
        <w:rPr>
          <w:lang w:val="en-GB"/>
        </w:rPr>
        <w:lastRenderedPageBreak/>
        <w:t>2. Overall Economic Performance</w:t>
      </w:r>
      <w:bookmarkEnd w:id="6"/>
      <w:bookmarkEnd w:id="7"/>
      <w:bookmarkEnd w:id="11"/>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t>The Gross domestic product experienced record downturn in year 2020.</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spacing w:val="-2"/>
                <w:lang w:val="en-GB"/>
              </w:rPr>
            </w:pPr>
            <w:r w:rsidRPr="00742B86">
              <w:rPr>
                <w:spacing w:val="-2"/>
                <w:lang w:val="en-GB"/>
              </w:rPr>
              <w:t>Year 2020 was for the Czech economy the worst in the history of the independent state existence. The Gross domestic product (GDP) fell by 5.6%</w:t>
            </w:r>
            <w:r w:rsidRPr="00742B86">
              <w:rPr>
                <w:rStyle w:val="Znakapoznpodarou"/>
                <w:rFonts w:cs="Arial"/>
                <w:spacing w:val="-2"/>
                <w:lang w:val="en-GB"/>
              </w:rPr>
              <w:footnoteReference w:id="4"/>
            </w:r>
            <w:r w:rsidRPr="00742B86">
              <w:rPr>
                <w:spacing w:val="-2"/>
                <w:lang w:val="en-GB"/>
              </w:rPr>
              <w:t xml:space="preserve"> in real terms last year, which even overtook the deep slump of the crisis year 2009. The downturn affected all GDP components. The investment activity and the household consumption as well recorded a steep fall. Specifically, mainly the reaction of both domestic and foreign businesses </w:t>
            </w:r>
            <w:r>
              <w:rPr>
                <w:spacing w:val="-2"/>
                <w:lang w:val="en-GB"/>
              </w:rPr>
              <w:t>to the s</w:t>
            </w:r>
            <w:r w:rsidRPr="00742B86">
              <w:rPr>
                <w:spacing w:val="-2"/>
                <w:lang w:val="en-GB"/>
              </w:rPr>
              <w:t xml:space="preserve">pring wave of covid-19 infection </w:t>
            </w:r>
            <w:proofErr w:type="gramStart"/>
            <w:r w:rsidRPr="00742B86">
              <w:rPr>
                <w:spacing w:val="-2"/>
                <w:lang w:val="en-GB"/>
              </w:rPr>
              <w:t>impacted</w:t>
            </w:r>
            <w:proofErr w:type="gramEnd"/>
            <w:r w:rsidRPr="00742B86">
              <w:rPr>
                <w:spacing w:val="-2"/>
                <w:lang w:val="en-GB"/>
              </w:rPr>
              <w:t xml:space="preserve"> the foreign trade balance. Not even the massive improvement of the balance in the second half of the year offset the fallout and thus the foreign demand adversely affected the yearly result as well. Only the consumption of government institutions grew. The new wave of measures against the spread of infection partially manifested in Q4 itself. Those </w:t>
            </w:r>
            <w:proofErr w:type="gramStart"/>
            <w:r w:rsidRPr="00742B86">
              <w:rPr>
                <w:spacing w:val="-2"/>
                <w:lang w:val="en-GB"/>
              </w:rPr>
              <w:t>were however aimed</w:t>
            </w:r>
            <w:proofErr w:type="gramEnd"/>
            <w:r w:rsidRPr="00742B86">
              <w:rPr>
                <w:spacing w:val="-2"/>
                <w:lang w:val="en-GB"/>
              </w:rPr>
              <w:t xml:space="preserve"> especially at trade and services. The industry did not suspen</w:t>
            </w:r>
            <w:r>
              <w:rPr>
                <w:spacing w:val="-2"/>
                <w:lang w:val="en-GB"/>
              </w:rPr>
              <w:t>d the operations unlike in the s</w:t>
            </w:r>
            <w:r w:rsidRPr="00742B86">
              <w:rPr>
                <w:spacing w:val="-2"/>
                <w:lang w:val="en-GB"/>
              </w:rPr>
              <w:t xml:space="preserve">pring period, which assisted to a marked improvement of the balance of foreign trade with goods. </w:t>
            </w:r>
            <w:proofErr w:type="gramStart"/>
            <w:r w:rsidRPr="00742B86">
              <w:rPr>
                <w:spacing w:val="-2"/>
                <w:lang w:val="en-GB"/>
              </w:rPr>
              <w:t>Consequently</w:t>
            </w:r>
            <w:proofErr w:type="gramEnd"/>
            <w:r w:rsidRPr="00742B86">
              <w:rPr>
                <w:spacing w:val="-2"/>
                <w:lang w:val="en-GB"/>
              </w:rPr>
              <w:t xml:space="preserve"> mainly the effect of the foreign demand thus aided the quarter-on-quarter growth of the GDP by 0.6% in Q4. The year-on-year slump thus shrank to 4.7%.</w:t>
            </w:r>
          </w:p>
        </w:tc>
      </w:tr>
      <w:tr w:rsidR="00791BF4" w:rsidRPr="00742B86" w:rsidTr="009C620B">
        <w:trPr>
          <w:trHeight w:val="170"/>
        </w:trPr>
        <w:tc>
          <w:tcPr>
            <w:tcW w:w="1806" w:type="dxa"/>
            <w:vMerge w:val="restart"/>
            <w:shd w:val="clear" w:color="auto" w:fill="auto"/>
            <w:tcMar>
              <w:left w:w="0" w:type="dxa"/>
            </w:tcMar>
          </w:tcPr>
          <w:p w:rsidR="00791BF4" w:rsidRPr="00742B86" w:rsidRDefault="00791BF4" w:rsidP="009C620B">
            <w:pPr>
              <w:pStyle w:val="Marginlie"/>
              <w:rPr>
                <w:lang w:val="en-GB"/>
              </w:rPr>
            </w:pPr>
          </w:p>
        </w:tc>
        <w:tc>
          <w:tcPr>
            <w:tcW w:w="223" w:type="dxa"/>
            <w:vMerge w:val="restart"/>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spacing w:after="0"/>
              <w:rPr>
                <w:b/>
                <w:szCs w:val="20"/>
                <w:lang w:val="en-GB"/>
              </w:rPr>
            </w:pPr>
            <w:r w:rsidRPr="00742B86">
              <w:rPr>
                <w:rFonts w:cs="Arial"/>
                <w:b/>
                <w:bCs/>
                <w:color w:val="000000"/>
                <w:szCs w:val="20"/>
                <w:lang w:val="en-GB"/>
              </w:rPr>
              <w:t xml:space="preserve">Chart </w:t>
            </w:r>
            <w:proofErr w:type="gramStart"/>
            <w:r w:rsidRPr="00742B86">
              <w:rPr>
                <w:rFonts w:cs="Arial"/>
                <w:b/>
                <w:bCs/>
                <w:color w:val="000000"/>
                <w:szCs w:val="20"/>
                <w:lang w:val="en-GB"/>
              </w:rPr>
              <w:t xml:space="preserve">1  </w:t>
            </w:r>
            <w:r w:rsidRPr="00742B86">
              <w:rPr>
                <w:rFonts w:cs="Arial"/>
                <w:b/>
                <w:sz w:val="18"/>
                <w:szCs w:val="18"/>
                <w:lang w:val="en-GB" w:eastAsia="en-US"/>
              </w:rPr>
              <w:t>GDP</w:t>
            </w:r>
            <w:proofErr w:type="gramEnd"/>
            <w:r w:rsidRPr="00742B86">
              <w:rPr>
                <w:rFonts w:cs="Arial"/>
                <w:b/>
                <w:sz w:val="18"/>
                <w:szCs w:val="18"/>
                <w:lang w:val="en-GB" w:eastAsia="en-US"/>
              </w:rPr>
              <w:t xml:space="preserve"> (volume indices, adjusted for seasonal and calendar effects, in %)</w:t>
            </w:r>
          </w:p>
        </w:tc>
      </w:tr>
      <w:tr w:rsidR="00791BF4" w:rsidRPr="00742B86" w:rsidTr="009C620B">
        <w:tblPrEx>
          <w:tblCellMar>
            <w:left w:w="70" w:type="dxa"/>
            <w:right w:w="70" w:type="dxa"/>
          </w:tblCellMar>
        </w:tblPrEx>
        <w:trPr>
          <w:trHeight w:val="170"/>
        </w:trPr>
        <w:tc>
          <w:tcPr>
            <w:tcW w:w="1806" w:type="dxa"/>
            <w:vMerge/>
            <w:shd w:val="clear" w:color="auto" w:fill="auto"/>
          </w:tcPr>
          <w:p w:rsidR="00791BF4" w:rsidRPr="00742B86" w:rsidRDefault="00791BF4" w:rsidP="009C620B">
            <w:pPr>
              <w:pStyle w:val="Marginlie"/>
              <w:rPr>
                <w:lang w:val="en-GB"/>
              </w:rPr>
            </w:pPr>
          </w:p>
        </w:tc>
        <w:tc>
          <w:tcPr>
            <w:tcW w:w="223" w:type="dxa"/>
            <w:vMerge/>
            <w:shd w:val="clear" w:color="auto" w:fill="auto"/>
          </w:tcPr>
          <w:p w:rsidR="00791BF4" w:rsidRPr="00742B86" w:rsidRDefault="00791BF4" w:rsidP="009C620B">
            <w:pPr>
              <w:pStyle w:val="Textpoznpodarou"/>
              <w:jc w:val="both"/>
              <w:rPr>
                <w:spacing w:val="-4"/>
                <w:lang w:val="en-GB"/>
              </w:rPr>
            </w:pPr>
          </w:p>
        </w:tc>
        <w:tc>
          <w:tcPr>
            <w:tcW w:w="7610" w:type="dxa"/>
            <w:shd w:val="clear" w:color="auto" w:fill="auto"/>
          </w:tcPr>
          <w:p w:rsidR="00791BF4" w:rsidRPr="00742B86" w:rsidRDefault="00791BF4" w:rsidP="009C620B">
            <w:pPr>
              <w:spacing w:after="0"/>
              <w:rPr>
                <w:lang w:val="en-GB"/>
              </w:rPr>
            </w:pPr>
            <w:r>
              <w:rPr>
                <w:noProof/>
              </w:rPr>
              <w:drawing>
                <wp:inline distT="0" distB="0" distL="0" distR="0" wp14:anchorId="2F526B2F" wp14:editId="07E6C065">
                  <wp:extent cx="4743950" cy="3353175"/>
                  <wp:effectExtent l="0" t="0" r="0" b="0"/>
                  <wp:docPr id="15" name="Graf 1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91BF4" w:rsidRPr="00742B86" w:rsidTr="009C620B">
        <w:trPr>
          <w:trHeight w:val="170"/>
        </w:trPr>
        <w:tc>
          <w:tcPr>
            <w:tcW w:w="1806" w:type="dxa"/>
            <w:vMerge/>
            <w:shd w:val="clear" w:color="auto" w:fill="auto"/>
            <w:tcMar>
              <w:left w:w="0" w:type="dxa"/>
            </w:tcMar>
          </w:tcPr>
          <w:p w:rsidR="00791BF4" w:rsidRPr="00742B86" w:rsidRDefault="00791BF4" w:rsidP="009C620B">
            <w:pPr>
              <w:pStyle w:val="Marginlie"/>
              <w:rPr>
                <w:lang w:val="en-GB"/>
              </w:rPr>
            </w:pPr>
          </w:p>
        </w:tc>
        <w:tc>
          <w:tcPr>
            <w:tcW w:w="223" w:type="dxa"/>
            <w:vMerge/>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spacing w:after="220"/>
              <w:rPr>
                <w:b/>
                <w:bCs/>
                <w:sz w:val="16"/>
                <w:szCs w:val="16"/>
                <w:lang w:val="en-GB"/>
              </w:rPr>
            </w:pPr>
            <w:r w:rsidRPr="00742B86">
              <w:rPr>
                <w:sz w:val="14"/>
                <w:szCs w:val="14"/>
                <w:lang w:val="en-GB"/>
              </w:rPr>
              <w:t>Source: CZSO, Eurostat</w:t>
            </w:r>
          </w:p>
        </w:tc>
      </w:tr>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t xml:space="preserve">European economies </w:t>
            </w:r>
            <w:proofErr w:type="gramStart"/>
            <w:r w:rsidRPr="00742B86">
              <w:rPr>
                <w:lang w:val="en-GB"/>
              </w:rPr>
              <w:t>were also struck</w:t>
            </w:r>
            <w:proofErr w:type="gramEnd"/>
            <w:r w:rsidRPr="00742B86">
              <w:rPr>
                <w:lang w:val="en-GB"/>
              </w:rPr>
              <w:t xml:space="preserve"> by the measures against the coronavirus spread.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lang w:val="en-GB"/>
              </w:rPr>
            </w:pPr>
            <w:r w:rsidRPr="00742B86">
              <w:rPr>
                <w:lang w:val="en-GB"/>
              </w:rPr>
              <w:t>The second infection wave and subsequent measures hit majority of the EU countries in Q4, thus the Gross domestic product fell by 0.4%</w:t>
            </w:r>
            <w:r w:rsidRPr="00742B86">
              <w:rPr>
                <w:rStyle w:val="Znakapoznpodarou"/>
                <w:spacing w:val="-2"/>
                <w:lang w:val="en-GB"/>
              </w:rPr>
              <w:footnoteReference w:id="5"/>
            </w:r>
            <w:r w:rsidRPr="00742B86">
              <w:rPr>
                <w:lang w:val="en-GB"/>
              </w:rPr>
              <w:t xml:space="preserve"> in the EU quarter-on-quarter. Nevertheless, most of the EU economies recorded increase compared to Q3 – Romania (5.3%), Croatia (2.7%) and Estonia (2.1%) the most, apart from the Czech Republic, a mild addition </w:t>
            </w:r>
            <w:proofErr w:type="gramStart"/>
            <w:r w:rsidRPr="00742B86">
              <w:rPr>
                <w:lang w:val="en-GB"/>
              </w:rPr>
              <w:t>was also observed</w:t>
            </w:r>
            <w:proofErr w:type="gramEnd"/>
            <w:r w:rsidRPr="00742B86">
              <w:rPr>
                <w:lang w:val="en-GB"/>
              </w:rPr>
              <w:t xml:space="preserve"> in Germany (0.3%) and Slovakia (0.2%).  The downturn in some large economies – Italy (–2.0%) and France (–1.4%) adversely affected the aggregated result for the whole Union. The GDP fell the most in Austria (</w:t>
            </w:r>
            <w:r>
              <w:rPr>
                <w:lang w:val="en-GB"/>
              </w:rPr>
              <w:noBreakHyphen/>
            </w:r>
            <w:r w:rsidRPr="00742B86">
              <w:rPr>
                <w:lang w:val="en-GB"/>
              </w:rPr>
              <w:t>4.3%) quarter-on-quarter. Year-on-year GDP fall deepened to –4.8% in the European Union. Based on the available data, only Luxembourg</w:t>
            </w:r>
            <w:r w:rsidRPr="00742B86">
              <w:rPr>
                <w:rStyle w:val="Znakapoznpodarou"/>
                <w:lang w:val="en-GB"/>
              </w:rPr>
              <w:footnoteReference w:id="6"/>
            </w:r>
            <w:r w:rsidRPr="00742B86">
              <w:rPr>
                <w:lang w:val="en-GB"/>
              </w:rPr>
              <w:t xml:space="preserve"> achieved a year-on-year growth </w:t>
            </w:r>
            <w:r w:rsidRPr="00742B86">
              <w:rPr>
                <w:lang w:val="en-GB"/>
              </w:rPr>
              <w:lastRenderedPageBreak/>
              <w:t>(1.4%). Spain (–9.1%), Austria (–7.8%) and Croatia (–7.1%) experienced the deepest downturn.</w:t>
            </w:r>
          </w:p>
        </w:tc>
      </w:tr>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lastRenderedPageBreak/>
              <w:t xml:space="preserve">Volume of paid out wages and salaries diminished last year.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spacing w:val="-2"/>
                <w:lang w:val="en-GB"/>
              </w:rPr>
            </w:pPr>
            <w:r w:rsidRPr="00742B86">
              <w:rPr>
                <w:spacing w:val="-2"/>
                <w:lang w:val="en-GB"/>
              </w:rPr>
              <w:t>Total economic downturn also had an impact on the labour market. The volume of paid out wages and salaries shrank by 0.4% for the whole year 2020 given the simultaneous decrease of total employment by 1.5%</w:t>
            </w:r>
            <w:r w:rsidRPr="00742B86">
              <w:rPr>
                <w:rStyle w:val="Znakapoznpodarou"/>
                <w:spacing w:val="-2"/>
                <w:lang w:val="en-GB"/>
              </w:rPr>
              <w:footnoteReference w:id="7"/>
            </w:r>
            <w:r w:rsidRPr="00742B86">
              <w:rPr>
                <w:spacing w:val="-2"/>
                <w:lang w:val="en-GB"/>
              </w:rPr>
              <w:t>. In consideration of the significant growth of the price level, the real slump of the purchasing power of earnings was even more substantial (–3.1%</w:t>
            </w:r>
            <w:r w:rsidRPr="00742B86">
              <w:rPr>
                <w:rStyle w:val="Znakapoznpodarou"/>
                <w:spacing w:val="-2"/>
                <w:lang w:val="en-GB"/>
              </w:rPr>
              <w:footnoteReference w:id="8"/>
            </w:r>
            <w:r w:rsidRPr="00742B86">
              <w:rPr>
                <w:spacing w:val="-2"/>
                <w:lang w:val="en-GB"/>
              </w:rPr>
              <w:t xml:space="preserve">). Reduction of the total volume of paid out funds was influenced the most by the drop of the volume of paid out wages and salaries in manufacturing (–4.3%) and in grouping trade, transportation, accommodation, and food service (–6.2%). Wages and salaries also fell in other activities (–4.4%) and for professional, scientific, technical, and administrative activities (–4.3%). Apart from the other </w:t>
            </w:r>
            <w:proofErr w:type="gramStart"/>
            <w:r w:rsidRPr="00742B86">
              <w:rPr>
                <w:spacing w:val="-2"/>
                <w:lang w:val="en-GB"/>
              </w:rPr>
              <w:t>activities</w:t>
            </w:r>
            <w:proofErr w:type="gramEnd"/>
            <w:r w:rsidRPr="00742B86">
              <w:rPr>
                <w:spacing w:val="-2"/>
                <w:lang w:val="en-GB"/>
              </w:rPr>
              <w:t xml:space="preserve"> the decrease was for the mentioned branches also caused by notable decrease of employment. The volume of paid out funds on the contrary markedly increased in real estate activities (13.9%), information and communication (8.1%) and in branches with the dominance of the government institutions</w:t>
            </w:r>
            <w:r w:rsidRPr="00742B86">
              <w:rPr>
                <w:rStyle w:val="Znakapoznpodarou"/>
                <w:spacing w:val="-2"/>
                <w:lang w:val="en-GB"/>
              </w:rPr>
              <w:footnoteReference w:id="9"/>
            </w:r>
            <w:r w:rsidRPr="00742B86">
              <w:rPr>
                <w:spacing w:val="-2"/>
                <w:lang w:val="en-GB"/>
              </w:rPr>
              <w:t xml:space="preserve"> (7.2%) last year. The volume of paid out wages and salaries fell by 0.4% year-on-year in Q4 itself (accompanied by lowering of employment by 1.9%). Trade, transportation, accommodation, and food service (–10.5%), other activities (</w:t>
            </w:r>
            <w:r>
              <w:rPr>
                <w:spacing w:val="-2"/>
                <w:lang w:val="en-GB"/>
              </w:rPr>
              <w:noBreakHyphen/>
            </w:r>
            <w:r w:rsidRPr="00742B86">
              <w:rPr>
                <w:spacing w:val="-2"/>
                <w:lang w:val="en-GB"/>
              </w:rPr>
              <w:t xml:space="preserve">6.7%) and professional, scientific, and administrative activities (–4.1 %), that is branches often directly afflicted by the forced suspension of operations, featured the deepest slump. Year-on-year decline of wages and salaries slowed down to 1.4% in manufacturing. Notable rise of paid out funds </w:t>
            </w:r>
            <w:proofErr w:type="gramStart"/>
            <w:r w:rsidRPr="00742B86">
              <w:rPr>
                <w:spacing w:val="-2"/>
                <w:lang w:val="en-GB"/>
              </w:rPr>
              <w:t>was recorded</w:t>
            </w:r>
            <w:proofErr w:type="gramEnd"/>
            <w:r w:rsidRPr="00742B86">
              <w:rPr>
                <w:spacing w:val="-2"/>
                <w:lang w:val="en-GB"/>
              </w:rPr>
              <w:t xml:space="preserve"> in real estate activities (16.5%), information and communication activities (8.3%) and in branches with the predominance of the government institution sector (8.4%) in Q4</w:t>
            </w:r>
            <w:r>
              <w:rPr>
                <w:spacing w:val="-2"/>
                <w:lang w:val="en-GB"/>
              </w:rPr>
              <w:t>.</w:t>
            </w:r>
          </w:p>
        </w:tc>
      </w:tr>
      <w:tr w:rsidR="00791BF4" w:rsidRPr="00742B86" w:rsidTr="009C620B">
        <w:trPr>
          <w:trHeight w:val="170"/>
        </w:trPr>
        <w:tc>
          <w:tcPr>
            <w:tcW w:w="1806" w:type="dxa"/>
            <w:vMerge w:val="restart"/>
            <w:shd w:val="clear" w:color="auto" w:fill="auto"/>
            <w:tcMar>
              <w:left w:w="0" w:type="dxa"/>
            </w:tcMar>
          </w:tcPr>
          <w:p w:rsidR="00791BF4" w:rsidRPr="00742B86" w:rsidRDefault="00791BF4" w:rsidP="009C620B">
            <w:pPr>
              <w:pStyle w:val="Marginlie"/>
              <w:rPr>
                <w:lang w:val="en-GB"/>
              </w:rPr>
            </w:pPr>
          </w:p>
        </w:tc>
        <w:tc>
          <w:tcPr>
            <w:tcW w:w="223" w:type="dxa"/>
            <w:vMerge w:val="restart"/>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spacing w:after="0"/>
              <w:rPr>
                <w:szCs w:val="20"/>
                <w:lang w:val="en-GB"/>
              </w:rPr>
            </w:pPr>
            <w:r w:rsidRPr="00742B86">
              <w:rPr>
                <w:b/>
                <w:szCs w:val="20"/>
                <w:lang w:val="en-GB"/>
              </w:rPr>
              <w:t xml:space="preserve">Chart </w:t>
            </w:r>
            <w:proofErr w:type="gramStart"/>
            <w:r w:rsidRPr="00742B86">
              <w:rPr>
                <w:b/>
                <w:szCs w:val="20"/>
                <w:lang w:val="en-GB"/>
              </w:rPr>
              <w:t>2  Contribution</w:t>
            </w:r>
            <w:proofErr w:type="gramEnd"/>
            <w:r w:rsidRPr="00742B86">
              <w:rPr>
                <w:b/>
                <w:szCs w:val="20"/>
                <w:lang w:val="en-GB"/>
              </w:rPr>
              <w:t xml:space="preserve"> of expenditure items to real GDP change</w:t>
            </w:r>
            <w:r w:rsidRPr="00742B86">
              <w:rPr>
                <w:rFonts w:cs="Arial"/>
                <w:b/>
                <w:szCs w:val="20"/>
                <w:lang w:val="en-GB" w:eastAsia="en-US"/>
              </w:rPr>
              <w:t xml:space="preserve">* </w:t>
            </w:r>
            <w:r w:rsidRPr="00742B86">
              <w:rPr>
                <w:rFonts w:cs="Arial"/>
                <w:bCs/>
                <w:szCs w:val="20"/>
                <w:lang w:val="en-GB" w:eastAsia="en-US"/>
              </w:rPr>
              <w:t>(volume indices, year-on-year growth, contributions in p.p., GDP in %)</w:t>
            </w:r>
          </w:p>
        </w:tc>
      </w:tr>
      <w:tr w:rsidR="00791BF4" w:rsidRPr="00742B86" w:rsidTr="009C620B">
        <w:tblPrEx>
          <w:tblCellMar>
            <w:left w:w="70" w:type="dxa"/>
            <w:right w:w="70" w:type="dxa"/>
          </w:tblCellMar>
        </w:tblPrEx>
        <w:trPr>
          <w:trHeight w:val="170"/>
        </w:trPr>
        <w:tc>
          <w:tcPr>
            <w:tcW w:w="1806" w:type="dxa"/>
            <w:vMerge/>
            <w:shd w:val="clear" w:color="auto" w:fill="auto"/>
          </w:tcPr>
          <w:p w:rsidR="00791BF4" w:rsidRPr="00742B86" w:rsidRDefault="00791BF4" w:rsidP="009C620B">
            <w:pPr>
              <w:pStyle w:val="Marginlie"/>
              <w:rPr>
                <w:lang w:val="en-GB"/>
              </w:rPr>
            </w:pPr>
          </w:p>
        </w:tc>
        <w:tc>
          <w:tcPr>
            <w:tcW w:w="223" w:type="dxa"/>
            <w:vMerge/>
            <w:shd w:val="clear" w:color="auto" w:fill="auto"/>
          </w:tcPr>
          <w:p w:rsidR="00791BF4" w:rsidRPr="00742B86" w:rsidRDefault="00791BF4" w:rsidP="009C620B">
            <w:pPr>
              <w:pStyle w:val="Textpoznpodarou"/>
              <w:jc w:val="both"/>
              <w:rPr>
                <w:spacing w:val="-4"/>
                <w:lang w:val="en-GB"/>
              </w:rPr>
            </w:pPr>
          </w:p>
        </w:tc>
        <w:tc>
          <w:tcPr>
            <w:tcW w:w="7610" w:type="dxa"/>
            <w:shd w:val="clear" w:color="auto" w:fill="auto"/>
          </w:tcPr>
          <w:p w:rsidR="00791BF4" w:rsidRPr="00742B86" w:rsidRDefault="00791BF4" w:rsidP="009C620B">
            <w:pPr>
              <w:spacing w:after="0"/>
              <w:rPr>
                <w:lang w:val="en-GB"/>
              </w:rPr>
            </w:pPr>
            <w:r>
              <w:rPr>
                <w:noProof/>
              </w:rPr>
              <w:drawing>
                <wp:inline distT="0" distB="0" distL="0" distR="0" wp14:anchorId="3A6F9FC2" wp14:editId="6750B0BD">
                  <wp:extent cx="4743950" cy="3283325"/>
                  <wp:effectExtent l="0" t="0" r="0" b="0"/>
                  <wp:docPr id="21" name="Graf 2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791BF4" w:rsidRPr="00742B86" w:rsidTr="009C620B">
        <w:trPr>
          <w:trHeight w:val="170"/>
        </w:trPr>
        <w:tc>
          <w:tcPr>
            <w:tcW w:w="1806" w:type="dxa"/>
            <w:vMerge/>
            <w:shd w:val="clear" w:color="auto" w:fill="auto"/>
            <w:tcMar>
              <w:left w:w="0" w:type="dxa"/>
            </w:tcMar>
          </w:tcPr>
          <w:p w:rsidR="00791BF4" w:rsidRPr="00742B86" w:rsidRDefault="00791BF4" w:rsidP="009C620B">
            <w:pPr>
              <w:pStyle w:val="Marginlie"/>
              <w:rPr>
                <w:lang w:val="en-GB"/>
              </w:rPr>
            </w:pPr>
          </w:p>
        </w:tc>
        <w:tc>
          <w:tcPr>
            <w:tcW w:w="223" w:type="dxa"/>
            <w:vMerge/>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Default="00791BF4" w:rsidP="009C620B">
            <w:pPr>
              <w:spacing w:after="0"/>
              <w:rPr>
                <w:sz w:val="14"/>
                <w:szCs w:val="14"/>
                <w:lang w:val="en-GB"/>
              </w:rPr>
            </w:pPr>
            <w:r w:rsidRPr="00742B86">
              <w:rPr>
                <w:sz w:val="14"/>
                <w:szCs w:val="14"/>
                <w:lang w:val="en-GB"/>
              </w:rPr>
              <w:t>Source: CZSO</w:t>
            </w:r>
          </w:p>
          <w:p w:rsidR="00791BF4" w:rsidRPr="00742B86" w:rsidRDefault="00791BF4" w:rsidP="009C620B">
            <w:pPr>
              <w:rPr>
                <w:lang w:val="en-GB"/>
              </w:rPr>
            </w:pPr>
            <w:r w:rsidRPr="00742B86">
              <w:rPr>
                <w:sz w:val="14"/>
                <w:szCs w:val="14"/>
                <w:lang w:val="en-GB"/>
              </w:rPr>
              <w:t>* after exclusion of imports for final use</w:t>
            </w:r>
          </w:p>
        </w:tc>
      </w:tr>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t xml:space="preserve">Given the restrictions, the household consumption </w:t>
            </w:r>
            <w:r w:rsidRPr="00742B86">
              <w:rPr>
                <w:lang w:val="en-GB"/>
              </w:rPr>
              <w:lastRenderedPageBreak/>
              <w:t xml:space="preserve">sharply fell, mostly for services and durable goods.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lang w:val="en-GB"/>
              </w:rPr>
            </w:pPr>
            <w:r w:rsidRPr="00742B86">
              <w:rPr>
                <w:spacing w:val="-2"/>
                <w:lang w:val="en-GB"/>
              </w:rPr>
              <w:t xml:space="preserve">Expenditures on consumptions decreased by 2.8% last year, for the first time since year 2012. Restrictions especially affected the household consumption, which experienced a </w:t>
            </w:r>
            <w:r w:rsidRPr="00742B86">
              <w:rPr>
                <w:spacing w:val="-2"/>
                <w:lang w:val="en-GB"/>
              </w:rPr>
              <w:lastRenderedPageBreak/>
              <w:t>record slump (–5.2%) and pushed the total GDP growth down by 1.9 p.p.</w:t>
            </w:r>
            <w:r w:rsidRPr="00742B86">
              <w:rPr>
                <w:rStyle w:val="Znakapoznpodarou"/>
                <w:spacing w:val="-2"/>
                <w:lang w:val="en-GB"/>
              </w:rPr>
              <w:footnoteReference w:id="10"/>
            </w:r>
            <w:r w:rsidRPr="00742B86">
              <w:rPr>
                <w:spacing w:val="-2"/>
                <w:lang w:val="en-GB"/>
              </w:rPr>
              <w:t xml:space="preserve"> In contrast, the overall situation led to the increase of the government institutions consumption by 2.9%. It added 0.6 p.p. to the GDP growth. The year-on-year consumption decline deepened to 4.3% in Q4 itself. In that the depth of the year-on-year slump of the household consumption approached the level of Q2 (–8.3%). On the contrary, the government consumption expanded by 4.9%. The total consumption fell by 1.1% quarter-on-quarter. In </w:t>
            </w:r>
            <w:proofErr w:type="gramStart"/>
            <w:r w:rsidRPr="00742B86">
              <w:rPr>
                <w:spacing w:val="-2"/>
                <w:lang w:val="en-GB"/>
              </w:rPr>
              <w:t>that</w:t>
            </w:r>
            <w:proofErr w:type="gramEnd"/>
            <w:r w:rsidRPr="00742B86">
              <w:rPr>
                <w:spacing w:val="-2"/>
                <w:lang w:val="en-GB"/>
              </w:rPr>
              <w:t xml:space="preserve"> the household expenditures shrank by 4.2%, while the government consumption expanded by 5.5% compared to Q3. Classification according to the consumption based on durability proves, that the steep year-on-year downturn mainly </w:t>
            </w:r>
            <w:proofErr w:type="gramStart"/>
            <w:r w:rsidRPr="00742B86">
              <w:rPr>
                <w:spacing w:val="-2"/>
                <w:lang w:val="en-GB"/>
              </w:rPr>
              <w:t>impacted</w:t>
            </w:r>
            <w:proofErr w:type="gramEnd"/>
            <w:r w:rsidRPr="00742B86">
              <w:rPr>
                <w:spacing w:val="-2"/>
                <w:lang w:val="en-GB"/>
              </w:rPr>
              <w:t xml:space="preserve"> the consumption of durable goods</w:t>
            </w:r>
            <w:r w:rsidRPr="00742B86">
              <w:rPr>
                <w:rStyle w:val="Znakapoznpodarou"/>
                <w:lang w:val="en-GB"/>
              </w:rPr>
              <w:footnoteReference w:id="11"/>
            </w:r>
            <w:r w:rsidRPr="00742B86">
              <w:rPr>
                <w:spacing w:val="-2"/>
                <w:lang w:val="en-GB"/>
              </w:rPr>
              <w:t xml:space="preserve"> in Q4 (medium-term consumption fell by 29.1% and long-term by 7.6%) and services (–14.8%). Consumption of non-durable goods, which </w:t>
            </w:r>
            <w:proofErr w:type="gramStart"/>
            <w:r w:rsidRPr="00742B86">
              <w:rPr>
                <w:spacing w:val="-2"/>
                <w:lang w:val="en-GB"/>
              </w:rPr>
              <w:t>to a large extent</w:t>
            </w:r>
            <w:proofErr w:type="gramEnd"/>
            <w:r w:rsidRPr="00742B86">
              <w:rPr>
                <w:spacing w:val="-2"/>
                <w:lang w:val="en-GB"/>
              </w:rPr>
              <w:t xml:space="preserve"> includes the necessary goods, dropped by 3.2%. The consumption of services dived by 11.1% and goods of medium-term consumption by 18.7% for the whole year. Expenditures on durable goods declined by 5.5% and the consumption of non-durable goods recorded only negligible decrease (–0.8%).</w:t>
            </w:r>
          </w:p>
        </w:tc>
      </w:tr>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lastRenderedPageBreak/>
              <w:t xml:space="preserve">Both households and businesses limited the investment activity.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lang w:val="en-GB"/>
              </w:rPr>
            </w:pPr>
            <w:r w:rsidRPr="00742B86">
              <w:rPr>
                <w:lang w:val="en-GB"/>
              </w:rPr>
              <w:t xml:space="preserve">Investment activity </w:t>
            </w:r>
            <w:proofErr w:type="gramStart"/>
            <w:r w:rsidRPr="00742B86">
              <w:rPr>
                <w:lang w:val="en-GB"/>
              </w:rPr>
              <w:t>was also afflicted</w:t>
            </w:r>
            <w:proofErr w:type="gramEnd"/>
            <w:r w:rsidRPr="00742B86">
              <w:rPr>
                <w:lang w:val="en-GB"/>
              </w:rPr>
              <w:t xml:space="preserve"> by the all-encompassing economic downturn. It was evident especially in the second half of the </w:t>
            </w:r>
            <w:proofErr w:type="gramStart"/>
            <w:r w:rsidRPr="00742B86">
              <w:rPr>
                <w:lang w:val="en-GB"/>
              </w:rPr>
              <w:t>year, that</w:t>
            </w:r>
            <w:proofErr w:type="gramEnd"/>
            <w:r w:rsidRPr="00742B86">
              <w:rPr>
                <w:lang w:val="en-GB"/>
              </w:rPr>
              <w:t xml:space="preserve"> the dynamics of the capital expenditures did not react to the economic recovery. Total expenditures on gross capital formation plummeted by 12.6% last year and contributed 3.1 p.p. to the GDP decrease. In that the expenditures on gross fixed capital (investment) plunged by 8.5%. Investment was falling year-on-year throughout the whole year and its fall further deepened to –12.3% in Q4. Compared to Q3, investment decreased by 0.3%. Type classification of gross fixed capital formation</w:t>
            </w:r>
            <w:r w:rsidRPr="00742B86">
              <w:rPr>
                <w:rStyle w:val="Znakapoznpodarou"/>
                <w:lang w:val="en-GB"/>
              </w:rPr>
              <w:footnoteReference w:id="12"/>
            </w:r>
            <w:r w:rsidRPr="00742B86">
              <w:rPr>
                <w:lang w:val="en-GB"/>
              </w:rPr>
              <w:t xml:space="preserve"> shows, that nearly all types of investment slumped last year. Expenditures on transport equipment (–18.0%) and ICT and other machinery and equipment (–14.2%), which are both the domains of the non-financial businesses sector, decreased the most. The investment into housing mostly financed by households markedly decreased (–6.4%) following the six years of growth. Compared to this, the decrease of expenditures on other buildings and structures was weaker (–2.4%) thanks to the continuing infrastructure projects. Investment into products of intellectual property also declined for the first time since year 2013 (–4.7%). The year-on-year fall of investment into ICT and other machinery and equipment (</w:t>
            </w:r>
            <w:r>
              <w:rPr>
                <w:lang w:val="en-GB"/>
              </w:rPr>
              <w:noBreakHyphen/>
            </w:r>
            <w:r w:rsidRPr="00742B86">
              <w:rPr>
                <w:lang w:val="en-GB"/>
              </w:rPr>
              <w:t xml:space="preserve">21.9%), into housing (–12.8%) as well as other buildings and structures (–6.9%) widened in Q4. The decrease of investment into transport equipment remained deep (–15.5%) and investment into products of intellectual property returned near the level of the previous year (–0.9%). </w:t>
            </w:r>
          </w:p>
        </w:tc>
      </w:tr>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t>Foreign t</w:t>
            </w:r>
            <w:r>
              <w:rPr>
                <w:lang w:val="en-GB"/>
              </w:rPr>
              <w:t>rade was trying to recover the s</w:t>
            </w:r>
            <w:r w:rsidRPr="00742B86">
              <w:rPr>
                <w:lang w:val="en-GB"/>
              </w:rPr>
              <w:t xml:space="preserve">pring losses in the second half of the year.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lang w:val="en-GB"/>
              </w:rPr>
            </w:pPr>
            <w:r w:rsidRPr="00742B86">
              <w:rPr>
                <w:lang w:val="en-GB"/>
              </w:rPr>
              <w:t xml:space="preserve">Export of goods and services slumped in real terms last year, for the first time since year 2009, specifically by 6.0%. The slide of import was slightly steeper (–6.1%). The balance of foreign trade with goods and services gained surplus of 390.5 CZK </w:t>
            </w:r>
            <w:proofErr w:type="spellStart"/>
            <w:r w:rsidRPr="00742B86">
              <w:rPr>
                <w:lang w:val="en-GB"/>
              </w:rPr>
              <w:t>bn</w:t>
            </w:r>
            <w:proofErr w:type="spellEnd"/>
            <w:r w:rsidRPr="00742B86">
              <w:rPr>
                <w:rStyle w:val="Znakapoznpodarou"/>
                <w:lang w:val="en-GB"/>
              </w:rPr>
              <w:footnoteReference w:id="13"/>
            </w:r>
            <w:r w:rsidRPr="00742B86">
              <w:rPr>
                <w:lang w:val="en-GB"/>
              </w:rPr>
              <w:t xml:space="preserve"> last year and in addition, the positive balance improved by 42.3 </w:t>
            </w:r>
            <w:proofErr w:type="spellStart"/>
            <w:r w:rsidRPr="00742B86">
              <w:rPr>
                <w:lang w:val="en-GB"/>
              </w:rPr>
              <w:t>bn</w:t>
            </w:r>
            <w:proofErr w:type="spellEnd"/>
            <w:r w:rsidRPr="00742B86">
              <w:rPr>
                <w:lang w:val="en-GB"/>
              </w:rPr>
              <w:t xml:space="preserve">, the most since year 2016. However, the plunge of oil prices strongly assisted the balance in current prices. The improvement </w:t>
            </w:r>
            <w:proofErr w:type="gramStart"/>
            <w:r w:rsidRPr="00742B86">
              <w:rPr>
                <w:lang w:val="en-GB"/>
              </w:rPr>
              <w:t>can be ascribed</w:t>
            </w:r>
            <w:proofErr w:type="gramEnd"/>
            <w:r w:rsidRPr="00742B86">
              <w:rPr>
                <w:lang w:val="en-GB"/>
              </w:rPr>
              <w:t xml:space="preserve"> exclusively to the trade with goods (+43.4 CZK </w:t>
            </w:r>
            <w:proofErr w:type="spellStart"/>
            <w:r w:rsidRPr="00742B86">
              <w:rPr>
                <w:lang w:val="en-GB"/>
              </w:rPr>
              <w:t>bn</w:t>
            </w:r>
            <w:proofErr w:type="spellEnd"/>
            <w:r w:rsidRPr="00742B86">
              <w:rPr>
                <w:lang w:val="en-GB"/>
              </w:rPr>
              <w:t>),</w:t>
            </w:r>
            <w:r>
              <w:rPr>
                <w:lang w:val="en-GB"/>
              </w:rPr>
              <w:t xml:space="preserve"> </w:t>
            </w:r>
            <w:r w:rsidRPr="00742B86">
              <w:rPr>
                <w:lang w:val="en-GB"/>
              </w:rPr>
              <w:t xml:space="preserve">the surplus in case of services reduced by 1.1 </w:t>
            </w:r>
            <w:proofErr w:type="spellStart"/>
            <w:r w:rsidRPr="00742B86">
              <w:rPr>
                <w:lang w:val="en-GB"/>
              </w:rPr>
              <w:t>bn</w:t>
            </w:r>
            <w:proofErr w:type="spellEnd"/>
            <w:r w:rsidRPr="00742B86">
              <w:rPr>
                <w:lang w:val="en-GB"/>
              </w:rPr>
              <w:t xml:space="preserve"> year-on-year. The considerable decrease of surplus from Q2 </w:t>
            </w:r>
            <w:proofErr w:type="gramStart"/>
            <w:r w:rsidRPr="00742B86">
              <w:rPr>
                <w:lang w:val="en-GB"/>
              </w:rPr>
              <w:t>was successfully recovered</w:t>
            </w:r>
            <w:proofErr w:type="gramEnd"/>
            <w:r w:rsidRPr="00742B86">
              <w:rPr>
                <w:lang w:val="en-GB"/>
              </w:rPr>
              <w:t xml:space="preserve"> in the second half of the year. Surplus reached 145.5 CZK </w:t>
            </w:r>
            <w:proofErr w:type="spellStart"/>
            <w:r w:rsidRPr="00742B86">
              <w:rPr>
                <w:lang w:val="en-GB"/>
              </w:rPr>
              <w:t>bn</w:t>
            </w:r>
            <w:proofErr w:type="spellEnd"/>
            <w:r w:rsidRPr="00742B86">
              <w:rPr>
                <w:lang w:val="en-GB"/>
              </w:rPr>
              <w:t xml:space="preserve"> in Q4 itself and increased by 69.3 </w:t>
            </w:r>
            <w:proofErr w:type="spellStart"/>
            <w:r w:rsidRPr="00742B86">
              <w:rPr>
                <w:lang w:val="en-GB"/>
              </w:rPr>
              <w:t>bn</w:t>
            </w:r>
            <w:proofErr w:type="spellEnd"/>
            <w:r w:rsidRPr="00742B86">
              <w:rPr>
                <w:lang w:val="en-GB"/>
              </w:rPr>
              <w:t xml:space="preserve"> year-on-year.  In that the surplus of trade with goods grew by 73.2 bn. Surplus of trade with services dropped by 3.9 bn.</w:t>
            </w:r>
          </w:p>
        </w:tc>
      </w:tr>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lastRenderedPageBreak/>
              <w:t xml:space="preserve">GVA slumped in the majority of branches last year.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lang w:val="en-GB"/>
              </w:rPr>
            </w:pPr>
            <w:r w:rsidRPr="00742B86">
              <w:rPr>
                <w:lang w:val="en-GB"/>
              </w:rPr>
              <w:t xml:space="preserve">The gross </w:t>
            </w:r>
            <w:proofErr w:type="gramStart"/>
            <w:r w:rsidRPr="00742B86">
              <w:rPr>
                <w:lang w:val="en-GB"/>
              </w:rPr>
              <w:t>value added</w:t>
            </w:r>
            <w:proofErr w:type="gramEnd"/>
            <w:r w:rsidRPr="00742B86">
              <w:rPr>
                <w:lang w:val="en-GB"/>
              </w:rPr>
              <w:t xml:space="preserve"> (GVA) shrank by 5.5% in real terms last year. </w:t>
            </w:r>
            <w:proofErr w:type="gramStart"/>
            <w:r w:rsidRPr="00742B86">
              <w:rPr>
                <w:lang w:val="en-GB"/>
              </w:rPr>
              <w:t>Similarly</w:t>
            </w:r>
            <w:proofErr w:type="gramEnd"/>
            <w:r w:rsidRPr="00742B86">
              <w:rPr>
                <w:lang w:val="en-GB"/>
              </w:rPr>
              <w:t xml:space="preserve"> to the GDP, it represents the steepest recorded fall in the history of the independent CR. The decrease was universal and only a fraction of branches managed to avoid it – agriculture (GVA increase of 4.8%), information and communication (+1.6%) and branches with the predominance of the government institutions sector (+0.9%). The grouping trade, transportation, accommodation, and food service (the GVA decreased by 11.8% here) and further manufacturing (–6.9%) contributed the most to the GVA decline. GVA of other activities, which also include the provision of personal services such as hairdressing and other beauty treatment (–12.1%) plunged deep. The economic downturn also hit the market services, such as professional, scientific, technical, and administrative activities (–9.3%) or financial and insurance activities (</w:t>
            </w:r>
            <w:r>
              <w:rPr>
                <w:lang w:val="en-GB"/>
              </w:rPr>
              <w:noBreakHyphen/>
            </w:r>
            <w:r w:rsidRPr="00742B86">
              <w:rPr>
                <w:lang w:val="en-GB"/>
              </w:rPr>
              <w:t xml:space="preserve">2.8%). GVA reduced in the real estate activities (–3.1%) and </w:t>
            </w:r>
            <w:proofErr w:type="gramStart"/>
            <w:r w:rsidRPr="00742B86">
              <w:rPr>
                <w:lang w:val="en-GB"/>
              </w:rPr>
              <w:t>construction also</w:t>
            </w:r>
            <w:proofErr w:type="gramEnd"/>
            <w:r w:rsidRPr="00742B86">
              <w:rPr>
                <w:lang w:val="en-GB"/>
              </w:rPr>
              <w:t xml:space="preserve"> recorded a decrease second year in a row (–3.4%).</w:t>
            </w:r>
          </w:p>
        </w:tc>
      </w:tr>
      <w:tr w:rsidR="00791BF4" w:rsidRPr="00742B86" w:rsidTr="009C620B">
        <w:trPr>
          <w:trHeight w:val="145"/>
        </w:trPr>
        <w:tc>
          <w:tcPr>
            <w:tcW w:w="1806" w:type="dxa"/>
            <w:shd w:val="clear" w:color="auto" w:fill="auto"/>
            <w:tcMar>
              <w:left w:w="0" w:type="dxa"/>
            </w:tcMar>
          </w:tcPr>
          <w:p w:rsidR="00791BF4" w:rsidRPr="00742B86" w:rsidRDefault="00791BF4" w:rsidP="009C620B">
            <w:pPr>
              <w:pStyle w:val="Marginlie"/>
              <w:rPr>
                <w:lang w:val="en-GB"/>
              </w:rPr>
            </w:pPr>
            <w:r w:rsidRPr="00742B86">
              <w:rPr>
                <w:lang w:val="en-GB"/>
              </w:rPr>
              <w:t xml:space="preserve">The slump afflicted mostly services in Q4.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lang w:val="en-GB"/>
              </w:rPr>
            </w:pPr>
            <w:r w:rsidRPr="00742B86">
              <w:rPr>
                <w:lang w:val="en-GB"/>
              </w:rPr>
              <w:t xml:space="preserve">The GVA decreased by 4.7% year-on-year in Q4 itself. New wave of measures affected especially the services branches – other activities (–20.9%), grouping trade, transportation, accommodation, and food service (–14.7%) and professional, scientific, technical, and administrative activities (–12.8%) the most. The year-on-year fall of GVA deepened in construction (–5.3%). By </w:t>
            </w:r>
            <w:proofErr w:type="gramStart"/>
            <w:r w:rsidRPr="00742B86">
              <w:rPr>
                <w:lang w:val="en-GB"/>
              </w:rPr>
              <w:t>contrast</w:t>
            </w:r>
            <w:proofErr w:type="gramEnd"/>
            <w:r w:rsidRPr="00742B86">
              <w:rPr>
                <w:lang w:val="en-GB"/>
              </w:rPr>
              <w:t xml:space="preserve"> the year-on-year decrease of GVA in manufacturing reduced to 1.1%. Agriculture (5.0%), public administration, education, health, and social work (1.8%) and information and communication (1.5%) reported year-on-year GVA increase. Compared to Q3, the GVA grew by 0.5%. It </w:t>
            </w:r>
            <w:proofErr w:type="gramStart"/>
            <w:r w:rsidRPr="00742B86">
              <w:rPr>
                <w:lang w:val="en-GB"/>
              </w:rPr>
              <w:t>can be attributed</w:t>
            </w:r>
            <w:proofErr w:type="gramEnd"/>
            <w:r w:rsidRPr="00742B86">
              <w:rPr>
                <w:lang w:val="en-GB"/>
              </w:rPr>
              <w:t xml:space="preserve"> mainly to the continued revival of manufacturing (2.3%) as well as part of services – professional, scientific, technical, and administrative activities (2.4%), financial and insurance activities (3.5%) or information and communication (2.2%). It even outweighed the quarter-on-quarter drop in other activities by 13.9%, grouping trade, transportation, accommodation, and </w:t>
            </w:r>
            <w:proofErr w:type="gramStart"/>
            <w:r w:rsidRPr="00742B86">
              <w:rPr>
                <w:lang w:val="en-GB"/>
              </w:rPr>
              <w:t>food service</w:t>
            </w:r>
            <w:proofErr w:type="gramEnd"/>
            <w:r w:rsidRPr="00742B86">
              <w:rPr>
                <w:lang w:val="en-GB"/>
              </w:rPr>
              <w:t xml:space="preserve"> by 6.6% and construction by 1.2%.</w:t>
            </w:r>
          </w:p>
        </w:tc>
      </w:tr>
      <w:tr w:rsidR="00791BF4" w:rsidRPr="00742B86" w:rsidTr="009C620B">
        <w:trPr>
          <w:trHeight w:val="170"/>
        </w:trPr>
        <w:tc>
          <w:tcPr>
            <w:tcW w:w="1806" w:type="dxa"/>
            <w:vMerge w:val="restart"/>
            <w:shd w:val="clear" w:color="auto" w:fill="auto"/>
            <w:tcMar>
              <w:left w:w="0" w:type="dxa"/>
            </w:tcMar>
          </w:tcPr>
          <w:p w:rsidR="00791BF4" w:rsidRPr="00742B86" w:rsidRDefault="00791BF4" w:rsidP="009C620B">
            <w:pPr>
              <w:pStyle w:val="Marginlie"/>
              <w:rPr>
                <w:lang w:val="en-GB"/>
              </w:rPr>
            </w:pPr>
          </w:p>
        </w:tc>
        <w:tc>
          <w:tcPr>
            <w:tcW w:w="223" w:type="dxa"/>
            <w:vMerge w:val="restart"/>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spacing w:after="0"/>
              <w:rPr>
                <w:szCs w:val="20"/>
                <w:lang w:val="en-GB"/>
              </w:rPr>
            </w:pPr>
            <w:r w:rsidRPr="00742B86">
              <w:rPr>
                <w:b/>
                <w:szCs w:val="20"/>
                <w:lang w:val="en-GB"/>
              </w:rPr>
              <w:t xml:space="preserve">Chart </w:t>
            </w:r>
            <w:proofErr w:type="gramStart"/>
            <w:r w:rsidRPr="00742B86">
              <w:rPr>
                <w:b/>
                <w:szCs w:val="20"/>
                <w:lang w:val="en-GB"/>
              </w:rPr>
              <w:t>3  Contributions</w:t>
            </w:r>
            <w:proofErr w:type="gramEnd"/>
            <w:r w:rsidRPr="00742B86">
              <w:rPr>
                <w:b/>
                <w:szCs w:val="20"/>
                <w:lang w:val="en-GB" w:eastAsia="en-US"/>
              </w:rPr>
              <w:t xml:space="preserve"> of branches to real change in GVA</w:t>
            </w:r>
            <w:r w:rsidRPr="00742B86">
              <w:rPr>
                <w:rFonts w:cs="Arial"/>
                <w:b/>
                <w:szCs w:val="20"/>
                <w:lang w:val="en-GB" w:eastAsia="en-US"/>
              </w:rPr>
              <w:t xml:space="preserve"> </w:t>
            </w:r>
            <w:r w:rsidRPr="00742B86">
              <w:rPr>
                <w:rFonts w:cs="Arial"/>
                <w:bCs/>
                <w:szCs w:val="20"/>
                <w:lang w:val="en-GB" w:eastAsia="en-US"/>
              </w:rPr>
              <w:t>(volume indices, year-on-year contributions in p.p., GVA in %)</w:t>
            </w:r>
            <w:r w:rsidRPr="00742B86">
              <w:rPr>
                <w:rFonts w:cs="Arial"/>
                <w:szCs w:val="20"/>
                <w:lang w:val="en-GB" w:eastAsia="en-US"/>
              </w:rPr>
              <w:t xml:space="preserve"> </w:t>
            </w:r>
          </w:p>
        </w:tc>
      </w:tr>
      <w:tr w:rsidR="00791BF4" w:rsidRPr="00742B86" w:rsidTr="009C620B">
        <w:tblPrEx>
          <w:tblCellMar>
            <w:left w:w="70" w:type="dxa"/>
            <w:right w:w="70" w:type="dxa"/>
          </w:tblCellMar>
        </w:tblPrEx>
        <w:trPr>
          <w:trHeight w:val="170"/>
        </w:trPr>
        <w:tc>
          <w:tcPr>
            <w:tcW w:w="1806" w:type="dxa"/>
            <w:vMerge/>
            <w:shd w:val="clear" w:color="auto" w:fill="auto"/>
          </w:tcPr>
          <w:p w:rsidR="00791BF4" w:rsidRPr="00742B86" w:rsidRDefault="00791BF4" w:rsidP="009C620B">
            <w:pPr>
              <w:pStyle w:val="Marginlie"/>
              <w:rPr>
                <w:lang w:val="en-GB"/>
              </w:rPr>
            </w:pPr>
          </w:p>
        </w:tc>
        <w:tc>
          <w:tcPr>
            <w:tcW w:w="223" w:type="dxa"/>
            <w:vMerge/>
            <w:shd w:val="clear" w:color="auto" w:fill="auto"/>
          </w:tcPr>
          <w:p w:rsidR="00791BF4" w:rsidRPr="00742B86" w:rsidRDefault="00791BF4" w:rsidP="009C620B">
            <w:pPr>
              <w:pStyle w:val="Textpoznpodarou"/>
              <w:jc w:val="both"/>
              <w:rPr>
                <w:spacing w:val="-4"/>
                <w:lang w:val="en-GB"/>
              </w:rPr>
            </w:pPr>
          </w:p>
        </w:tc>
        <w:tc>
          <w:tcPr>
            <w:tcW w:w="7610" w:type="dxa"/>
            <w:shd w:val="clear" w:color="auto" w:fill="auto"/>
          </w:tcPr>
          <w:p w:rsidR="00791BF4" w:rsidRPr="00742B86" w:rsidRDefault="00791BF4" w:rsidP="009C620B">
            <w:pPr>
              <w:spacing w:after="0"/>
              <w:rPr>
                <w:lang w:val="en-GB"/>
              </w:rPr>
            </w:pPr>
            <w:r>
              <w:rPr>
                <w:noProof/>
              </w:rPr>
              <w:drawing>
                <wp:inline distT="0" distB="0" distL="0" distR="0" wp14:anchorId="1D9925A5" wp14:editId="1745DC66">
                  <wp:extent cx="4734425" cy="3315075"/>
                  <wp:effectExtent l="0" t="0" r="0" b="0"/>
                  <wp:docPr id="24" name="Graf 2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91BF4" w:rsidRPr="00742B86" w:rsidTr="009C620B">
        <w:trPr>
          <w:trHeight w:val="170"/>
        </w:trPr>
        <w:tc>
          <w:tcPr>
            <w:tcW w:w="1806" w:type="dxa"/>
            <w:vMerge/>
            <w:shd w:val="clear" w:color="auto" w:fill="auto"/>
            <w:tcMar>
              <w:left w:w="0" w:type="dxa"/>
            </w:tcMar>
          </w:tcPr>
          <w:p w:rsidR="00791BF4" w:rsidRPr="00742B86" w:rsidRDefault="00791BF4" w:rsidP="009C620B">
            <w:pPr>
              <w:pStyle w:val="Marginlie"/>
              <w:rPr>
                <w:lang w:val="en-GB"/>
              </w:rPr>
            </w:pPr>
          </w:p>
        </w:tc>
        <w:tc>
          <w:tcPr>
            <w:tcW w:w="223" w:type="dxa"/>
            <w:vMerge/>
            <w:shd w:val="clear" w:color="auto" w:fill="auto"/>
            <w:tcMar>
              <w:left w:w="0" w:type="dxa"/>
            </w:tcMar>
          </w:tcPr>
          <w:p w:rsidR="00791BF4" w:rsidRPr="00742B86" w:rsidRDefault="00791BF4" w:rsidP="009C620B">
            <w:pPr>
              <w:pStyle w:val="Textpoznpodarou"/>
              <w:jc w:val="both"/>
              <w:rPr>
                <w:spacing w:val="-4"/>
                <w:lang w:val="en-GB"/>
              </w:rPr>
            </w:pPr>
          </w:p>
        </w:tc>
        <w:tc>
          <w:tcPr>
            <w:tcW w:w="7610" w:type="dxa"/>
            <w:shd w:val="clear" w:color="auto" w:fill="auto"/>
            <w:tcMar>
              <w:left w:w="0" w:type="dxa"/>
            </w:tcMar>
          </w:tcPr>
          <w:p w:rsidR="00791BF4" w:rsidRPr="00742B86" w:rsidRDefault="00791BF4" w:rsidP="009C620B">
            <w:pPr>
              <w:rPr>
                <w:b/>
                <w:bCs/>
                <w:sz w:val="16"/>
                <w:szCs w:val="16"/>
                <w:lang w:val="en-GB"/>
              </w:rPr>
            </w:pPr>
            <w:r w:rsidRPr="00742B86">
              <w:rPr>
                <w:sz w:val="14"/>
                <w:szCs w:val="14"/>
                <w:lang w:val="en-GB"/>
              </w:rPr>
              <w:t>Source: CZSO</w:t>
            </w:r>
          </w:p>
        </w:tc>
      </w:tr>
    </w:tbl>
    <w:p w:rsidR="00791BF4" w:rsidRPr="00742B86" w:rsidRDefault="00791BF4" w:rsidP="00791BF4">
      <w:pPr>
        <w:pStyle w:val="Nadpis11"/>
        <w:spacing w:after="0"/>
        <w:rPr>
          <w:b w:val="0"/>
          <w:sz w:val="2"/>
          <w:szCs w:val="2"/>
          <w:lang w:val="en-GB"/>
        </w:rPr>
      </w:pPr>
    </w:p>
    <w:p w:rsidR="00791BF4" w:rsidRPr="00742B86" w:rsidRDefault="00791BF4" w:rsidP="00791BF4">
      <w:pPr>
        <w:spacing w:after="0" w:line="240" w:lineRule="auto"/>
        <w:jc w:val="left"/>
        <w:rPr>
          <w:b/>
          <w:sz w:val="2"/>
          <w:szCs w:val="2"/>
          <w:highlight w:val="yellow"/>
          <w:lang w:val="en-GB"/>
        </w:rPr>
      </w:pPr>
    </w:p>
    <w:p w:rsidR="00251496" w:rsidRPr="00742B86" w:rsidRDefault="00251496">
      <w:pPr>
        <w:spacing w:after="0" w:line="240" w:lineRule="auto"/>
        <w:jc w:val="left"/>
        <w:rPr>
          <w:rFonts w:eastAsia="MS Gothic"/>
          <w:b/>
          <w:bCs/>
          <w:color w:val="71818C"/>
          <w:sz w:val="32"/>
          <w:szCs w:val="28"/>
          <w:lang w:val="en-GB"/>
        </w:rPr>
      </w:pPr>
    </w:p>
    <w:p w:rsidR="00B96D74" w:rsidRPr="00742B86" w:rsidRDefault="00B96D74" w:rsidP="00E13995">
      <w:pPr>
        <w:pStyle w:val="Nadpis11"/>
        <w:rPr>
          <w:lang w:val="en-GB"/>
        </w:rPr>
      </w:pPr>
      <w:bookmarkStart w:id="12" w:name="_Toc69370721"/>
      <w:r w:rsidRPr="00742B86">
        <w:rPr>
          <w:lang w:val="en-GB"/>
        </w:rPr>
        <w:lastRenderedPageBreak/>
        <w:t>3. </w:t>
      </w:r>
      <w:r w:rsidR="0070612C" w:rsidRPr="00742B86">
        <w:rPr>
          <w:lang w:val="en-GB"/>
        </w:rPr>
        <w:t>Branches Performance</w:t>
      </w:r>
      <w:bookmarkEnd w:id="12"/>
    </w:p>
    <w:tbl>
      <w:tblPr>
        <w:tblW w:w="9664" w:type="dxa"/>
        <w:tblInd w:w="-30" w:type="dxa"/>
        <w:tblCellMar>
          <w:left w:w="0" w:type="dxa"/>
          <w:right w:w="0" w:type="dxa"/>
        </w:tblCellMar>
        <w:tblLook w:val="00A0" w:firstRow="1" w:lastRow="0" w:firstColumn="1" w:lastColumn="0" w:noHBand="0" w:noVBand="0"/>
      </w:tblPr>
      <w:tblGrid>
        <w:gridCol w:w="1494"/>
        <w:gridCol w:w="185"/>
        <w:gridCol w:w="7985"/>
      </w:tblGrid>
      <w:tr w:rsidR="00B96D74" w:rsidRPr="00742B86" w:rsidTr="00A52348">
        <w:trPr>
          <w:trHeight w:val="155"/>
        </w:trPr>
        <w:tc>
          <w:tcPr>
            <w:tcW w:w="1494" w:type="dxa"/>
            <w:shd w:val="clear" w:color="auto" w:fill="auto"/>
            <w:tcMar>
              <w:left w:w="0" w:type="dxa"/>
            </w:tcMar>
          </w:tcPr>
          <w:p w:rsidR="00B96D74" w:rsidRPr="00742B86" w:rsidRDefault="001B707F" w:rsidP="0091476D">
            <w:pPr>
              <w:pStyle w:val="Marginlie"/>
              <w:rPr>
                <w:lang w:val="en-GB"/>
              </w:rPr>
            </w:pPr>
            <w:r w:rsidRPr="00742B86">
              <w:rPr>
                <w:lang w:val="en-GB"/>
              </w:rPr>
              <w:t xml:space="preserve">Gross value added decreased by </w:t>
            </w:r>
            <w:r w:rsidR="00B96D74" w:rsidRPr="00742B86">
              <w:rPr>
                <w:lang w:val="en-GB"/>
              </w:rPr>
              <w:t>5</w:t>
            </w:r>
            <w:r w:rsidRPr="00742B86">
              <w:rPr>
                <w:lang w:val="en-GB"/>
              </w:rPr>
              <w:t>.</w:t>
            </w:r>
            <w:r w:rsidR="00B96D74" w:rsidRPr="00742B86">
              <w:rPr>
                <w:lang w:val="en-GB"/>
              </w:rPr>
              <w:t>5%</w:t>
            </w:r>
            <w:r w:rsidRPr="00742B86">
              <w:rPr>
                <w:lang w:val="en-GB"/>
              </w:rPr>
              <w:t xml:space="preserve"> last year and thus slightly exceeded the record slump from the crisis year </w:t>
            </w:r>
            <w:r w:rsidR="00B96D74" w:rsidRPr="00742B86">
              <w:rPr>
                <w:lang w:val="en-GB"/>
              </w:rPr>
              <w:t>2009.</w:t>
            </w:r>
          </w:p>
          <w:p w:rsidR="00B96D74" w:rsidRPr="00742B86" w:rsidRDefault="00B96D74" w:rsidP="0091476D">
            <w:pPr>
              <w:pStyle w:val="Marginlie"/>
              <w:rPr>
                <w:lang w:val="en-GB"/>
              </w:rPr>
            </w:pPr>
          </w:p>
          <w:p w:rsidR="00B96D74" w:rsidRPr="00742B86" w:rsidRDefault="00B96D74" w:rsidP="0091476D">
            <w:pPr>
              <w:pStyle w:val="Marginlie"/>
              <w:rPr>
                <w:lang w:val="en-GB"/>
              </w:rPr>
            </w:pPr>
          </w:p>
          <w:p w:rsidR="00B96D74" w:rsidRPr="00742B86" w:rsidRDefault="00B96D74" w:rsidP="0091476D">
            <w:pPr>
              <w:pStyle w:val="Marginlie"/>
              <w:rPr>
                <w:lang w:val="en-GB"/>
              </w:rPr>
            </w:pPr>
          </w:p>
          <w:p w:rsidR="00B96D74" w:rsidRPr="00742B86" w:rsidRDefault="00B96D74" w:rsidP="0091476D">
            <w:pPr>
              <w:pStyle w:val="Marginlie"/>
              <w:rPr>
                <w:lang w:val="en-GB"/>
              </w:rPr>
            </w:pPr>
          </w:p>
          <w:p w:rsidR="00B96D74" w:rsidRPr="00742B86" w:rsidRDefault="00C9507E" w:rsidP="0091476D">
            <w:pPr>
              <w:pStyle w:val="Marginlie"/>
              <w:rPr>
                <w:lang w:val="en-GB"/>
              </w:rPr>
            </w:pPr>
            <w:r>
              <w:rPr>
                <w:lang w:val="en-GB"/>
              </w:rPr>
              <w:t>Many</w:t>
            </w:r>
            <w:r w:rsidR="00C12617" w:rsidRPr="00742B86">
              <w:rPr>
                <w:lang w:val="en-GB"/>
              </w:rPr>
              <w:t xml:space="preserve"> branches demonstrated a solid cap</w:t>
            </w:r>
            <w:r>
              <w:rPr>
                <w:lang w:val="en-GB"/>
              </w:rPr>
              <w:t>acity for adjustment to the r</w:t>
            </w:r>
            <w:r w:rsidR="00C12617" w:rsidRPr="00742B86">
              <w:rPr>
                <w:lang w:val="en-GB"/>
              </w:rPr>
              <w:t>estrictive measures</w:t>
            </w:r>
            <w:r>
              <w:rPr>
                <w:lang w:val="en-GB"/>
              </w:rPr>
              <w:t xml:space="preserve"> in Q4.</w:t>
            </w:r>
          </w:p>
        </w:tc>
        <w:tc>
          <w:tcPr>
            <w:tcW w:w="185" w:type="dxa"/>
            <w:shd w:val="clear" w:color="auto" w:fill="auto"/>
            <w:tcMar>
              <w:left w:w="0" w:type="dxa"/>
            </w:tcMar>
          </w:tcPr>
          <w:p w:rsidR="00B96D74" w:rsidRPr="00742B86" w:rsidRDefault="00B96D74" w:rsidP="0091476D">
            <w:pPr>
              <w:pStyle w:val="Textpoznpodarou"/>
              <w:jc w:val="both"/>
              <w:rPr>
                <w:spacing w:val="-4"/>
                <w:lang w:val="en-GB"/>
              </w:rPr>
            </w:pPr>
          </w:p>
        </w:tc>
        <w:tc>
          <w:tcPr>
            <w:tcW w:w="7985" w:type="dxa"/>
            <w:shd w:val="clear" w:color="auto" w:fill="auto"/>
            <w:tcMar>
              <w:left w:w="0" w:type="dxa"/>
            </w:tcMar>
          </w:tcPr>
          <w:p w:rsidR="00B96D74" w:rsidRPr="00742B86" w:rsidRDefault="005D34F8" w:rsidP="00C9507E">
            <w:pPr>
              <w:rPr>
                <w:spacing w:val="-2"/>
                <w:lang w:val="en-GB"/>
              </w:rPr>
            </w:pPr>
            <w:r w:rsidRPr="00742B86">
              <w:rPr>
                <w:spacing w:val="-3"/>
                <w:lang w:val="en-GB"/>
              </w:rPr>
              <w:t>If the restrictive pandemic measures severely hit primarily the branches closely tied to tourism in Q1 2020, it already managed to paralyse a large part of the economy during the subsequent quarter.</w:t>
            </w:r>
            <w:r w:rsidR="00791E9D" w:rsidRPr="00742B86">
              <w:rPr>
                <w:spacing w:val="-3"/>
                <w:lang w:val="en-GB"/>
              </w:rPr>
              <w:t xml:space="preserve"> </w:t>
            </w:r>
            <w:r w:rsidRPr="00742B86">
              <w:rPr>
                <w:spacing w:val="-3"/>
                <w:lang w:val="en-GB"/>
              </w:rPr>
              <w:t>The gross value added (GVA)</w:t>
            </w:r>
            <w:r w:rsidRPr="00742B86">
              <w:rPr>
                <w:rStyle w:val="Znakapoznpodarou"/>
                <w:spacing w:val="-2"/>
                <w:lang w:val="en-GB"/>
              </w:rPr>
              <w:footnoteReference w:id="14"/>
            </w:r>
            <w:r w:rsidRPr="00742B86">
              <w:rPr>
                <w:spacing w:val="-3"/>
                <w:lang w:val="en-GB"/>
              </w:rPr>
              <w:t xml:space="preserve"> </w:t>
            </w:r>
            <w:r w:rsidR="00C9507E">
              <w:rPr>
                <w:spacing w:val="-3"/>
                <w:lang w:val="en-GB"/>
              </w:rPr>
              <w:t xml:space="preserve">in Q2 </w:t>
            </w:r>
            <w:r w:rsidRPr="00742B86">
              <w:rPr>
                <w:spacing w:val="-3"/>
                <w:lang w:val="en-GB"/>
              </w:rPr>
              <w:t xml:space="preserve">thus dived by record 9.6% quarter-on-quarter and deepened </w:t>
            </w:r>
            <w:proofErr w:type="gramStart"/>
            <w:r w:rsidRPr="00742B86">
              <w:rPr>
                <w:spacing w:val="-3"/>
                <w:lang w:val="en-GB"/>
              </w:rPr>
              <w:t>its</w:t>
            </w:r>
            <w:proofErr w:type="gramEnd"/>
            <w:r w:rsidRPr="00742B86">
              <w:rPr>
                <w:spacing w:val="-3"/>
                <w:lang w:val="en-GB"/>
              </w:rPr>
              <w:t xml:space="preserve"> descend from Q1 (</w:t>
            </w:r>
            <w:r w:rsidRPr="00742B86">
              <w:rPr>
                <w:color w:val="000000" w:themeColor="text1"/>
                <w:spacing w:val="-3"/>
                <w:lang w:val="en-GB"/>
              </w:rPr>
              <w:t>–</w:t>
            </w:r>
            <w:r w:rsidRPr="00742B86">
              <w:rPr>
                <w:spacing w:val="-3"/>
                <w:lang w:val="en-GB"/>
              </w:rPr>
              <w:t xml:space="preserve">2.4%). </w:t>
            </w:r>
            <w:r w:rsidR="00C12617" w:rsidRPr="00742B86">
              <w:rPr>
                <w:spacing w:val="-3"/>
                <w:lang w:val="en-GB"/>
              </w:rPr>
              <w:t>In Q</w:t>
            </w:r>
            <w:r w:rsidR="00B96D74" w:rsidRPr="00742B86">
              <w:rPr>
                <w:spacing w:val="-2"/>
                <w:lang w:val="en-GB"/>
              </w:rPr>
              <w:t>3</w:t>
            </w:r>
            <w:r w:rsidR="00C12617" w:rsidRPr="00742B86">
              <w:rPr>
                <w:spacing w:val="-2"/>
                <w:lang w:val="en-GB"/>
              </w:rPr>
              <w:t xml:space="preserve">, the majority of significant restrictive measures </w:t>
            </w:r>
            <w:proofErr w:type="gramStart"/>
            <w:r w:rsidR="00C12617" w:rsidRPr="00742B86">
              <w:rPr>
                <w:spacing w:val="-2"/>
                <w:lang w:val="en-GB"/>
              </w:rPr>
              <w:t>were abolished</w:t>
            </w:r>
            <w:proofErr w:type="gramEnd"/>
            <w:r w:rsidR="00C12617" w:rsidRPr="00742B86">
              <w:rPr>
                <w:spacing w:val="-2"/>
                <w:lang w:val="en-GB"/>
              </w:rPr>
              <w:t xml:space="preserve"> and thus the economy could take a breath again. </w:t>
            </w:r>
            <w:proofErr w:type="gramStart"/>
            <w:r w:rsidR="00C9507E">
              <w:rPr>
                <w:spacing w:val="-2"/>
                <w:lang w:val="en-GB"/>
              </w:rPr>
              <w:t>So</w:t>
            </w:r>
            <w:proofErr w:type="gramEnd"/>
            <w:r w:rsidR="00C9507E">
              <w:rPr>
                <w:spacing w:val="-2"/>
                <w:lang w:val="en-GB"/>
              </w:rPr>
              <w:t xml:space="preserve"> </w:t>
            </w:r>
            <w:r w:rsidR="00B96D74" w:rsidRPr="00742B86">
              <w:rPr>
                <w:spacing w:val="-2"/>
                <w:lang w:val="en-GB"/>
              </w:rPr>
              <w:t>7</w:t>
            </w:r>
            <w:r w:rsidR="0008318E" w:rsidRPr="00742B86">
              <w:rPr>
                <w:spacing w:val="-2"/>
                <w:lang w:val="en-GB"/>
              </w:rPr>
              <w:t>.</w:t>
            </w:r>
            <w:r w:rsidR="00B96D74" w:rsidRPr="00742B86">
              <w:rPr>
                <w:spacing w:val="-2"/>
                <w:lang w:val="en-GB"/>
              </w:rPr>
              <w:t>5</w:t>
            </w:r>
            <w:r w:rsidR="0008318E" w:rsidRPr="00742B86">
              <w:rPr>
                <w:spacing w:val="-2"/>
                <w:lang w:val="en-GB"/>
              </w:rPr>
              <w:t>%</w:t>
            </w:r>
            <w:r w:rsidR="00B96D74" w:rsidRPr="00742B86">
              <w:rPr>
                <w:spacing w:val="-2"/>
                <w:lang w:val="en-GB"/>
              </w:rPr>
              <w:t xml:space="preserve"> </w:t>
            </w:r>
            <w:r w:rsidR="0008318E" w:rsidRPr="00742B86">
              <w:rPr>
                <w:spacing w:val="-2"/>
                <w:lang w:val="en-GB"/>
              </w:rPr>
              <w:t xml:space="preserve">quarter-on-quarter GVA growth, which was also unique in the nearly 25 year available time series, </w:t>
            </w:r>
            <w:r w:rsidR="00711959" w:rsidRPr="00742B86">
              <w:rPr>
                <w:spacing w:val="-2"/>
                <w:lang w:val="en-GB"/>
              </w:rPr>
              <w:t>proves fast resuscitation</w:t>
            </w:r>
            <w:r w:rsidR="00B96D74" w:rsidRPr="00742B86">
              <w:rPr>
                <w:spacing w:val="-2"/>
                <w:lang w:val="en-GB"/>
              </w:rPr>
              <w:t>.</w:t>
            </w:r>
            <w:r w:rsidR="00711959" w:rsidRPr="00742B86">
              <w:rPr>
                <w:spacing w:val="-2"/>
                <w:lang w:val="en-GB"/>
              </w:rPr>
              <w:t xml:space="preserve"> </w:t>
            </w:r>
            <w:r w:rsidR="0008318E" w:rsidRPr="00742B86">
              <w:rPr>
                <w:spacing w:val="-2"/>
                <w:lang w:val="en-GB"/>
              </w:rPr>
              <w:t xml:space="preserve">Serious deterioration of the epidemic situation in </w:t>
            </w:r>
            <w:r w:rsidR="00C9507E">
              <w:rPr>
                <w:spacing w:val="-2"/>
                <w:lang w:val="en-GB"/>
              </w:rPr>
              <w:t>Q4 2020</w:t>
            </w:r>
            <w:r w:rsidR="0008318E" w:rsidRPr="00742B86">
              <w:rPr>
                <w:spacing w:val="-2"/>
                <w:lang w:val="en-GB"/>
              </w:rPr>
              <w:t xml:space="preserve"> strongly stifled but did not hal</w:t>
            </w:r>
            <w:r w:rsidR="00791E9D" w:rsidRPr="00742B86">
              <w:rPr>
                <w:spacing w:val="-2"/>
                <w:lang w:val="en-GB"/>
              </w:rPr>
              <w:t>t</w:t>
            </w:r>
            <w:r w:rsidR="0008318E" w:rsidRPr="00742B86">
              <w:rPr>
                <w:spacing w:val="-2"/>
                <w:lang w:val="en-GB"/>
              </w:rPr>
              <w:t xml:space="preserve"> the ongoing economic revival. </w:t>
            </w:r>
            <w:r w:rsidR="00711959" w:rsidRPr="00742B86">
              <w:rPr>
                <w:spacing w:val="-2"/>
                <w:lang w:val="en-GB"/>
              </w:rPr>
              <w:t xml:space="preserve">Its impacts </w:t>
            </w:r>
            <w:proofErr w:type="gramStart"/>
            <w:r w:rsidR="00711959" w:rsidRPr="00742B86">
              <w:rPr>
                <w:spacing w:val="-2"/>
                <w:lang w:val="en-GB"/>
              </w:rPr>
              <w:t>were compared</w:t>
            </w:r>
            <w:proofErr w:type="gramEnd"/>
            <w:r w:rsidR="00711959" w:rsidRPr="00742B86">
              <w:rPr>
                <w:spacing w:val="-2"/>
                <w:lang w:val="en-GB"/>
              </w:rPr>
              <w:t xml:space="preserve"> to the </w:t>
            </w:r>
            <w:r w:rsidR="00202575">
              <w:rPr>
                <w:spacing w:val="-2"/>
                <w:lang w:val="en-GB"/>
              </w:rPr>
              <w:t>spring</w:t>
            </w:r>
            <w:r w:rsidR="00711959" w:rsidRPr="00742B86">
              <w:rPr>
                <w:spacing w:val="-2"/>
                <w:lang w:val="en-GB"/>
              </w:rPr>
              <w:t xml:space="preserve"> perio</w:t>
            </w:r>
            <w:r w:rsidR="0008318E" w:rsidRPr="00742B86">
              <w:rPr>
                <w:spacing w:val="-2"/>
                <w:lang w:val="en-GB"/>
              </w:rPr>
              <w:t>d</w:t>
            </w:r>
            <w:r w:rsidR="00711959" w:rsidRPr="00742B86">
              <w:rPr>
                <w:spacing w:val="-2"/>
                <w:lang w:val="en-GB"/>
              </w:rPr>
              <w:t xml:space="preserve"> more selective, they affected </w:t>
            </w:r>
            <w:r w:rsidR="0008318E" w:rsidRPr="00742B86">
              <w:rPr>
                <w:spacing w:val="-2"/>
                <w:lang w:val="en-GB"/>
              </w:rPr>
              <w:t>especially</w:t>
            </w:r>
            <w:r w:rsidR="00711959" w:rsidRPr="00742B86">
              <w:rPr>
                <w:spacing w:val="-2"/>
                <w:lang w:val="en-GB"/>
              </w:rPr>
              <w:t xml:space="preserve"> the activities closely tied to the </w:t>
            </w:r>
            <w:r w:rsidR="00C9507E">
              <w:rPr>
                <w:spacing w:val="-2"/>
                <w:lang w:val="en-GB"/>
              </w:rPr>
              <w:t>household consumption. Many economic branches</w:t>
            </w:r>
            <w:r w:rsidR="00711959" w:rsidRPr="00742B86">
              <w:rPr>
                <w:spacing w:val="-2"/>
                <w:lang w:val="en-GB"/>
              </w:rPr>
              <w:t xml:space="preserve"> demonstrated </w:t>
            </w:r>
            <w:r w:rsidR="00C9507E">
              <w:rPr>
                <w:spacing w:val="-2"/>
                <w:lang w:val="en-GB"/>
              </w:rPr>
              <w:t xml:space="preserve">a </w:t>
            </w:r>
            <w:r w:rsidR="00711959" w:rsidRPr="00742B86">
              <w:rPr>
                <w:spacing w:val="-2"/>
                <w:lang w:val="en-GB"/>
              </w:rPr>
              <w:t xml:space="preserve">solid capacity for adjustment, when they capitalised on more favourable development of the foreign demand as well as higher expenditures of the government institutions sector. The GVA decreased by </w:t>
            </w:r>
            <w:r w:rsidR="00B96D74" w:rsidRPr="00742B86">
              <w:rPr>
                <w:spacing w:val="-2"/>
                <w:lang w:val="en-GB"/>
              </w:rPr>
              <w:t>5</w:t>
            </w:r>
            <w:r w:rsidR="00711959" w:rsidRPr="00742B86">
              <w:rPr>
                <w:spacing w:val="-2"/>
                <w:lang w:val="en-GB"/>
              </w:rPr>
              <w:t>.</w:t>
            </w:r>
            <w:r w:rsidR="00B96D74" w:rsidRPr="00742B86">
              <w:rPr>
                <w:spacing w:val="-2"/>
                <w:lang w:val="en-GB"/>
              </w:rPr>
              <w:t>5%</w:t>
            </w:r>
            <w:r w:rsidR="00711959" w:rsidRPr="00742B86">
              <w:rPr>
                <w:spacing w:val="-2"/>
                <w:lang w:val="en-GB"/>
              </w:rPr>
              <w:t xml:space="preserve"> for the whole last year and it thus narrowly overtook the slump from year </w:t>
            </w:r>
            <w:r w:rsidR="00B96D74" w:rsidRPr="00742B86">
              <w:rPr>
                <w:spacing w:val="-2"/>
                <w:lang w:val="en-GB"/>
              </w:rPr>
              <w:t xml:space="preserve">2009, </w:t>
            </w:r>
            <w:r w:rsidR="00711959" w:rsidRPr="00742B86">
              <w:rPr>
                <w:spacing w:val="-2"/>
                <w:lang w:val="en-GB"/>
              </w:rPr>
              <w:t>which was the highest in the history of the independent CR</w:t>
            </w:r>
            <w:r w:rsidR="00791E9D" w:rsidRPr="00742B86">
              <w:rPr>
                <w:spacing w:val="-2"/>
                <w:lang w:val="en-GB"/>
              </w:rPr>
              <w:t xml:space="preserve"> so far</w:t>
            </w:r>
            <w:r w:rsidR="00711959" w:rsidRPr="00742B86">
              <w:rPr>
                <w:spacing w:val="-2"/>
                <w:lang w:val="en-GB"/>
              </w:rPr>
              <w:t xml:space="preserve">. </w:t>
            </w:r>
          </w:p>
        </w:tc>
      </w:tr>
      <w:tr w:rsidR="00B96D74" w:rsidRPr="00742B86" w:rsidTr="00A52348">
        <w:trPr>
          <w:trHeight w:val="155"/>
        </w:trPr>
        <w:tc>
          <w:tcPr>
            <w:tcW w:w="1494" w:type="dxa"/>
            <w:shd w:val="clear" w:color="auto" w:fill="auto"/>
            <w:tcMar>
              <w:left w:w="0" w:type="dxa"/>
            </w:tcMar>
          </w:tcPr>
          <w:p w:rsidR="00B96D74" w:rsidRPr="00742B86" w:rsidRDefault="0073677E" w:rsidP="0091476D">
            <w:pPr>
              <w:pStyle w:val="Marginlie"/>
              <w:rPr>
                <w:lang w:val="en-GB"/>
              </w:rPr>
            </w:pPr>
            <w:r w:rsidRPr="00742B86">
              <w:rPr>
                <w:spacing w:val="-4"/>
                <w:lang w:val="en-GB"/>
              </w:rPr>
              <w:t>Manufacturing contributed the most to the lower economic output in both Q</w:t>
            </w:r>
            <w:r w:rsidR="00B96D74" w:rsidRPr="00742B86">
              <w:rPr>
                <w:spacing w:val="-4"/>
                <w:lang w:val="en-GB"/>
              </w:rPr>
              <w:t>1</w:t>
            </w:r>
            <w:r w:rsidRPr="00742B86">
              <w:rPr>
                <w:spacing w:val="-4"/>
                <w:lang w:val="en-GB"/>
              </w:rPr>
              <w:t xml:space="preserve"> and </w:t>
            </w:r>
            <w:r w:rsidR="00D13829">
              <w:rPr>
                <w:spacing w:val="-4"/>
                <w:lang w:val="en-GB"/>
              </w:rPr>
              <w:t>Q</w:t>
            </w:r>
            <w:r w:rsidR="000C0E35" w:rsidRPr="00742B86">
              <w:rPr>
                <w:spacing w:val="-4"/>
                <w:lang w:val="en-GB"/>
              </w:rPr>
              <w:t>2</w:t>
            </w:r>
            <w:r w:rsidRPr="00742B86">
              <w:rPr>
                <w:spacing w:val="-4"/>
                <w:lang w:val="en-GB"/>
              </w:rPr>
              <w:t xml:space="preserve">, the grouping trade, transportation, </w:t>
            </w:r>
            <w:r w:rsidR="00B74EA8" w:rsidRPr="00742B86">
              <w:rPr>
                <w:spacing w:val="-4"/>
                <w:lang w:val="en-GB"/>
              </w:rPr>
              <w:t>accommodation,</w:t>
            </w:r>
            <w:r w:rsidRPr="00742B86">
              <w:rPr>
                <w:spacing w:val="-4"/>
                <w:lang w:val="en-GB"/>
              </w:rPr>
              <w:t xml:space="preserve"> and food </w:t>
            </w:r>
            <w:r w:rsidR="00095273" w:rsidRPr="00742B86">
              <w:rPr>
                <w:spacing w:val="-4"/>
                <w:lang w:val="en-GB"/>
              </w:rPr>
              <w:t>service</w:t>
            </w:r>
            <w:r w:rsidRPr="00742B86">
              <w:rPr>
                <w:spacing w:val="-4"/>
                <w:lang w:val="en-GB"/>
              </w:rPr>
              <w:t xml:space="preserve"> in the subsequent period</w:t>
            </w:r>
            <w:r w:rsidR="00D13829">
              <w:rPr>
                <w:spacing w:val="-4"/>
                <w:lang w:val="en-GB"/>
              </w:rPr>
              <w:t>s</w:t>
            </w:r>
            <w:r w:rsidRPr="00742B86">
              <w:rPr>
                <w:spacing w:val="-4"/>
                <w:lang w:val="en-GB"/>
              </w:rPr>
              <w:t xml:space="preserve">. </w:t>
            </w:r>
          </w:p>
          <w:p w:rsidR="00B96D74" w:rsidRPr="00742B86" w:rsidRDefault="00B96D74" w:rsidP="0091476D">
            <w:pPr>
              <w:pStyle w:val="Marginlie"/>
              <w:rPr>
                <w:lang w:val="en-GB"/>
              </w:rPr>
            </w:pPr>
          </w:p>
          <w:p w:rsidR="00B96D74" w:rsidRPr="00742B86" w:rsidRDefault="00B96D74" w:rsidP="0091476D">
            <w:pPr>
              <w:pStyle w:val="Marginlie"/>
              <w:rPr>
                <w:lang w:val="en-GB"/>
              </w:rPr>
            </w:pPr>
          </w:p>
          <w:p w:rsidR="00B96D74" w:rsidRPr="00742B86" w:rsidRDefault="0073677E" w:rsidP="0091476D">
            <w:pPr>
              <w:pStyle w:val="Marginlie"/>
              <w:rPr>
                <w:lang w:val="en-GB"/>
              </w:rPr>
            </w:pPr>
            <w:r w:rsidRPr="00742B86">
              <w:rPr>
                <w:lang w:val="en-GB"/>
              </w:rPr>
              <w:t xml:space="preserve">Some branches of services featured record slumps of GVA last year. </w:t>
            </w:r>
          </w:p>
          <w:p w:rsidR="00B96D74" w:rsidRPr="00742B86" w:rsidRDefault="00B96D74" w:rsidP="0091476D">
            <w:pPr>
              <w:pStyle w:val="Marginlie"/>
              <w:rPr>
                <w:lang w:val="en-GB"/>
              </w:rPr>
            </w:pPr>
          </w:p>
          <w:p w:rsidR="00B96D74" w:rsidRPr="00742B86" w:rsidRDefault="00B96D74" w:rsidP="0091476D">
            <w:pPr>
              <w:pStyle w:val="Marginlie"/>
              <w:rPr>
                <w:lang w:val="en-GB"/>
              </w:rPr>
            </w:pPr>
          </w:p>
          <w:p w:rsidR="00B96D74" w:rsidRPr="00742B86" w:rsidRDefault="00B96D74" w:rsidP="0091476D">
            <w:pPr>
              <w:pStyle w:val="Marginlie"/>
              <w:rPr>
                <w:lang w:val="en-GB"/>
              </w:rPr>
            </w:pPr>
          </w:p>
          <w:p w:rsidR="00B96D74" w:rsidRPr="00742B86" w:rsidRDefault="00B96D74" w:rsidP="0091476D">
            <w:pPr>
              <w:pStyle w:val="Marginlie"/>
              <w:rPr>
                <w:lang w:val="en-GB"/>
              </w:rPr>
            </w:pPr>
          </w:p>
          <w:p w:rsidR="00B96D74" w:rsidRPr="00742B86" w:rsidRDefault="00095273" w:rsidP="0091476D">
            <w:pPr>
              <w:pStyle w:val="Marginlie"/>
              <w:rPr>
                <w:lang w:val="en-GB"/>
              </w:rPr>
            </w:pPr>
            <w:r w:rsidRPr="00742B86">
              <w:rPr>
                <w:lang w:val="en-GB"/>
              </w:rPr>
              <w:t>In contrast to manufacturing or energetics, construction did not experience recovery towards the end of the year.</w:t>
            </w:r>
          </w:p>
        </w:tc>
        <w:tc>
          <w:tcPr>
            <w:tcW w:w="185" w:type="dxa"/>
            <w:shd w:val="clear" w:color="auto" w:fill="auto"/>
            <w:tcMar>
              <w:left w:w="0" w:type="dxa"/>
            </w:tcMar>
          </w:tcPr>
          <w:p w:rsidR="00B96D74" w:rsidRPr="00742B86" w:rsidRDefault="00B96D74" w:rsidP="0091476D">
            <w:pPr>
              <w:pStyle w:val="Textpoznpodarou"/>
              <w:jc w:val="both"/>
              <w:rPr>
                <w:spacing w:val="-4"/>
                <w:lang w:val="en-GB"/>
              </w:rPr>
            </w:pPr>
          </w:p>
        </w:tc>
        <w:tc>
          <w:tcPr>
            <w:tcW w:w="7985" w:type="dxa"/>
            <w:shd w:val="clear" w:color="auto" w:fill="auto"/>
            <w:tcMar>
              <w:left w:w="0" w:type="dxa"/>
            </w:tcMar>
          </w:tcPr>
          <w:p w:rsidR="00B96D74" w:rsidRPr="00742B86" w:rsidRDefault="00C32073" w:rsidP="00D13829">
            <w:pPr>
              <w:rPr>
                <w:spacing w:val="-3"/>
                <w:lang w:val="en-GB"/>
              </w:rPr>
            </w:pPr>
            <w:r>
              <w:rPr>
                <w:spacing w:val="-2"/>
                <w:lang w:val="en-GB"/>
              </w:rPr>
              <w:t>The l</w:t>
            </w:r>
            <w:r w:rsidR="00B74EA8" w:rsidRPr="00742B86">
              <w:rPr>
                <w:spacing w:val="-2"/>
                <w:lang w:val="en-GB"/>
              </w:rPr>
              <w:t xml:space="preserve">ast year´s fall of the value added </w:t>
            </w:r>
            <w:r>
              <w:rPr>
                <w:spacing w:val="-2"/>
                <w:lang w:val="en-GB"/>
              </w:rPr>
              <w:t xml:space="preserve">in whole economy </w:t>
            </w:r>
            <w:r w:rsidR="00B74EA8" w:rsidRPr="00742B86">
              <w:rPr>
                <w:spacing w:val="-2"/>
                <w:lang w:val="en-GB"/>
              </w:rPr>
              <w:t xml:space="preserve">was tightly bound to the decrease of the number of hours worked </w:t>
            </w:r>
            <w:r w:rsidR="00B96D74" w:rsidRPr="00742B86">
              <w:rPr>
                <w:spacing w:val="-2"/>
                <w:lang w:val="en-GB"/>
              </w:rPr>
              <w:t>(–6</w:t>
            </w:r>
            <w:r w:rsidR="00B74EA8" w:rsidRPr="00742B86">
              <w:rPr>
                <w:spacing w:val="-2"/>
                <w:lang w:val="en-GB"/>
              </w:rPr>
              <w:t>.</w:t>
            </w:r>
            <w:r w:rsidR="00B96D74" w:rsidRPr="00742B86">
              <w:rPr>
                <w:spacing w:val="-2"/>
                <w:lang w:val="en-GB"/>
              </w:rPr>
              <w:t>0%),</w:t>
            </w:r>
            <w:r w:rsidR="00B96D74" w:rsidRPr="00742B86">
              <w:rPr>
                <w:spacing w:val="-3"/>
                <w:lang w:val="en-GB"/>
              </w:rPr>
              <w:t xml:space="preserve"> t</w:t>
            </w:r>
            <w:r w:rsidR="00711959" w:rsidRPr="00742B86">
              <w:rPr>
                <w:spacing w:val="-3"/>
                <w:lang w:val="en-GB"/>
              </w:rPr>
              <w:t xml:space="preserve">hree times higher compared to the crisis year </w:t>
            </w:r>
            <w:r w:rsidR="00B96D74" w:rsidRPr="00742B86">
              <w:rPr>
                <w:spacing w:val="-3"/>
                <w:lang w:val="en-GB"/>
              </w:rPr>
              <w:t xml:space="preserve">2009. </w:t>
            </w:r>
            <w:r w:rsidR="00B74EA8" w:rsidRPr="00742B86">
              <w:rPr>
                <w:spacing w:val="-3"/>
                <w:lang w:val="en-GB"/>
              </w:rPr>
              <w:t xml:space="preserve">At the same time, the composition of the most considerably affected branches was not identical and underwent significant changes during the last year. </w:t>
            </w:r>
            <w:r w:rsidR="00711959" w:rsidRPr="00742B86">
              <w:rPr>
                <w:spacing w:val="-3"/>
                <w:lang w:val="en-GB"/>
              </w:rPr>
              <w:t>While the industry played a major role in all previous recessio</w:t>
            </w:r>
            <w:r>
              <w:rPr>
                <w:spacing w:val="-3"/>
                <w:lang w:val="en-GB"/>
              </w:rPr>
              <w:t>n periods in the history of the</w:t>
            </w:r>
            <w:r w:rsidR="00711959" w:rsidRPr="00742B86">
              <w:rPr>
                <w:spacing w:val="-3"/>
                <w:lang w:val="en-GB"/>
              </w:rPr>
              <w:t xml:space="preserve"> CR so far, </w:t>
            </w:r>
            <w:r w:rsidR="00902EEB" w:rsidRPr="00742B86">
              <w:rPr>
                <w:spacing w:val="-3"/>
                <w:lang w:val="en-GB"/>
              </w:rPr>
              <w:t xml:space="preserve">the sector of services left its mark the most on the decrease of economic output last year (contribution </w:t>
            </w:r>
            <w:r w:rsidR="00B96D74" w:rsidRPr="00742B86">
              <w:rPr>
                <w:spacing w:val="-3"/>
                <w:lang w:val="en-GB"/>
              </w:rPr>
              <w:t>–</w:t>
            </w:r>
            <w:r w:rsidR="00B96D74" w:rsidRPr="00742B86">
              <w:rPr>
                <w:color w:val="0D0D0D" w:themeColor="text1" w:themeTint="F2"/>
                <w:spacing w:val="-3"/>
                <w:lang w:val="en-GB"/>
              </w:rPr>
              <w:t>3</w:t>
            </w:r>
            <w:r w:rsidR="00902EEB" w:rsidRPr="00742B86">
              <w:rPr>
                <w:color w:val="0D0D0D" w:themeColor="text1" w:themeTint="F2"/>
                <w:spacing w:val="-3"/>
                <w:lang w:val="en-GB"/>
              </w:rPr>
              <w:t>.</w:t>
            </w:r>
            <w:r w:rsidR="00B96D74" w:rsidRPr="00742B86">
              <w:rPr>
                <w:color w:val="0D0D0D" w:themeColor="text1" w:themeTint="F2"/>
                <w:spacing w:val="-3"/>
                <w:lang w:val="en-GB"/>
              </w:rPr>
              <w:t>3 p.</w:t>
            </w:r>
            <w:r w:rsidR="00902EEB" w:rsidRPr="00742B86">
              <w:rPr>
                <w:color w:val="0D0D0D" w:themeColor="text1" w:themeTint="F2"/>
                <w:spacing w:val="-3"/>
                <w:lang w:val="en-GB"/>
              </w:rPr>
              <w:t>p</w:t>
            </w:r>
            <w:r w:rsidR="00B96D74" w:rsidRPr="00742B86">
              <w:rPr>
                <w:color w:val="0D0D0D" w:themeColor="text1" w:themeTint="F2"/>
                <w:spacing w:val="-3"/>
                <w:lang w:val="en-GB"/>
              </w:rPr>
              <w:t>.),</w:t>
            </w:r>
            <w:r w:rsidR="00902EEB" w:rsidRPr="00742B86">
              <w:rPr>
                <w:color w:val="0D0D0D" w:themeColor="text1" w:themeTint="F2"/>
                <w:spacing w:val="-3"/>
                <w:lang w:val="en-GB"/>
              </w:rPr>
              <w:t xml:space="preserve"> specifically the grouping trade, transportation, </w:t>
            </w:r>
            <w:r w:rsidR="00280D36" w:rsidRPr="00742B86">
              <w:rPr>
                <w:color w:val="0D0D0D" w:themeColor="text1" w:themeTint="F2"/>
                <w:spacing w:val="-3"/>
                <w:lang w:val="en-GB"/>
              </w:rPr>
              <w:t>accommodation,</w:t>
            </w:r>
            <w:r w:rsidR="00902EEB" w:rsidRPr="00742B86">
              <w:rPr>
                <w:color w:val="0D0D0D" w:themeColor="text1" w:themeTint="F2"/>
                <w:spacing w:val="-3"/>
                <w:lang w:val="en-GB"/>
              </w:rPr>
              <w:t xml:space="preserve"> and food service </w:t>
            </w:r>
            <w:r w:rsidR="00B96D74" w:rsidRPr="00742B86">
              <w:rPr>
                <w:color w:val="0D0D0D" w:themeColor="text1" w:themeTint="F2"/>
                <w:spacing w:val="-3"/>
                <w:lang w:val="en-GB"/>
              </w:rPr>
              <w:t>(</w:t>
            </w:r>
            <w:r w:rsidR="00B96D74" w:rsidRPr="00742B86">
              <w:rPr>
                <w:spacing w:val="-3"/>
                <w:lang w:val="en-GB"/>
              </w:rPr>
              <w:t>–</w:t>
            </w:r>
            <w:r w:rsidR="00B96D74" w:rsidRPr="00742B86">
              <w:rPr>
                <w:color w:val="0D0D0D" w:themeColor="text1" w:themeTint="F2"/>
                <w:spacing w:val="-3"/>
                <w:lang w:val="en-GB"/>
              </w:rPr>
              <w:t>2</w:t>
            </w:r>
            <w:r w:rsidR="00902EEB" w:rsidRPr="00742B86">
              <w:rPr>
                <w:color w:val="0D0D0D" w:themeColor="text1" w:themeTint="F2"/>
                <w:spacing w:val="-3"/>
                <w:lang w:val="en-GB"/>
              </w:rPr>
              <w:t>.</w:t>
            </w:r>
            <w:r w:rsidR="00B96D74" w:rsidRPr="00742B86">
              <w:rPr>
                <w:color w:val="0D0D0D" w:themeColor="text1" w:themeTint="F2"/>
                <w:spacing w:val="-3"/>
                <w:lang w:val="en-GB"/>
              </w:rPr>
              <w:t>2 p.</w:t>
            </w:r>
            <w:r w:rsidR="00902EEB" w:rsidRPr="00742B86">
              <w:rPr>
                <w:color w:val="0D0D0D" w:themeColor="text1" w:themeTint="F2"/>
                <w:spacing w:val="-3"/>
                <w:lang w:val="en-GB"/>
              </w:rPr>
              <w:t>p</w:t>
            </w:r>
            <w:r w:rsidR="00B96D74" w:rsidRPr="00742B86">
              <w:rPr>
                <w:color w:val="0D0D0D" w:themeColor="text1" w:themeTint="F2"/>
                <w:spacing w:val="-3"/>
                <w:lang w:val="en-GB"/>
              </w:rPr>
              <w:t>.)</w:t>
            </w:r>
            <w:r w:rsidR="00B96D74" w:rsidRPr="00742B86">
              <w:rPr>
                <w:rStyle w:val="Znakapoznpodarou"/>
                <w:color w:val="0D0D0D" w:themeColor="text1" w:themeTint="F2"/>
                <w:spacing w:val="-3"/>
                <w:lang w:val="en-GB"/>
              </w:rPr>
              <w:footnoteReference w:id="15"/>
            </w:r>
            <w:r w:rsidR="00B96D74" w:rsidRPr="00742B86">
              <w:rPr>
                <w:color w:val="0D0D0D" w:themeColor="text1" w:themeTint="F2"/>
                <w:spacing w:val="-3"/>
                <w:lang w:val="en-GB"/>
              </w:rPr>
              <w:t xml:space="preserve">. </w:t>
            </w:r>
            <w:r w:rsidR="00280D36" w:rsidRPr="00742B86">
              <w:rPr>
                <w:color w:val="0D0D0D" w:themeColor="text1" w:themeTint="F2"/>
                <w:spacing w:val="-3"/>
                <w:lang w:val="en-GB"/>
              </w:rPr>
              <w:t xml:space="preserve">GVA for the last year plunged in this branch the most in the modern history, similarly to the professional, scientific, </w:t>
            </w:r>
            <w:r w:rsidR="002635A1" w:rsidRPr="00742B86">
              <w:rPr>
                <w:color w:val="0D0D0D" w:themeColor="text1" w:themeTint="F2"/>
                <w:spacing w:val="-3"/>
                <w:lang w:val="en-GB"/>
              </w:rPr>
              <w:t>technical,</w:t>
            </w:r>
            <w:r w:rsidR="00280D36" w:rsidRPr="00742B86">
              <w:rPr>
                <w:color w:val="0D0D0D" w:themeColor="text1" w:themeTint="F2"/>
                <w:spacing w:val="-3"/>
                <w:lang w:val="en-GB"/>
              </w:rPr>
              <w:t xml:space="preserve"> and administrative activities or the branch other service</w:t>
            </w:r>
            <w:r w:rsidR="000C0E35" w:rsidRPr="00742B86">
              <w:rPr>
                <w:color w:val="0D0D0D" w:themeColor="text1" w:themeTint="F2"/>
                <w:spacing w:val="-3"/>
                <w:lang w:val="en-GB"/>
              </w:rPr>
              <w:t>s</w:t>
            </w:r>
            <w:r w:rsidR="00B96D74" w:rsidRPr="00742B86">
              <w:rPr>
                <w:rStyle w:val="Znakapoznpodarou"/>
                <w:color w:val="0D0D0D" w:themeColor="text1" w:themeTint="F2"/>
                <w:spacing w:val="-4"/>
                <w:lang w:val="en-GB"/>
              </w:rPr>
              <w:footnoteReference w:id="16"/>
            </w:r>
            <w:r w:rsidR="00B96D74" w:rsidRPr="00742B86">
              <w:rPr>
                <w:color w:val="0D0D0D" w:themeColor="text1" w:themeTint="F2"/>
                <w:spacing w:val="-4"/>
                <w:lang w:val="en-GB"/>
              </w:rPr>
              <w:t xml:space="preserve">. </w:t>
            </w:r>
            <w:r w:rsidR="003217C7" w:rsidRPr="00742B86">
              <w:rPr>
                <w:color w:val="0D0D0D" w:themeColor="text1" w:themeTint="F2"/>
                <w:spacing w:val="-4"/>
                <w:lang w:val="en-GB"/>
              </w:rPr>
              <w:t xml:space="preserve">Industry contribution was </w:t>
            </w:r>
            <w:r w:rsidR="00B96D74" w:rsidRPr="00742B86">
              <w:rPr>
                <w:spacing w:val="-3"/>
                <w:lang w:val="en-GB"/>
              </w:rPr>
              <w:t>–</w:t>
            </w:r>
            <w:r w:rsidR="00B96D74" w:rsidRPr="00742B86">
              <w:rPr>
                <w:color w:val="0D0D0D" w:themeColor="text1" w:themeTint="F2"/>
                <w:spacing w:val="-4"/>
                <w:lang w:val="en-GB"/>
              </w:rPr>
              <w:t>2</w:t>
            </w:r>
            <w:r w:rsidR="003217C7" w:rsidRPr="00742B86">
              <w:rPr>
                <w:color w:val="0D0D0D" w:themeColor="text1" w:themeTint="F2"/>
                <w:spacing w:val="-4"/>
                <w:lang w:val="en-GB"/>
              </w:rPr>
              <w:t>.</w:t>
            </w:r>
            <w:r w:rsidR="00B96D74" w:rsidRPr="00742B86">
              <w:rPr>
                <w:color w:val="0D0D0D" w:themeColor="text1" w:themeTint="F2"/>
                <w:spacing w:val="-4"/>
                <w:lang w:val="en-GB"/>
              </w:rPr>
              <w:t>1 p.</w:t>
            </w:r>
            <w:r w:rsidR="003217C7" w:rsidRPr="00742B86">
              <w:rPr>
                <w:color w:val="0D0D0D" w:themeColor="text1" w:themeTint="F2"/>
                <w:spacing w:val="-4"/>
                <w:lang w:val="en-GB"/>
              </w:rPr>
              <w:t>p</w:t>
            </w:r>
            <w:r w:rsidR="00B96D74" w:rsidRPr="00742B86">
              <w:rPr>
                <w:color w:val="0D0D0D" w:themeColor="text1" w:themeTint="F2"/>
                <w:spacing w:val="-4"/>
                <w:lang w:val="en-GB"/>
              </w:rPr>
              <w:t>.</w:t>
            </w:r>
            <w:r w:rsidR="003217C7" w:rsidRPr="00742B86">
              <w:rPr>
                <w:color w:val="0D0D0D" w:themeColor="text1" w:themeTint="F2"/>
                <w:spacing w:val="-4"/>
                <w:lang w:val="en-GB"/>
              </w:rPr>
              <w:t xml:space="preserve"> last year.</w:t>
            </w:r>
            <w:r w:rsidR="00B96D74" w:rsidRPr="00742B86">
              <w:rPr>
                <w:color w:val="0D0D0D" w:themeColor="text1" w:themeTint="F2"/>
                <w:spacing w:val="-4"/>
                <w:lang w:val="en-GB"/>
              </w:rPr>
              <w:t xml:space="preserve"> </w:t>
            </w:r>
            <w:r w:rsidR="002635A1" w:rsidRPr="00742B86">
              <w:rPr>
                <w:color w:val="0D0D0D" w:themeColor="text1" w:themeTint="F2"/>
                <w:spacing w:val="-4"/>
                <w:lang w:val="en-GB"/>
              </w:rPr>
              <w:t xml:space="preserve">It dragged down the whole economy the most in </w:t>
            </w:r>
            <w:r w:rsidR="000C0E35" w:rsidRPr="00742B86">
              <w:rPr>
                <w:color w:val="0D0D0D" w:themeColor="text1" w:themeTint="F2"/>
                <w:spacing w:val="-4"/>
                <w:lang w:val="en-GB"/>
              </w:rPr>
              <w:t>H1 when</w:t>
            </w:r>
            <w:r w:rsidR="002635A1" w:rsidRPr="00742B86">
              <w:rPr>
                <w:color w:val="0D0D0D" w:themeColor="text1" w:themeTint="F2"/>
                <w:spacing w:val="-4"/>
                <w:lang w:val="en-GB"/>
              </w:rPr>
              <w:t xml:space="preserve"> its output </w:t>
            </w:r>
            <w:proofErr w:type="gramStart"/>
            <w:r w:rsidR="002635A1" w:rsidRPr="00742B86">
              <w:rPr>
                <w:color w:val="0D0D0D" w:themeColor="text1" w:themeTint="F2"/>
                <w:spacing w:val="-4"/>
                <w:lang w:val="en-GB"/>
              </w:rPr>
              <w:t>was affected</w:t>
            </w:r>
            <w:proofErr w:type="gramEnd"/>
            <w:r w:rsidR="002635A1" w:rsidRPr="00742B86">
              <w:rPr>
                <w:color w:val="0D0D0D" w:themeColor="text1" w:themeTint="F2"/>
                <w:spacing w:val="-4"/>
                <w:lang w:val="en-GB"/>
              </w:rPr>
              <w:t xml:space="preserve"> by the April clos</w:t>
            </w:r>
            <w:r w:rsidR="00EB7243" w:rsidRPr="00742B86">
              <w:rPr>
                <w:color w:val="0D0D0D" w:themeColor="text1" w:themeTint="F2"/>
                <w:spacing w:val="-4"/>
                <w:lang w:val="en-GB"/>
              </w:rPr>
              <w:t>ure</w:t>
            </w:r>
            <w:r w:rsidR="002635A1" w:rsidRPr="00742B86">
              <w:rPr>
                <w:color w:val="0D0D0D" w:themeColor="text1" w:themeTint="F2"/>
                <w:spacing w:val="-4"/>
                <w:lang w:val="en-GB"/>
              </w:rPr>
              <w:t xml:space="preserve"> of operations of key export businesses</w:t>
            </w:r>
            <w:r w:rsidR="00B96D74" w:rsidRPr="00742B86">
              <w:rPr>
                <w:color w:val="0D0D0D" w:themeColor="text1" w:themeTint="F2"/>
                <w:spacing w:val="-4"/>
                <w:lang w:val="en-GB"/>
              </w:rPr>
              <w:t>.</w:t>
            </w:r>
            <w:r w:rsidR="002635A1" w:rsidRPr="00742B86">
              <w:rPr>
                <w:color w:val="0D0D0D" w:themeColor="text1" w:themeTint="F2"/>
                <w:spacing w:val="-4"/>
                <w:lang w:val="en-GB"/>
              </w:rPr>
              <w:t xml:space="preserve"> </w:t>
            </w:r>
            <w:r w:rsidR="003217C7" w:rsidRPr="00742B86">
              <w:rPr>
                <w:color w:val="0D0D0D" w:themeColor="text1" w:themeTint="F2"/>
                <w:spacing w:val="-4"/>
                <w:lang w:val="en-GB"/>
              </w:rPr>
              <w:t xml:space="preserve">In </w:t>
            </w:r>
            <w:proofErr w:type="gramStart"/>
            <w:r w:rsidR="003217C7" w:rsidRPr="00742B86">
              <w:rPr>
                <w:color w:val="0D0D0D" w:themeColor="text1" w:themeTint="F2"/>
                <w:spacing w:val="-4"/>
                <w:lang w:val="en-GB"/>
              </w:rPr>
              <w:t>contrast</w:t>
            </w:r>
            <w:proofErr w:type="gramEnd"/>
            <w:r w:rsidR="003217C7" w:rsidRPr="00742B86">
              <w:rPr>
                <w:color w:val="0D0D0D" w:themeColor="text1" w:themeTint="F2"/>
                <w:spacing w:val="-4"/>
                <w:lang w:val="en-GB"/>
              </w:rPr>
              <w:t xml:space="preserve"> it benefited</w:t>
            </w:r>
            <w:r w:rsidR="005B1688" w:rsidRPr="00742B86">
              <w:rPr>
                <w:color w:val="0D0D0D" w:themeColor="text1" w:themeTint="F2"/>
                <w:spacing w:val="-4"/>
                <w:lang w:val="en-GB"/>
              </w:rPr>
              <w:t xml:space="preserve"> from the fast recovering </w:t>
            </w:r>
            <w:r w:rsidR="00D13829">
              <w:rPr>
                <w:color w:val="0D0D0D" w:themeColor="text1" w:themeTint="F2"/>
                <w:spacing w:val="-4"/>
                <w:lang w:val="en-GB"/>
              </w:rPr>
              <w:t>of foreign demand,</w:t>
            </w:r>
            <w:r w:rsidR="005B1688" w:rsidRPr="00742B86">
              <w:rPr>
                <w:color w:val="0D0D0D" w:themeColor="text1" w:themeTint="F2"/>
                <w:spacing w:val="-4"/>
                <w:lang w:val="en-GB"/>
              </w:rPr>
              <w:t xml:space="preserve"> associated with the favourable development of important east Asian economies in the second half of the year</w:t>
            </w:r>
            <w:r w:rsidR="00B96D74" w:rsidRPr="00742B86">
              <w:rPr>
                <w:color w:val="0D0D0D" w:themeColor="text1" w:themeTint="F2"/>
                <w:spacing w:val="-4"/>
                <w:lang w:val="en-GB"/>
              </w:rPr>
              <w:t xml:space="preserve">. </w:t>
            </w:r>
            <w:r w:rsidR="00CD0EA7" w:rsidRPr="00742B86">
              <w:rPr>
                <w:color w:val="0D0D0D" w:themeColor="text1" w:themeTint="F2"/>
                <w:spacing w:val="-4"/>
                <w:lang w:val="en-GB"/>
              </w:rPr>
              <w:t xml:space="preserve">The industry contribution to the year-on-year GVA change in the economy was only </w:t>
            </w:r>
            <w:r w:rsidR="00B96D74" w:rsidRPr="00742B86">
              <w:rPr>
                <w:spacing w:val="-4"/>
                <w:lang w:val="en-GB"/>
              </w:rPr>
              <w:t>–</w:t>
            </w:r>
            <w:r w:rsidR="00B96D74" w:rsidRPr="00742B86">
              <w:rPr>
                <w:color w:val="0D0D0D" w:themeColor="text1" w:themeTint="F2"/>
                <w:spacing w:val="-4"/>
                <w:lang w:val="en-GB"/>
              </w:rPr>
              <w:t>0</w:t>
            </w:r>
            <w:r w:rsidR="00CD0EA7" w:rsidRPr="00742B86">
              <w:rPr>
                <w:color w:val="0D0D0D" w:themeColor="text1" w:themeTint="F2"/>
                <w:spacing w:val="-4"/>
                <w:lang w:val="en-GB"/>
              </w:rPr>
              <w:t>.</w:t>
            </w:r>
            <w:r w:rsidR="00B96D74" w:rsidRPr="00742B86">
              <w:rPr>
                <w:color w:val="0D0D0D" w:themeColor="text1" w:themeTint="F2"/>
                <w:spacing w:val="-4"/>
                <w:lang w:val="en-GB"/>
              </w:rPr>
              <w:t>4 p.</w:t>
            </w:r>
            <w:r w:rsidR="00CD0EA7" w:rsidRPr="00742B86">
              <w:rPr>
                <w:color w:val="0D0D0D" w:themeColor="text1" w:themeTint="F2"/>
                <w:spacing w:val="-4"/>
                <w:lang w:val="en-GB"/>
              </w:rPr>
              <w:t>p</w:t>
            </w:r>
            <w:r w:rsidR="00B96D74" w:rsidRPr="00742B86">
              <w:rPr>
                <w:color w:val="0D0D0D" w:themeColor="text1" w:themeTint="F2"/>
                <w:spacing w:val="-4"/>
                <w:lang w:val="en-GB"/>
              </w:rPr>
              <w:t>.</w:t>
            </w:r>
            <w:r w:rsidR="00CD0EA7" w:rsidRPr="00742B86">
              <w:rPr>
                <w:color w:val="0D0D0D" w:themeColor="text1" w:themeTint="F2"/>
                <w:spacing w:val="-4"/>
                <w:lang w:val="en-GB"/>
              </w:rPr>
              <w:t xml:space="preserve"> in Q4</w:t>
            </w:r>
            <w:r w:rsidR="00EB7243" w:rsidRPr="00742B86">
              <w:rPr>
                <w:color w:val="0D0D0D" w:themeColor="text1" w:themeTint="F2"/>
                <w:spacing w:val="-4"/>
                <w:lang w:val="en-GB"/>
              </w:rPr>
              <w:t>.</w:t>
            </w:r>
            <w:r w:rsidR="00B96D74" w:rsidRPr="00742B86">
              <w:rPr>
                <w:color w:val="0D0D0D" w:themeColor="text1" w:themeTint="F2"/>
                <w:spacing w:val="-4"/>
                <w:lang w:val="en-GB"/>
              </w:rPr>
              <w:t xml:space="preserve"> </w:t>
            </w:r>
            <w:r w:rsidR="003217C7" w:rsidRPr="00742B86">
              <w:rPr>
                <w:color w:val="0D0D0D" w:themeColor="text1" w:themeTint="F2"/>
                <w:spacing w:val="-4"/>
                <w:lang w:val="en-GB"/>
              </w:rPr>
              <w:t>Revived demand as well as the continue</w:t>
            </w:r>
            <w:r w:rsidR="00EB7243" w:rsidRPr="00742B86">
              <w:rPr>
                <w:color w:val="0D0D0D" w:themeColor="text1" w:themeTint="F2"/>
                <w:spacing w:val="-4"/>
                <w:lang w:val="en-GB"/>
              </w:rPr>
              <w:t>d</w:t>
            </w:r>
            <w:r w:rsidR="003217C7" w:rsidRPr="00742B86">
              <w:rPr>
                <w:color w:val="0D0D0D" w:themeColor="text1" w:themeTint="F2"/>
                <w:spacing w:val="-4"/>
                <w:lang w:val="en-GB"/>
              </w:rPr>
              <w:t xml:space="preserve"> production in manufacturing also had a positive effect on energetics. </w:t>
            </w:r>
            <w:r w:rsidR="00CD0EA7" w:rsidRPr="00742B86">
              <w:rPr>
                <w:color w:val="0D0D0D" w:themeColor="text1" w:themeTint="F2"/>
                <w:spacing w:val="-5"/>
                <w:lang w:val="en-GB"/>
              </w:rPr>
              <w:t xml:space="preserve">Similar recovery did not eventuate in construction. </w:t>
            </w:r>
            <w:r w:rsidR="00B96D74" w:rsidRPr="00742B86">
              <w:rPr>
                <w:color w:val="0D0D0D" w:themeColor="text1" w:themeTint="F2"/>
                <w:spacing w:val="-5"/>
                <w:lang w:val="en-GB"/>
              </w:rPr>
              <w:t>D</w:t>
            </w:r>
            <w:r w:rsidR="003217C7" w:rsidRPr="00742B86">
              <w:rPr>
                <w:color w:val="0D0D0D" w:themeColor="text1" w:themeTint="F2"/>
                <w:spacing w:val="-5"/>
                <w:lang w:val="en-GB"/>
              </w:rPr>
              <w:t xml:space="preserve">ue to the inertial character of productions as well high stock of orders, the counter pandemic measures had smaller impact in this branch initially and manifested especially by the limited availability of foreign workers. Growing economic uncertainties of both businesses and households together with high administrative demands on the process of preparation as well as realisation of constructions gradually started to take its toll. </w:t>
            </w:r>
            <w:proofErr w:type="gramStart"/>
            <w:r w:rsidR="00D13829">
              <w:rPr>
                <w:color w:val="0D0D0D" w:themeColor="text1" w:themeTint="F2"/>
                <w:spacing w:val="-5"/>
                <w:lang w:val="en-GB"/>
              </w:rPr>
              <w:t>So</w:t>
            </w:r>
            <w:proofErr w:type="gramEnd"/>
            <w:r w:rsidR="00D13829">
              <w:rPr>
                <w:color w:val="0D0D0D" w:themeColor="text1" w:themeTint="F2"/>
                <w:spacing w:val="-5"/>
                <w:lang w:val="en-GB"/>
              </w:rPr>
              <w:t xml:space="preserve"> </w:t>
            </w:r>
            <w:r w:rsidR="00D13829">
              <w:rPr>
                <w:spacing w:val="-4"/>
                <w:lang w:val="en-GB"/>
              </w:rPr>
              <w:t>t</w:t>
            </w:r>
            <w:r w:rsidR="00CD0EA7" w:rsidRPr="00742B86">
              <w:rPr>
                <w:spacing w:val="-4"/>
                <w:lang w:val="en-GB"/>
              </w:rPr>
              <w:t xml:space="preserve">he GVA in construction, as in one of few of the main branches, </w:t>
            </w:r>
            <w:r w:rsidR="00D13829">
              <w:rPr>
                <w:spacing w:val="-4"/>
                <w:lang w:val="en-GB"/>
              </w:rPr>
              <w:t xml:space="preserve">recorded a </w:t>
            </w:r>
            <w:r w:rsidR="00D13829" w:rsidRPr="00742B86">
              <w:rPr>
                <w:spacing w:val="-3"/>
                <w:lang w:val="en-GB"/>
              </w:rPr>
              <w:t xml:space="preserve">quarter-on-quarter </w:t>
            </w:r>
            <w:r w:rsidR="00D13829">
              <w:rPr>
                <w:spacing w:val="-4"/>
                <w:lang w:val="en-GB"/>
              </w:rPr>
              <w:t>decrease in</w:t>
            </w:r>
            <w:r w:rsidR="00CD0EA7" w:rsidRPr="00742B86">
              <w:rPr>
                <w:spacing w:val="-4"/>
                <w:lang w:val="en-GB"/>
              </w:rPr>
              <w:t xml:space="preserve"> Q</w:t>
            </w:r>
            <w:r w:rsidR="00D13829">
              <w:rPr>
                <w:spacing w:val="-4"/>
                <w:lang w:val="en-GB"/>
              </w:rPr>
              <w:t>4</w:t>
            </w:r>
            <w:r w:rsidR="00CD0EA7" w:rsidRPr="00742B86">
              <w:rPr>
                <w:spacing w:val="-4"/>
                <w:lang w:val="en-GB"/>
              </w:rPr>
              <w:t xml:space="preserve"> </w:t>
            </w:r>
            <w:r w:rsidR="00B96D74" w:rsidRPr="00742B86">
              <w:rPr>
                <w:spacing w:val="-4"/>
                <w:lang w:val="en-GB"/>
              </w:rPr>
              <w:t>2020</w:t>
            </w:r>
            <w:r w:rsidR="00CD0EA7" w:rsidRPr="00742B86">
              <w:rPr>
                <w:spacing w:val="-4"/>
                <w:lang w:val="en-GB"/>
              </w:rPr>
              <w:t xml:space="preserve"> </w:t>
            </w:r>
            <w:r w:rsidR="00B96D74" w:rsidRPr="00742B86">
              <w:rPr>
                <w:spacing w:val="-4"/>
                <w:lang w:val="en-GB"/>
              </w:rPr>
              <w:t>(</w:t>
            </w:r>
            <w:r w:rsidR="00CD0EA7" w:rsidRPr="00742B86">
              <w:rPr>
                <w:spacing w:val="-4"/>
                <w:lang w:val="en-GB"/>
              </w:rPr>
              <w:t xml:space="preserve">by </w:t>
            </w:r>
            <w:r w:rsidR="00B96D74" w:rsidRPr="00742B86">
              <w:rPr>
                <w:spacing w:val="-4"/>
                <w:lang w:val="en-GB"/>
              </w:rPr>
              <w:t>1</w:t>
            </w:r>
            <w:r w:rsidR="00CD0EA7" w:rsidRPr="00742B86">
              <w:rPr>
                <w:spacing w:val="-4"/>
                <w:lang w:val="en-GB"/>
              </w:rPr>
              <w:t>.</w:t>
            </w:r>
            <w:r w:rsidR="004F3698">
              <w:rPr>
                <w:spacing w:val="-4"/>
                <w:lang w:val="en-GB"/>
              </w:rPr>
              <w:t>2</w:t>
            </w:r>
            <w:r w:rsidR="00B96D74" w:rsidRPr="00742B86">
              <w:rPr>
                <w:spacing w:val="-4"/>
                <w:lang w:val="en-GB"/>
              </w:rPr>
              <w:t>%).</w:t>
            </w:r>
          </w:p>
        </w:tc>
      </w:tr>
      <w:tr w:rsidR="00B96D74" w:rsidRPr="00742B86" w:rsidTr="00A52348">
        <w:trPr>
          <w:trHeight w:val="155"/>
        </w:trPr>
        <w:tc>
          <w:tcPr>
            <w:tcW w:w="1494" w:type="dxa"/>
            <w:shd w:val="clear" w:color="auto" w:fill="auto"/>
            <w:tcMar>
              <w:left w:w="0" w:type="dxa"/>
            </w:tcMar>
          </w:tcPr>
          <w:p w:rsidR="00B96D74" w:rsidRPr="00742B86" w:rsidRDefault="00095273" w:rsidP="0091476D">
            <w:pPr>
              <w:pStyle w:val="Marginlie"/>
              <w:rPr>
                <w:spacing w:val="-4"/>
                <w:lang w:val="en-GB"/>
              </w:rPr>
            </w:pPr>
            <w:r w:rsidRPr="00742B86">
              <w:rPr>
                <w:spacing w:val="-4"/>
                <w:lang w:val="en-GB"/>
              </w:rPr>
              <w:t xml:space="preserve">GVA decrease in the economy </w:t>
            </w:r>
            <w:proofErr w:type="gramStart"/>
            <w:r w:rsidRPr="00742B86">
              <w:rPr>
                <w:spacing w:val="-4"/>
                <w:lang w:val="en-GB"/>
              </w:rPr>
              <w:t>was curbed</w:t>
            </w:r>
            <w:proofErr w:type="gramEnd"/>
            <w:r w:rsidRPr="00742B86">
              <w:rPr>
                <w:spacing w:val="-4"/>
                <w:lang w:val="en-GB"/>
              </w:rPr>
              <w:t xml:space="preserve"> the most by higher output of the public services. </w:t>
            </w:r>
          </w:p>
          <w:p w:rsidR="00B96D74" w:rsidRPr="00742B86" w:rsidRDefault="00B96D74" w:rsidP="0091476D">
            <w:pPr>
              <w:pStyle w:val="Marginlie"/>
              <w:rPr>
                <w:spacing w:val="-4"/>
                <w:lang w:val="en-GB"/>
              </w:rPr>
            </w:pPr>
          </w:p>
          <w:p w:rsidR="00B96D74" w:rsidRPr="00742B86" w:rsidRDefault="00B96D74" w:rsidP="0091476D">
            <w:pPr>
              <w:pStyle w:val="Marginlie"/>
              <w:rPr>
                <w:spacing w:val="-4"/>
                <w:lang w:val="en-GB"/>
              </w:rPr>
            </w:pPr>
          </w:p>
          <w:p w:rsidR="00B96D74" w:rsidRPr="00742B86" w:rsidRDefault="003D3245" w:rsidP="0091476D">
            <w:pPr>
              <w:pStyle w:val="Marginlie"/>
              <w:rPr>
                <w:spacing w:val="-4"/>
                <w:lang w:val="en-GB"/>
              </w:rPr>
            </w:pPr>
            <w:r w:rsidRPr="00742B86">
              <w:rPr>
                <w:lang w:val="en-GB"/>
              </w:rPr>
              <w:lastRenderedPageBreak/>
              <w:t xml:space="preserve">GVA grew the most in agriculture, forestry, and fishing. Solid harvest, stabilised animal production as well as strong </w:t>
            </w:r>
            <w:proofErr w:type="spellStart"/>
            <w:r w:rsidR="003B2718" w:rsidRPr="003B2718">
              <w:rPr>
                <w:color w:val="0D0D0D" w:themeColor="text1" w:themeTint="F2"/>
                <w:spacing w:val="-5"/>
                <w:lang w:val="en-GB"/>
              </w:rPr>
              <w:t>roundwood</w:t>
            </w:r>
            <w:proofErr w:type="spellEnd"/>
            <w:r w:rsidR="003B2718" w:rsidRPr="003B2718">
              <w:rPr>
                <w:color w:val="0D0D0D" w:themeColor="text1" w:themeTint="F2"/>
                <w:spacing w:val="-5"/>
                <w:lang w:val="en-GB"/>
              </w:rPr>
              <w:t xml:space="preserve"> removals</w:t>
            </w:r>
            <w:r w:rsidRPr="006272EF">
              <w:rPr>
                <w:color w:val="FF0000"/>
                <w:lang w:val="en-GB"/>
              </w:rPr>
              <w:t xml:space="preserve"> </w:t>
            </w:r>
            <w:r w:rsidRPr="00742B86">
              <w:rPr>
                <w:lang w:val="en-GB"/>
              </w:rPr>
              <w:t>took effect</w:t>
            </w:r>
            <w:r w:rsidR="00B96D74" w:rsidRPr="00742B86">
              <w:rPr>
                <w:lang w:val="en-GB"/>
              </w:rPr>
              <w:t>.</w:t>
            </w:r>
          </w:p>
        </w:tc>
        <w:tc>
          <w:tcPr>
            <w:tcW w:w="185" w:type="dxa"/>
            <w:shd w:val="clear" w:color="auto" w:fill="auto"/>
            <w:tcMar>
              <w:left w:w="0" w:type="dxa"/>
            </w:tcMar>
          </w:tcPr>
          <w:p w:rsidR="00B96D74" w:rsidRPr="00742B86" w:rsidRDefault="00B96D74" w:rsidP="0091476D">
            <w:pPr>
              <w:pStyle w:val="Textpoznpodarou"/>
              <w:jc w:val="both"/>
              <w:rPr>
                <w:spacing w:val="-4"/>
                <w:lang w:val="en-GB"/>
              </w:rPr>
            </w:pPr>
          </w:p>
        </w:tc>
        <w:tc>
          <w:tcPr>
            <w:tcW w:w="7985" w:type="dxa"/>
            <w:shd w:val="clear" w:color="auto" w:fill="auto"/>
            <w:tcMar>
              <w:left w:w="0" w:type="dxa"/>
            </w:tcMar>
          </w:tcPr>
          <w:p w:rsidR="00B96D74" w:rsidRPr="00742B86" w:rsidRDefault="001D3B6C" w:rsidP="006272EF">
            <w:pPr>
              <w:rPr>
                <w:rFonts w:cs="Arial"/>
                <w:bCs/>
                <w:color w:val="0D0D0D" w:themeColor="text1" w:themeTint="F2"/>
                <w:spacing w:val="-4"/>
                <w:szCs w:val="20"/>
                <w:lang w:val="en-GB"/>
              </w:rPr>
            </w:pPr>
            <w:r w:rsidRPr="00742B86">
              <w:rPr>
                <w:rFonts w:cs="Arial"/>
                <w:bCs/>
                <w:color w:val="000000"/>
                <w:spacing w:val="-4"/>
                <w:szCs w:val="20"/>
                <w:lang w:val="en-GB"/>
              </w:rPr>
              <w:t>The branches with the predominanc</w:t>
            </w:r>
            <w:r w:rsidR="006272EF">
              <w:rPr>
                <w:rFonts w:cs="Arial"/>
                <w:bCs/>
                <w:color w:val="000000"/>
                <w:spacing w:val="-4"/>
                <w:szCs w:val="20"/>
                <w:lang w:val="en-GB"/>
              </w:rPr>
              <w:t>e of the government institution sector</w:t>
            </w:r>
            <w:r w:rsidRPr="00742B86">
              <w:rPr>
                <w:rFonts w:cs="Arial"/>
                <w:bCs/>
                <w:color w:val="000000"/>
                <w:spacing w:val="-4"/>
                <w:szCs w:val="20"/>
                <w:lang w:val="en-GB"/>
              </w:rPr>
              <w:t xml:space="preserve"> worked the most against the deeper fall of the GVA in the economy last year, especially in the second half of the year </w:t>
            </w:r>
            <w:r w:rsidR="00B96D74" w:rsidRPr="00742B86">
              <w:rPr>
                <w:rFonts w:cs="Arial"/>
                <w:bCs/>
                <w:color w:val="000000"/>
                <w:spacing w:val="-4"/>
                <w:szCs w:val="20"/>
                <w:lang w:val="en-GB"/>
              </w:rPr>
              <w:t>(+0</w:t>
            </w:r>
            <w:r w:rsidRPr="00742B86">
              <w:rPr>
                <w:rFonts w:cs="Arial"/>
                <w:bCs/>
                <w:color w:val="000000"/>
                <w:spacing w:val="-4"/>
                <w:szCs w:val="20"/>
                <w:lang w:val="en-GB"/>
              </w:rPr>
              <w:t>.</w:t>
            </w:r>
            <w:r w:rsidR="00B96D74" w:rsidRPr="00742B86">
              <w:rPr>
                <w:rFonts w:cs="Arial"/>
                <w:bCs/>
                <w:color w:val="000000"/>
                <w:spacing w:val="-4"/>
                <w:szCs w:val="20"/>
                <w:lang w:val="en-GB"/>
              </w:rPr>
              <w:t>3 p</w:t>
            </w:r>
            <w:r w:rsidRPr="00742B86">
              <w:rPr>
                <w:rFonts w:cs="Arial"/>
                <w:bCs/>
                <w:color w:val="000000"/>
                <w:spacing w:val="-4"/>
                <w:szCs w:val="20"/>
                <w:lang w:val="en-GB"/>
              </w:rPr>
              <w:t>.p</w:t>
            </w:r>
            <w:r w:rsidR="00B96D74" w:rsidRPr="00742B86">
              <w:rPr>
                <w:rFonts w:cs="Arial"/>
                <w:bCs/>
                <w:color w:val="000000"/>
                <w:spacing w:val="-4"/>
                <w:szCs w:val="20"/>
                <w:lang w:val="en-GB"/>
              </w:rPr>
              <w:t>.),</w:t>
            </w:r>
            <w:r w:rsidRPr="00742B86">
              <w:rPr>
                <w:rFonts w:cs="Arial"/>
                <w:bCs/>
                <w:color w:val="000000"/>
                <w:spacing w:val="-4"/>
                <w:szCs w:val="20"/>
                <w:lang w:val="en-GB"/>
              </w:rPr>
              <w:t xml:space="preserve"> when </w:t>
            </w:r>
            <w:r w:rsidR="00E624E8" w:rsidRPr="00742B86">
              <w:rPr>
                <w:rFonts w:cs="Arial"/>
                <w:bCs/>
                <w:color w:val="000000"/>
                <w:spacing w:val="-4"/>
                <w:szCs w:val="20"/>
                <w:lang w:val="en-GB"/>
              </w:rPr>
              <w:t>the demands on the outputs in health care grew as a consequence of the adverse epidemic situation</w:t>
            </w:r>
            <w:r w:rsidR="00B96D74" w:rsidRPr="00742B86">
              <w:rPr>
                <w:rStyle w:val="Znakapoznpodarou"/>
                <w:bCs/>
                <w:color w:val="000000"/>
                <w:spacing w:val="-4"/>
                <w:szCs w:val="20"/>
                <w:lang w:val="en-GB"/>
              </w:rPr>
              <w:footnoteReference w:id="17"/>
            </w:r>
            <w:r w:rsidR="00B96D74" w:rsidRPr="00742B86">
              <w:rPr>
                <w:rFonts w:cs="Arial"/>
                <w:bCs/>
                <w:color w:val="000000"/>
                <w:spacing w:val="-4"/>
                <w:szCs w:val="20"/>
                <w:lang w:val="en-GB"/>
              </w:rPr>
              <w:t xml:space="preserve">. </w:t>
            </w:r>
            <w:r w:rsidR="00E624E8" w:rsidRPr="00742B86">
              <w:rPr>
                <w:rFonts w:cs="Arial"/>
                <w:bCs/>
                <w:color w:val="000000"/>
                <w:spacing w:val="-4"/>
                <w:szCs w:val="20"/>
                <w:lang w:val="en-GB"/>
              </w:rPr>
              <w:t xml:space="preserve">The same was also valid for information and communication. Still, the GVA grew here the least in the last eight years last year </w:t>
            </w:r>
            <w:r w:rsidR="00B96D74" w:rsidRPr="00742B86">
              <w:rPr>
                <w:rFonts w:cs="Arial"/>
                <w:bCs/>
                <w:color w:val="000000"/>
                <w:spacing w:val="-4"/>
                <w:szCs w:val="20"/>
                <w:lang w:val="en-GB"/>
              </w:rPr>
              <w:t>(+1</w:t>
            </w:r>
            <w:r w:rsidR="00E624E8" w:rsidRPr="00742B86">
              <w:rPr>
                <w:rFonts w:cs="Arial"/>
                <w:bCs/>
                <w:color w:val="000000"/>
                <w:spacing w:val="-4"/>
                <w:szCs w:val="20"/>
                <w:lang w:val="en-GB"/>
              </w:rPr>
              <w:t>.</w:t>
            </w:r>
            <w:r w:rsidR="00B96D74" w:rsidRPr="00742B86">
              <w:rPr>
                <w:rFonts w:cs="Arial"/>
                <w:bCs/>
                <w:color w:val="000000"/>
                <w:spacing w:val="-4"/>
                <w:szCs w:val="20"/>
                <w:lang w:val="en-GB"/>
              </w:rPr>
              <w:t>6%)</w:t>
            </w:r>
            <w:r w:rsidR="00B96D74" w:rsidRPr="00742B86">
              <w:rPr>
                <w:rStyle w:val="Znakapoznpodarou"/>
                <w:bCs/>
                <w:color w:val="000000"/>
                <w:spacing w:val="-4"/>
                <w:szCs w:val="20"/>
                <w:lang w:val="en-GB"/>
              </w:rPr>
              <w:footnoteReference w:id="18"/>
            </w:r>
            <w:r w:rsidR="00B96D74" w:rsidRPr="00742B86">
              <w:rPr>
                <w:rFonts w:cs="Arial"/>
                <w:bCs/>
                <w:color w:val="000000"/>
                <w:spacing w:val="-4"/>
                <w:szCs w:val="20"/>
                <w:lang w:val="en-GB"/>
              </w:rPr>
              <w:t xml:space="preserve">. </w:t>
            </w:r>
            <w:r w:rsidR="00AF22CD" w:rsidRPr="00742B86">
              <w:rPr>
                <w:rFonts w:cs="Arial"/>
                <w:bCs/>
                <w:color w:val="000000"/>
                <w:spacing w:val="-4"/>
                <w:szCs w:val="20"/>
                <w:lang w:val="en-GB"/>
              </w:rPr>
              <w:t xml:space="preserve">The GVA of agriculture, forestry and fishing climbed up by nearly 5% last year and similarly to year 2019, it represented </w:t>
            </w:r>
            <w:r w:rsidR="00AF22CD" w:rsidRPr="00742B86">
              <w:rPr>
                <w:rFonts w:cs="Arial"/>
                <w:bCs/>
                <w:color w:val="000000"/>
                <w:spacing w:val="-4"/>
                <w:szCs w:val="20"/>
                <w:lang w:val="en-GB"/>
              </w:rPr>
              <w:lastRenderedPageBreak/>
              <w:t xml:space="preserve">one of the most dynamic economic </w:t>
            </w:r>
            <w:proofErr w:type="spellStart"/>
            <w:r w:rsidR="00AF22CD" w:rsidRPr="00742B86">
              <w:rPr>
                <w:rFonts w:cs="Arial"/>
                <w:bCs/>
                <w:color w:val="000000"/>
                <w:spacing w:val="-4"/>
                <w:szCs w:val="20"/>
                <w:lang w:val="en-GB"/>
              </w:rPr>
              <w:t>branch</w:t>
            </w:r>
            <w:r w:rsidR="00C32073">
              <w:rPr>
                <w:rFonts w:cs="Arial"/>
                <w:bCs/>
                <w:color w:val="000000"/>
                <w:spacing w:val="-4"/>
                <w:szCs w:val="20"/>
                <w:lang w:val="en-GB"/>
              </w:rPr>
              <w:t>d</w:t>
            </w:r>
            <w:r w:rsidR="007E591C" w:rsidRPr="00742B86">
              <w:rPr>
                <w:rFonts w:cs="Arial"/>
                <w:bCs/>
                <w:color w:val="000000"/>
                <w:spacing w:val="-4"/>
                <w:szCs w:val="20"/>
                <w:lang w:val="en-GB"/>
              </w:rPr>
              <w:t>es</w:t>
            </w:r>
            <w:proofErr w:type="spellEnd"/>
            <w:r w:rsidR="00AF22CD" w:rsidRPr="00742B86">
              <w:rPr>
                <w:rFonts w:cs="Arial"/>
                <w:bCs/>
                <w:color w:val="000000"/>
                <w:spacing w:val="-4"/>
                <w:szCs w:val="20"/>
                <w:lang w:val="en-GB"/>
              </w:rPr>
              <w:t xml:space="preserve">. </w:t>
            </w:r>
            <w:r w:rsidR="007E591C" w:rsidRPr="00742B86">
              <w:rPr>
                <w:rFonts w:cs="Arial"/>
                <w:bCs/>
                <w:color w:val="000000"/>
                <w:spacing w:val="-4"/>
                <w:szCs w:val="20"/>
                <w:lang w:val="en-GB"/>
              </w:rPr>
              <w:t xml:space="preserve">Stabilised situation in the agricultural primary production, which was not </w:t>
            </w:r>
            <w:r w:rsidR="006272EF">
              <w:rPr>
                <w:rFonts w:cs="Arial"/>
                <w:bCs/>
                <w:color w:val="000000"/>
                <w:spacing w:val="-4"/>
                <w:szCs w:val="20"/>
                <w:lang w:val="en-GB"/>
              </w:rPr>
              <w:t>directly</w:t>
            </w:r>
            <w:r w:rsidR="007E591C" w:rsidRPr="00742B86">
              <w:rPr>
                <w:rFonts w:cs="Arial"/>
                <w:bCs/>
                <w:color w:val="000000"/>
                <w:spacing w:val="-4"/>
                <w:szCs w:val="20"/>
                <w:lang w:val="en-GB"/>
              </w:rPr>
              <w:t xml:space="preserve"> affec</w:t>
            </w:r>
            <w:r w:rsidR="006272EF">
              <w:rPr>
                <w:rFonts w:cs="Arial"/>
                <w:bCs/>
                <w:color w:val="000000"/>
                <w:spacing w:val="-4"/>
                <w:szCs w:val="20"/>
                <w:lang w:val="en-GB"/>
              </w:rPr>
              <w:t>ted by the state regulative measures (</w:t>
            </w:r>
            <w:r w:rsidR="006272EF" w:rsidRPr="00742B86">
              <w:rPr>
                <w:rFonts w:cs="Arial"/>
                <w:bCs/>
                <w:color w:val="000000"/>
                <w:spacing w:val="-4"/>
                <w:szCs w:val="20"/>
                <w:lang w:val="en-GB"/>
              </w:rPr>
              <w:t>apart from stricter hygienic measures</w:t>
            </w:r>
            <w:r w:rsidR="006272EF">
              <w:rPr>
                <w:rFonts w:cs="Arial"/>
                <w:bCs/>
                <w:color w:val="000000"/>
                <w:spacing w:val="-4"/>
                <w:szCs w:val="20"/>
                <w:lang w:val="en-GB"/>
              </w:rPr>
              <w:t>)</w:t>
            </w:r>
            <w:r w:rsidR="007E591C" w:rsidRPr="00742B86">
              <w:rPr>
                <w:rFonts w:cs="Arial"/>
                <w:bCs/>
                <w:color w:val="000000"/>
                <w:spacing w:val="-4"/>
                <w:szCs w:val="20"/>
                <w:lang w:val="en-GB"/>
              </w:rPr>
              <w:t xml:space="preserve"> in year </w:t>
            </w:r>
            <w:proofErr w:type="gramStart"/>
            <w:r w:rsidR="007E591C" w:rsidRPr="00742B86">
              <w:rPr>
                <w:rFonts w:cs="Arial"/>
                <w:bCs/>
                <w:color w:val="000000"/>
                <w:spacing w:val="-4"/>
                <w:szCs w:val="20"/>
                <w:lang w:val="en-GB"/>
              </w:rPr>
              <w:t>2020</w:t>
            </w:r>
            <w:proofErr w:type="gramEnd"/>
            <w:r w:rsidR="007E591C" w:rsidRPr="00742B86">
              <w:rPr>
                <w:rFonts w:cs="Arial"/>
                <w:bCs/>
                <w:color w:val="000000"/>
                <w:spacing w:val="-4"/>
                <w:szCs w:val="20"/>
                <w:lang w:val="en-GB"/>
              </w:rPr>
              <w:t xml:space="preserve"> </w:t>
            </w:r>
            <w:r w:rsidR="007E591C" w:rsidRPr="00742B86">
              <w:rPr>
                <w:spacing w:val="-4"/>
                <w:lang w:val="en-GB"/>
              </w:rPr>
              <w:t>was instrumental in this result</w:t>
            </w:r>
            <w:r w:rsidR="00B96D74" w:rsidRPr="00742B86">
              <w:rPr>
                <w:spacing w:val="-4"/>
                <w:lang w:val="en-GB"/>
              </w:rPr>
              <w:t xml:space="preserve">. </w:t>
            </w:r>
            <w:r w:rsidR="003A3741" w:rsidRPr="00742B86">
              <w:rPr>
                <w:spacing w:val="-4"/>
                <w:lang w:val="en-GB"/>
              </w:rPr>
              <w:t xml:space="preserve">Production of meat slightly grew </w:t>
            </w:r>
            <w:r w:rsidR="00B96D74" w:rsidRPr="00742B86">
              <w:rPr>
                <w:spacing w:val="-4"/>
                <w:lang w:val="en-GB"/>
              </w:rPr>
              <w:t>(+0</w:t>
            </w:r>
            <w:r w:rsidR="003A3741" w:rsidRPr="00742B86">
              <w:rPr>
                <w:spacing w:val="-4"/>
                <w:lang w:val="en-GB"/>
              </w:rPr>
              <w:t>.</w:t>
            </w:r>
            <w:r w:rsidR="00B96D74" w:rsidRPr="00742B86">
              <w:rPr>
                <w:spacing w:val="-4"/>
                <w:lang w:val="en-GB"/>
              </w:rPr>
              <w:t>9%</w:t>
            </w:r>
            <w:r w:rsidR="006272EF">
              <w:rPr>
                <w:spacing w:val="-4"/>
                <w:lang w:val="en-GB"/>
              </w:rPr>
              <w:t xml:space="preserve">, </w:t>
            </w:r>
            <w:r w:rsidR="006272EF">
              <w:rPr>
                <w:spacing w:val="-2"/>
                <w:lang w:val="en-GB"/>
              </w:rPr>
              <w:t>year-on-year</w:t>
            </w:r>
            <w:r w:rsidR="00B96D74" w:rsidRPr="00742B86">
              <w:rPr>
                <w:spacing w:val="-4"/>
                <w:lang w:val="en-GB"/>
              </w:rPr>
              <w:t>),</w:t>
            </w:r>
            <w:r w:rsidR="003A3741" w:rsidRPr="00742B86">
              <w:rPr>
                <w:spacing w:val="-4"/>
                <w:lang w:val="en-GB"/>
              </w:rPr>
              <w:t xml:space="preserve"> due to the higher</w:t>
            </w:r>
            <w:r w:rsidR="007E591C" w:rsidRPr="00742B86">
              <w:rPr>
                <w:spacing w:val="-4"/>
                <w:lang w:val="en-GB"/>
              </w:rPr>
              <w:t xml:space="preserve"> slaughter weight of the fattened </w:t>
            </w:r>
            <w:r w:rsidR="00442D8F" w:rsidRPr="00742B86">
              <w:rPr>
                <w:spacing w:val="-4"/>
                <w:lang w:val="en-GB"/>
              </w:rPr>
              <w:t xml:space="preserve">beef cattle and pigs as well as long term growing consumer popularity of poultry. Domestic producers sold in-kind by </w:t>
            </w:r>
            <w:r w:rsidR="00B96D74" w:rsidRPr="00742B86">
              <w:rPr>
                <w:spacing w:val="-5"/>
                <w:lang w:val="en-GB"/>
              </w:rPr>
              <w:t>3</w:t>
            </w:r>
            <w:r w:rsidR="00442D8F" w:rsidRPr="00742B86">
              <w:rPr>
                <w:spacing w:val="-5"/>
                <w:lang w:val="en-GB"/>
              </w:rPr>
              <w:t>.</w:t>
            </w:r>
            <w:r w:rsidR="00B96D74" w:rsidRPr="00742B86">
              <w:rPr>
                <w:spacing w:val="-5"/>
                <w:lang w:val="en-GB"/>
              </w:rPr>
              <w:t>9%</w:t>
            </w:r>
            <w:r w:rsidR="00442D8F" w:rsidRPr="00742B86">
              <w:rPr>
                <w:spacing w:val="-5"/>
                <w:lang w:val="en-GB"/>
              </w:rPr>
              <w:t xml:space="preserve"> milk more.</w:t>
            </w:r>
            <w:r w:rsidR="004D6FBA" w:rsidRPr="00742B86">
              <w:rPr>
                <w:spacing w:val="-5"/>
                <w:lang w:val="en-GB"/>
              </w:rPr>
              <w:t xml:space="preserve"> Plan</w:t>
            </w:r>
            <w:r w:rsidR="009755D6" w:rsidRPr="00742B86">
              <w:rPr>
                <w:spacing w:val="-5"/>
                <w:lang w:val="en-GB"/>
              </w:rPr>
              <w:t>t</w:t>
            </w:r>
            <w:r w:rsidR="004D6FBA" w:rsidRPr="00742B86">
              <w:rPr>
                <w:spacing w:val="-5"/>
                <w:lang w:val="en-GB"/>
              </w:rPr>
              <w:t xml:space="preserve"> production </w:t>
            </w:r>
            <w:proofErr w:type="gramStart"/>
            <w:r w:rsidR="004D6FBA" w:rsidRPr="00742B86">
              <w:rPr>
                <w:spacing w:val="-5"/>
                <w:lang w:val="en-GB"/>
              </w:rPr>
              <w:t>was supported</w:t>
            </w:r>
            <w:proofErr w:type="gramEnd"/>
            <w:r w:rsidR="004D6FBA" w:rsidRPr="00742B86">
              <w:rPr>
                <w:spacing w:val="-5"/>
                <w:lang w:val="en-GB"/>
              </w:rPr>
              <w:t xml:space="preserve"> by good last year´s harvest, especially of cereals, potatoes or </w:t>
            </w:r>
            <w:r w:rsidR="004D6FBA" w:rsidRPr="003B2718">
              <w:rPr>
                <w:color w:val="0D0D0D" w:themeColor="text1" w:themeTint="F2"/>
                <w:spacing w:val="-5"/>
                <w:lang w:val="en-GB"/>
              </w:rPr>
              <w:t>forage crops</w:t>
            </w:r>
            <w:r w:rsidR="00B96D74" w:rsidRPr="00742B86">
              <w:rPr>
                <w:rStyle w:val="Znakapoznpodarou"/>
                <w:spacing w:val="-5"/>
                <w:lang w:val="en-GB"/>
              </w:rPr>
              <w:footnoteReference w:id="19"/>
            </w:r>
            <w:r w:rsidR="00B96D74" w:rsidRPr="00742B86">
              <w:rPr>
                <w:spacing w:val="-5"/>
                <w:lang w:val="en-GB"/>
              </w:rPr>
              <w:t xml:space="preserve">. </w:t>
            </w:r>
            <w:r w:rsidR="004D6FBA" w:rsidRPr="00742B86">
              <w:rPr>
                <w:spacing w:val="-5"/>
                <w:lang w:val="en-GB"/>
              </w:rPr>
              <w:t xml:space="preserve">The </w:t>
            </w:r>
            <w:r w:rsidR="004D6FBA" w:rsidRPr="003B2718">
              <w:rPr>
                <w:color w:val="0D0D0D" w:themeColor="text1" w:themeTint="F2"/>
                <w:spacing w:val="-5"/>
                <w:lang w:val="en-GB"/>
              </w:rPr>
              <w:t xml:space="preserve">continuing </w:t>
            </w:r>
            <w:r w:rsidR="003B2718">
              <w:rPr>
                <w:color w:val="0D0D0D" w:themeColor="text1" w:themeTint="F2"/>
                <w:spacing w:val="-5"/>
                <w:lang w:val="en-GB"/>
              </w:rPr>
              <w:t>natural</w:t>
            </w:r>
            <w:r w:rsidR="003B2718" w:rsidRPr="003B2718">
              <w:rPr>
                <w:color w:val="0D0D0D" w:themeColor="text1" w:themeTint="F2"/>
                <w:spacing w:val="-5"/>
                <w:lang w:val="en-GB"/>
              </w:rPr>
              <w:t xml:space="preserve"> </w:t>
            </w:r>
            <w:proofErr w:type="spellStart"/>
            <w:r w:rsidR="003B2718" w:rsidRPr="003B2718">
              <w:rPr>
                <w:color w:val="0D0D0D" w:themeColor="text1" w:themeTint="F2"/>
                <w:spacing w:val="-5"/>
                <w:lang w:val="en-GB"/>
              </w:rPr>
              <w:t>roundwood</w:t>
            </w:r>
            <w:proofErr w:type="spellEnd"/>
            <w:r w:rsidR="003B2718" w:rsidRPr="003B2718">
              <w:rPr>
                <w:color w:val="0D0D0D" w:themeColor="text1" w:themeTint="F2"/>
                <w:spacing w:val="-5"/>
                <w:lang w:val="en-GB"/>
              </w:rPr>
              <w:t xml:space="preserve"> removals</w:t>
            </w:r>
            <w:r w:rsidR="003B2718">
              <w:rPr>
                <w:color w:val="FF0000"/>
                <w:spacing w:val="-5"/>
                <w:lang w:val="en-GB"/>
              </w:rPr>
              <w:t xml:space="preserve"> </w:t>
            </w:r>
            <w:r w:rsidR="004D6FBA" w:rsidRPr="00742B86">
              <w:rPr>
                <w:spacing w:val="-5"/>
                <w:lang w:val="en-GB"/>
              </w:rPr>
              <w:t xml:space="preserve">also likely had a pro-growth </w:t>
            </w:r>
            <w:proofErr w:type="gramStart"/>
            <w:r w:rsidR="004D6FBA" w:rsidRPr="00742B86">
              <w:rPr>
                <w:spacing w:val="-5"/>
                <w:lang w:val="en-GB"/>
              </w:rPr>
              <w:t>effect on the whole</w:t>
            </w:r>
            <w:proofErr w:type="gramEnd"/>
            <w:r w:rsidR="004D6FBA" w:rsidRPr="00742B86">
              <w:rPr>
                <w:spacing w:val="-5"/>
                <w:lang w:val="en-GB"/>
              </w:rPr>
              <w:t xml:space="preserve"> primary sector. </w:t>
            </w:r>
          </w:p>
        </w:tc>
      </w:tr>
      <w:tr w:rsidR="00B96D74" w:rsidRPr="00742B86" w:rsidTr="00A52348">
        <w:trPr>
          <w:trHeight w:val="155"/>
        </w:trPr>
        <w:tc>
          <w:tcPr>
            <w:tcW w:w="1494" w:type="dxa"/>
            <w:shd w:val="clear" w:color="auto" w:fill="auto"/>
            <w:tcMar>
              <w:left w:w="0" w:type="dxa"/>
            </w:tcMar>
          </w:tcPr>
          <w:p w:rsidR="00B96D74" w:rsidRPr="00742B86" w:rsidRDefault="00CE6E27" w:rsidP="0091476D">
            <w:pPr>
              <w:pStyle w:val="Marginlie"/>
              <w:rPr>
                <w:spacing w:val="-4"/>
                <w:lang w:val="en-GB"/>
              </w:rPr>
            </w:pPr>
            <w:r w:rsidRPr="00742B86">
              <w:rPr>
                <w:lang w:val="en-GB"/>
              </w:rPr>
              <w:lastRenderedPageBreak/>
              <w:t>The largest year-on-year GVA slump struck the states of the euro area southern wing last year</w:t>
            </w:r>
            <w:r w:rsidR="00B96D74" w:rsidRPr="00742B86">
              <w:rPr>
                <w:lang w:val="en-GB"/>
              </w:rPr>
              <w:t xml:space="preserve">. </w:t>
            </w:r>
            <w:r w:rsidRPr="00742B86">
              <w:rPr>
                <w:lang w:val="en-GB"/>
              </w:rPr>
              <w:t xml:space="preserve">Poland fared the best among the central European economies. </w:t>
            </w:r>
          </w:p>
        </w:tc>
        <w:tc>
          <w:tcPr>
            <w:tcW w:w="185" w:type="dxa"/>
            <w:shd w:val="clear" w:color="auto" w:fill="auto"/>
            <w:tcMar>
              <w:left w:w="0" w:type="dxa"/>
            </w:tcMar>
          </w:tcPr>
          <w:p w:rsidR="00B96D74" w:rsidRPr="00742B86" w:rsidRDefault="00B96D74" w:rsidP="0091476D">
            <w:pPr>
              <w:pStyle w:val="Textpoznpodarou"/>
              <w:jc w:val="both"/>
              <w:rPr>
                <w:spacing w:val="-4"/>
                <w:lang w:val="en-GB"/>
              </w:rPr>
            </w:pPr>
          </w:p>
        </w:tc>
        <w:tc>
          <w:tcPr>
            <w:tcW w:w="7985" w:type="dxa"/>
            <w:shd w:val="clear" w:color="auto" w:fill="auto"/>
            <w:tcMar>
              <w:left w:w="0" w:type="dxa"/>
            </w:tcMar>
          </w:tcPr>
          <w:p w:rsidR="00B96D74" w:rsidRPr="003C3A1D" w:rsidRDefault="007E591C" w:rsidP="0091476D">
            <w:pPr>
              <w:rPr>
                <w:rFonts w:cs="Arial"/>
                <w:bCs/>
                <w:color w:val="000000"/>
                <w:spacing w:val="-3"/>
                <w:szCs w:val="20"/>
                <w:lang w:val="en-GB"/>
              </w:rPr>
            </w:pPr>
            <w:r w:rsidRPr="003C3A1D">
              <w:rPr>
                <w:spacing w:val="-3"/>
                <w:lang w:val="en-GB"/>
              </w:rPr>
              <w:t xml:space="preserve">Total value added </w:t>
            </w:r>
            <w:r w:rsidR="005B506A" w:rsidRPr="003C3A1D">
              <w:rPr>
                <w:spacing w:val="-3"/>
                <w:lang w:val="en-GB"/>
              </w:rPr>
              <w:t>dived by 6.1% in the EU for the last year and by 6.5% in the euro area countries,</w:t>
            </w:r>
            <w:r w:rsidR="00B96D74" w:rsidRPr="003C3A1D">
              <w:rPr>
                <w:spacing w:val="-3"/>
                <w:lang w:val="en-GB"/>
              </w:rPr>
              <w:t xml:space="preserve"> </w:t>
            </w:r>
            <w:r w:rsidRPr="003C3A1D">
              <w:rPr>
                <w:spacing w:val="-3"/>
                <w:lang w:val="en-GB"/>
              </w:rPr>
              <w:t>i.e. more than in the CR</w:t>
            </w:r>
            <w:r w:rsidR="00B96D74" w:rsidRPr="003C3A1D">
              <w:rPr>
                <w:rStyle w:val="Znakapoznpodarou"/>
                <w:spacing w:val="-3"/>
                <w:lang w:val="en-GB"/>
              </w:rPr>
              <w:footnoteReference w:id="20"/>
            </w:r>
            <w:r w:rsidR="00B96D74" w:rsidRPr="003C3A1D">
              <w:rPr>
                <w:spacing w:val="-3"/>
                <w:lang w:val="en-GB"/>
              </w:rPr>
              <w:t xml:space="preserve">. </w:t>
            </w:r>
            <w:r w:rsidR="005B506A" w:rsidRPr="003C3A1D">
              <w:rPr>
                <w:spacing w:val="-3"/>
                <w:lang w:val="en-GB"/>
              </w:rPr>
              <w:t xml:space="preserve">Still, the domestic downturn was the tenth largest among the EU states. </w:t>
            </w:r>
            <w:r w:rsidR="005F509C" w:rsidRPr="003C3A1D">
              <w:rPr>
                <w:spacing w:val="-3"/>
                <w:lang w:val="en-GB"/>
              </w:rPr>
              <w:t xml:space="preserve">The Union results were influenced by the output downswing in the significant economies especially on the southern wing of the euro area </w:t>
            </w:r>
            <w:r w:rsidR="00B96D74" w:rsidRPr="003C3A1D">
              <w:rPr>
                <w:spacing w:val="-3"/>
                <w:lang w:val="en-GB"/>
              </w:rPr>
              <w:t>(</w:t>
            </w:r>
            <w:r w:rsidR="005F509C" w:rsidRPr="003C3A1D">
              <w:rPr>
                <w:spacing w:val="-3"/>
                <w:lang w:val="en-GB"/>
              </w:rPr>
              <w:t xml:space="preserve">Spain </w:t>
            </w:r>
            <w:r w:rsidR="00B96D74" w:rsidRPr="003C3A1D">
              <w:rPr>
                <w:spacing w:val="-3"/>
                <w:lang w:val="en-GB"/>
              </w:rPr>
              <w:t>10</w:t>
            </w:r>
            <w:r w:rsidR="005F509C" w:rsidRPr="003C3A1D">
              <w:rPr>
                <w:spacing w:val="-3"/>
                <w:lang w:val="en-GB"/>
              </w:rPr>
              <w:t>.</w:t>
            </w:r>
            <w:r w:rsidR="00B96D74" w:rsidRPr="003C3A1D">
              <w:rPr>
                <w:spacing w:val="-3"/>
                <w:lang w:val="en-GB"/>
              </w:rPr>
              <w:t>8%, It</w:t>
            </w:r>
            <w:r w:rsidR="005F509C" w:rsidRPr="003C3A1D">
              <w:rPr>
                <w:spacing w:val="-3"/>
                <w:lang w:val="en-GB"/>
              </w:rPr>
              <w:t xml:space="preserve">aly </w:t>
            </w:r>
            <w:r w:rsidR="00B96D74" w:rsidRPr="003C3A1D">
              <w:rPr>
                <w:spacing w:val="-3"/>
                <w:lang w:val="en-GB"/>
              </w:rPr>
              <w:t>8</w:t>
            </w:r>
            <w:r w:rsidR="005F509C" w:rsidRPr="003C3A1D">
              <w:rPr>
                <w:spacing w:val="-3"/>
                <w:lang w:val="en-GB"/>
              </w:rPr>
              <w:t>.</w:t>
            </w:r>
            <w:r w:rsidR="00B96D74" w:rsidRPr="003C3A1D">
              <w:rPr>
                <w:spacing w:val="-3"/>
                <w:lang w:val="en-GB"/>
              </w:rPr>
              <w:t xml:space="preserve">6%, </w:t>
            </w:r>
            <w:r w:rsidR="005F509C" w:rsidRPr="003C3A1D">
              <w:rPr>
                <w:spacing w:val="-3"/>
                <w:lang w:val="en-GB"/>
              </w:rPr>
              <w:t xml:space="preserve">Greece </w:t>
            </w:r>
            <w:r w:rsidR="00B96D74" w:rsidRPr="003C3A1D">
              <w:rPr>
                <w:lang w:val="en-GB"/>
              </w:rPr>
              <w:t>8</w:t>
            </w:r>
            <w:r w:rsidR="005F509C" w:rsidRPr="003C3A1D">
              <w:rPr>
                <w:lang w:val="en-GB"/>
              </w:rPr>
              <w:t>.</w:t>
            </w:r>
            <w:r w:rsidR="00B96D74" w:rsidRPr="003C3A1D">
              <w:rPr>
                <w:lang w:val="en-GB"/>
              </w:rPr>
              <w:t>1%, P</w:t>
            </w:r>
            <w:r w:rsidR="005F509C" w:rsidRPr="003C3A1D">
              <w:rPr>
                <w:lang w:val="en-GB"/>
              </w:rPr>
              <w:t xml:space="preserve">ortugal </w:t>
            </w:r>
            <w:r w:rsidR="00B96D74" w:rsidRPr="003C3A1D">
              <w:rPr>
                <w:lang w:val="en-GB"/>
              </w:rPr>
              <w:t>6</w:t>
            </w:r>
            <w:r w:rsidR="005F509C" w:rsidRPr="003C3A1D">
              <w:rPr>
                <w:lang w:val="en-GB"/>
              </w:rPr>
              <w:t>.</w:t>
            </w:r>
            <w:r w:rsidR="00B96D74" w:rsidRPr="003C3A1D">
              <w:rPr>
                <w:lang w:val="en-GB"/>
              </w:rPr>
              <w:t xml:space="preserve">4%) </w:t>
            </w:r>
            <w:proofErr w:type="gramStart"/>
            <w:r w:rsidR="00B96D74" w:rsidRPr="003C3A1D">
              <w:rPr>
                <w:lang w:val="en-GB"/>
              </w:rPr>
              <w:t>a</w:t>
            </w:r>
            <w:r w:rsidR="005F509C" w:rsidRPr="003C3A1D">
              <w:rPr>
                <w:lang w:val="en-GB"/>
              </w:rPr>
              <w:t>nd also</w:t>
            </w:r>
            <w:proofErr w:type="gramEnd"/>
            <w:r w:rsidR="005F509C" w:rsidRPr="003C3A1D">
              <w:rPr>
                <w:lang w:val="en-GB"/>
              </w:rPr>
              <w:t xml:space="preserve"> France </w:t>
            </w:r>
            <w:r w:rsidR="00B96D74" w:rsidRPr="003C3A1D">
              <w:rPr>
                <w:lang w:val="en-GB"/>
              </w:rPr>
              <w:t>(8</w:t>
            </w:r>
            <w:r w:rsidR="005F509C" w:rsidRPr="003C3A1D">
              <w:rPr>
                <w:lang w:val="en-GB"/>
              </w:rPr>
              <w:t>.</w:t>
            </w:r>
            <w:r w:rsidR="00B96D74" w:rsidRPr="003C3A1D">
              <w:rPr>
                <w:lang w:val="en-GB"/>
              </w:rPr>
              <w:t xml:space="preserve">1%). </w:t>
            </w:r>
            <w:r w:rsidR="005B506A" w:rsidRPr="003C3A1D">
              <w:rPr>
                <w:lang w:val="en-GB"/>
              </w:rPr>
              <w:t xml:space="preserve">Among the central European states, Poland </w:t>
            </w:r>
            <w:r w:rsidR="00B96D74" w:rsidRPr="003C3A1D">
              <w:rPr>
                <w:lang w:val="en-GB"/>
              </w:rPr>
              <w:t>(–2</w:t>
            </w:r>
            <w:r w:rsidR="005F509C" w:rsidRPr="003C3A1D">
              <w:rPr>
                <w:lang w:val="en-GB"/>
              </w:rPr>
              <w:t>.</w:t>
            </w:r>
            <w:r w:rsidR="00B96D74" w:rsidRPr="003C3A1D">
              <w:rPr>
                <w:lang w:val="en-GB"/>
              </w:rPr>
              <w:t>8%)</w:t>
            </w:r>
            <w:r w:rsidR="005B506A" w:rsidRPr="003C3A1D">
              <w:rPr>
                <w:spacing w:val="-3"/>
                <w:lang w:val="en-GB"/>
              </w:rPr>
              <w:t xml:space="preserve"> fared the best</w:t>
            </w:r>
            <w:r w:rsidR="00B96D74" w:rsidRPr="003C3A1D">
              <w:rPr>
                <w:spacing w:val="-3"/>
                <w:lang w:val="en-GB"/>
              </w:rPr>
              <w:t>,</w:t>
            </w:r>
            <w:r w:rsidR="005B506A" w:rsidRPr="003C3A1D">
              <w:rPr>
                <w:spacing w:val="-3"/>
                <w:lang w:val="en-GB"/>
              </w:rPr>
              <w:t xml:space="preserve"> Austria </w:t>
            </w:r>
            <w:r w:rsidR="00B96D74" w:rsidRPr="003C3A1D">
              <w:rPr>
                <w:spacing w:val="-3"/>
                <w:lang w:val="en-GB"/>
              </w:rPr>
              <w:t>(–6</w:t>
            </w:r>
            <w:r w:rsidR="005F509C" w:rsidRPr="003C3A1D">
              <w:rPr>
                <w:spacing w:val="-3"/>
                <w:lang w:val="en-GB"/>
              </w:rPr>
              <w:t>.</w:t>
            </w:r>
            <w:r w:rsidR="00B96D74" w:rsidRPr="003C3A1D">
              <w:rPr>
                <w:spacing w:val="-3"/>
                <w:lang w:val="en-GB"/>
              </w:rPr>
              <w:t>4%)</w:t>
            </w:r>
            <w:r w:rsidR="005B506A" w:rsidRPr="003C3A1D">
              <w:rPr>
                <w:spacing w:val="-3"/>
                <w:lang w:val="en-GB"/>
              </w:rPr>
              <w:t xml:space="preserve"> the worst</w:t>
            </w:r>
            <w:r w:rsidR="00B96D74" w:rsidRPr="003C3A1D">
              <w:rPr>
                <w:spacing w:val="-3"/>
                <w:lang w:val="en-GB"/>
              </w:rPr>
              <w:t>.</w:t>
            </w:r>
            <w:r w:rsidR="005B506A" w:rsidRPr="003C3A1D">
              <w:rPr>
                <w:spacing w:val="-3"/>
                <w:lang w:val="en-GB"/>
              </w:rPr>
              <w:t xml:space="preserve"> Both Germany and Slovakia recorded comparable slump to the CR. Only Ireland registered the growth of the value added </w:t>
            </w:r>
            <w:r w:rsidR="00B96D74" w:rsidRPr="003C3A1D">
              <w:rPr>
                <w:spacing w:val="-3"/>
                <w:lang w:val="en-GB"/>
              </w:rPr>
              <w:t>(+2</w:t>
            </w:r>
            <w:r w:rsidR="005B506A" w:rsidRPr="003C3A1D">
              <w:rPr>
                <w:spacing w:val="-3"/>
                <w:lang w:val="en-GB"/>
              </w:rPr>
              <w:t>.</w:t>
            </w:r>
            <w:r w:rsidR="00B96D74" w:rsidRPr="003C3A1D">
              <w:rPr>
                <w:spacing w:val="-3"/>
                <w:lang w:val="en-GB"/>
              </w:rPr>
              <w:t>5%),</w:t>
            </w:r>
            <w:r w:rsidR="003E7971" w:rsidRPr="003C3A1D">
              <w:rPr>
                <w:spacing w:val="-3"/>
                <w:lang w:val="en-GB"/>
              </w:rPr>
              <w:t xml:space="preserve"> </w:t>
            </w:r>
            <w:r w:rsidR="00D205DA" w:rsidRPr="003C3A1D">
              <w:rPr>
                <w:spacing w:val="-3"/>
                <w:lang w:val="en-GB"/>
              </w:rPr>
              <w:t xml:space="preserve">North states or Baltic states also reported relatively favourable results. Differences between states primarily testify about the onset of the coronavirus infection across the EU, the speed and intensity of government restrictive measures and partially also about the varying sectoral structure of economies </w:t>
            </w:r>
            <w:r w:rsidR="00B96D74" w:rsidRPr="003C3A1D">
              <w:rPr>
                <w:spacing w:val="-3"/>
                <w:lang w:val="en-GB"/>
              </w:rPr>
              <w:t>(</w:t>
            </w:r>
            <w:r w:rsidR="00ED3818" w:rsidRPr="003C3A1D">
              <w:rPr>
                <w:spacing w:val="-3"/>
                <w:lang w:val="en-GB"/>
              </w:rPr>
              <w:t>larger proportion of activities tied to tourism had a negative effect, the role of public services but also manufacturing then for example a positive effect</w:t>
            </w:r>
            <w:r w:rsidR="00B96D74" w:rsidRPr="003C3A1D">
              <w:rPr>
                <w:spacing w:val="-3"/>
                <w:lang w:val="en-GB"/>
              </w:rPr>
              <w:t>).</w:t>
            </w:r>
          </w:p>
        </w:tc>
      </w:tr>
      <w:tr w:rsidR="00B96D74" w:rsidRPr="00742B86" w:rsidTr="00A52348">
        <w:trPr>
          <w:trHeight w:val="155"/>
        </w:trPr>
        <w:tc>
          <w:tcPr>
            <w:tcW w:w="1494" w:type="dxa"/>
            <w:shd w:val="clear" w:color="auto" w:fill="auto"/>
            <w:tcMar>
              <w:left w:w="0" w:type="dxa"/>
            </w:tcMar>
          </w:tcPr>
          <w:p w:rsidR="00B96D74" w:rsidRPr="00742B86" w:rsidRDefault="00CE6E27" w:rsidP="0091476D">
            <w:pPr>
              <w:pStyle w:val="Marginlie"/>
              <w:rPr>
                <w:spacing w:val="-4"/>
                <w:lang w:val="en-GB"/>
              </w:rPr>
            </w:pPr>
            <w:r w:rsidRPr="00742B86">
              <w:rPr>
                <w:spacing w:val="-4"/>
                <w:lang w:val="en-GB"/>
              </w:rPr>
              <w:t xml:space="preserve">Despite strong </w:t>
            </w:r>
            <w:r w:rsidR="00202575">
              <w:rPr>
                <w:spacing w:val="-4"/>
                <w:lang w:val="en-GB"/>
              </w:rPr>
              <w:t>summer</w:t>
            </w:r>
            <w:r w:rsidRPr="00742B86">
              <w:rPr>
                <w:spacing w:val="-4"/>
                <w:lang w:val="en-GB"/>
              </w:rPr>
              <w:t xml:space="preserve"> recovery, the value of industrial production still remained below its </w:t>
            </w:r>
            <w:r w:rsidR="00B96D74" w:rsidRPr="00742B86">
              <w:rPr>
                <w:spacing w:val="-4"/>
                <w:lang w:val="en-GB"/>
              </w:rPr>
              <w:t>„p</w:t>
            </w:r>
            <w:r w:rsidRPr="00742B86">
              <w:rPr>
                <w:spacing w:val="-4"/>
                <w:lang w:val="en-GB"/>
              </w:rPr>
              <w:t>re-pandemic</w:t>
            </w:r>
            <w:proofErr w:type="gramStart"/>
            <w:r w:rsidR="00B96D74" w:rsidRPr="00742B86">
              <w:rPr>
                <w:spacing w:val="-4"/>
                <w:lang w:val="en-GB"/>
              </w:rPr>
              <w:t xml:space="preserve">“ </w:t>
            </w:r>
            <w:r w:rsidRPr="00742B86">
              <w:rPr>
                <w:spacing w:val="-4"/>
                <w:lang w:val="en-GB"/>
              </w:rPr>
              <w:t>peak</w:t>
            </w:r>
            <w:proofErr w:type="gramEnd"/>
            <w:r w:rsidRPr="00742B86">
              <w:rPr>
                <w:spacing w:val="-4"/>
                <w:lang w:val="en-GB"/>
              </w:rPr>
              <w:t xml:space="preserve">. </w:t>
            </w:r>
          </w:p>
          <w:p w:rsidR="00B96D74" w:rsidRPr="00742B86" w:rsidRDefault="00B96D74" w:rsidP="0091476D">
            <w:pPr>
              <w:pStyle w:val="Marginlie"/>
              <w:rPr>
                <w:spacing w:val="-4"/>
                <w:lang w:val="en-GB"/>
              </w:rPr>
            </w:pPr>
          </w:p>
          <w:p w:rsidR="00B96D74" w:rsidRPr="00742B86" w:rsidRDefault="00B96D74" w:rsidP="0091476D">
            <w:pPr>
              <w:pStyle w:val="Marginlie"/>
              <w:rPr>
                <w:spacing w:val="-4"/>
                <w:lang w:val="en-GB"/>
              </w:rPr>
            </w:pPr>
          </w:p>
          <w:p w:rsidR="00B96D74" w:rsidRPr="00742B86" w:rsidRDefault="00B96D74" w:rsidP="0091476D">
            <w:pPr>
              <w:pStyle w:val="Marginlie"/>
              <w:rPr>
                <w:spacing w:val="-4"/>
                <w:lang w:val="en-GB"/>
              </w:rPr>
            </w:pPr>
          </w:p>
          <w:p w:rsidR="00B96D74" w:rsidRPr="00742B86" w:rsidRDefault="0093799F" w:rsidP="0091476D">
            <w:pPr>
              <w:pStyle w:val="Marginlie"/>
              <w:rPr>
                <w:lang w:val="en-GB"/>
              </w:rPr>
            </w:pPr>
            <w:r w:rsidRPr="00742B86">
              <w:rPr>
                <w:spacing w:val="-4"/>
                <w:lang w:val="en-GB"/>
              </w:rPr>
              <w:t>Motor vehicle production stood behind the slump of the whole industry in H</w:t>
            </w:r>
            <w:r w:rsidR="00B96D74" w:rsidRPr="00742B86">
              <w:rPr>
                <w:spacing w:val="-4"/>
                <w:lang w:val="en-GB"/>
              </w:rPr>
              <w:t>1</w:t>
            </w:r>
            <w:r w:rsidRPr="00742B86">
              <w:rPr>
                <w:spacing w:val="-4"/>
                <w:lang w:val="en-GB"/>
              </w:rPr>
              <w:t xml:space="preserve">, it was however also key for the renewal of its growth at the end of the year. </w:t>
            </w:r>
          </w:p>
        </w:tc>
        <w:tc>
          <w:tcPr>
            <w:tcW w:w="185" w:type="dxa"/>
            <w:shd w:val="clear" w:color="auto" w:fill="auto"/>
            <w:tcMar>
              <w:left w:w="0" w:type="dxa"/>
            </w:tcMar>
          </w:tcPr>
          <w:p w:rsidR="00B96D74" w:rsidRPr="00742B86" w:rsidRDefault="00B96D74" w:rsidP="0091476D">
            <w:pPr>
              <w:pStyle w:val="Textpoznpodarou"/>
              <w:jc w:val="both"/>
              <w:rPr>
                <w:spacing w:val="-4"/>
                <w:lang w:val="en-GB"/>
              </w:rPr>
            </w:pPr>
          </w:p>
        </w:tc>
        <w:tc>
          <w:tcPr>
            <w:tcW w:w="7985" w:type="dxa"/>
            <w:shd w:val="clear" w:color="auto" w:fill="auto"/>
            <w:tcMar>
              <w:left w:w="0" w:type="dxa"/>
            </w:tcMar>
          </w:tcPr>
          <w:p w:rsidR="00B96D74" w:rsidRPr="00742B86" w:rsidRDefault="00ED3818" w:rsidP="00862C0A">
            <w:pPr>
              <w:rPr>
                <w:spacing w:val="-4"/>
                <w:lang w:val="en-GB"/>
              </w:rPr>
            </w:pPr>
            <w:proofErr w:type="gramStart"/>
            <w:r w:rsidRPr="00742B86">
              <w:rPr>
                <w:spacing w:val="-4"/>
                <w:lang w:val="en-GB"/>
              </w:rPr>
              <w:t>Also</w:t>
            </w:r>
            <w:proofErr w:type="gramEnd"/>
            <w:r w:rsidRPr="00742B86">
              <w:rPr>
                <w:spacing w:val="-4"/>
                <w:lang w:val="en-GB"/>
              </w:rPr>
              <w:t xml:space="preserve"> more detailed data of </w:t>
            </w:r>
            <w:r w:rsidR="009A03A5" w:rsidRPr="00742B86">
              <w:rPr>
                <w:spacing w:val="-4"/>
                <w:lang w:val="en-GB"/>
              </w:rPr>
              <w:t>enterprise</w:t>
            </w:r>
            <w:r w:rsidRPr="00742B86">
              <w:rPr>
                <w:spacing w:val="-4"/>
                <w:lang w:val="en-GB"/>
              </w:rPr>
              <w:t xml:space="preserve"> statistics </w:t>
            </w:r>
            <w:r w:rsidR="00B301DB" w:rsidRPr="00742B86">
              <w:rPr>
                <w:spacing w:val="-4"/>
                <w:lang w:val="en-GB"/>
              </w:rPr>
              <w:t>confirm</w:t>
            </w:r>
            <w:r w:rsidRPr="00742B86">
              <w:rPr>
                <w:spacing w:val="-4"/>
                <w:lang w:val="en-GB"/>
              </w:rPr>
              <w:t xml:space="preserve"> that a significant revival of industrial production</w:t>
            </w:r>
            <w:r w:rsidRPr="00742B86">
              <w:rPr>
                <w:color w:val="000000" w:themeColor="text1"/>
                <w:spacing w:val="-4"/>
                <w:vertAlign w:val="superscript"/>
                <w:lang w:val="en-GB"/>
              </w:rPr>
              <w:footnoteReference w:id="21"/>
            </w:r>
            <w:r w:rsidRPr="00742B86">
              <w:rPr>
                <w:spacing w:val="-4"/>
                <w:lang w:val="en-GB"/>
              </w:rPr>
              <w:t xml:space="preserve"> </w:t>
            </w:r>
            <w:r w:rsidR="009A03A5" w:rsidRPr="00742B86">
              <w:rPr>
                <w:spacing w:val="-4"/>
                <w:lang w:val="en-GB"/>
              </w:rPr>
              <w:t>occurred</w:t>
            </w:r>
            <w:r w:rsidRPr="00742B86">
              <w:rPr>
                <w:spacing w:val="-4"/>
                <w:lang w:val="en-GB"/>
              </w:rPr>
              <w:t xml:space="preserve"> during both May and June, </w:t>
            </w:r>
            <w:r w:rsidRPr="00742B86">
              <w:rPr>
                <w:color w:val="000000" w:themeColor="text1"/>
                <w:spacing w:val="-4"/>
                <w:lang w:val="en-GB"/>
              </w:rPr>
              <w:t xml:space="preserve">following the steep </w:t>
            </w:r>
            <w:r w:rsidR="00202575">
              <w:rPr>
                <w:color w:val="000000" w:themeColor="text1"/>
                <w:spacing w:val="-4"/>
                <w:lang w:val="en-GB"/>
              </w:rPr>
              <w:t>spring</w:t>
            </w:r>
            <w:r w:rsidRPr="00742B86">
              <w:rPr>
                <w:color w:val="000000" w:themeColor="text1"/>
                <w:spacing w:val="-4"/>
                <w:lang w:val="en-GB"/>
              </w:rPr>
              <w:t xml:space="preserve"> descend</w:t>
            </w:r>
            <w:r w:rsidRPr="00742B86">
              <w:rPr>
                <w:rStyle w:val="Znakapoznpodarou"/>
                <w:spacing w:val="-4"/>
                <w:lang w:val="en-GB"/>
              </w:rPr>
              <w:footnoteReference w:id="22"/>
            </w:r>
            <w:r w:rsidRPr="00742B86">
              <w:rPr>
                <w:color w:val="000000" w:themeColor="text1"/>
                <w:spacing w:val="-4"/>
                <w:lang w:val="en-GB"/>
              </w:rPr>
              <w:t xml:space="preserve"> </w:t>
            </w:r>
            <w:r w:rsidR="009A03A5" w:rsidRPr="00742B86">
              <w:rPr>
                <w:color w:val="000000" w:themeColor="text1"/>
                <w:spacing w:val="-4"/>
                <w:lang w:val="en-GB"/>
              </w:rPr>
              <w:t>accompanied</w:t>
            </w:r>
            <w:r w:rsidRPr="00742B86">
              <w:rPr>
                <w:color w:val="000000" w:themeColor="text1"/>
                <w:spacing w:val="-4"/>
                <w:lang w:val="en-GB"/>
              </w:rPr>
              <w:t xml:space="preserve"> by several-week closure of number of operations</w:t>
            </w:r>
            <w:r w:rsidR="00B96D74" w:rsidRPr="00742B86">
              <w:rPr>
                <w:color w:val="000000" w:themeColor="text1"/>
                <w:spacing w:val="-4"/>
                <w:lang w:val="en-GB"/>
              </w:rPr>
              <w:t xml:space="preserve">. </w:t>
            </w:r>
            <w:r w:rsidR="009A03A5" w:rsidRPr="00742B86">
              <w:rPr>
                <w:color w:val="000000" w:themeColor="text1"/>
                <w:spacing w:val="-4"/>
                <w:lang w:val="en-GB"/>
              </w:rPr>
              <w:t>Bo</w:t>
            </w:r>
            <w:r w:rsidR="00186562" w:rsidRPr="00742B86">
              <w:rPr>
                <w:color w:val="000000" w:themeColor="text1"/>
                <w:spacing w:val="-4"/>
                <w:lang w:val="en-GB"/>
              </w:rPr>
              <w:t>th</w:t>
            </w:r>
            <w:r w:rsidR="009A03A5" w:rsidRPr="00742B86">
              <w:rPr>
                <w:color w:val="000000" w:themeColor="text1"/>
                <w:spacing w:val="-4"/>
                <w:lang w:val="en-GB"/>
              </w:rPr>
              <w:t xml:space="preserve"> fast renewal of demand in key export activit</w:t>
            </w:r>
            <w:r w:rsidR="00186562" w:rsidRPr="00742B86">
              <w:rPr>
                <w:color w:val="000000" w:themeColor="text1"/>
                <w:spacing w:val="-4"/>
                <w:lang w:val="en-GB"/>
              </w:rPr>
              <w:t>i</w:t>
            </w:r>
            <w:r w:rsidR="009A03A5" w:rsidRPr="00742B86">
              <w:rPr>
                <w:color w:val="000000" w:themeColor="text1"/>
                <w:spacing w:val="-4"/>
                <w:lang w:val="en-GB"/>
              </w:rPr>
              <w:t xml:space="preserve">es and persisting weaker koruna foreign exchange </w:t>
            </w:r>
            <w:r w:rsidR="00186562" w:rsidRPr="00742B86">
              <w:rPr>
                <w:color w:val="000000" w:themeColor="text1"/>
                <w:spacing w:val="-4"/>
                <w:lang w:val="en-GB"/>
              </w:rPr>
              <w:t xml:space="preserve">had a positive effect. </w:t>
            </w:r>
            <w:r w:rsidR="00317263" w:rsidRPr="00742B86">
              <w:rPr>
                <w:color w:val="000000" w:themeColor="text1"/>
                <w:spacing w:val="-4"/>
                <w:lang w:val="en-GB"/>
              </w:rPr>
              <w:t xml:space="preserve">It was also important, that the global production chains were not suspended more </w:t>
            </w:r>
            <w:r w:rsidR="00B96D74" w:rsidRPr="00742B86">
              <w:rPr>
                <w:color w:val="000000" w:themeColor="text1"/>
                <w:spacing w:val="-4"/>
                <w:lang w:val="en-GB"/>
              </w:rPr>
              <w:t>a</w:t>
            </w:r>
            <w:r w:rsidR="009A03A5" w:rsidRPr="00742B86">
              <w:rPr>
                <w:color w:val="000000" w:themeColor="text1"/>
                <w:spacing w:val="-4"/>
                <w:lang w:val="en-GB"/>
              </w:rPr>
              <w:t xml:space="preserve">nd the </w:t>
            </w:r>
            <w:r w:rsidR="00317263" w:rsidRPr="00742B86">
              <w:rPr>
                <w:color w:val="000000" w:themeColor="text1"/>
                <w:spacing w:val="-4"/>
                <w:lang w:val="en-GB"/>
              </w:rPr>
              <w:t>p</w:t>
            </w:r>
            <w:r w:rsidR="009A03A5" w:rsidRPr="00742B86">
              <w:rPr>
                <w:color w:val="000000" w:themeColor="text1"/>
                <w:spacing w:val="-4"/>
                <w:lang w:val="en-GB"/>
              </w:rPr>
              <w:t>ermeability of borders</w:t>
            </w:r>
            <w:r w:rsidR="00317263" w:rsidRPr="00742B86">
              <w:rPr>
                <w:color w:val="000000" w:themeColor="text1"/>
                <w:spacing w:val="-4"/>
                <w:lang w:val="en-GB"/>
              </w:rPr>
              <w:t xml:space="preserve"> for the freight transport </w:t>
            </w:r>
            <w:proofErr w:type="gramStart"/>
            <w:r w:rsidR="00317263" w:rsidRPr="00742B86">
              <w:rPr>
                <w:color w:val="000000" w:themeColor="text1"/>
                <w:spacing w:val="-4"/>
                <w:lang w:val="en-GB"/>
              </w:rPr>
              <w:t>was not disrupted</w:t>
            </w:r>
            <w:proofErr w:type="gramEnd"/>
            <w:r w:rsidR="00317263" w:rsidRPr="00742B86">
              <w:rPr>
                <w:color w:val="000000" w:themeColor="text1"/>
                <w:spacing w:val="-4"/>
                <w:lang w:val="en-GB"/>
              </w:rPr>
              <w:t xml:space="preserve"> any more</w:t>
            </w:r>
            <w:r w:rsidR="00B96D74" w:rsidRPr="00742B86">
              <w:rPr>
                <w:color w:val="000000" w:themeColor="text1"/>
                <w:spacing w:val="-4"/>
                <w:lang w:val="en-GB"/>
              </w:rPr>
              <w:t xml:space="preserve">. </w:t>
            </w:r>
            <w:r w:rsidR="00317263" w:rsidRPr="00742B86">
              <w:rPr>
                <w:color w:val="000000" w:themeColor="text1"/>
                <w:spacing w:val="-4"/>
                <w:lang w:val="en-GB"/>
              </w:rPr>
              <w:t>The month-on-month industrial output grew until October, in the last m</w:t>
            </w:r>
            <w:r w:rsidR="00053625">
              <w:rPr>
                <w:color w:val="000000" w:themeColor="text1"/>
                <w:spacing w:val="-4"/>
                <w:lang w:val="en-GB"/>
              </w:rPr>
              <w:t>onths of the year it almost</w:t>
            </w:r>
            <w:r w:rsidR="00317263" w:rsidRPr="00742B86">
              <w:rPr>
                <w:color w:val="000000" w:themeColor="text1"/>
                <w:spacing w:val="-4"/>
                <w:lang w:val="en-GB"/>
              </w:rPr>
              <w:t xml:space="preserve"> stagnated</w:t>
            </w:r>
            <w:r w:rsidR="00B96D74" w:rsidRPr="00742B86">
              <w:rPr>
                <w:color w:val="000000" w:themeColor="text1"/>
                <w:spacing w:val="-4"/>
                <w:lang w:val="en-GB"/>
              </w:rPr>
              <w:t xml:space="preserve">. </w:t>
            </w:r>
            <w:r w:rsidR="00186562" w:rsidRPr="00742B86">
              <w:rPr>
                <w:color w:val="000000" w:themeColor="text1"/>
                <w:spacing w:val="-4"/>
                <w:lang w:val="en-GB"/>
              </w:rPr>
              <w:t xml:space="preserve">Despite this development, even the December output level still did not reach its </w:t>
            </w:r>
            <w:r w:rsidR="00B96D74" w:rsidRPr="00742B86">
              <w:rPr>
                <w:color w:val="000000" w:themeColor="text1"/>
                <w:spacing w:val="-4"/>
                <w:lang w:val="en-GB"/>
              </w:rPr>
              <w:t>„p</w:t>
            </w:r>
            <w:r w:rsidR="00186562" w:rsidRPr="00742B86">
              <w:rPr>
                <w:color w:val="000000" w:themeColor="text1"/>
                <w:spacing w:val="-4"/>
                <w:lang w:val="en-GB"/>
              </w:rPr>
              <w:t>re-pandemic</w:t>
            </w:r>
            <w:proofErr w:type="gramStart"/>
            <w:r w:rsidR="00B96D74" w:rsidRPr="00742B86">
              <w:rPr>
                <w:color w:val="000000" w:themeColor="text1"/>
                <w:spacing w:val="-4"/>
                <w:lang w:val="en-GB"/>
              </w:rPr>
              <w:t>“ maxim</w:t>
            </w:r>
            <w:r w:rsidR="00186562" w:rsidRPr="00742B86">
              <w:rPr>
                <w:color w:val="000000" w:themeColor="text1"/>
                <w:spacing w:val="-4"/>
                <w:lang w:val="en-GB"/>
              </w:rPr>
              <w:t>um</w:t>
            </w:r>
            <w:proofErr w:type="gramEnd"/>
            <w:r w:rsidR="00B96D74" w:rsidRPr="00742B86">
              <w:rPr>
                <w:rStyle w:val="Znakapoznpodarou"/>
                <w:color w:val="000000" w:themeColor="text1"/>
                <w:spacing w:val="-4"/>
                <w:lang w:val="en-GB"/>
              </w:rPr>
              <w:footnoteReference w:id="23"/>
            </w:r>
            <w:r w:rsidR="00B96D74" w:rsidRPr="00742B86">
              <w:rPr>
                <w:color w:val="000000" w:themeColor="text1"/>
                <w:spacing w:val="-4"/>
                <w:lang w:val="en-GB"/>
              </w:rPr>
              <w:t xml:space="preserve">. </w:t>
            </w:r>
            <w:r w:rsidR="0094257D" w:rsidRPr="00742B86">
              <w:rPr>
                <w:color w:val="000000" w:themeColor="text1"/>
                <w:spacing w:val="-4"/>
                <w:lang w:val="en-GB"/>
              </w:rPr>
              <w:t>However, it was positive that the industry returned to growth in the year-on-year expression in Q</w:t>
            </w:r>
            <w:r w:rsidR="00B96D74" w:rsidRPr="00742B86">
              <w:rPr>
                <w:color w:val="000000" w:themeColor="text1"/>
                <w:spacing w:val="-4"/>
                <w:lang w:val="en-GB"/>
              </w:rPr>
              <w:t>4</w:t>
            </w:r>
            <w:r w:rsidR="0094257D" w:rsidRPr="00742B86">
              <w:rPr>
                <w:color w:val="000000" w:themeColor="text1"/>
                <w:spacing w:val="-4"/>
                <w:lang w:val="en-GB"/>
              </w:rPr>
              <w:t xml:space="preserve"> </w:t>
            </w:r>
            <w:r w:rsidR="00B96D74" w:rsidRPr="00742B86">
              <w:rPr>
                <w:color w:val="000000" w:themeColor="text1"/>
                <w:spacing w:val="-4"/>
                <w:lang w:val="en-GB"/>
              </w:rPr>
              <w:t>(+2</w:t>
            </w:r>
            <w:r w:rsidR="0094257D" w:rsidRPr="00742B86">
              <w:rPr>
                <w:color w:val="000000" w:themeColor="text1"/>
                <w:spacing w:val="-4"/>
                <w:lang w:val="en-GB"/>
              </w:rPr>
              <w:t>.</w:t>
            </w:r>
            <w:r w:rsidR="00B96D74" w:rsidRPr="00742B86">
              <w:rPr>
                <w:color w:val="000000" w:themeColor="text1"/>
                <w:spacing w:val="-4"/>
                <w:lang w:val="en-GB"/>
              </w:rPr>
              <w:t>0%).</w:t>
            </w:r>
            <w:r w:rsidR="0094257D" w:rsidRPr="00742B86">
              <w:rPr>
                <w:color w:val="000000" w:themeColor="text1"/>
                <w:spacing w:val="-4"/>
                <w:lang w:val="en-GB"/>
              </w:rPr>
              <w:t xml:space="preserve"> The industrial production declined by </w:t>
            </w:r>
            <w:r w:rsidR="00B96D74" w:rsidRPr="00742B86">
              <w:rPr>
                <w:color w:val="000000" w:themeColor="text1"/>
                <w:spacing w:val="-4"/>
                <w:lang w:val="en-GB"/>
              </w:rPr>
              <w:t>7</w:t>
            </w:r>
            <w:r w:rsidR="0094257D" w:rsidRPr="00742B86">
              <w:rPr>
                <w:color w:val="000000" w:themeColor="text1"/>
                <w:spacing w:val="-4"/>
                <w:lang w:val="en-GB"/>
              </w:rPr>
              <w:t>.</w:t>
            </w:r>
            <w:r w:rsidR="00B96D74" w:rsidRPr="00742B86">
              <w:rPr>
                <w:color w:val="000000" w:themeColor="text1"/>
                <w:spacing w:val="-4"/>
                <w:lang w:val="en-GB"/>
              </w:rPr>
              <w:t>2%</w:t>
            </w:r>
            <w:r w:rsidR="00B96D74" w:rsidRPr="00742B86">
              <w:rPr>
                <w:rStyle w:val="Znakapoznpodarou"/>
                <w:color w:val="000000" w:themeColor="text1"/>
                <w:spacing w:val="-4"/>
                <w:lang w:val="en-GB"/>
              </w:rPr>
              <w:footnoteReference w:id="24"/>
            </w:r>
            <w:r w:rsidR="0094257D" w:rsidRPr="00742B86">
              <w:rPr>
                <w:color w:val="000000" w:themeColor="text1"/>
                <w:spacing w:val="-4"/>
                <w:lang w:val="en-GB"/>
              </w:rPr>
              <w:t xml:space="preserve"> for the whole year 2020</w:t>
            </w:r>
            <w:r w:rsidR="00B96D74" w:rsidRPr="00742B86">
              <w:rPr>
                <w:color w:val="000000" w:themeColor="text1"/>
                <w:spacing w:val="-4"/>
                <w:lang w:val="en-GB"/>
              </w:rPr>
              <w:t xml:space="preserve">. </w:t>
            </w:r>
            <w:r w:rsidR="003F08E2" w:rsidRPr="00742B86">
              <w:rPr>
                <w:color w:val="000000" w:themeColor="text1"/>
                <w:spacing w:val="-4"/>
                <w:lang w:val="en-GB"/>
              </w:rPr>
              <w:t>While the motor vehicle production drove the whole branch down the most in both Q</w:t>
            </w:r>
            <w:r w:rsidR="00B96D74" w:rsidRPr="00742B86">
              <w:rPr>
                <w:color w:val="000000" w:themeColor="text1"/>
                <w:spacing w:val="-4"/>
                <w:lang w:val="en-GB"/>
              </w:rPr>
              <w:t>1</w:t>
            </w:r>
            <w:r w:rsidR="003F08E2" w:rsidRPr="00742B86">
              <w:rPr>
                <w:color w:val="000000" w:themeColor="text1"/>
                <w:spacing w:val="-4"/>
                <w:lang w:val="en-GB"/>
              </w:rPr>
              <w:t xml:space="preserve"> and </w:t>
            </w:r>
            <w:r w:rsidR="00E15361">
              <w:rPr>
                <w:color w:val="000000" w:themeColor="text1"/>
                <w:spacing w:val="-4"/>
                <w:lang w:val="en-GB"/>
              </w:rPr>
              <w:t>Q</w:t>
            </w:r>
            <w:r w:rsidR="00B96D74" w:rsidRPr="00742B86">
              <w:rPr>
                <w:color w:val="000000" w:themeColor="text1"/>
                <w:spacing w:val="-4"/>
                <w:lang w:val="en-GB"/>
              </w:rPr>
              <w:t>2</w:t>
            </w:r>
            <w:r w:rsidR="003F08E2" w:rsidRPr="00742B86">
              <w:rPr>
                <w:color w:val="000000" w:themeColor="text1"/>
                <w:spacing w:val="-4"/>
                <w:lang w:val="en-GB"/>
              </w:rPr>
              <w:t xml:space="preserve"> </w:t>
            </w:r>
            <w:r w:rsidR="00B96D74" w:rsidRPr="00742B86">
              <w:rPr>
                <w:color w:val="000000" w:themeColor="text1"/>
                <w:spacing w:val="-4"/>
                <w:lang w:val="en-GB"/>
              </w:rPr>
              <w:t>(</w:t>
            </w:r>
            <w:r w:rsidR="003F08E2" w:rsidRPr="00742B86">
              <w:rPr>
                <w:color w:val="000000" w:themeColor="text1"/>
                <w:spacing w:val="-4"/>
                <w:lang w:val="en-GB"/>
              </w:rPr>
              <w:t xml:space="preserve">it was responsible for more than one third of the year-on-year slump of the </w:t>
            </w:r>
            <w:r w:rsidR="00E15361">
              <w:rPr>
                <w:color w:val="000000" w:themeColor="text1"/>
                <w:spacing w:val="-4"/>
                <w:lang w:val="en-GB"/>
              </w:rPr>
              <w:t xml:space="preserve">total </w:t>
            </w:r>
            <w:r w:rsidR="003F08E2" w:rsidRPr="00742B86">
              <w:rPr>
                <w:color w:val="000000" w:themeColor="text1"/>
                <w:spacing w:val="-4"/>
                <w:lang w:val="en-GB"/>
              </w:rPr>
              <w:t>industrial output</w:t>
            </w:r>
            <w:r w:rsidR="00B96D74" w:rsidRPr="00742B86">
              <w:rPr>
                <w:color w:val="000000" w:themeColor="text1"/>
                <w:spacing w:val="-4"/>
                <w:lang w:val="en-GB"/>
              </w:rPr>
              <w:t>),</w:t>
            </w:r>
            <w:r w:rsidR="003F08E2" w:rsidRPr="00742B86">
              <w:rPr>
                <w:color w:val="000000" w:themeColor="text1"/>
                <w:spacing w:val="-4"/>
                <w:lang w:val="en-GB"/>
              </w:rPr>
              <w:t xml:space="preserve"> machinery took over this role in the remaining part of the year</w:t>
            </w:r>
            <w:r w:rsidR="00B96D74" w:rsidRPr="00742B86">
              <w:rPr>
                <w:color w:val="000000" w:themeColor="text1"/>
                <w:spacing w:val="-4"/>
                <w:lang w:val="en-GB"/>
              </w:rPr>
              <w:t xml:space="preserve">. </w:t>
            </w:r>
            <w:r w:rsidR="0094257D" w:rsidRPr="00742B86">
              <w:rPr>
                <w:color w:val="000000" w:themeColor="text1"/>
                <w:spacing w:val="-4"/>
                <w:lang w:val="en-GB"/>
              </w:rPr>
              <w:t xml:space="preserve">On the contrary, the motor vehicle industry </w:t>
            </w:r>
            <w:r w:rsidR="00A66F79" w:rsidRPr="00742B86">
              <w:rPr>
                <w:color w:val="000000" w:themeColor="text1"/>
                <w:spacing w:val="-4"/>
                <w:lang w:val="en-GB"/>
              </w:rPr>
              <w:t>proved to</w:t>
            </w:r>
            <w:r w:rsidR="00B301DB" w:rsidRPr="00742B86">
              <w:rPr>
                <w:color w:val="000000" w:themeColor="text1"/>
                <w:spacing w:val="-4"/>
                <w:lang w:val="en-GB"/>
              </w:rPr>
              <w:t xml:space="preserve"> be</w:t>
            </w:r>
            <w:r w:rsidR="00A66F79" w:rsidRPr="00742B86">
              <w:rPr>
                <w:color w:val="000000" w:themeColor="text1"/>
                <w:spacing w:val="-4"/>
                <w:lang w:val="en-GB"/>
              </w:rPr>
              <w:t xml:space="preserve"> the principal factor for the growth reestablishment in the whole industry in Q</w:t>
            </w:r>
            <w:r w:rsidR="00B96D74" w:rsidRPr="00742B86">
              <w:rPr>
                <w:color w:val="000000" w:themeColor="text1"/>
                <w:spacing w:val="-4"/>
                <w:lang w:val="en-GB"/>
              </w:rPr>
              <w:t>4</w:t>
            </w:r>
            <w:r w:rsidR="00A66F79" w:rsidRPr="00742B86">
              <w:rPr>
                <w:color w:val="000000" w:themeColor="text1"/>
                <w:spacing w:val="-4"/>
                <w:lang w:val="en-GB"/>
              </w:rPr>
              <w:t xml:space="preserve"> </w:t>
            </w:r>
            <w:r w:rsidR="00B96D74" w:rsidRPr="00742B86">
              <w:rPr>
                <w:color w:val="000000" w:themeColor="text1"/>
                <w:spacing w:val="-4"/>
                <w:lang w:val="en-GB"/>
              </w:rPr>
              <w:t>(</w:t>
            </w:r>
            <w:r w:rsidR="00A66F79" w:rsidRPr="00742B86">
              <w:rPr>
                <w:color w:val="000000" w:themeColor="text1"/>
                <w:spacing w:val="-4"/>
                <w:lang w:val="en-GB"/>
              </w:rPr>
              <w:t xml:space="preserve">contribution </w:t>
            </w:r>
            <w:r w:rsidR="00B96D74" w:rsidRPr="00742B86">
              <w:rPr>
                <w:color w:val="000000" w:themeColor="text1"/>
                <w:spacing w:val="-4"/>
                <w:lang w:val="en-GB"/>
              </w:rPr>
              <w:t>+1</w:t>
            </w:r>
            <w:r w:rsidR="00A66F79" w:rsidRPr="00742B86">
              <w:rPr>
                <w:color w:val="000000" w:themeColor="text1"/>
                <w:spacing w:val="-4"/>
                <w:lang w:val="en-GB"/>
              </w:rPr>
              <w:t>.</w:t>
            </w:r>
            <w:r w:rsidR="00B96D74" w:rsidRPr="00742B86">
              <w:rPr>
                <w:color w:val="000000" w:themeColor="text1"/>
                <w:spacing w:val="-4"/>
                <w:lang w:val="en-GB"/>
              </w:rPr>
              <w:t>9 p.</w:t>
            </w:r>
            <w:r w:rsidR="00A66F79" w:rsidRPr="00742B86">
              <w:rPr>
                <w:color w:val="000000" w:themeColor="text1"/>
                <w:spacing w:val="-4"/>
                <w:lang w:val="en-GB"/>
              </w:rPr>
              <w:t>p</w:t>
            </w:r>
            <w:r w:rsidR="00B96D74" w:rsidRPr="00742B86">
              <w:rPr>
                <w:color w:val="000000" w:themeColor="text1"/>
                <w:spacing w:val="-4"/>
                <w:lang w:val="en-GB"/>
              </w:rPr>
              <w:t>.,</w:t>
            </w:r>
            <w:r w:rsidR="00A66F79" w:rsidRPr="00742B86">
              <w:rPr>
                <w:color w:val="000000" w:themeColor="text1"/>
                <w:spacing w:val="-4"/>
                <w:lang w:val="en-GB"/>
              </w:rPr>
              <w:t xml:space="preserve"> together with the nearest subcontractor branches </w:t>
            </w:r>
            <w:r w:rsidR="00B96D74" w:rsidRPr="00742B86">
              <w:rPr>
                <w:color w:val="000000" w:themeColor="text1"/>
                <w:spacing w:val="-4"/>
                <w:lang w:val="en-GB"/>
              </w:rPr>
              <w:t>+2</w:t>
            </w:r>
            <w:r w:rsidR="00A66F79" w:rsidRPr="00742B86">
              <w:rPr>
                <w:color w:val="000000" w:themeColor="text1"/>
                <w:spacing w:val="-4"/>
                <w:lang w:val="en-GB"/>
              </w:rPr>
              <w:t>.</w:t>
            </w:r>
            <w:r w:rsidR="00B96D74" w:rsidRPr="00742B86">
              <w:rPr>
                <w:color w:val="000000" w:themeColor="text1"/>
                <w:spacing w:val="-4"/>
                <w:lang w:val="en-GB"/>
              </w:rPr>
              <w:t>5 p.</w:t>
            </w:r>
            <w:r w:rsidR="00A66F79" w:rsidRPr="00742B86">
              <w:rPr>
                <w:color w:val="000000" w:themeColor="text1"/>
                <w:spacing w:val="-4"/>
                <w:lang w:val="en-GB"/>
              </w:rPr>
              <w:t>p</w:t>
            </w:r>
            <w:r w:rsidR="00B96D74" w:rsidRPr="00742B86">
              <w:rPr>
                <w:color w:val="000000" w:themeColor="text1"/>
                <w:spacing w:val="-4"/>
                <w:lang w:val="en-GB"/>
              </w:rPr>
              <w:t>.). T</w:t>
            </w:r>
            <w:r w:rsidR="00A66F79" w:rsidRPr="00742B86">
              <w:rPr>
                <w:color w:val="000000" w:themeColor="text1"/>
                <w:spacing w:val="-4"/>
                <w:lang w:val="en-GB"/>
              </w:rPr>
              <w:t>his revival, even though with smaller</w:t>
            </w:r>
            <w:r w:rsidR="00E15361">
              <w:rPr>
                <w:color w:val="000000" w:themeColor="text1"/>
                <w:spacing w:val="-4"/>
                <w:lang w:val="en-GB"/>
              </w:rPr>
              <w:t xml:space="preserve"> intensity, arrived in all </w:t>
            </w:r>
            <w:r w:rsidR="00A66F79" w:rsidRPr="00742B86">
              <w:rPr>
                <w:color w:val="000000" w:themeColor="text1"/>
                <w:spacing w:val="-4"/>
                <w:lang w:val="en-GB"/>
              </w:rPr>
              <w:t xml:space="preserve">significant manufacturing activities </w:t>
            </w:r>
            <w:r w:rsidR="00B96D74" w:rsidRPr="00742B86">
              <w:rPr>
                <w:color w:val="000000" w:themeColor="text1"/>
                <w:spacing w:val="-4"/>
                <w:lang w:val="en-GB"/>
              </w:rPr>
              <w:t>(</w:t>
            </w:r>
            <w:r w:rsidR="00A66F79" w:rsidRPr="00742B86">
              <w:rPr>
                <w:color w:val="000000" w:themeColor="text1"/>
                <w:spacing w:val="-4"/>
                <w:lang w:val="en-GB"/>
              </w:rPr>
              <w:t>apart for machinery</w:t>
            </w:r>
            <w:r w:rsidR="00B96D74" w:rsidRPr="00742B86">
              <w:rPr>
                <w:color w:val="000000" w:themeColor="text1"/>
                <w:spacing w:val="-4"/>
                <w:lang w:val="en-GB"/>
              </w:rPr>
              <w:t>).</w:t>
            </w:r>
          </w:p>
        </w:tc>
      </w:tr>
      <w:tr w:rsidR="00B96D74" w:rsidRPr="00742B86" w:rsidTr="0042612F">
        <w:trPr>
          <w:trHeight w:val="155"/>
        </w:trPr>
        <w:tc>
          <w:tcPr>
            <w:tcW w:w="1494" w:type="dxa"/>
            <w:shd w:val="clear" w:color="auto" w:fill="auto"/>
            <w:tcMar>
              <w:left w:w="0" w:type="dxa"/>
            </w:tcMar>
          </w:tcPr>
          <w:p w:rsidR="00B96D74" w:rsidRPr="00742B86" w:rsidRDefault="00EC769F" w:rsidP="0091476D">
            <w:pPr>
              <w:pStyle w:val="Marginlie"/>
              <w:rPr>
                <w:spacing w:val="-4"/>
                <w:lang w:val="en-GB"/>
              </w:rPr>
            </w:pPr>
            <w:r w:rsidRPr="00742B86">
              <w:rPr>
                <w:spacing w:val="-4"/>
                <w:lang w:val="en-GB"/>
              </w:rPr>
              <w:lastRenderedPageBreak/>
              <w:t xml:space="preserve">Motor vehicle manufacturers strived to offset part of the </w:t>
            </w:r>
            <w:r w:rsidR="00202575">
              <w:rPr>
                <w:spacing w:val="-4"/>
                <w:lang w:val="en-GB"/>
              </w:rPr>
              <w:t>spring</w:t>
            </w:r>
            <w:r w:rsidRPr="00742B86">
              <w:rPr>
                <w:spacing w:val="-4"/>
                <w:lang w:val="en-GB"/>
              </w:rPr>
              <w:t xml:space="preserve"> losses in the second half of the year</w:t>
            </w:r>
            <w:r w:rsidR="00B96D74" w:rsidRPr="00742B86">
              <w:rPr>
                <w:spacing w:val="-4"/>
                <w:lang w:val="en-GB"/>
              </w:rPr>
              <w:t>.</w:t>
            </w:r>
            <w:r w:rsidRPr="00742B86">
              <w:rPr>
                <w:spacing w:val="-4"/>
                <w:lang w:val="en-GB"/>
              </w:rPr>
              <w:t xml:space="preserve"> Utilisation of production capacities returned to a high level. </w:t>
            </w:r>
          </w:p>
        </w:tc>
        <w:tc>
          <w:tcPr>
            <w:tcW w:w="185" w:type="dxa"/>
            <w:shd w:val="clear" w:color="auto" w:fill="auto"/>
            <w:tcMar>
              <w:left w:w="0" w:type="dxa"/>
            </w:tcMar>
          </w:tcPr>
          <w:p w:rsidR="00B96D74" w:rsidRPr="00742B86" w:rsidRDefault="00B96D74" w:rsidP="0091476D">
            <w:pPr>
              <w:pStyle w:val="Textpoznpodarou"/>
              <w:jc w:val="both"/>
              <w:rPr>
                <w:spacing w:val="-4"/>
                <w:lang w:val="en-GB"/>
              </w:rPr>
            </w:pPr>
          </w:p>
        </w:tc>
        <w:tc>
          <w:tcPr>
            <w:tcW w:w="7985" w:type="dxa"/>
            <w:shd w:val="clear" w:color="auto" w:fill="auto"/>
            <w:tcMar>
              <w:left w:w="0" w:type="dxa"/>
            </w:tcMar>
          </w:tcPr>
          <w:p w:rsidR="00B96D74" w:rsidRPr="00A21F33" w:rsidRDefault="00060022" w:rsidP="0091476D">
            <w:pPr>
              <w:rPr>
                <w:spacing w:val="-5"/>
                <w:lang w:val="en-GB"/>
              </w:rPr>
            </w:pPr>
            <w:r w:rsidRPr="00A21F33">
              <w:rPr>
                <w:spacing w:val="-5"/>
                <w:lang w:val="en-GB"/>
              </w:rPr>
              <w:t>Output of motor vehicle manufacturing declined by one eighth for the last year</w:t>
            </w:r>
            <w:r w:rsidR="00B96D74" w:rsidRPr="00A21F33">
              <w:rPr>
                <w:spacing w:val="-5"/>
                <w:lang w:val="en-GB"/>
              </w:rPr>
              <w:t xml:space="preserve">, </w:t>
            </w:r>
            <w:r w:rsidR="0005746E" w:rsidRPr="00A21F33">
              <w:rPr>
                <w:spacing w:val="-5"/>
                <w:lang w:val="en-GB"/>
              </w:rPr>
              <w:t xml:space="preserve">that is slightly more in comparison to the crisis year </w:t>
            </w:r>
            <w:r w:rsidR="00B96D74" w:rsidRPr="00A21F33">
              <w:rPr>
                <w:spacing w:val="-5"/>
                <w:lang w:val="en-GB"/>
              </w:rPr>
              <w:t xml:space="preserve">2009. </w:t>
            </w:r>
            <w:r w:rsidR="001F38A3" w:rsidRPr="00A21F33">
              <w:rPr>
                <w:spacing w:val="-5"/>
                <w:lang w:val="en-GB"/>
              </w:rPr>
              <w:t>Effective</w:t>
            </w:r>
            <w:r w:rsidRPr="00A21F33">
              <w:rPr>
                <w:spacing w:val="-5"/>
                <w:lang w:val="en-GB"/>
              </w:rPr>
              <w:t>ly</w:t>
            </w:r>
            <w:r w:rsidR="001F38A3" w:rsidRPr="00A21F33">
              <w:rPr>
                <w:spacing w:val="-5"/>
                <w:lang w:val="en-GB"/>
              </w:rPr>
              <w:t xml:space="preserve"> closure of operations</w:t>
            </w:r>
            <w:r w:rsidRPr="00A21F33">
              <w:rPr>
                <w:spacing w:val="-5"/>
                <w:lang w:val="en-GB"/>
              </w:rPr>
              <w:t xml:space="preserve"> of key businesses as well as simultaneous paralysing of activity of many subcontractors </w:t>
            </w:r>
            <w:r w:rsidR="001F38A3" w:rsidRPr="00A21F33">
              <w:rPr>
                <w:spacing w:val="-5"/>
                <w:lang w:val="en-GB"/>
              </w:rPr>
              <w:t xml:space="preserve">led </w:t>
            </w:r>
            <w:r w:rsidR="0005746E" w:rsidRPr="00A21F33">
              <w:rPr>
                <w:spacing w:val="-5"/>
                <w:lang w:val="en-GB"/>
              </w:rPr>
              <w:t>to the unprecedented fallout of production</w:t>
            </w:r>
            <w:r w:rsidRPr="00A21F33">
              <w:rPr>
                <w:spacing w:val="-5"/>
                <w:lang w:val="en-GB"/>
              </w:rPr>
              <w:t xml:space="preserve">, </w:t>
            </w:r>
            <w:r w:rsidR="00E02CF7" w:rsidRPr="00A21F33">
              <w:rPr>
                <w:spacing w:val="-5"/>
                <w:lang w:val="en-GB"/>
              </w:rPr>
              <w:t>export,</w:t>
            </w:r>
            <w:r w:rsidRPr="00A21F33">
              <w:rPr>
                <w:spacing w:val="-5"/>
                <w:lang w:val="en-GB"/>
              </w:rPr>
              <w:t xml:space="preserve"> </w:t>
            </w:r>
            <w:proofErr w:type="gramStart"/>
            <w:r w:rsidRPr="00A21F33">
              <w:rPr>
                <w:spacing w:val="-5"/>
                <w:lang w:val="en-GB"/>
              </w:rPr>
              <w:t>and also</w:t>
            </w:r>
            <w:proofErr w:type="gramEnd"/>
            <w:r w:rsidRPr="00A21F33">
              <w:rPr>
                <w:spacing w:val="-5"/>
                <w:lang w:val="en-GB"/>
              </w:rPr>
              <w:t xml:space="preserve"> new orders by more than </w:t>
            </w:r>
            <w:r w:rsidR="00B96D74" w:rsidRPr="00A21F33">
              <w:rPr>
                <w:spacing w:val="-5"/>
                <w:lang w:val="en-GB"/>
              </w:rPr>
              <w:t>75%</w:t>
            </w:r>
            <w:r w:rsidR="00B96D74" w:rsidRPr="00A21F33">
              <w:rPr>
                <w:rStyle w:val="Znakapoznpodarou"/>
                <w:spacing w:val="-5"/>
                <w:lang w:val="en-GB"/>
              </w:rPr>
              <w:footnoteReference w:id="25"/>
            </w:r>
            <w:r w:rsidR="001F38A3" w:rsidRPr="00A21F33">
              <w:rPr>
                <w:spacing w:val="-5"/>
                <w:lang w:val="en-GB"/>
              </w:rPr>
              <w:t xml:space="preserve"> in April</w:t>
            </w:r>
            <w:r w:rsidR="00E15361" w:rsidRPr="00A21F33">
              <w:rPr>
                <w:spacing w:val="-5"/>
                <w:lang w:val="en-GB"/>
              </w:rPr>
              <w:t xml:space="preserve"> 2020</w:t>
            </w:r>
            <w:r w:rsidR="00B96D74" w:rsidRPr="00A21F33">
              <w:rPr>
                <w:spacing w:val="-5"/>
                <w:lang w:val="en-GB"/>
              </w:rPr>
              <w:t xml:space="preserve">. </w:t>
            </w:r>
            <w:r w:rsidR="00E02CF7" w:rsidRPr="00A21F33">
              <w:rPr>
                <w:spacing w:val="-5"/>
                <w:lang w:val="en-GB"/>
              </w:rPr>
              <w:t xml:space="preserve">The </w:t>
            </w:r>
            <w:r w:rsidR="00202575" w:rsidRPr="00A21F33">
              <w:rPr>
                <w:spacing w:val="-5"/>
                <w:lang w:val="en-GB"/>
              </w:rPr>
              <w:t>spring</w:t>
            </w:r>
            <w:r w:rsidR="00E02CF7" w:rsidRPr="00A21F33">
              <w:rPr>
                <w:spacing w:val="-5"/>
                <w:lang w:val="en-GB"/>
              </w:rPr>
              <w:t xml:space="preserve"> economic freeze </w:t>
            </w:r>
            <w:proofErr w:type="gramStart"/>
            <w:r w:rsidR="00E02CF7" w:rsidRPr="00A21F33">
              <w:rPr>
                <w:spacing w:val="-5"/>
                <w:lang w:val="en-GB"/>
              </w:rPr>
              <w:t>was not manifested</w:t>
            </w:r>
            <w:proofErr w:type="gramEnd"/>
            <w:r w:rsidR="00E02CF7" w:rsidRPr="00A21F33">
              <w:rPr>
                <w:spacing w:val="-5"/>
                <w:lang w:val="en-GB"/>
              </w:rPr>
              <w:t xml:space="preserve"> to such an extent in any other industrial activity. However, already during Jun</w:t>
            </w:r>
            <w:r w:rsidR="00BB069B" w:rsidRPr="00A21F33">
              <w:rPr>
                <w:spacing w:val="-5"/>
                <w:lang w:val="en-GB"/>
              </w:rPr>
              <w:t>e</w:t>
            </w:r>
            <w:r w:rsidR="00E02CF7" w:rsidRPr="00A21F33">
              <w:rPr>
                <w:spacing w:val="-5"/>
                <w:lang w:val="en-GB"/>
              </w:rPr>
              <w:t xml:space="preserve"> and July, the motor vehicles manufacturers registered year-on-year growth of foreign orders, which they used to help to offset at least part of </w:t>
            </w:r>
            <w:r w:rsidR="00202575" w:rsidRPr="00A21F33">
              <w:rPr>
                <w:spacing w:val="-5"/>
                <w:lang w:val="en-GB"/>
              </w:rPr>
              <w:t>spring</w:t>
            </w:r>
            <w:r w:rsidR="00E02CF7" w:rsidRPr="00A21F33">
              <w:rPr>
                <w:spacing w:val="-5"/>
                <w:lang w:val="en-GB"/>
              </w:rPr>
              <w:t xml:space="preserve"> losses. </w:t>
            </w:r>
            <w:r w:rsidR="00D73BEB" w:rsidRPr="00A21F33">
              <w:rPr>
                <w:rFonts w:ascii="Helvetica" w:hAnsi="Helvetica"/>
                <w:color w:val="000000"/>
                <w:spacing w:val="-5"/>
                <w:szCs w:val="20"/>
                <w:lang w:val="en-GB"/>
              </w:rPr>
              <w:t xml:space="preserve">The utilisation of production capacities exceeded </w:t>
            </w:r>
            <w:r w:rsidR="00B96D74" w:rsidRPr="00A21F33">
              <w:rPr>
                <w:spacing w:val="-5"/>
                <w:lang w:val="en-GB"/>
              </w:rPr>
              <w:t>90%</w:t>
            </w:r>
            <w:r w:rsidR="00D73BEB" w:rsidRPr="00A21F33">
              <w:rPr>
                <w:spacing w:val="-5"/>
                <w:lang w:val="en-GB"/>
              </w:rPr>
              <w:t xml:space="preserve"> in this field in Q4</w:t>
            </w:r>
            <w:r w:rsidR="00E15361" w:rsidRPr="00A21F33">
              <w:rPr>
                <w:spacing w:val="-5"/>
                <w:lang w:val="en-GB"/>
              </w:rPr>
              <w:t xml:space="preserve"> 2020</w:t>
            </w:r>
            <w:r w:rsidR="00D73BEB" w:rsidRPr="00A21F33">
              <w:rPr>
                <w:spacing w:val="-5"/>
                <w:lang w:val="en-GB"/>
              </w:rPr>
              <w:t xml:space="preserve"> and thus return</w:t>
            </w:r>
            <w:r w:rsidR="00E02CF7" w:rsidRPr="00A21F33">
              <w:rPr>
                <w:spacing w:val="-5"/>
                <w:lang w:val="en-GB"/>
              </w:rPr>
              <w:t>ed</w:t>
            </w:r>
            <w:r w:rsidR="00D73BEB" w:rsidRPr="00A21F33">
              <w:rPr>
                <w:spacing w:val="-5"/>
                <w:lang w:val="en-GB"/>
              </w:rPr>
              <w:t xml:space="preserve"> to the level usual in the previous</w:t>
            </w:r>
            <w:r w:rsidR="00E02CF7" w:rsidRPr="00A21F33">
              <w:rPr>
                <w:spacing w:val="-5"/>
                <w:lang w:val="en-GB"/>
              </w:rPr>
              <w:t xml:space="preserve"> peak period</w:t>
            </w:r>
            <w:r w:rsidR="00B96D74" w:rsidRPr="00A21F33">
              <w:rPr>
                <w:spacing w:val="-5"/>
                <w:lang w:val="en-GB"/>
              </w:rPr>
              <w:t xml:space="preserve">. </w:t>
            </w:r>
            <w:r w:rsidR="00E02CF7" w:rsidRPr="00A21F33">
              <w:rPr>
                <w:spacing w:val="-5"/>
                <w:lang w:val="en-GB"/>
              </w:rPr>
              <w:t>The output thus grew by more than one tenth here year-on-year</w:t>
            </w:r>
            <w:r w:rsidR="00B96D74" w:rsidRPr="00A21F33">
              <w:rPr>
                <w:spacing w:val="-5"/>
                <w:lang w:val="en-GB"/>
              </w:rPr>
              <w:t>.</w:t>
            </w:r>
          </w:p>
        </w:tc>
      </w:tr>
      <w:tr w:rsidR="0042612F" w:rsidRPr="00742B86" w:rsidTr="0042612F">
        <w:trPr>
          <w:trHeight w:val="155"/>
        </w:trPr>
        <w:tc>
          <w:tcPr>
            <w:tcW w:w="1494" w:type="dxa"/>
            <w:shd w:val="clear" w:color="auto" w:fill="auto"/>
            <w:tcMar>
              <w:left w:w="0" w:type="dxa"/>
            </w:tcMar>
          </w:tcPr>
          <w:p w:rsidR="0042612F" w:rsidRPr="00742B86" w:rsidRDefault="00E15361" w:rsidP="0091476D">
            <w:pPr>
              <w:pStyle w:val="Marginlie"/>
              <w:rPr>
                <w:spacing w:val="-5"/>
                <w:lang w:val="en-GB"/>
              </w:rPr>
            </w:pPr>
            <w:r>
              <w:rPr>
                <w:spacing w:val="-5"/>
                <w:lang w:val="en-GB"/>
              </w:rPr>
              <w:t xml:space="preserve"> </w:t>
            </w:r>
          </w:p>
        </w:tc>
        <w:tc>
          <w:tcPr>
            <w:tcW w:w="185" w:type="dxa"/>
            <w:shd w:val="clear" w:color="auto" w:fill="auto"/>
            <w:tcMar>
              <w:left w:w="0" w:type="dxa"/>
            </w:tcMar>
          </w:tcPr>
          <w:p w:rsidR="0042612F" w:rsidRPr="00742B86" w:rsidRDefault="0042612F" w:rsidP="0091476D">
            <w:pPr>
              <w:pStyle w:val="Textpoznpodarou"/>
              <w:jc w:val="both"/>
              <w:rPr>
                <w:spacing w:val="-4"/>
                <w:lang w:val="en-GB"/>
              </w:rPr>
            </w:pPr>
          </w:p>
        </w:tc>
        <w:tc>
          <w:tcPr>
            <w:tcW w:w="7985" w:type="dxa"/>
            <w:shd w:val="clear" w:color="auto" w:fill="auto"/>
            <w:tcMar>
              <w:left w:w="0" w:type="dxa"/>
            </w:tcMar>
          </w:tcPr>
          <w:p w:rsidR="0042612F" w:rsidRPr="00742B86" w:rsidRDefault="0042612F" w:rsidP="0042612F">
            <w:pPr>
              <w:spacing w:after="0"/>
              <w:rPr>
                <w:spacing w:val="-4"/>
                <w:lang w:val="en-GB"/>
              </w:rPr>
            </w:pPr>
            <w:r w:rsidRPr="00742B86">
              <w:rPr>
                <w:rFonts w:cs="Arial"/>
                <w:b/>
                <w:bCs/>
                <w:color w:val="000000"/>
                <w:szCs w:val="20"/>
                <w:lang w:val="en-GB"/>
              </w:rPr>
              <w:t xml:space="preserve">Chart 4  </w:t>
            </w:r>
            <w:r w:rsidRPr="00742B86">
              <w:rPr>
                <w:b/>
                <w:lang w:val="en-GB"/>
              </w:rPr>
              <w:t xml:space="preserve">Contributions of sub-branches to the year-on-year change of the industrial production </w:t>
            </w:r>
            <w:r w:rsidRPr="00742B86">
              <w:rPr>
                <w:lang w:val="en-GB"/>
              </w:rPr>
              <w:t xml:space="preserve">(in p.p., adjusted for calendar effects), </w:t>
            </w:r>
            <w:r w:rsidRPr="00742B86">
              <w:rPr>
                <w:b/>
                <w:bCs/>
                <w:lang w:val="en-GB"/>
              </w:rPr>
              <w:t>confidence indicator in industry</w:t>
            </w:r>
            <w:r w:rsidRPr="00742B86">
              <w:rPr>
                <w:b/>
                <w:lang w:val="en-GB"/>
              </w:rPr>
              <w:t xml:space="preserve">* </w:t>
            </w:r>
            <w:r w:rsidRPr="00742B86">
              <w:rPr>
                <w:lang w:val="en-GB"/>
              </w:rPr>
              <w:t>(in p.p., right axis)</w:t>
            </w:r>
          </w:p>
        </w:tc>
      </w:tr>
      <w:tr w:rsidR="0042612F" w:rsidRPr="00742B86" w:rsidTr="0042612F">
        <w:trPr>
          <w:trHeight w:val="155"/>
        </w:trPr>
        <w:tc>
          <w:tcPr>
            <w:tcW w:w="1494" w:type="dxa"/>
            <w:shd w:val="clear" w:color="auto" w:fill="auto"/>
            <w:tcMar>
              <w:left w:w="0" w:type="dxa"/>
            </w:tcMar>
          </w:tcPr>
          <w:p w:rsidR="0042612F" w:rsidRPr="00742B86" w:rsidRDefault="0042612F" w:rsidP="0091476D">
            <w:pPr>
              <w:pStyle w:val="Marginlie"/>
              <w:rPr>
                <w:spacing w:val="-5"/>
                <w:lang w:val="en-GB"/>
              </w:rPr>
            </w:pPr>
          </w:p>
        </w:tc>
        <w:tc>
          <w:tcPr>
            <w:tcW w:w="185" w:type="dxa"/>
            <w:shd w:val="clear" w:color="auto" w:fill="auto"/>
            <w:tcMar>
              <w:left w:w="0" w:type="dxa"/>
            </w:tcMar>
          </w:tcPr>
          <w:p w:rsidR="0042612F" w:rsidRPr="00742B86" w:rsidRDefault="0042612F" w:rsidP="0091476D">
            <w:pPr>
              <w:pStyle w:val="Textpoznpodarou"/>
              <w:jc w:val="both"/>
              <w:rPr>
                <w:spacing w:val="-4"/>
                <w:lang w:val="en-GB"/>
              </w:rPr>
            </w:pPr>
          </w:p>
        </w:tc>
        <w:tc>
          <w:tcPr>
            <w:tcW w:w="7985" w:type="dxa"/>
            <w:shd w:val="clear" w:color="auto" w:fill="auto"/>
            <w:tcMar>
              <w:left w:w="0" w:type="dxa"/>
            </w:tcMar>
          </w:tcPr>
          <w:p w:rsidR="0042612F" w:rsidRPr="00742B86" w:rsidRDefault="0042612F" w:rsidP="0042612F">
            <w:pPr>
              <w:spacing w:after="0"/>
              <w:rPr>
                <w:rFonts w:cs="Arial"/>
                <w:b/>
                <w:bCs/>
                <w:color w:val="000000"/>
                <w:szCs w:val="20"/>
                <w:lang w:val="en-GB"/>
              </w:rPr>
            </w:pPr>
            <w:r>
              <w:rPr>
                <w:noProof/>
              </w:rPr>
              <w:drawing>
                <wp:inline distT="0" distB="0" distL="0" distR="0" wp14:anchorId="07FD70DA" wp14:editId="6E561786">
                  <wp:extent cx="4981575" cy="3663043"/>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2612F" w:rsidRPr="00742B86" w:rsidTr="0042612F">
        <w:trPr>
          <w:trHeight w:val="155"/>
        </w:trPr>
        <w:tc>
          <w:tcPr>
            <w:tcW w:w="1494" w:type="dxa"/>
            <w:shd w:val="clear" w:color="auto" w:fill="auto"/>
            <w:tcMar>
              <w:left w:w="0" w:type="dxa"/>
            </w:tcMar>
          </w:tcPr>
          <w:p w:rsidR="0042612F" w:rsidRPr="00742B86" w:rsidRDefault="0042612F" w:rsidP="0042612F">
            <w:pPr>
              <w:pStyle w:val="Marginlie"/>
              <w:rPr>
                <w:spacing w:val="-5"/>
                <w:lang w:val="en-GB"/>
              </w:rPr>
            </w:pPr>
          </w:p>
        </w:tc>
        <w:tc>
          <w:tcPr>
            <w:tcW w:w="185" w:type="dxa"/>
            <w:shd w:val="clear" w:color="auto" w:fill="auto"/>
            <w:tcMar>
              <w:left w:w="0" w:type="dxa"/>
            </w:tcMar>
          </w:tcPr>
          <w:p w:rsidR="0042612F" w:rsidRPr="00742B86" w:rsidRDefault="0042612F" w:rsidP="0042612F">
            <w:pPr>
              <w:pStyle w:val="Textpoznpodarou"/>
              <w:jc w:val="both"/>
              <w:rPr>
                <w:spacing w:val="-4"/>
                <w:lang w:val="en-GB"/>
              </w:rPr>
            </w:pPr>
          </w:p>
        </w:tc>
        <w:tc>
          <w:tcPr>
            <w:tcW w:w="7985" w:type="dxa"/>
            <w:shd w:val="clear" w:color="auto" w:fill="auto"/>
            <w:tcMar>
              <w:left w:w="0" w:type="dxa"/>
            </w:tcMar>
          </w:tcPr>
          <w:p w:rsidR="0042612F" w:rsidRPr="00595FDE" w:rsidRDefault="0042612F" w:rsidP="0042612F">
            <w:pPr>
              <w:spacing w:after="0"/>
              <w:rPr>
                <w:rFonts w:cs="Arial"/>
                <w:sz w:val="14"/>
                <w:szCs w:val="14"/>
                <w:lang w:val="en-GB"/>
              </w:rPr>
            </w:pPr>
            <w:r w:rsidRPr="00595FDE">
              <w:rPr>
                <w:rFonts w:cs="Arial"/>
                <w:sz w:val="14"/>
                <w:szCs w:val="14"/>
                <w:lang w:val="en-GB"/>
              </w:rPr>
              <w:t xml:space="preserve">*The confidence indicator balance </w:t>
            </w:r>
            <w:proofErr w:type="gramStart"/>
            <w:r w:rsidRPr="00595FDE">
              <w:rPr>
                <w:rFonts w:cs="Arial"/>
                <w:sz w:val="14"/>
                <w:szCs w:val="14"/>
                <w:lang w:val="en-GB"/>
              </w:rPr>
              <w:t>is seasonally adjusted</w:t>
            </w:r>
            <w:proofErr w:type="gramEnd"/>
            <w:r w:rsidRPr="00595FDE">
              <w:rPr>
                <w:rFonts w:cs="Arial"/>
                <w:sz w:val="14"/>
                <w:szCs w:val="14"/>
                <w:lang w:val="en-GB"/>
              </w:rPr>
              <w:t xml:space="preserve"> and expresses the state in the second month of the given quarter. </w:t>
            </w:r>
          </w:p>
          <w:p w:rsidR="0042612F" w:rsidRPr="00742B86" w:rsidRDefault="0042612F" w:rsidP="0042612F">
            <w:pPr>
              <w:spacing w:after="220"/>
              <w:rPr>
                <w:rFonts w:cs="Arial"/>
                <w:b/>
                <w:bCs/>
                <w:color w:val="000000"/>
                <w:szCs w:val="20"/>
                <w:lang w:val="en-GB"/>
              </w:rPr>
            </w:pPr>
            <w:r w:rsidRPr="00595FDE">
              <w:rPr>
                <w:rFonts w:cs="Arial"/>
                <w:sz w:val="14"/>
                <w:szCs w:val="14"/>
                <w:lang w:val="en-GB"/>
              </w:rPr>
              <w:t>Source: CZSO</w:t>
            </w:r>
          </w:p>
        </w:tc>
      </w:tr>
      <w:tr w:rsidR="0042612F" w:rsidRPr="00742B86" w:rsidTr="0042612F">
        <w:trPr>
          <w:trHeight w:val="155"/>
        </w:trPr>
        <w:tc>
          <w:tcPr>
            <w:tcW w:w="1494" w:type="dxa"/>
            <w:shd w:val="clear" w:color="auto" w:fill="auto"/>
            <w:tcMar>
              <w:left w:w="0" w:type="dxa"/>
            </w:tcMar>
          </w:tcPr>
          <w:p w:rsidR="0042612F" w:rsidRPr="00742B86" w:rsidRDefault="0042612F" w:rsidP="0042612F">
            <w:pPr>
              <w:pStyle w:val="Marginlie"/>
              <w:rPr>
                <w:spacing w:val="-5"/>
                <w:lang w:val="en-GB"/>
              </w:rPr>
            </w:pPr>
            <w:r w:rsidRPr="00742B86">
              <w:rPr>
                <w:spacing w:val="-5"/>
                <w:lang w:val="en-GB"/>
              </w:rPr>
              <w:t xml:space="preserve">Revival of machinery </w:t>
            </w:r>
            <w:proofErr w:type="gramStart"/>
            <w:r w:rsidRPr="00742B86">
              <w:rPr>
                <w:spacing w:val="-5"/>
                <w:lang w:val="en-GB"/>
              </w:rPr>
              <w:t>was obstructed</w:t>
            </w:r>
            <w:proofErr w:type="gramEnd"/>
            <w:r w:rsidRPr="00742B86">
              <w:rPr>
                <w:spacing w:val="-5"/>
                <w:lang w:val="en-GB"/>
              </w:rPr>
              <w:t xml:space="preserve"> by the lasting weak private investment activity in the economy. </w:t>
            </w:r>
          </w:p>
          <w:p w:rsidR="0042612F" w:rsidRPr="00742B86" w:rsidRDefault="0042612F" w:rsidP="0042612F">
            <w:pPr>
              <w:pStyle w:val="Marginlie"/>
              <w:rPr>
                <w:spacing w:val="-5"/>
                <w:lang w:val="en-GB"/>
              </w:rPr>
            </w:pPr>
          </w:p>
          <w:p w:rsidR="0042612F" w:rsidRDefault="0042612F" w:rsidP="0042612F">
            <w:pPr>
              <w:pStyle w:val="Marginlie"/>
              <w:rPr>
                <w:spacing w:val="-5"/>
                <w:lang w:val="en-GB"/>
              </w:rPr>
            </w:pPr>
          </w:p>
          <w:p w:rsidR="00A02311" w:rsidRPr="00742B86" w:rsidRDefault="00A02311" w:rsidP="0042612F">
            <w:pPr>
              <w:pStyle w:val="Marginlie"/>
              <w:rPr>
                <w:spacing w:val="-5"/>
                <w:lang w:val="en-GB"/>
              </w:rPr>
            </w:pPr>
          </w:p>
          <w:p w:rsidR="0042612F" w:rsidRPr="00742B86" w:rsidRDefault="0042612F" w:rsidP="00A02311">
            <w:pPr>
              <w:pStyle w:val="Marginlie"/>
              <w:rPr>
                <w:spacing w:val="-4"/>
                <w:lang w:val="en-GB"/>
              </w:rPr>
            </w:pPr>
            <w:r w:rsidRPr="00742B86">
              <w:rPr>
                <w:spacing w:val="-5"/>
                <w:lang w:val="en-GB"/>
              </w:rPr>
              <w:t>Production fallouts in both mining and energetics we</w:t>
            </w:r>
            <w:r w:rsidR="00A02311">
              <w:rPr>
                <w:spacing w:val="-5"/>
                <w:lang w:val="en-GB"/>
              </w:rPr>
              <w:t>re the largest in the two last decades.</w:t>
            </w:r>
          </w:p>
        </w:tc>
        <w:tc>
          <w:tcPr>
            <w:tcW w:w="185" w:type="dxa"/>
            <w:shd w:val="clear" w:color="auto" w:fill="auto"/>
            <w:tcMar>
              <w:left w:w="0" w:type="dxa"/>
            </w:tcMar>
          </w:tcPr>
          <w:p w:rsidR="0042612F" w:rsidRPr="00742B86" w:rsidRDefault="0042612F" w:rsidP="0042612F">
            <w:pPr>
              <w:pStyle w:val="Textpoznpodarou"/>
              <w:jc w:val="both"/>
              <w:rPr>
                <w:spacing w:val="-4"/>
                <w:lang w:val="en-GB"/>
              </w:rPr>
            </w:pPr>
          </w:p>
        </w:tc>
        <w:tc>
          <w:tcPr>
            <w:tcW w:w="7985" w:type="dxa"/>
            <w:shd w:val="clear" w:color="auto" w:fill="auto"/>
            <w:tcMar>
              <w:left w:w="0" w:type="dxa"/>
            </w:tcMar>
          </w:tcPr>
          <w:p w:rsidR="0042612F" w:rsidRPr="00A02311" w:rsidRDefault="0042612F" w:rsidP="009D0D61">
            <w:pPr>
              <w:spacing w:after="0"/>
              <w:rPr>
                <w:spacing w:val="-4"/>
                <w:lang w:val="en-GB"/>
              </w:rPr>
            </w:pPr>
            <w:r w:rsidRPr="00A02311">
              <w:rPr>
                <w:spacing w:val="-4"/>
                <w:lang w:val="en-GB"/>
              </w:rPr>
              <w:t>One-eighth decrease of production also struck machinery last year, which thus contributed to the decline of the whole industry 1 p.p. (by one half less than the motor vehicle manufacturers). Machinery faced the reduced both domesti</w:t>
            </w:r>
            <w:r w:rsidR="00A21F33" w:rsidRPr="00A02311">
              <w:rPr>
                <w:spacing w:val="-4"/>
                <w:lang w:val="en-GB"/>
              </w:rPr>
              <w:t>c and foreign demand almost</w:t>
            </w:r>
            <w:r w:rsidRPr="00A02311">
              <w:rPr>
                <w:spacing w:val="-4"/>
                <w:lang w:val="en-GB"/>
              </w:rPr>
              <w:t xml:space="preserve"> throughout the whole year, which was connected to the persisting slump of the investment activity in the economy. The outp</w:t>
            </w:r>
            <w:r w:rsidR="00A21F33" w:rsidRPr="00A02311">
              <w:rPr>
                <w:spacing w:val="-4"/>
                <w:lang w:val="en-GB"/>
              </w:rPr>
              <w:t>ut however fell the most</w:t>
            </w:r>
            <w:r w:rsidRPr="00A02311">
              <w:rPr>
                <w:spacing w:val="-4"/>
                <w:lang w:val="en-GB"/>
              </w:rPr>
              <w:t xml:space="preserve"> in the long-term subdued mining industry last year (by record 16.5%, by nearly one quarter in the still dominant </w:t>
            </w:r>
            <w:r w:rsidR="00A21F33" w:rsidRPr="00A02311">
              <w:rPr>
                <w:spacing w:val="-4"/>
                <w:lang w:val="en-GB"/>
              </w:rPr>
              <w:t xml:space="preserve">division – </w:t>
            </w:r>
            <w:r w:rsidRPr="00A02311">
              <w:rPr>
                <w:spacing w:val="-4"/>
                <w:lang w:val="en-GB"/>
              </w:rPr>
              <w:t xml:space="preserve">coal mining). However, given the </w:t>
            </w:r>
            <w:r w:rsidRPr="00A02311">
              <w:rPr>
                <w:spacing w:val="2"/>
                <w:lang w:val="en-GB"/>
              </w:rPr>
              <w:t>proportion of this activity in the output of the whole industry, it only had a limited impact (–0.3 p.p.).</w:t>
            </w:r>
            <w:r w:rsidRPr="00A02311">
              <w:rPr>
                <w:spacing w:val="-4"/>
                <w:lang w:val="en-GB"/>
              </w:rPr>
              <w:t xml:space="preserve"> Energetics, where record 6.3% year-on-year fall of output narrowly copied the pace of the electricity production, played a large role (–0.7 p.p.). Especially the decrease of demand in businesses due to the lowered or temporarily halted production activity was evident</w:t>
            </w:r>
            <w:r w:rsidRPr="00A02311">
              <w:rPr>
                <w:rStyle w:val="Znakapoznpodarou"/>
                <w:spacing w:val="-4"/>
                <w:lang w:val="en-GB"/>
              </w:rPr>
              <w:footnoteReference w:id="26"/>
            </w:r>
            <w:r w:rsidRPr="00A02311">
              <w:rPr>
                <w:spacing w:val="-4"/>
                <w:lang w:val="en-GB"/>
              </w:rPr>
              <w:t>.</w:t>
            </w:r>
            <w:r w:rsidR="009D0D61" w:rsidRPr="00A02311">
              <w:rPr>
                <w:spacing w:val="-4"/>
                <w:lang w:val="en-GB"/>
              </w:rPr>
              <w:t xml:space="preserve"> Planned temporary shutdowns in the power stations also played a role</w:t>
            </w:r>
            <w:r w:rsidR="00A02311" w:rsidRPr="00A02311">
              <w:rPr>
                <w:spacing w:val="-4"/>
                <w:lang w:val="en-GB"/>
              </w:rPr>
              <w:t>.</w:t>
            </w:r>
          </w:p>
        </w:tc>
      </w:tr>
      <w:tr w:rsidR="0042612F" w:rsidRPr="00742B86" w:rsidTr="00A52348">
        <w:trPr>
          <w:trHeight w:val="155"/>
        </w:trPr>
        <w:tc>
          <w:tcPr>
            <w:tcW w:w="1494" w:type="dxa"/>
            <w:shd w:val="clear" w:color="auto" w:fill="auto"/>
            <w:tcMar>
              <w:left w:w="0" w:type="dxa"/>
            </w:tcMar>
          </w:tcPr>
          <w:p w:rsidR="0042612F" w:rsidRPr="00742B86" w:rsidRDefault="00CA2D45" w:rsidP="00CA2D45">
            <w:pPr>
              <w:pStyle w:val="Marginlie"/>
              <w:rPr>
                <w:spacing w:val="-4"/>
                <w:lang w:val="en-GB"/>
              </w:rPr>
            </w:pPr>
            <w:r>
              <w:rPr>
                <w:spacing w:val="-4"/>
                <w:lang w:val="en-GB"/>
              </w:rPr>
              <w:lastRenderedPageBreak/>
              <w:t>R</w:t>
            </w:r>
            <w:r w:rsidR="0042612F" w:rsidRPr="00742B86">
              <w:rPr>
                <w:spacing w:val="-4"/>
                <w:lang w:val="en-GB"/>
              </w:rPr>
              <w:t xml:space="preserve">estrictions </w:t>
            </w:r>
            <w:r>
              <w:rPr>
                <w:spacing w:val="-4"/>
                <w:lang w:val="en-GB"/>
              </w:rPr>
              <w:t xml:space="preserve">against pandemic </w:t>
            </w:r>
            <w:r w:rsidR="0042612F" w:rsidRPr="00742B86">
              <w:rPr>
                <w:spacing w:val="-4"/>
                <w:lang w:val="en-GB"/>
              </w:rPr>
              <w:t xml:space="preserve">considerably </w:t>
            </w:r>
            <w:proofErr w:type="gramStart"/>
            <w:r w:rsidR="0042612F" w:rsidRPr="00742B86">
              <w:rPr>
                <w:spacing w:val="-4"/>
                <w:lang w:val="en-GB"/>
              </w:rPr>
              <w:t>impacted</w:t>
            </w:r>
            <w:proofErr w:type="gramEnd"/>
            <w:r w:rsidR="0042612F" w:rsidRPr="00742B86">
              <w:rPr>
                <w:spacing w:val="-4"/>
                <w:lang w:val="en-GB"/>
              </w:rPr>
              <w:t xml:space="preserve"> the output of beverages manufacturing. </w:t>
            </w:r>
          </w:p>
        </w:tc>
        <w:tc>
          <w:tcPr>
            <w:tcW w:w="185" w:type="dxa"/>
            <w:shd w:val="clear" w:color="auto" w:fill="auto"/>
            <w:tcMar>
              <w:left w:w="0" w:type="dxa"/>
            </w:tcMar>
          </w:tcPr>
          <w:p w:rsidR="0042612F" w:rsidRPr="00742B86" w:rsidRDefault="0042612F" w:rsidP="0042612F">
            <w:pPr>
              <w:pStyle w:val="Textpoznpodarou"/>
              <w:jc w:val="both"/>
              <w:rPr>
                <w:spacing w:val="-4"/>
                <w:lang w:val="en-GB"/>
              </w:rPr>
            </w:pPr>
          </w:p>
        </w:tc>
        <w:tc>
          <w:tcPr>
            <w:tcW w:w="7985" w:type="dxa"/>
            <w:shd w:val="clear" w:color="auto" w:fill="auto"/>
            <w:tcMar>
              <w:left w:w="0" w:type="dxa"/>
            </w:tcMar>
          </w:tcPr>
          <w:p w:rsidR="0042612F" w:rsidRPr="00742B86" w:rsidRDefault="0042612F" w:rsidP="0042612F">
            <w:pPr>
              <w:rPr>
                <w:spacing w:val="-4"/>
                <w:lang w:val="en-GB"/>
              </w:rPr>
            </w:pPr>
            <w:r w:rsidRPr="00742B86">
              <w:rPr>
                <w:spacing w:val="-4"/>
                <w:lang w:val="en-GB"/>
              </w:rPr>
              <w:t xml:space="preserve">In the smallest manufacturing field – leather manufacturing – output fell by </w:t>
            </w:r>
            <w:proofErr w:type="gramStart"/>
            <w:r w:rsidRPr="00742B86">
              <w:rPr>
                <w:spacing w:val="-4"/>
                <w:lang w:val="en-GB"/>
              </w:rPr>
              <w:t>one seventh</w:t>
            </w:r>
            <w:proofErr w:type="gramEnd"/>
            <w:r w:rsidRPr="00742B86">
              <w:rPr>
                <w:spacing w:val="-4"/>
                <w:lang w:val="en-GB"/>
              </w:rPr>
              <w:t xml:space="preserve"> last year, mainly due to the weaker foreign demand. Manufacturing of beverages, which fared relatively well in the previous years, decreased output by </w:t>
            </w:r>
            <w:proofErr w:type="gramStart"/>
            <w:r w:rsidRPr="00742B86">
              <w:rPr>
                <w:spacing w:val="-4"/>
                <w:lang w:val="en-GB"/>
              </w:rPr>
              <w:t>one tenth</w:t>
            </w:r>
            <w:proofErr w:type="gramEnd"/>
            <w:r w:rsidRPr="00742B86">
              <w:rPr>
                <w:spacing w:val="-4"/>
                <w:lang w:val="en-GB"/>
              </w:rPr>
              <w:t xml:space="preserve"> last year. Major limitations of operations of the hospitality facilities accompanied by the fallout of the arrival tourism </w:t>
            </w:r>
            <w:proofErr w:type="gramStart"/>
            <w:r w:rsidRPr="00742B86">
              <w:rPr>
                <w:spacing w:val="-4"/>
                <w:lang w:val="en-GB"/>
              </w:rPr>
              <w:t>were negatively reflected</w:t>
            </w:r>
            <w:proofErr w:type="gramEnd"/>
            <w:r w:rsidRPr="00742B86">
              <w:rPr>
                <w:spacing w:val="-4"/>
                <w:lang w:val="en-GB"/>
              </w:rPr>
              <w:t xml:space="preserve"> in the domestic sales here. Export of beverages however also featured a decline. On the contrary, the relatively mild decrease of output (between 3 and 4%) affected the chemical industry, manufacturing of building materials or considerably export oriented manufacturing of computers, electronic and optical products.</w:t>
            </w:r>
          </w:p>
        </w:tc>
      </w:tr>
      <w:tr w:rsidR="0042612F" w:rsidRPr="00742B86" w:rsidTr="00A52348">
        <w:trPr>
          <w:trHeight w:val="145"/>
        </w:trPr>
        <w:tc>
          <w:tcPr>
            <w:tcW w:w="1494" w:type="dxa"/>
            <w:shd w:val="clear" w:color="auto" w:fill="auto"/>
            <w:tcMar>
              <w:left w:w="0" w:type="dxa"/>
            </w:tcMar>
          </w:tcPr>
          <w:p w:rsidR="0042612F" w:rsidRPr="00742B86" w:rsidRDefault="0042612F" w:rsidP="0042612F">
            <w:pPr>
              <w:pStyle w:val="Marginlie"/>
              <w:rPr>
                <w:lang w:val="en-GB"/>
              </w:rPr>
            </w:pPr>
            <w:r w:rsidRPr="00742B86">
              <w:rPr>
                <w:lang w:val="en-GB"/>
              </w:rPr>
              <w:t xml:space="preserve">Food industry capitalised on both the higher domestic demand and good harvest. </w:t>
            </w:r>
          </w:p>
          <w:p w:rsidR="0042612F" w:rsidRPr="00742B86" w:rsidRDefault="0042612F" w:rsidP="0042612F">
            <w:pPr>
              <w:pStyle w:val="Marginlie"/>
              <w:rPr>
                <w:lang w:val="en-GB"/>
              </w:rPr>
            </w:pPr>
          </w:p>
          <w:p w:rsidR="0042612F" w:rsidRPr="00742B86" w:rsidRDefault="0042612F" w:rsidP="0042612F">
            <w:pPr>
              <w:pStyle w:val="Marginlie"/>
              <w:rPr>
                <w:spacing w:val="0"/>
                <w:lang w:val="en-GB"/>
              </w:rPr>
            </w:pPr>
            <w:r w:rsidRPr="00742B86">
              <w:rPr>
                <w:lang w:val="en-GB"/>
              </w:rPr>
              <w:t>The specific supply composition during the coronavirus crisis wa</w:t>
            </w:r>
            <w:r w:rsidR="00EA4F9E">
              <w:rPr>
                <w:lang w:val="en-GB"/>
              </w:rPr>
              <w:t>s helpful to some smaller branches</w:t>
            </w:r>
            <w:r w:rsidRPr="00742B86">
              <w:rPr>
                <w:lang w:val="en-GB"/>
              </w:rPr>
              <w:t xml:space="preserve">. </w:t>
            </w:r>
          </w:p>
        </w:tc>
        <w:tc>
          <w:tcPr>
            <w:tcW w:w="185" w:type="dxa"/>
            <w:shd w:val="clear" w:color="auto" w:fill="auto"/>
            <w:tcMar>
              <w:left w:w="0" w:type="dxa"/>
            </w:tcMar>
          </w:tcPr>
          <w:p w:rsidR="0042612F" w:rsidRPr="00742B86" w:rsidRDefault="0042612F" w:rsidP="0042612F">
            <w:pPr>
              <w:pStyle w:val="Textpoznpodarou"/>
              <w:jc w:val="both"/>
              <w:rPr>
                <w:spacing w:val="-4"/>
                <w:lang w:val="en-GB"/>
              </w:rPr>
            </w:pPr>
          </w:p>
        </w:tc>
        <w:tc>
          <w:tcPr>
            <w:tcW w:w="7985" w:type="dxa"/>
            <w:shd w:val="clear" w:color="auto" w:fill="auto"/>
            <w:tcMar>
              <w:left w:w="0" w:type="dxa"/>
            </w:tcMar>
          </w:tcPr>
          <w:p w:rsidR="0042612F" w:rsidRPr="00742B86" w:rsidRDefault="0042612F" w:rsidP="0042612F">
            <w:pPr>
              <w:rPr>
                <w:rFonts w:cs="Arial"/>
                <w:bCs/>
                <w:color w:val="000000"/>
                <w:spacing w:val="-4"/>
                <w:szCs w:val="20"/>
                <w:lang w:val="en-GB"/>
              </w:rPr>
            </w:pPr>
            <w:r w:rsidRPr="00742B86">
              <w:rPr>
                <w:rFonts w:cs="Arial"/>
                <w:bCs/>
                <w:color w:val="000000"/>
                <w:spacing w:val="-4"/>
                <w:szCs w:val="20"/>
                <w:lang w:val="en-GB"/>
              </w:rPr>
              <w:t xml:space="preserve">Even though the food industry recorded the weakest year-on-year rate of growth of production since the end of recession in year 2013 last year, it represented one of the few industrial activities, which recorded growth last year (+0.6%). Next to the relatively stable domestic demand, the good outcomes of this year´s agricultural primary production </w:t>
            </w:r>
            <w:r w:rsidRPr="00742B86">
              <w:rPr>
                <w:spacing w:val="-4"/>
                <w:lang w:val="en-GB"/>
              </w:rPr>
              <w:t xml:space="preserve">were also helpful in this result. Wood and paper industries are also characterised by a close connection to the primary sector. They </w:t>
            </w:r>
            <w:r w:rsidR="00EA4F9E">
              <w:rPr>
                <w:spacing w:val="-4"/>
                <w:lang w:val="en-GB"/>
              </w:rPr>
              <w:t>achieved a similar growth</w:t>
            </w:r>
            <w:r w:rsidRPr="00742B86">
              <w:rPr>
                <w:spacing w:val="-4"/>
                <w:lang w:val="en-GB"/>
              </w:rPr>
              <w:t xml:space="preserve"> of output of around 4%. </w:t>
            </w:r>
            <w:r w:rsidRPr="00742B86">
              <w:rPr>
                <w:color w:val="000000" w:themeColor="text1"/>
                <w:spacing w:val="-4"/>
                <w:lang w:val="en-GB"/>
              </w:rPr>
              <w:t xml:space="preserve">Specific composition of demand during the coronavirus crisis was reflected in the mild growth of output of the pharmaceutical industry (+3.7%) or other manufacturing industry (+2.4%), which also includes the manufacturing of medical supplies or manufacturing of games and toys. </w:t>
            </w:r>
          </w:p>
        </w:tc>
      </w:tr>
      <w:tr w:rsidR="0042612F" w:rsidRPr="00742B86" w:rsidTr="00A52348">
        <w:trPr>
          <w:trHeight w:val="155"/>
        </w:trPr>
        <w:tc>
          <w:tcPr>
            <w:tcW w:w="1494" w:type="dxa"/>
            <w:vMerge w:val="restart"/>
            <w:shd w:val="clear" w:color="auto" w:fill="auto"/>
            <w:tcMar>
              <w:left w:w="0" w:type="dxa"/>
            </w:tcMar>
          </w:tcPr>
          <w:p w:rsidR="0042612F" w:rsidRPr="00742B86" w:rsidRDefault="0042612F" w:rsidP="0042612F">
            <w:pPr>
              <w:pStyle w:val="Marginlie"/>
              <w:rPr>
                <w:spacing w:val="-4"/>
                <w:lang w:val="en-GB"/>
              </w:rPr>
            </w:pPr>
          </w:p>
        </w:tc>
        <w:tc>
          <w:tcPr>
            <w:tcW w:w="185" w:type="dxa"/>
            <w:vMerge w:val="restart"/>
            <w:shd w:val="clear" w:color="auto" w:fill="auto"/>
            <w:tcMar>
              <w:left w:w="0" w:type="dxa"/>
            </w:tcMar>
          </w:tcPr>
          <w:p w:rsidR="0042612F" w:rsidRPr="00742B86" w:rsidRDefault="0042612F" w:rsidP="0042612F">
            <w:pPr>
              <w:pStyle w:val="Textpoznpodarou"/>
              <w:jc w:val="both"/>
              <w:rPr>
                <w:spacing w:val="-4"/>
                <w:lang w:val="en-GB"/>
              </w:rPr>
            </w:pPr>
          </w:p>
        </w:tc>
        <w:tc>
          <w:tcPr>
            <w:tcW w:w="7985" w:type="dxa"/>
            <w:shd w:val="clear" w:color="auto" w:fill="auto"/>
            <w:tcMar>
              <w:left w:w="0" w:type="dxa"/>
            </w:tcMar>
          </w:tcPr>
          <w:p w:rsidR="0042612F" w:rsidRPr="00742B86" w:rsidRDefault="0042612F" w:rsidP="0042612F">
            <w:pPr>
              <w:pStyle w:val="Textpoznpodarou"/>
              <w:spacing w:line="276" w:lineRule="auto"/>
              <w:jc w:val="both"/>
              <w:rPr>
                <w:b/>
                <w:lang w:val="en-GB"/>
              </w:rPr>
            </w:pPr>
            <w:r w:rsidRPr="00742B86">
              <w:rPr>
                <w:b/>
                <w:spacing w:val="-2"/>
                <w:lang w:val="en-GB"/>
              </w:rPr>
              <w:t xml:space="preserve">Chart 5  </w:t>
            </w:r>
            <w:r w:rsidRPr="00742B86">
              <w:rPr>
                <w:b/>
                <w:lang w:val="en-GB"/>
              </w:rPr>
              <w:t>New orders in manufacture of motor vehicles and in</w:t>
            </w:r>
            <w:r w:rsidR="00510A79">
              <w:rPr>
                <w:b/>
                <w:lang w:val="en-GB"/>
              </w:rPr>
              <w:t xml:space="preserve"> the whole industry</w:t>
            </w:r>
            <w:r w:rsidRPr="00742B86">
              <w:rPr>
                <w:b/>
                <w:lang w:val="en-GB"/>
              </w:rPr>
              <w:t> </w:t>
            </w:r>
          </w:p>
          <w:p w:rsidR="0042612F" w:rsidRPr="00742B86" w:rsidRDefault="0042612F" w:rsidP="0042612F">
            <w:pPr>
              <w:pStyle w:val="Textpoznpodarou"/>
              <w:spacing w:line="276" w:lineRule="auto"/>
              <w:jc w:val="both"/>
              <w:rPr>
                <w:b/>
                <w:spacing w:val="-2"/>
                <w:lang w:val="en-GB"/>
              </w:rPr>
            </w:pPr>
            <w:r w:rsidRPr="00742B86">
              <w:rPr>
                <w:bCs/>
                <w:lang w:val="en-GB"/>
              </w:rPr>
              <w:t>(in current prices, year-on-year change in %)</w:t>
            </w:r>
            <w:r w:rsidRPr="00742B86">
              <w:rPr>
                <w:b/>
                <w:lang w:val="en-GB"/>
              </w:rPr>
              <w:t>, util</w:t>
            </w:r>
            <w:r w:rsidR="00510A79">
              <w:rPr>
                <w:b/>
                <w:lang w:val="en-GB"/>
              </w:rPr>
              <w:t>isation of production capacity</w:t>
            </w:r>
            <w:r w:rsidRPr="00742B86">
              <w:rPr>
                <w:b/>
                <w:lang w:val="en-GB"/>
              </w:rPr>
              <w:t>* and selected growth barriers</w:t>
            </w:r>
            <w:r w:rsidRPr="00742B86">
              <w:rPr>
                <w:lang w:val="en-GB"/>
              </w:rPr>
              <w:t xml:space="preserve"> </w:t>
            </w:r>
            <w:r w:rsidR="00510A79" w:rsidRPr="00510A79">
              <w:rPr>
                <w:b/>
                <w:lang w:val="en-GB"/>
              </w:rPr>
              <w:t>in the whole industry</w:t>
            </w:r>
            <w:r w:rsidR="00510A79">
              <w:rPr>
                <w:lang w:val="en-GB"/>
              </w:rPr>
              <w:t xml:space="preserve"> </w:t>
            </w:r>
            <w:r w:rsidRPr="00742B86">
              <w:rPr>
                <w:lang w:val="en-GB"/>
              </w:rPr>
              <w:t>(in %, right axis)</w:t>
            </w:r>
          </w:p>
        </w:tc>
      </w:tr>
      <w:tr w:rsidR="0042612F" w:rsidRPr="00742B86" w:rsidTr="003446C5">
        <w:tblPrEx>
          <w:tblCellMar>
            <w:left w:w="70" w:type="dxa"/>
            <w:right w:w="70" w:type="dxa"/>
          </w:tblCellMar>
        </w:tblPrEx>
        <w:trPr>
          <w:trHeight w:val="155"/>
        </w:trPr>
        <w:tc>
          <w:tcPr>
            <w:tcW w:w="1494" w:type="dxa"/>
            <w:vMerge/>
            <w:shd w:val="clear" w:color="auto" w:fill="auto"/>
          </w:tcPr>
          <w:p w:rsidR="0042612F" w:rsidRPr="00742B86" w:rsidRDefault="0042612F" w:rsidP="0042612F">
            <w:pPr>
              <w:pStyle w:val="Marginlie"/>
              <w:rPr>
                <w:spacing w:val="-4"/>
                <w:lang w:val="en-GB"/>
              </w:rPr>
            </w:pPr>
          </w:p>
        </w:tc>
        <w:tc>
          <w:tcPr>
            <w:tcW w:w="185" w:type="dxa"/>
            <w:vMerge/>
            <w:shd w:val="clear" w:color="auto" w:fill="auto"/>
          </w:tcPr>
          <w:p w:rsidR="0042612F" w:rsidRPr="00742B86" w:rsidRDefault="0042612F" w:rsidP="0042612F">
            <w:pPr>
              <w:pStyle w:val="Textpoznpodarou"/>
              <w:jc w:val="both"/>
              <w:rPr>
                <w:spacing w:val="-4"/>
                <w:lang w:val="en-GB"/>
              </w:rPr>
            </w:pPr>
          </w:p>
        </w:tc>
        <w:tc>
          <w:tcPr>
            <w:tcW w:w="7985" w:type="dxa"/>
            <w:shd w:val="clear" w:color="auto" w:fill="auto"/>
          </w:tcPr>
          <w:p w:rsidR="0042612F" w:rsidRPr="00742B86" w:rsidRDefault="003446C5" w:rsidP="0042612F">
            <w:pPr>
              <w:spacing w:after="0"/>
              <w:rPr>
                <w:spacing w:val="-4"/>
                <w:lang w:val="en-GB"/>
              </w:rPr>
            </w:pPr>
            <w:r>
              <w:rPr>
                <w:noProof/>
              </w:rPr>
              <w:drawing>
                <wp:inline distT="0" distB="0" distL="0" distR="0" wp14:anchorId="5E5604AF" wp14:editId="63B0B4FE">
                  <wp:extent cx="4881469" cy="341604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2612F" w:rsidRPr="00742B86" w:rsidTr="00A52348">
        <w:trPr>
          <w:trHeight w:val="152"/>
        </w:trPr>
        <w:tc>
          <w:tcPr>
            <w:tcW w:w="1494" w:type="dxa"/>
            <w:vMerge/>
            <w:shd w:val="clear" w:color="auto" w:fill="auto"/>
            <w:tcMar>
              <w:left w:w="0" w:type="dxa"/>
            </w:tcMar>
          </w:tcPr>
          <w:p w:rsidR="0042612F" w:rsidRPr="00742B86" w:rsidRDefault="0042612F" w:rsidP="0042612F">
            <w:pPr>
              <w:pStyle w:val="Marginlie"/>
              <w:rPr>
                <w:spacing w:val="-4"/>
                <w:lang w:val="en-GB"/>
              </w:rPr>
            </w:pPr>
          </w:p>
        </w:tc>
        <w:tc>
          <w:tcPr>
            <w:tcW w:w="185" w:type="dxa"/>
            <w:vMerge/>
            <w:shd w:val="clear" w:color="auto" w:fill="auto"/>
            <w:tcMar>
              <w:left w:w="0" w:type="dxa"/>
            </w:tcMar>
          </w:tcPr>
          <w:p w:rsidR="0042612F" w:rsidRPr="00742B86" w:rsidRDefault="0042612F" w:rsidP="0042612F">
            <w:pPr>
              <w:pStyle w:val="Textpoznpodarou"/>
              <w:jc w:val="both"/>
              <w:rPr>
                <w:spacing w:val="-4"/>
                <w:lang w:val="en-GB"/>
              </w:rPr>
            </w:pPr>
          </w:p>
        </w:tc>
        <w:tc>
          <w:tcPr>
            <w:tcW w:w="7985" w:type="dxa"/>
            <w:shd w:val="clear" w:color="auto" w:fill="auto"/>
            <w:tcMar>
              <w:left w:w="0" w:type="dxa"/>
            </w:tcMar>
          </w:tcPr>
          <w:p w:rsidR="0042612F" w:rsidRPr="00742B86" w:rsidRDefault="0042612F" w:rsidP="0042612F">
            <w:pPr>
              <w:spacing w:after="0"/>
              <w:rPr>
                <w:rFonts w:cs="Arial"/>
                <w:sz w:val="14"/>
                <w:szCs w:val="14"/>
                <w:lang w:val="en-GB"/>
              </w:rPr>
            </w:pPr>
            <w:r w:rsidRPr="00742B86">
              <w:rPr>
                <w:rFonts w:cs="Arial"/>
                <w:sz w:val="14"/>
                <w:szCs w:val="14"/>
                <w:lang w:val="en-GB"/>
              </w:rPr>
              <w:t xml:space="preserve">*Both utilisation of production capacities and growth barriers are seasonally adjusted and express the situation in the first (growth barriers), resp. second month of the given quarter (utilisation of capacities). Businesses could have stated more main barriers simultaneously. </w:t>
            </w:r>
          </w:p>
          <w:p w:rsidR="0042612F" w:rsidRPr="003446C5" w:rsidRDefault="0042612F" w:rsidP="003446C5">
            <w:pPr>
              <w:spacing w:after="0"/>
              <w:rPr>
                <w:rFonts w:cs="Arial"/>
                <w:sz w:val="14"/>
                <w:szCs w:val="14"/>
                <w:lang w:val="en-GB"/>
              </w:rPr>
            </w:pPr>
            <w:r w:rsidRPr="00742B86">
              <w:rPr>
                <w:rFonts w:cs="Arial"/>
                <w:sz w:val="14"/>
                <w:szCs w:val="14"/>
                <w:lang w:val="en-GB"/>
              </w:rPr>
              <w:t>Source: CZSO</w:t>
            </w:r>
          </w:p>
          <w:p w:rsidR="0042612F" w:rsidRPr="00742B86" w:rsidRDefault="0042612F" w:rsidP="007E0E89">
            <w:pPr>
              <w:spacing w:after="0" w:line="240" w:lineRule="auto"/>
              <w:rPr>
                <w:rFonts w:cs="Arial"/>
                <w:b/>
                <w:bCs/>
                <w:sz w:val="16"/>
                <w:szCs w:val="16"/>
                <w:lang w:val="en-GB"/>
              </w:rPr>
            </w:pP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spacing w:val="0"/>
                <w:lang w:val="en-GB"/>
              </w:rPr>
            </w:pPr>
            <w:r w:rsidRPr="00742B86">
              <w:rPr>
                <w:spacing w:val="0"/>
                <w:lang w:val="en-GB"/>
              </w:rPr>
              <w:t xml:space="preserve">The sales grew the most to the businesses in energetics, </w:t>
            </w:r>
            <w:r w:rsidRPr="00742B86">
              <w:rPr>
                <w:spacing w:val="0"/>
                <w:lang w:val="en-GB"/>
              </w:rPr>
              <w:lastRenderedPageBreak/>
              <w:t xml:space="preserve">exclusively due the effect of growing prices.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color w:val="000000" w:themeColor="text1"/>
                <w:spacing w:val="-6"/>
                <w:lang w:val="en-GB"/>
              </w:rPr>
            </w:pPr>
            <w:r w:rsidRPr="00742B86">
              <w:rPr>
                <w:rFonts w:cs="Arial"/>
                <w:bCs/>
                <w:color w:val="000000"/>
                <w:spacing w:val="-5"/>
                <w:szCs w:val="20"/>
                <w:lang w:val="en-GB"/>
              </w:rPr>
              <w:t>Nominal sales of industrial businesses decreased by 6.1%</w:t>
            </w:r>
            <w:r w:rsidRPr="00742B86">
              <w:rPr>
                <w:rStyle w:val="Znakapoznpodarou"/>
                <w:bCs/>
                <w:color w:val="000000"/>
                <w:spacing w:val="-5"/>
                <w:szCs w:val="20"/>
                <w:lang w:val="en-GB"/>
              </w:rPr>
              <w:footnoteReference w:id="27"/>
            </w:r>
            <w:r w:rsidRPr="00742B86">
              <w:rPr>
                <w:rFonts w:cs="Arial"/>
                <w:bCs/>
                <w:color w:val="000000"/>
                <w:spacing w:val="-5"/>
                <w:szCs w:val="20"/>
                <w:lang w:val="en-GB"/>
              </w:rPr>
              <w:t xml:space="preserve"> last year, for the first time since 2009. Drop of both local </w:t>
            </w:r>
            <w:r>
              <w:rPr>
                <w:rFonts w:cs="Arial"/>
                <w:bCs/>
                <w:color w:val="000000"/>
                <w:spacing w:val="-5"/>
                <w:szCs w:val="20"/>
                <w:lang w:val="en-GB"/>
              </w:rPr>
              <w:t xml:space="preserve">(domestic) </w:t>
            </w:r>
            <w:r w:rsidRPr="00742B86">
              <w:rPr>
                <w:rFonts w:cs="Arial"/>
                <w:bCs/>
                <w:color w:val="000000"/>
                <w:spacing w:val="-5"/>
                <w:szCs w:val="20"/>
                <w:lang w:val="en-GB"/>
              </w:rPr>
              <w:t xml:space="preserve">sales and sales from direct export was nearly similar. Sales expanded the most in energetics (+5%).  Manufacturers of wearing apparel earned more also </w:t>
            </w:r>
            <w:r w:rsidRPr="00742B86">
              <w:rPr>
                <w:rFonts w:cs="Arial"/>
                <w:bCs/>
                <w:color w:val="000000"/>
                <w:spacing w:val="-5"/>
                <w:szCs w:val="20"/>
                <w:lang w:val="en-GB"/>
              </w:rPr>
              <w:lastRenderedPageBreak/>
              <w:t>solely due the raised prices. On the contrary, despite higher output the sales did not grow in the paper industry. Price influence adversely also affected the sales in the chemical industry and metallurgy (the sales shrank by more than one tenth in both branches).</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lang w:val="en-GB"/>
              </w:rPr>
            </w:pPr>
            <w:r w:rsidRPr="00742B86">
              <w:rPr>
                <w:spacing w:val="0"/>
                <w:lang w:val="en-GB"/>
              </w:rPr>
              <w:lastRenderedPageBreak/>
              <w:t xml:space="preserve">Value of new industrial orders increased at the end of the year. </w:t>
            </w:r>
          </w:p>
          <w:p w:rsidR="00510A79" w:rsidRDefault="00510A79" w:rsidP="00510A79">
            <w:pPr>
              <w:pStyle w:val="Marginlie"/>
              <w:rPr>
                <w:lang w:val="en-GB"/>
              </w:rPr>
            </w:pPr>
          </w:p>
          <w:p w:rsidR="00510A79"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r w:rsidRPr="00742B86">
              <w:rPr>
                <w:lang w:val="en-GB"/>
              </w:rPr>
              <w:t xml:space="preserve">Inadequate demand still notably dominates among the barriers to growth.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607DEA" w:rsidP="00510A79">
            <w:pPr>
              <w:rPr>
                <w:spacing w:val="-4"/>
                <w:lang w:val="en-GB"/>
              </w:rPr>
            </w:pPr>
            <w:proofErr w:type="gramStart"/>
            <w:r>
              <w:rPr>
                <w:color w:val="000000" w:themeColor="text1"/>
                <w:spacing w:val="-6"/>
                <w:lang w:val="en-GB"/>
              </w:rPr>
              <w:t>Short term</w:t>
            </w:r>
            <w:proofErr w:type="gramEnd"/>
            <w:r>
              <w:rPr>
                <w:color w:val="000000" w:themeColor="text1"/>
                <w:spacing w:val="-6"/>
                <w:lang w:val="en-GB"/>
              </w:rPr>
              <w:t xml:space="preserve"> outlooks in</w:t>
            </w:r>
            <w:r w:rsidR="00510A79" w:rsidRPr="00742B86">
              <w:rPr>
                <w:color w:val="000000" w:themeColor="text1"/>
                <w:spacing w:val="-6"/>
                <w:lang w:val="en-GB"/>
              </w:rPr>
              <w:t xml:space="preserve"> industry improved towards the end of the year. Value of industrial orders</w:t>
            </w:r>
            <w:r w:rsidR="00510A79" w:rsidRPr="00742B86">
              <w:rPr>
                <w:rStyle w:val="Znakapoznpodarou"/>
                <w:spacing w:val="-4"/>
                <w:lang w:val="en-GB"/>
              </w:rPr>
              <w:footnoteReference w:id="28"/>
            </w:r>
            <w:r w:rsidR="00510A79" w:rsidRPr="00742B86">
              <w:rPr>
                <w:color w:val="0D0D0D" w:themeColor="text1" w:themeTint="F2"/>
                <w:spacing w:val="-4"/>
                <w:lang w:val="en-GB"/>
              </w:rPr>
              <w:t xml:space="preserve"> grew thanks to the both foreign and domestic demand by 6.9%</w:t>
            </w:r>
            <w:r w:rsidR="00510A79" w:rsidRPr="00742B86">
              <w:rPr>
                <w:rStyle w:val="Znakapoznpodarou"/>
                <w:color w:val="0D0D0D" w:themeColor="text1" w:themeTint="F2"/>
                <w:spacing w:val="-4"/>
                <w:lang w:val="en-GB"/>
              </w:rPr>
              <w:footnoteReference w:id="29"/>
            </w:r>
            <w:r w:rsidR="00510A79" w:rsidRPr="00742B86">
              <w:rPr>
                <w:color w:val="0D0D0D" w:themeColor="text1" w:themeTint="F2"/>
                <w:spacing w:val="-4"/>
                <w:lang w:val="en-GB"/>
              </w:rPr>
              <w:t xml:space="preserve"> year-on-year in Q4 2020. Higher demand pervaded the overwhelming majority of monitored </w:t>
            </w:r>
            <w:proofErr w:type="gramStart"/>
            <w:r w:rsidR="00510A79" w:rsidRPr="00742B86">
              <w:rPr>
                <w:color w:val="0D0D0D" w:themeColor="text1" w:themeTint="F2"/>
                <w:spacing w:val="-4"/>
                <w:lang w:val="en-GB"/>
              </w:rPr>
              <w:t>activities,</w:t>
            </w:r>
            <w:proofErr w:type="gramEnd"/>
            <w:r w:rsidR="00510A79" w:rsidRPr="00742B86">
              <w:rPr>
                <w:color w:val="0D0D0D" w:themeColor="text1" w:themeTint="F2"/>
                <w:spacing w:val="-4"/>
                <w:lang w:val="en-GB"/>
              </w:rPr>
              <w:t xml:space="preserve"> however it missed the important machinery industry. Utilisation of production capacities </w:t>
            </w:r>
            <w:r>
              <w:rPr>
                <w:color w:val="0D0D0D" w:themeColor="text1" w:themeTint="F2"/>
                <w:spacing w:val="-4"/>
                <w:lang w:val="en-GB"/>
              </w:rPr>
              <w:t xml:space="preserve">in the whole industry </w:t>
            </w:r>
            <w:r w:rsidR="00510A79" w:rsidRPr="00742B86">
              <w:rPr>
                <w:color w:val="0D0D0D" w:themeColor="text1" w:themeTint="F2"/>
                <w:spacing w:val="-4"/>
                <w:lang w:val="en-GB"/>
              </w:rPr>
              <w:t xml:space="preserve">already exceeded 83% at the beginning of year </w:t>
            </w:r>
            <w:proofErr w:type="gramStart"/>
            <w:r w:rsidR="00510A79" w:rsidRPr="00742B86">
              <w:rPr>
                <w:color w:val="0D0D0D" w:themeColor="text1" w:themeTint="F2"/>
                <w:spacing w:val="-4"/>
                <w:lang w:val="en-GB"/>
              </w:rPr>
              <w:t>2021,</w:t>
            </w:r>
            <w:proofErr w:type="gramEnd"/>
            <w:r w:rsidR="00510A79" w:rsidRPr="00742B86">
              <w:rPr>
                <w:color w:val="0D0D0D" w:themeColor="text1" w:themeTint="F2"/>
                <w:spacing w:val="-4"/>
                <w:lang w:val="en-GB"/>
              </w:rPr>
              <w:t xml:space="preserve"> and closely thus approached the level from the last boom period</w:t>
            </w:r>
            <w:r w:rsidR="00510A79" w:rsidRPr="00742B86">
              <w:rPr>
                <w:rStyle w:val="Znakapoznpodarou"/>
                <w:color w:val="0D0D0D" w:themeColor="text1" w:themeTint="F2"/>
                <w:spacing w:val="-4"/>
                <w:lang w:val="en-GB"/>
              </w:rPr>
              <w:footnoteReference w:id="30"/>
            </w:r>
            <w:r>
              <w:rPr>
                <w:color w:val="0D0D0D" w:themeColor="text1" w:themeTint="F2"/>
                <w:spacing w:val="-4"/>
                <w:lang w:val="en-GB"/>
              </w:rPr>
              <w:t>. Insufficient</w:t>
            </w:r>
            <w:r w:rsidR="00510A79" w:rsidRPr="00742B86">
              <w:rPr>
                <w:color w:val="0D0D0D" w:themeColor="text1" w:themeTint="F2"/>
                <w:spacing w:val="-4"/>
                <w:lang w:val="en-GB"/>
              </w:rPr>
              <w:t xml:space="preserve"> demand remains the main growth barrier</w:t>
            </w:r>
            <w:r w:rsidR="00510A79" w:rsidRPr="00742B86">
              <w:rPr>
                <w:rStyle w:val="Znakapoznpodarou"/>
                <w:color w:val="0D0D0D" w:themeColor="text1" w:themeTint="F2"/>
                <w:spacing w:val="-4"/>
                <w:lang w:val="en-GB"/>
              </w:rPr>
              <w:footnoteReference w:id="31"/>
            </w:r>
            <w:r w:rsidR="00510A79" w:rsidRPr="00742B86">
              <w:rPr>
                <w:color w:val="0D0D0D" w:themeColor="text1" w:themeTint="F2"/>
                <w:spacing w:val="-4"/>
                <w:lang w:val="en-GB"/>
              </w:rPr>
              <w:t xml:space="preserve">. It was stated by nearly </w:t>
            </w:r>
            <w:proofErr w:type="gramStart"/>
            <w:r w:rsidR="00510A79" w:rsidRPr="00742B86">
              <w:rPr>
                <w:color w:val="0D0D0D" w:themeColor="text1" w:themeTint="F2"/>
                <w:spacing w:val="-4"/>
                <w:lang w:val="en-GB"/>
              </w:rPr>
              <w:t>one half</w:t>
            </w:r>
            <w:proofErr w:type="gramEnd"/>
            <w:r w:rsidR="00510A79" w:rsidRPr="00742B86">
              <w:rPr>
                <w:color w:val="0D0D0D" w:themeColor="text1" w:themeTint="F2"/>
                <w:spacing w:val="-4"/>
                <w:lang w:val="en-GB"/>
              </w:rPr>
              <w:t xml:space="preserve"> of industrial businesses at the beginning of year 2021, one f</w:t>
            </w:r>
            <w:r>
              <w:rPr>
                <w:color w:val="0D0D0D" w:themeColor="text1" w:themeTint="F2"/>
                <w:spacing w:val="-4"/>
                <w:lang w:val="en-GB"/>
              </w:rPr>
              <w:t>ifth of them struggled with shortage of labour</w:t>
            </w:r>
            <w:r w:rsidR="00510A79" w:rsidRPr="00742B86">
              <w:rPr>
                <w:color w:val="0D0D0D" w:themeColor="text1" w:themeTint="F2"/>
                <w:spacing w:val="-4"/>
                <w:lang w:val="en-GB"/>
              </w:rPr>
              <w:t>. Total balance of confidence indicator in industry at the turn of years 2020 and 2021 grew</w:t>
            </w:r>
            <w:r>
              <w:rPr>
                <w:color w:val="0D0D0D" w:themeColor="text1" w:themeTint="F2"/>
                <w:spacing w:val="-4"/>
                <w:lang w:val="en-GB"/>
              </w:rPr>
              <w:t>.</w:t>
            </w:r>
            <w:r w:rsidR="00510A79" w:rsidRPr="00742B86">
              <w:rPr>
                <w:color w:val="0D0D0D" w:themeColor="text1" w:themeTint="F2"/>
                <w:spacing w:val="-4"/>
                <w:lang w:val="en-GB"/>
              </w:rPr>
              <w:t xml:space="preserve"> </w:t>
            </w:r>
            <w:r>
              <w:rPr>
                <w:color w:val="0D0D0D" w:themeColor="text1" w:themeTint="F2"/>
                <w:spacing w:val="-4"/>
                <w:lang w:val="en-GB"/>
              </w:rPr>
              <w:t xml:space="preserve">In February </w:t>
            </w:r>
            <w:proofErr w:type="gramStart"/>
            <w:r>
              <w:rPr>
                <w:color w:val="0D0D0D" w:themeColor="text1" w:themeTint="F2"/>
                <w:spacing w:val="-4"/>
                <w:lang w:val="en-GB"/>
              </w:rPr>
              <w:t>2021</w:t>
            </w:r>
            <w:proofErr w:type="gramEnd"/>
            <w:r>
              <w:rPr>
                <w:color w:val="0D0D0D" w:themeColor="text1" w:themeTint="F2"/>
                <w:spacing w:val="-4"/>
                <w:lang w:val="en-GB"/>
              </w:rPr>
              <w:t xml:space="preserve"> it </w:t>
            </w:r>
            <w:r w:rsidR="00510A79" w:rsidRPr="00742B86">
              <w:rPr>
                <w:color w:val="0D0D0D" w:themeColor="text1" w:themeTint="F2"/>
                <w:spacing w:val="-4"/>
                <w:lang w:val="en-GB"/>
              </w:rPr>
              <w:t>was the</w:t>
            </w:r>
            <w:r>
              <w:rPr>
                <w:color w:val="0D0D0D" w:themeColor="text1" w:themeTint="F2"/>
                <w:spacing w:val="-4"/>
                <w:lang w:val="en-GB"/>
              </w:rPr>
              <w:t xml:space="preserve"> highest</w:t>
            </w:r>
            <w:r w:rsidR="00510A79" w:rsidRPr="00742B86">
              <w:rPr>
                <w:color w:val="0D0D0D" w:themeColor="text1" w:themeTint="F2"/>
                <w:spacing w:val="-4"/>
                <w:lang w:val="en-GB"/>
              </w:rPr>
              <w:t xml:space="preserve"> since April 2019. Anticipations of production activity in the subsequent three months were mildly positive and outlook in the area of employment changes neutral. </w:t>
            </w:r>
          </w:p>
        </w:tc>
      </w:tr>
      <w:tr w:rsidR="00510A79" w:rsidRPr="00742B86" w:rsidTr="00A52348">
        <w:trPr>
          <w:trHeight w:val="145"/>
        </w:trPr>
        <w:tc>
          <w:tcPr>
            <w:tcW w:w="1494" w:type="dxa"/>
            <w:shd w:val="clear" w:color="auto" w:fill="auto"/>
            <w:tcMar>
              <w:left w:w="0" w:type="dxa"/>
            </w:tcMar>
          </w:tcPr>
          <w:p w:rsidR="00510A79" w:rsidRPr="00742B86" w:rsidRDefault="00745C3B" w:rsidP="00510A79">
            <w:pPr>
              <w:pStyle w:val="Marginlie"/>
              <w:rPr>
                <w:lang w:val="en-GB"/>
              </w:rPr>
            </w:pPr>
            <w:r>
              <w:rPr>
                <w:lang w:val="en-GB"/>
              </w:rPr>
              <w:t>Impact of</w:t>
            </w:r>
            <w:r w:rsidR="00510A79" w:rsidRPr="00742B86">
              <w:rPr>
                <w:lang w:val="en-GB"/>
              </w:rPr>
              <w:t xml:space="preserve"> </w:t>
            </w:r>
            <w:r>
              <w:rPr>
                <w:lang w:val="en-GB"/>
              </w:rPr>
              <w:t>anti-</w:t>
            </w:r>
            <w:r w:rsidR="00510A79" w:rsidRPr="00742B86">
              <w:rPr>
                <w:lang w:val="en-GB"/>
              </w:rPr>
              <w:t>pandemic measure</w:t>
            </w:r>
            <w:r>
              <w:rPr>
                <w:lang w:val="en-GB"/>
              </w:rPr>
              <w:t xml:space="preserve">s on construction were initially mild, </w:t>
            </w:r>
            <w:r w:rsidR="00510A79" w:rsidRPr="00742B86">
              <w:rPr>
                <w:lang w:val="en-GB"/>
              </w:rPr>
              <w:t xml:space="preserve">however lasted longer. </w:t>
            </w: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r w:rsidRPr="00742B86">
              <w:rPr>
                <w:lang w:val="en-GB"/>
              </w:rPr>
              <w:t xml:space="preserve">Output of building construction plunged the most in the last two decades. Civil engineering construction maintained a mild growth.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745C3B" w:rsidP="00510A79">
            <w:pPr>
              <w:rPr>
                <w:spacing w:val="-4"/>
                <w:lang w:val="en-GB"/>
              </w:rPr>
            </w:pPr>
            <w:proofErr w:type="gramStart"/>
            <w:r>
              <w:rPr>
                <w:spacing w:val="-4"/>
                <w:lang w:val="en-GB"/>
              </w:rPr>
              <w:t>Impacts of anti-</w:t>
            </w:r>
            <w:r w:rsidR="00510A79" w:rsidRPr="00742B86">
              <w:rPr>
                <w:spacing w:val="-4"/>
                <w:lang w:val="en-GB"/>
              </w:rPr>
              <w:t>pandemic meas</w:t>
            </w:r>
            <w:r>
              <w:rPr>
                <w:spacing w:val="-4"/>
                <w:lang w:val="en-GB"/>
              </w:rPr>
              <w:t>ures o</w:t>
            </w:r>
            <w:r w:rsidR="00510A79" w:rsidRPr="00742B86">
              <w:rPr>
                <w:spacing w:val="-4"/>
                <w:lang w:val="en-GB"/>
              </w:rPr>
              <w:t xml:space="preserve">n construction </w:t>
            </w:r>
            <w:r>
              <w:rPr>
                <w:spacing w:val="-4"/>
                <w:lang w:val="en-GB"/>
              </w:rPr>
              <w:t>were initially mild</w:t>
            </w:r>
            <w:proofErr w:type="gramEnd"/>
            <w:r>
              <w:rPr>
                <w:spacing w:val="-4"/>
                <w:lang w:val="en-GB"/>
              </w:rPr>
              <w:t xml:space="preserve">, </w:t>
            </w:r>
            <w:proofErr w:type="gramStart"/>
            <w:r>
              <w:rPr>
                <w:spacing w:val="-4"/>
                <w:lang w:val="en-GB"/>
              </w:rPr>
              <w:t xml:space="preserve">nevertheless they </w:t>
            </w:r>
            <w:r w:rsidR="00510A79" w:rsidRPr="00742B86">
              <w:rPr>
                <w:spacing w:val="-4"/>
                <w:lang w:val="en-GB"/>
              </w:rPr>
              <w:t>endured longer</w:t>
            </w:r>
            <w:proofErr w:type="gramEnd"/>
            <w:r w:rsidR="00510A79" w:rsidRPr="00742B86">
              <w:rPr>
                <w:spacing w:val="-2"/>
                <w:lang w:val="en-GB"/>
              </w:rPr>
              <w:t>. The deepest month-on-month fall of construction output</w:t>
            </w:r>
            <w:r w:rsidR="00510A79" w:rsidRPr="00742B86">
              <w:rPr>
                <w:rStyle w:val="Znakapoznpodarou"/>
                <w:spacing w:val="-2"/>
                <w:lang w:val="en-GB"/>
              </w:rPr>
              <w:footnoteReference w:id="32"/>
            </w:r>
            <w:r w:rsidR="00510A79" w:rsidRPr="00742B86">
              <w:rPr>
                <w:spacing w:val="-2"/>
                <w:lang w:val="en-GB"/>
              </w:rPr>
              <w:t xml:space="preserve"> occurred last year as late as May (–3.9%). The restrictive measu</w:t>
            </w:r>
            <w:r w:rsidR="00282755">
              <w:rPr>
                <w:spacing w:val="-2"/>
                <w:lang w:val="en-GB"/>
              </w:rPr>
              <w:t>res gradually limited the</w:t>
            </w:r>
            <w:r w:rsidR="00510A79" w:rsidRPr="00742B86">
              <w:rPr>
                <w:spacing w:val="-2"/>
                <w:lang w:val="en-GB"/>
              </w:rPr>
              <w:t xml:space="preserve"> collaboration of all participants of the </w:t>
            </w:r>
            <w:r w:rsidR="00282755">
              <w:rPr>
                <w:spacing w:val="-2"/>
                <w:lang w:val="en-GB"/>
              </w:rPr>
              <w:t>“</w:t>
            </w:r>
            <w:r w:rsidR="00510A79" w:rsidRPr="00742B86">
              <w:rPr>
                <w:spacing w:val="-2"/>
                <w:lang w:val="en-GB"/>
              </w:rPr>
              <w:t>construction procedure</w:t>
            </w:r>
            <w:r w:rsidR="00282755">
              <w:rPr>
                <w:spacing w:val="-2"/>
                <w:lang w:val="en-GB"/>
              </w:rPr>
              <w:t>”</w:t>
            </w:r>
            <w:r w:rsidR="00510A79" w:rsidRPr="00742B86">
              <w:rPr>
                <w:spacing w:val="-2"/>
                <w:lang w:val="en-GB"/>
              </w:rPr>
              <w:t xml:space="preserve"> and thus further made the already demanding administrative process of the constructions preparations h</w:t>
            </w:r>
            <w:r w:rsidR="00282755">
              <w:rPr>
                <w:spacing w:val="-2"/>
                <w:lang w:val="en-GB"/>
              </w:rPr>
              <w:t>arder. Some tenders</w:t>
            </w:r>
            <w:r w:rsidR="00510A79" w:rsidRPr="00742B86">
              <w:rPr>
                <w:spacing w:val="-2"/>
                <w:lang w:val="en-GB"/>
              </w:rPr>
              <w:t xml:space="preserve"> </w:t>
            </w:r>
            <w:proofErr w:type="gramStart"/>
            <w:r w:rsidR="00510A79" w:rsidRPr="00742B86">
              <w:rPr>
                <w:spacing w:val="-2"/>
                <w:lang w:val="en-GB"/>
              </w:rPr>
              <w:t>were suspended</w:t>
            </w:r>
            <w:proofErr w:type="gramEnd"/>
            <w:r w:rsidR="00510A79" w:rsidRPr="00742B86">
              <w:rPr>
                <w:spacing w:val="-2"/>
                <w:lang w:val="en-GB"/>
              </w:rPr>
              <w:t>, w</w:t>
            </w:r>
            <w:r w:rsidR="00510A79" w:rsidRPr="00742B86">
              <w:rPr>
                <w:spacing w:val="-4"/>
                <w:lang w:val="en-GB"/>
              </w:rPr>
              <w:t>hich disrupted the continuity of construction</w:t>
            </w:r>
            <w:r w:rsidR="00282755">
              <w:rPr>
                <w:spacing w:val="-4"/>
                <w:lang w:val="en-GB"/>
              </w:rPr>
              <w:t xml:space="preserve"> output</w:t>
            </w:r>
            <w:r w:rsidR="00510A79" w:rsidRPr="00742B86">
              <w:rPr>
                <w:spacing w:val="-4"/>
                <w:lang w:val="en-GB"/>
              </w:rPr>
              <w:t xml:space="preserve">. </w:t>
            </w:r>
            <w:proofErr w:type="gramStart"/>
            <w:r w:rsidR="00510A79" w:rsidRPr="00742B86">
              <w:rPr>
                <w:spacing w:val="-4"/>
                <w:lang w:val="en-GB"/>
              </w:rPr>
              <w:t>As a consequence</w:t>
            </w:r>
            <w:proofErr w:type="gramEnd"/>
            <w:r w:rsidR="00510A79" w:rsidRPr="00742B86">
              <w:rPr>
                <w:spacing w:val="-4"/>
                <w:lang w:val="en-GB"/>
              </w:rPr>
              <w:t xml:space="preserve"> of</w:t>
            </w:r>
            <w:r w:rsidR="00282755">
              <w:rPr>
                <w:spacing w:val="-4"/>
                <w:lang w:val="en-GB"/>
              </w:rPr>
              <w:t xml:space="preserve"> restricted mobility, the problems</w:t>
            </w:r>
            <w:r w:rsidR="00510A79" w:rsidRPr="00742B86">
              <w:rPr>
                <w:spacing w:val="-4"/>
                <w:lang w:val="en-GB"/>
              </w:rPr>
              <w:t xml:space="preserve"> w</w:t>
            </w:r>
            <w:r w:rsidR="00282755">
              <w:rPr>
                <w:spacing w:val="-4"/>
                <w:lang w:val="en-GB"/>
              </w:rPr>
              <w:t>ith the availability of workers</w:t>
            </w:r>
            <w:r w:rsidR="00510A79" w:rsidRPr="00742B86">
              <w:rPr>
                <w:spacing w:val="-4"/>
                <w:lang w:val="en-GB"/>
              </w:rPr>
              <w:t xml:space="preserve"> </w:t>
            </w:r>
            <w:r w:rsidR="00282755">
              <w:rPr>
                <w:spacing w:val="-4"/>
                <w:lang w:val="en-GB"/>
              </w:rPr>
              <w:t>(especially those from abroad)</w:t>
            </w:r>
            <w:r w:rsidR="00510A79" w:rsidRPr="00742B86">
              <w:rPr>
                <w:spacing w:val="-4"/>
                <w:lang w:val="en-GB"/>
              </w:rPr>
              <w:t xml:space="preserve"> deepened. In contrast to the vast majority of other market activities, the </w:t>
            </w:r>
            <w:r w:rsidR="00510A79">
              <w:rPr>
                <w:spacing w:val="-4"/>
                <w:lang w:val="en-GB"/>
              </w:rPr>
              <w:t>spring</w:t>
            </w:r>
            <w:r w:rsidR="00510A79" w:rsidRPr="00742B86">
              <w:rPr>
                <w:spacing w:val="-4"/>
                <w:lang w:val="en-GB"/>
              </w:rPr>
              <w:t xml:space="preserve"> slump was weaker in </w:t>
            </w:r>
            <w:proofErr w:type="gramStart"/>
            <w:r w:rsidR="00510A79" w:rsidRPr="00742B86">
              <w:rPr>
                <w:spacing w:val="-4"/>
                <w:lang w:val="en-GB"/>
              </w:rPr>
              <w:t>construction,</w:t>
            </w:r>
            <w:proofErr w:type="gramEnd"/>
            <w:r w:rsidR="00510A79" w:rsidRPr="00742B86">
              <w:rPr>
                <w:spacing w:val="-4"/>
                <w:lang w:val="en-GB"/>
              </w:rPr>
              <w:t xml:space="preserve"> however it was not followed by subsequent recovery. The output thus decreased quarter on quarter in Q3, but also in Q4 (</w:t>
            </w:r>
            <w:r w:rsidR="00510A79" w:rsidRPr="00742B86">
              <w:rPr>
                <w:spacing w:val="-2"/>
                <w:lang w:val="en-GB"/>
              </w:rPr>
              <w:t>–2.9%, resp. –0.3%). For the whole last year, the output dropped by 6.2%</w:t>
            </w:r>
            <w:r w:rsidR="00510A79" w:rsidRPr="00742B86">
              <w:rPr>
                <w:rStyle w:val="Znakapoznpodarou"/>
                <w:spacing w:val="-2"/>
                <w:lang w:val="en-GB"/>
              </w:rPr>
              <w:footnoteReference w:id="33"/>
            </w:r>
            <w:r w:rsidR="00282755">
              <w:rPr>
                <w:spacing w:val="-2"/>
                <w:lang w:val="en-GB"/>
              </w:rPr>
              <w:t>,</w:t>
            </w:r>
            <w:r w:rsidR="00510A79" w:rsidRPr="00742B86">
              <w:rPr>
                <w:spacing w:val="-2"/>
                <w:lang w:val="en-GB"/>
              </w:rPr>
              <w:t xml:space="preserve"> exclusively due to the weak output of building construction (–9.0%, minimum in t</w:t>
            </w:r>
            <w:r w:rsidR="00282755">
              <w:rPr>
                <w:spacing w:val="-2"/>
                <w:lang w:val="en-GB"/>
              </w:rPr>
              <w:t>he comparative time series starting from</w:t>
            </w:r>
            <w:r w:rsidR="00510A79" w:rsidRPr="00742B86">
              <w:rPr>
                <w:spacing w:val="-2"/>
                <w:lang w:val="en-GB"/>
              </w:rPr>
              <w:t xml:space="preserve"> year 2000). Ongoing growth of public investments</w:t>
            </w:r>
            <w:r w:rsidR="00510A79" w:rsidRPr="00742B86">
              <w:rPr>
                <w:rStyle w:val="Znakapoznpodarou"/>
                <w:spacing w:val="-2"/>
                <w:lang w:val="en-GB"/>
              </w:rPr>
              <w:footnoteReference w:id="34"/>
            </w:r>
            <w:r w:rsidR="00EA624A">
              <w:rPr>
                <w:spacing w:val="-2"/>
                <w:lang w:val="en-GB"/>
              </w:rPr>
              <w:t>, had a positive effect on</w:t>
            </w:r>
            <w:r w:rsidR="00510A79" w:rsidRPr="00742B86">
              <w:rPr>
                <w:spacing w:val="-2"/>
                <w:lang w:val="en-GB"/>
              </w:rPr>
              <w:t xml:space="preserve"> the civil engineering construction and its output thus went slightly up compared to year 2019 (+1.4%).</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lang w:val="en-GB"/>
              </w:rPr>
            </w:pPr>
            <w:r w:rsidRPr="00742B86">
              <w:rPr>
                <w:lang w:val="en-GB"/>
              </w:rPr>
              <w:t xml:space="preserve">Output of building construction hindered mainly by lower construction of non-residential buildings. </w:t>
            </w: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proofErr w:type="gramStart"/>
            <w:r w:rsidRPr="00742B86">
              <w:rPr>
                <w:lang w:val="en-GB"/>
              </w:rPr>
              <w:t>Longer term</w:t>
            </w:r>
            <w:proofErr w:type="gramEnd"/>
            <w:r w:rsidRPr="00742B86">
              <w:rPr>
                <w:lang w:val="en-GB"/>
              </w:rPr>
              <w:t xml:space="preserve"> growth of the residential construction halted last year.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spacing w:after="0"/>
              <w:rPr>
                <w:spacing w:val="-5"/>
                <w:sz w:val="14"/>
                <w:szCs w:val="14"/>
                <w:lang w:val="en-GB"/>
              </w:rPr>
            </w:pPr>
            <w:r w:rsidRPr="00742B86">
              <w:rPr>
                <w:spacing w:val="-5"/>
                <w:lang w:val="en-GB"/>
              </w:rPr>
              <w:t xml:space="preserve">Repairs and upgrades thus helped the construction last year since the volume of building permits for </w:t>
            </w:r>
            <w:r w:rsidR="00F14055">
              <w:rPr>
                <w:spacing w:val="-5"/>
                <w:lang w:val="en-GB"/>
              </w:rPr>
              <w:t>“</w:t>
            </w:r>
            <w:r w:rsidRPr="00742B86">
              <w:rPr>
                <w:spacing w:val="-5"/>
                <w:lang w:val="en-GB"/>
              </w:rPr>
              <w:t>changes of completed structures</w:t>
            </w:r>
            <w:r w:rsidR="00F14055">
              <w:rPr>
                <w:spacing w:val="-5"/>
                <w:lang w:val="en-GB"/>
              </w:rPr>
              <w:t>”</w:t>
            </w:r>
            <w:r w:rsidRPr="00742B86">
              <w:rPr>
                <w:spacing w:val="-5"/>
                <w:lang w:val="en-GB"/>
              </w:rPr>
              <w:t xml:space="preserve"> further grew (+0.5%). The plunge of the new construction </w:t>
            </w:r>
            <w:proofErr w:type="gramStart"/>
            <w:r w:rsidRPr="00742B86">
              <w:rPr>
                <w:spacing w:val="-5"/>
                <w:lang w:val="en-GB"/>
              </w:rPr>
              <w:t>can be assumed</w:t>
            </w:r>
            <w:proofErr w:type="gramEnd"/>
            <w:r w:rsidRPr="00742B86">
              <w:rPr>
                <w:spacing w:val="-5"/>
                <w:lang w:val="en-GB"/>
              </w:rPr>
              <w:t xml:space="preserve"> from the same source, especially non-residential buildings (–11%). Number of commenced flats fell by nearly 9%</w:t>
            </w:r>
            <w:r w:rsidRPr="00742B86">
              <w:rPr>
                <w:rStyle w:val="Znakapoznpodarou"/>
                <w:spacing w:val="-5"/>
                <w:lang w:val="en-GB"/>
              </w:rPr>
              <w:footnoteReference w:id="35"/>
            </w:r>
            <w:r w:rsidRPr="00742B86">
              <w:rPr>
                <w:spacing w:val="-5"/>
                <w:lang w:val="en-GB"/>
              </w:rPr>
              <w:t xml:space="preserve"> in comparison to the high last year´s basis. Still, the last year´s frequency of</w:t>
            </w:r>
            <w:r w:rsidR="00F66638">
              <w:rPr>
                <w:spacing w:val="-5"/>
                <w:lang w:val="en-GB"/>
              </w:rPr>
              <w:t xml:space="preserve"> these</w:t>
            </w:r>
            <w:r w:rsidRPr="00742B86">
              <w:rPr>
                <w:spacing w:val="-5"/>
                <w:lang w:val="en-GB"/>
              </w:rPr>
              <w:t xml:space="preserve"> flats (35.3 thousand) was the second highest in the last decade. Following five years of growth, the number of completed flats also decreased last year (by 5.4%), mainly due to the lower number of flats in the residential buildings. </w:t>
            </w:r>
            <w:proofErr w:type="gramStart"/>
            <w:r w:rsidRPr="00742B86">
              <w:rPr>
                <w:spacing w:val="-5"/>
                <w:lang w:val="en-GB"/>
              </w:rPr>
              <w:t>But yet</w:t>
            </w:r>
            <w:proofErr w:type="gramEnd"/>
            <w:r w:rsidRPr="00742B86">
              <w:rPr>
                <w:spacing w:val="-5"/>
                <w:lang w:val="en-GB"/>
              </w:rPr>
              <w:t xml:space="preserve"> the most flats in the last ten years (19.3 thousand) were created in the family houses. </w:t>
            </w:r>
            <w:r w:rsidR="00F66638">
              <w:rPr>
                <w:spacing w:val="-5"/>
                <w:lang w:val="en-GB"/>
              </w:rPr>
              <w:t>Reduced construction hit the majority of regions</w:t>
            </w:r>
            <w:r w:rsidRPr="00742B86">
              <w:rPr>
                <w:spacing w:val="-5"/>
                <w:lang w:val="en-GB"/>
              </w:rPr>
              <w:t xml:space="preserve"> last year, number of completed flats rose in total year-on-year only in Olomouc region and Moravian-Silesian and </w:t>
            </w:r>
            <w:proofErr w:type="spellStart"/>
            <w:r w:rsidRPr="00742B86">
              <w:rPr>
                <w:spacing w:val="-5"/>
                <w:lang w:val="en-GB"/>
              </w:rPr>
              <w:t>Vysočina</w:t>
            </w:r>
            <w:proofErr w:type="spellEnd"/>
            <w:r w:rsidRPr="00742B86">
              <w:rPr>
                <w:spacing w:val="-5"/>
                <w:lang w:val="en-GB"/>
              </w:rPr>
              <w:t xml:space="preserve"> region. </w:t>
            </w:r>
          </w:p>
        </w:tc>
      </w:tr>
      <w:tr w:rsidR="00510A79" w:rsidRPr="00742B86" w:rsidTr="00CB3610">
        <w:trPr>
          <w:trHeight w:val="145"/>
        </w:trPr>
        <w:tc>
          <w:tcPr>
            <w:tcW w:w="1494" w:type="dxa"/>
            <w:shd w:val="clear" w:color="auto" w:fill="auto"/>
            <w:tcMar>
              <w:left w:w="0" w:type="dxa"/>
            </w:tcMar>
          </w:tcPr>
          <w:p w:rsidR="00510A79" w:rsidRPr="00742B86" w:rsidRDefault="00510A79" w:rsidP="00510A79">
            <w:pPr>
              <w:pStyle w:val="Marginlie"/>
              <w:rPr>
                <w:lang w:val="en-GB"/>
              </w:rPr>
            </w:pPr>
            <w:r w:rsidRPr="00742B86">
              <w:rPr>
                <w:lang w:val="en-GB"/>
              </w:rPr>
              <w:lastRenderedPageBreak/>
              <w:t xml:space="preserve">New orders grew in both the building and civil engineering construction. The stock of not yet realised orders expanded faster. </w:t>
            </w: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r w:rsidRPr="00742B86">
              <w:rPr>
                <w:lang w:val="en-GB"/>
              </w:rPr>
              <w:t xml:space="preserve">Confidence in construction strengthened. Significant output growth barriers however prevailed.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spacing w:val="-4"/>
                <w:szCs w:val="20"/>
                <w:lang w:val="en-GB"/>
              </w:rPr>
            </w:pPr>
            <w:r w:rsidRPr="00742B86">
              <w:rPr>
                <w:spacing w:val="-4"/>
                <w:szCs w:val="20"/>
                <w:lang w:val="en-GB"/>
              </w:rPr>
              <w:t>Value of newly concluded construction orders (in businesses with more than 50 employees) grew year-on-year in both building (by 8.1%) and civil engineering construction (7.0%)</w:t>
            </w:r>
            <w:r w:rsidR="00861936">
              <w:rPr>
                <w:spacing w:val="-4"/>
                <w:szCs w:val="20"/>
                <w:lang w:val="en-GB"/>
              </w:rPr>
              <w:t xml:space="preserve"> in Q4 2020</w:t>
            </w:r>
            <w:r w:rsidRPr="00742B86">
              <w:rPr>
                <w:spacing w:val="-4"/>
                <w:szCs w:val="20"/>
                <w:lang w:val="en-GB"/>
              </w:rPr>
              <w:t>. With the view to the fact, that it was happening also for the major part of year 2020, in combination with the lower last year´s continuity of construction output it had a positive effect on the total stock of work (not yet realised orders).  It was higher by one sixths yea</w:t>
            </w:r>
            <w:r w:rsidR="00861936">
              <w:rPr>
                <w:spacing w:val="-4"/>
                <w:szCs w:val="20"/>
                <w:lang w:val="en-GB"/>
              </w:rPr>
              <w:t>r-on-year at the end of 2020</w:t>
            </w:r>
            <w:r w:rsidRPr="00742B86">
              <w:rPr>
                <w:spacing w:val="-4"/>
                <w:szCs w:val="20"/>
                <w:lang w:val="en-GB"/>
              </w:rPr>
              <w:t xml:space="preserve">, which was the merit of both public and private domestic orders by similar part. The volume of work contracted </w:t>
            </w:r>
            <w:r w:rsidR="00FC59FE">
              <w:rPr>
                <w:spacing w:val="-4"/>
                <w:szCs w:val="20"/>
                <w:lang w:val="en-GB"/>
              </w:rPr>
              <w:t xml:space="preserve">to realisation </w:t>
            </w:r>
            <w:r w:rsidRPr="00742B86">
              <w:rPr>
                <w:spacing w:val="-4"/>
                <w:szCs w:val="20"/>
                <w:lang w:val="en-GB"/>
              </w:rPr>
              <w:t>abroad, which domestic businesses often use to help out „in more difficult times“, enlarged for the first time since year 2014. Total entrepreneur confidence in construction improved since the half of the last year and it reached an 11</w:t>
            </w:r>
            <w:r w:rsidR="00FC59FE">
              <w:rPr>
                <w:spacing w:val="-4"/>
                <w:szCs w:val="20"/>
                <w:lang w:val="en-GB"/>
              </w:rPr>
              <w:t>th</w:t>
            </w:r>
            <w:r w:rsidRPr="00742B86">
              <w:rPr>
                <w:spacing w:val="-4"/>
                <w:szCs w:val="20"/>
                <w:lang w:val="en-GB"/>
              </w:rPr>
              <w:t xml:space="preserve"> month maximum in February 2021. It </w:t>
            </w:r>
            <w:proofErr w:type="gramStart"/>
            <w:r w:rsidRPr="00742B86">
              <w:rPr>
                <w:spacing w:val="-4"/>
                <w:szCs w:val="20"/>
                <w:lang w:val="en-GB"/>
              </w:rPr>
              <w:t>was linked</w:t>
            </w:r>
            <w:proofErr w:type="gramEnd"/>
            <w:r w:rsidRPr="00742B86">
              <w:rPr>
                <w:spacing w:val="-4"/>
                <w:szCs w:val="20"/>
                <w:lang w:val="en-GB"/>
              </w:rPr>
              <w:t xml:space="preserve"> to the favourable development of orders as well as the mi</w:t>
            </w:r>
            <w:r w:rsidR="00FC59FE">
              <w:rPr>
                <w:spacing w:val="-4"/>
                <w:szCs w:val="20"/>
                <w:lang w:val="en-GB"/>
              </w:rPr>
              <w:t>ldly positive employment anticipations</w:t>
            </w:r>
            <w:r w:rsidRPr="00742B86">
              <w:rPr>
                <w:spacing w:val="-4"/>
                <w:szCs w:val="20"/>
                <w:lang w:val="en-GB"/>
              </w:rPr>
              <w:t>. Still, the inadequate demand limited nearly one third of businesses and the shortage of workers around 40% of them.</w:t>
            </w:r>
          </w:p>
        </w:tc>
      </w:tr>
      <w:tr w:rsidR="00510A79" w:rsidRPr="00742B86" w:rsidTr="00B72287">
        <w:trPr>
          <w:trHeight w:val="145"/>
        </w:trPr>
        <w:tc>
          <w:tcPr>
            <w:tcW w:w="1494" w:type="dxa"/>
            <w:shd w:val="clear" w:color="auto" w:fill="auto"/>
            <w:tcMar>
              <w:left w:w="0" w:type="dxa"/>
            </w:tcMar>
          </w:tcPr>
          <w:p w:rsidR="00510A79" w:rsidRPr="00742B86" w:rsidRDefault="00510A79" w:rsidP="00510A79">
            <w:pPr>
              <w:pStyle w:val="Marginlie"/>
              <w:rPr>
                <w:lang w:val="en-GB"/>
              </w:rPr>
            </w:pP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EA65E8" w:rsidRDefault="00510A79" w:rsidP="00510A79">
            <w:pPr>
              <w:spacing w:after="0"/>
              <w:rPr>
                <w:spacing w:val="-4"/>
                <w:lang w:val="en-GB"/>
              </w:rPr>
            </w:pPr>
            <w:r w:rsidRPr="00EA65E8">
              <w:rPr>
                <w:b/>
                <w:spacing w:val="-4"/>
                <w:lang w:val="en-GB"/>
              </w:rPr>
              <w:t xml:space="preserve">Chart 6  Contributions of branches to year-on-year change of construction output </w:t>
            </w:r>
            <w:r w:rsidRPr="00EA65E8">
              <w:rPr>
                <w:spacing w:val="-4"/>
                <w:lang w:val="en-GB"/>
              </w:rPr>
              <w:t>(in p.p.)</w:t>
            </w:r>
            <w:r w:rsidRPr="00EA65E8">
              <w:rPr>
                <w:b/>
                <w:bCs/>
                <w:spacing w:val="-4"/>
                <w:lang w:val="en-GB"/>
              </w:rPr>
              <w:t>, new construction orders</w:t>
            </w:r>
            <w:r w:rsidRPr="00EA65E8">
              <w:rPr>
                <w:b/>
                <w:spacing w:val="-4"/>
                <w:lang w:val="en-GB"/>
              </w:rPr>
              <w:t xml:space="preserve"> </w:t>
            </w:r>
            <w:r w:rsidRPr="00EA65E8">
              <w:rPr>
                <w:bCs/>
                <w:spacing w:val="-4"/>
                <w:lang w:val="en-GB"/>
              </w:rPr>
              <w:t>(year-on-year in %</w:t>
            </w:r>
            <w:r w:rsidRPr="00EA65E8">
              <w:rPr>
                <w:spacing w:val="-4"/>
                <w:lang w:val="en-GB"/>
              </w:rPr>
              <w:t>, right axis</w:t>
            </w:r>
            <w:r w:rsidRPr="00EA65E8">
              <w:rPr>
                <w:bCs/>
                <w:spacing w:val="-4"/>
                <w:lang w:val="en-GB"/>
              </w:rPr>
              <w:t>)</w:t>
            </w:r>
            <w:r w:rsidRPr="00EA65E8">
              <w:rPr>
                <w:b/>
                <w:spacing w:val="-4"/>
                <w:lang w:val="en-GB"/>
              </w:rPr>
              <w:t xml:space="preserve">, balance of confidence </w:t>
            </w:r>
            <w:r w:rsidRPr="00EA65E8">
              <w:rPr>
                <w:b/>
                <w:spacing w:val="-6"/>
                <w:lang w:val="en-GB"/>
              </w:rPr>
              <w:t>indicator in construction*</w:t>
            </w:r>
            <w:r w:rsidRPr="00EA65E8">
              <w:rPr>
                <w:spacing w:val="-6"/>
                <w:lang w:val="en-GB"/>
              </w:rPr>
              <w:t xml:space="preserve"> (in p.p., right axis) </w:t>
            </w:r>
            <w:r w:rsidRPr="00EA65E8">
              <w:rPr>
                <w:b/>
                <w:spacing w:val="-6"/>
                <w:lang w:val="en-GB"/>
              </w:rPr>
              <w:t>and selected barriers to growth</w:t>
            </w:r>
            <w:r w:rsidRPr="00EA65E8">
              <w:rPr>
                <w:spacing w:val="-6"/>
                <w:lang w:val="en-GB"/>
              </w:rPr>
              <w:t>* (in %, right axis)</w:t>
            </w:r>
          </w:p>
        </w:tc>
      </w:tr>
      <w:tr w:rsidR="00510A79" w:rsidRPr="00742B86" w:rsidTr="00B72287">
        <w:tblPrEx>
          <w:tblCellMar>
            <w:left w:w="70" w:type="dxa"/>
            <w:right w:w="70" w:type="dxa"/>
          </w:tblCellMar>
        </w:tblPrEx>
        <w:trPr>
          <w:trHeight w:val="145"/>
        </w:trPr>
        <w:tc>
          <w:tcPr>
            <w:tcW w:w="1494" w:type="dxa"/>
            <w:shd w:val="clear" w:color="auto" w:fill="auto"/>
          </w:tcPr>
          <w:p w:rsidR="00510A79" w:rsidRPr="00742B86" w:rsidRDefault="00510A79" w:rsidP="00510A79">
            <w:pPr>
              <w:pStyle w:val="Marginlie"/>
              <w:rPr>
                <w:lang w:val="en-GB"/>
              </w:rPr>
            </w:pPr>
          </w:p>
        </w:tc>
        <w:tc>
          <w:tcPr>
            <w:tcW w:w="185" w:type="dxa"/>
            <w:shd w:val="clear" w:color="auto" w:fill="auto"/>
          </w:tcPr>
          <w:p w:rsidR="00510A79" w:rsidRPr="00742B86" w:rsidRDefault="00510A79" w:rsidP="00510A79">
            <w:pPr>
              <w:pStyle w:val="Textpoznpodarou"/>
              <w:jc w:val="both"/>
              <w:rPr>
                <w:spacing w:val="-4"/>
                <w:lang w:val="en-GB"/>
              </w:rPr>
            </w:pPr>
          </w:p>
        </w:tc>
        <w:tc>
          <w:tcPr>
            <w:tcW w:w="7985" w:type="dxa"/>
            <w:shd w:val="clear" w:color="auto" w:fill="auto"/>
          </w:tcPr>
          <w:p w:rsidR="00510A79" w:rsidRPr="00742B86" w:rsidRDefault="00510A79" w:rsidP="00510A79">
            <w:pPr>
              <w:spacing w:after="0"/>
              <w:rPr>
                <w:spacing w:val="-4"/>
                <w:lang w:val="en-GB"/>
              </w:rPr>
            </w:pPr>
            <w:r>
              <w:rPr>
                <w:noProof/>
              </w:rPr>
              <w:drawing>
                <wp:inline distT="0" distB="0" distL="0" distR="0" wp14:anchorId="4BBA175A" wp14:editId="26BEC991">
                  <wp:extent cx="4818185" cy="3478824"/>
                  <wp:effectExtent l="0" t="0" r="1905" b="762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510A79" w:rsidRPr="00742B86" w:rsidTr="00CB3610">
        <w:trPr>
          <w:trHeight w:val="145"/>
        </w:trPr>
        <w:tc>
          <w:tcPr>
            <w:tcW w:w="1494" w:type="dxa"/>
            <w:shd w:val="clear" w:color="auto" w:fill="auto"/>
            <w:tcMar>
              <w:left w:w="0" w:type="dxa"/>
            </w:tcMar>
          </w:tcPr>
          <w:p w:rsidR="00510A79" w:rsidRPr="00742B86" w:rsidRDefault="00510A79" w:rsidP="00510A79">
            <w:pPr>
              <w:pStyle w:val="Marginlie"/>
              <w:rPr>
                <w:lang w:val="en-GB"/>
              </w:rPr>
            </w:pP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B72287" w:rsidRDefault="00510A79" w:rsidP="00510A79">
            <w:pPr>
              <w:spacing w:after="0"/>
              <w:rPr>
                <w:rFonts w:cs="Arial"/>
                <w:sz w:val="14"/>
                <w:szCs w:val="14"/>
                <w:lang w:val="en-GB"/>
              </w:rPr>
            </w:pPr>
            <w:r w:rsidRPr="00B72287">
              <w:rPr>
                <w:rFonts w:cs="Arial"/>
                <w:sz w:val="14"/>
                <w:szCs w:val="14"/>
                <w:lang w:val="en-GB"/>
              </w:rPr>
              <w:t xml:space="preserve">Data related to construction output </w:t>
            </w:r>
            <w:proofErr w:type="gramStart"/>
            <w:r w:rsidRPr="00B72287">
              <w:rPr>
                <w:rFonts w:cs="Arial"/>
                <w:sz w:val="14"/>
                <w:szCs w:val="14"/>
                <w:lang w:val="en-GB"/>
              </w:rPr>
              <w:t>are adjusted</w:t>
            </w:r>
            <w:proofErr w:type="gramEnd"/>
            <w:r w:rsidRPr="00B72287">
              <w:rPr>
                <w:rFonts w:cs="Arial"/>
                <w:sz w:val="14"/>
                <w:szCs w:val="14"/>
                <w:lang w:val="en-GB"/>
              </w:rPr>
              <w:t xml:space="preserve"> for calendar effects. </w:t>
            </w:r>
          </w:p>
          <w:p w:rsidR="00510A79" w:rsidRPr="00B72287" w:rsidRDefault="00510A79" w:rsidP="00510A79">
            <w:pPr>
              <w:spacing w:after="0"/>
              <w:rPr>
                <w:rFonts w:cs="Arial"/>
                <w:sz w:val="14"/>
                <w:szCs w:val="14"/>
                <w:lang w:val="en-GB"/>
              </w:rPr>
            </w:pPr>
            <w:r w:rsidRPr="00B72287">
              <w:rPr>
                <w:rFonts w:cs="Arial"/>
                <w:sz w:val="14"/>
                <w:szCs w:val="14"/>
                <w:lang w:val="en-GB"/>
              </w:rPr>
              <w:t xml:space="preserve">*Balance of confidence indicator as well as barriers to growth </w:t>
            </w:r>
            <w:proofErr w:type="gramStart"/>
            <w:r w:rsidRPr="00B72287">
              <w:rPr>
                <w:rFonts w:cs="Arial"/>
                <w:sz w:val="14"/>
                <w:szCs w:val="14"/>
                <w:lang w:val="en-GB"/>
              </w:rPr>
              <w:t>are seasonally adjusted</w:t>
            </w:r>
            <w:proofErr w:type="gramEnd"/>
            <w:r w:rsidRPr="00B72287">
              <w:rPr>
                <w:rFonts w:cs="Arial"/>
                <w:sz w:val="14"/>
                <w:szCs w:val="14"/>
                <w:lang w:val="en-GB"/>
              </w:rPr>
              <w:t xml:space="preserve"> and express the state in the second month of the given quarter. Businesses could have state more main barriers simultaneously. </w:t>
            </w:r>
          </w:p>
          <w:p w:rsidR="00510A79" w:rsidRPr="00B72287" w:rsidRDefault="00510A79" w:rsidP="00510A79">
            <w:pPr>
              <w:spacing w:after="220"/>
              <w:rPr>
                <w:rFonts w:cs="Arial"/>
                <w:sz w:val="14"/>
                <w:szCs w:val="14"/>
                <w:lang w:val="en-GB"/>
              </w:rPr>
            </w:pPr>
            <w:r w:rsidRPr="00B72287">
              <w:rPr>
                <w:rFonts w:cs="Arial"/>
                <w:sz w:val="14"/>
                <w:szCs w:val="14"/>
                <w:lang w:val="en-GB"/>
              </w:rPr>
              <w:t>Source: CZSO</w:t>
            </w:r>
          </w:p>
        </w:tc>
      </w:tr>
      <w:tr w:rsidR="00510A79" w:rsidRPr="00742B86" w:rsidTr="00CB3610">
        <w:trPr>
          <w:trHeight w:val="145"/>
        </w:trPr>
        <w:tc>
          <w:tcPr>
            <w:tcW w:w="1494" w:type="dxa"/>
            <w:shd w:val="clear" w:color="auto" w:fill="auto"/>
            <w:tcMar>
              <w:left w:w="0" w:type="dxa"/>
            </w:tcMar>
          </w:tcPr>
          <w:p w:rsidR="00510A79" w:rsidRPr="00742B86" w:rsidRDefault="00510A79" w:rsidP="00510A79">
            <w:pPr>
              <w:pStyle w:val="Marginlie"/>
              <w:rPr>
                <w:lang w:val="en-GB"/>
              </w:rPr>
            </w:pPr>
            <w:r w:rsidRPr="00742B86">
              <w:rPr>
                <w:lang w:val="en-GB"/>
              </w:rPr>
              <w:t xml:space="preserve">Sales in services plunged by nearly one tenth month-on-month </w:t>
            </w:r>
            <w:proofErr w:type="gramStart"/>
            <w:r w:rsidRPr="00742B86">
              <w:rPr>
                <w:lang w:val="en-GB"/>
              </w:rPr>
              <w:t>both in March and April</w:t>
            </w:r>
            <w:proofErr w:type="gramEnd"/>
            <w:r w:rsidRPr="00742B86">
              <w:rPr>
                <w:lang w:val="en-GB"/>
              </w:rPr>
              <w:t xml:space="preserve">.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114C8D" w:rsidRDefault="00510A79" w:rsidP="00114C8D">
            <w:pPr>
              <w:spacing w:after="0"/>
              <w:rPr>
                <w:szCs w:val="20"/>
                <w:lang w:val="en-GB"/>
              </w:rPr>
            </w:pPr>
            <w:r w:rsidRPr="00114C8D">
              <w:rPr>
                <w:lang w:val="en-GB"/>
              </w:rPr>
              <w:t>Sales in selected services</w:t>
            </w:r>
            <w:r w:rsidRPr="00114C8D">
              <w:rPr>
                <w:color w:val="0D0D0D" w:themeColor="text1" w:themeTint="F2"/>
                <w:vertAlign w:val="superscript"/>
                <w:lang w:val="en-GB"/>
              </w:rPr>
              <w:footnoteReference w:id="36"/>
            </w:r>
            <w:r w:rsidR="00114C8D" w:rsidRPr="00114C8D">
              <w:rPr>
                <w:lang w:val="en-GB"/>
              </w:rPr>
              <w:t xml:space="preserve"> </w:t>
            </w:r>
            <w:proofErr w:type="gramStart"/>
            <w:r w:rsidR="00114C8D" w:rsidRPr="00114C8D">
              <w:rPr>
                <w:lang w:val="en-GB"/>
              </w:rPr>
              <w:t xml:space="preserve">were rather </w:t>
            </w:r>
            <w:r w:rsidRPr="00114C8D">
              <w:rPr>
                <w:lang w:val="en-GB"/>
              </w:rPr>
              <w:t>severely hit</w:t>
            </w:r>
            <w:proofErr w:type="gramEnd"/>
            <w:r w:rsidRPr="00114C8D">
              <w:rPr>
                <w:lang w:val="en-GB"/>
              </w:rPr>
              <w:t xml:space="preserve"> by the government restrictive measures last year. They plunged </w:t>
            </w:r>
            <w:r w:rsidR="00114C8D" w:rsidRPr="00114C8D">
              <w:rPr>
                <w:lang w:val="en-GB"/>
              </w:rPr>
              <w:t xml:space="preserve">month-on-month </w:t>
            </w:r>
            <w:r w:rsidRPr="00114C8D">
              <w:rPr>
                <w:lang w:val="en-GB"/>
              </w:rPr>
              <w:t xml:space="preserve">by record </w:t>
            </w:r>
            <w:r w:rsidR="00114C8D" w:rsidRPr="00114C8D">
              <w:rPr>
                <w:lang w:val="en-GB"/>
              </w:rPr>
              <w:t>pace during March as well as</w:t>
            </w:r>
            <w:r w:rsidRPr="00114C8D">
              <w:rPr>
                <w:lang w:val="en-GB"/>
              </w:rPr>
              <w:t xml:space="preserve"> April</w:t>
            </w:r>
            <w:r w:rsidR="00114C8D" w:rsidRPr="00114C8D">
              <w:rPr>
                <w:lang w:val="en-GB"/>
              </w:rPr>
              <w:t xml:space="preserve"> (by 10 %)</w:t>
            </w:r>
            <w:r w:rsidRPr="00114C8D">
              <w:rPr>
                <w:lang w:val="en-GB"/>
              </w:rPr>
              <w:t>. In the subsequent three months, a partial recovery eventuated (mainly in accommodation, food service and restaurants</w:t>
            </w:r>
            <w:r w:rsidRPr="00114C8D">
              <w:rPr>
                <w:color w:val="0D0D0D" w:themeColor="text1" w:themeTint="F2"/>
                <w:lang w:val="en-GB"/>
              </w:rPr>
              <w:t>)</w:t>
            </w:r>
            <w:proofErr w:type="gramStart"/>
            <w:r w:rsidRPr="00114C8D">
              <w:rPr>
                <w:color w:val="0D0D0D" w:themeColor="text1" w:themeTint="F2"/>
                <w:lang w:val="en-GB"/>
              </w:rPr>
              <w:t>,</w:t>
            </w:r>
            <w:proofErr w:type="gramEnd"/>
            <w:r w:rsidRPr="00114C8D">
              <w:rPr>
                <w:color w:val="0D0D0D" w:themeColor="text1" w:themeTint="F2"/>
                <w:lang w:val="en-GB"/>
              </w:rPr>
              <w:t xml:space="preserve"> it was however far from compensating the previous deep slump. The second epidemic wave led to the shortening of the summer tourist season. From August until the end of the last </w:t>
            </w:r>
            <w:proofErr w:type="gramStart"/>
            <w:r w:rsidRPr="00114C8D">
              <w:rPr>
                <w:color w:val="0D0D0D" w:themeColor="text1" w:themeTint="F2"/>
                <w:lang w:val="en-GB"/>
              </w:rPr>
              <w:t>year</w:t>
            </w:r>
            <w:proofErr w:type="gramEnd"/>
            <w:r w:rsidRPr="00114C8D">
              <w:rPr>
                <w:color w:val="0D0D0D" w:themeColor="text1" w:themeTint="F2"/>
                <w:lang w:val="en-GB"/>
              </w:rPr>
              <w:t xml:space="preserve"> the sales were again falling month-on-month</w:t>
            </w:r>
            <w:r w:rsidRPr="00114C8D">
              <w:rPr>
                <w:rStyle w:val="Znakapoznpodarou"/>
                <w:color w:val="0D0D0D" w:themeColor="text1" w:themeTint="F2"/>
                <w:lang w:val="en-GB"/>
              </w:rPr>
              <w:footnoteReference w:id="37"/>
            </w:r>
            <w:r w:rsidRPr="00114C8D">
              <w:rPr>
                <w:color w:val="0D0D0D" w:themeColor="text1" w:themeTint="F2"/>
                <w:lang w:val="en-GB"/>
              </w:rPr>
              <w:t>, however by</w:t>
            </w:r>
            <w:r w:rsidR="003F04FF">
              <w:rPr>
                <w:color w:val="0D0D0D" w:themeColor="text1" w:themeTint="F2"/>
                <w:lang w:val="en-GB"/>
              </w:rPr>
              <w:t xml:space="preserve"> much lower paces</w:t>
            </w:r>
            <w:r w:rsidRPr="00114C8D">
              <w:rPr>
                <w:color w:val="0D0D0D" w:themeColor="text1" w:themeTint="F2"/>
                <w:lang w:val="en-GB"/>
              </w:rPr>
              <w:t xml:space="preserve"> than in the spring crisis. Som</w:t>
            </w:r>
            <w:r w:rsidR="003F04FF">
              <w:rPr>
                <w:color w:val="0D0D0D" w:themeColor="text1" w:themeTint="F2"/>
                <w:lang w:val="en-GB"/>
              </w:rPr>
              <w:t xml:space="preserve">e services managed to </w:t>
            </w:r>
            <w:r w:rsidRPr="00114C8D">
              <w:rPr>
                <w:color w:val="0D0D0D" w:themeColor="text1" w:themeTint="F2"/>
                <w:lang w:val="en-GB"/>
              </w:rPr>
              <w:t>adjust to the compulsory limitation of interpersonal contact</w:t>
            </w:r>
            <w:r w:rsidRPr="00114C8D">
              <w:rPr>
                <w:rFonts w:cs="Arial"/>
                <w:bCs/>
                <w:szCs w:val="20"/>
                <w:lang w:val="en-GB"/>
              </w:rPr>
              <w:t xml:space="preserve">, certain segment of services also profited from the favourable development of industry. </w:t>
            </w:r>
          </w:p>
        </w:tc>
      </w:tr>
      <w:tr w:rsidR="00510A79" w:rsidRPr="00742B86" w:rsidTr="00A52348">
        <w:trPr>
          <w:trHeight w:val="145"/>
        </w:trPr>
        <w:tc>
          <w:tcPr>
            <w:tcW w:w="1494" w:type="dxa"/>
            <w:shd w:val="clear" w:color="auto" w:fill="auto"/>
            <w:tcMar>
              <w:left w:w="0" w:type="dxa"/>
            </w:tcMar>
          </w:tcPr>
          <w:p w:rsidR="00510A79" w:rsidRPr="00742B86" w:rsidRDefault="00510A79" w:rsidP="00D04101">
            <w:pPr>
              <w:pStyle w:val="Marginlie"/>
              <w:rPr>
                <w:lang w:val="en-GB"/>
              </w:rPr>
            </w:pPr>
            <w:r w:rsidRPr="00742B86">
              <w:rPr>
                <w:lang w:val="en-GB"/>
              </w:rPr>
              <w:lastRenderedPageBreak/>
              <w:t xml:space="preserve">Sales in services plunged deeper last year than in year 2009. They were the most affected by transporting and storage.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spacing w:val="-4"/>
                <w:lang w:val="en-GB"/>
              </w:rPr>
            </w:pPr>
            <w:r w:rsidRPr="00742B86">
              <w:rPr>
                <w:spacing w:val="-4"/>
                <w:szCs w:val="20"/>
                <w:lang w:val="en-GB"/>
              </w:rPr>
              <w:t>The sales in services plunged by 11.8% for the whole last year and slightly thus overtook their so far deepest slump from year 2009. Weight dominant transporting and storage shared by nearly one third in the la</w:t>
            </w:r>
            <w:r w:rsidR="00D04101">
              <w:rPr>
                <w:spacing w:val="-4"/>
                <w:szCs w:val="20"/>
                <w:lang w:val="en-GB"/>
              </w:rPr>
              <w:t>st year´s fall. Further branch</w:t>
            </w:r>
            <w:r w:rsidRPr="00742B86">
              <w:rPr>
                <w:spacing w:val="-4"/>
                <w:szCs w:val="20"/>
                <w:lang w:val="en-GB"/>
              </w:rPr>
              <w:t>es exerted only weaker influence – administrative and su</w:t>
            </w:r>
            <w:r w:rsidR="00D04101">
              <w:rPr>
                <w:spacing w:val="-4"/>
                <w:szCs w:val="20"/>
                <w:lang w:val="en-GB"/>
              </w:rPr>
              <w:t xml:space="preserve">pport services activities, respectively </w:t>
            </w:r>
            <w:r w:rsidRPr="00742B86">
              <w:rPr>
                <w:spacing w:val="-4"/>
                <w:szCs w:val="20"/>
                <w:lang w:val="en-GB"/>
              </w:rPr>
              <w:t>accommodation, food ser</w:t>
            </w:r>
            <w:r w:rsidR="00D04101">
              <w:rPr>
                <w:spacing w:val="-4"/>
                <w:szCs w:val="20"/>
                <w:lang w:val="en-GB"/>
              </w:rPr>
              <w:t>vice and restaurants, which were</w:t>
            </w:r>
            <w:r w:rsidRPr="00742B86">
              <w:rPr>
                <w:spacing w:val="-4"/>
                <w:szCs w:val="20"/>
                <w:lang w:val="en-GB"/>
              </w:rPr>
              <w:t xml:space="preserve"> the decisive factor of adverse development of services in third, resp. </w:t>
            </w:r>
            <w:proofErr w:type="gramStart"/>
            <w:r w:rsidRPr="00742B86">
              <w:rPr>
                <w:spacing w:val="-4"/>
                <w:szCs w:val="20"/>
                <w:lang w:val="en-GB"/>
              </w:rPr>
              <w:t>fourth</w:t>
            </w:r>
            <w:proofErr w:type="gramEnd"/>
            <w:r w:rsidRPr="00742B86">
              <w:rPr>
                <w:spacing w:val="-4"/>
                <w:szCs w:val="20"/>
                <w:lang w:val="en-GB"/>
              </w:rPr>
              <w:t xml:space="preserve"> quarter 2020.</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lang w:val="en-GB"/>
              </w:rPr>
            </w:pPr>
            <w:r w:rsidRPr="00742B86">
              <w:rPr>
                <w:lang w:val="en-GB"/>
              </w:rPr>
              <w:t>The areas of services tied to tourism or leisure activities were the most hit.</w:t>
            </w: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p>
          <w:p w:rsidR="00510A79" w:rsidRPr="00742B86" w:rsidRDefault="00510A79" w:rsidP="00510A79">
            <w:pPr>
              <w:pStyle w:val="Marginlie"/>
              <w:rPr>
                <w:lang w:val="en-GB"/>
              </w:rPr>
            </w:pPr>
            <w:r w:rsidRPr="00742B86">
              <w:rPr>
                <w:lang w:val="en-GB"/>
              </w:rPr>
              <w:t>Services with ties to industry experienced a mild recovery in the second half of the year.</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spacing w:val="-4"/>
                <w:lang w:val="en-GB"/>
              </w:rPr>
            </w:pPr>
            <w:r w:rsidRPr="00742B86">
              <w:rPr>
                <w:spacing w:val="-4"/>
                <w:szCs w:val="20"/>
                <w:lang w:val="en-GB"/>
              </w:rPr>
              <w:t>It is not surprising with the view to the nature of the restrictions, that the most severe slump in services affected areas closely tied to tourism and other leisure time activities. Sales of travel agencies dived compared to year 2019 by 75.0%, by 70.4% in the air transport, by 55.9% in accommodation and by 34.1%</w:t>
            </w:r>
            <w:r w:rsidRPr="00742B86">
              <w:rPr>
                <w:rStyle w:val="Znakapoznpodarou"/>
                <w:spacing w:val="-4"/>
                <w:szCs w:val="20"/>
                <w:lang w:val="en-GB"/>
              </w:rPr>
              <w:footnoteReference w:id="38"/>
            </w:r>
            <w:r w:rsidRPr="00742B86">
              <w:rPr>
                <w:spacing w:val="-4"/>
                <w:szCs w:val="20"/>
                <w:lang w:val="en-GB"/>
              </w:rPr>
              <w:t xml:space="preserve"> in food service and restaurants. The output of motion picture and musical industry also slumped by nearly two fifths</w:t>
            </w:r>
            <w:r w:rsidRPr="00742B86">
              <w:rPr>
                <w:rStyle w:val="Znakapoznpodarou"/>
                <w:spacing w:val="-4"/>
                <w:szCs w:val="20"/>
                <w:lang w:val="en-GB"/>
              </w:rPr>
              <w:footnoteReference w:id="39"/>
            </w:r>
            <w:r w:rsidR="0044506B">
              <w:rPr>
                <w:spacing w:val="-4"/>
                <w:szCs w:val="20"/>
                <w:lang w:val="en-GB"/>
              </w:rPr>
              <w:t>. Other branches</w:t>
            </w:r>
            <w:r w:rsidRPr="00742B86">
              <w:rPr>
                <w:spacing w:val="-4"/>
                <w:szCs w:val="20"/>
                <w:lang w:val="en-GB"/>
              </w:rPr>
              <w:t xml:space="preserve"> of services, where the demand correlates to the busine</w:t>
            </w:r>
            <w:r>
              <w:rPr>
                <w:spacing w:val="-4"/>
                <w:szCs w:val="20"/>
                <w:lang w:val="en-GB"/>
              </w:rPr>
              <w:t>s</w:t>
            </w:r>
            <w:r w:rsidRPr="00742B86">
              <w:rPr>
                <w:spacing w:val="-4"/>
                <w:szCs w:val="20"/>
                <w:lang w:val="en-GB"/>
              </w:rPr>
              <w:t>s cycle fluctuations, also faced difficulties last year. It was especially job agencies, where the sales fell by nearly one fifth. They decreased by more than one tenth in land transport, ware</w:t>
            </w:r>
            <w:r w:rsidR="0044506B">
              <w:rPr>
                <w:spacing w:val="-4"/>
                <w:szCs w:val="20"/>
                <w:lang w:val="en-GB"/>
              </w:rPr>
              <w:t xml:space="preserve">housing </w:t>
            </w:r>
            <w:proofErr w:type="gramStart"/>
            <w:r w:rsidR="0044506B">
              <w:rPr>
                <w:spacing w:val="-4"/>
                <w:szCs w:val="20"/>
                <w:lang w:val="en-GB"/>
              </w:rPr>
              <w:t>and also</w:t>
            </w:r>
            <w:proofErr w:type="gramEnd"/>
            <w:r w:rsidR="0044506B">
              <w:rPr>
                <w:spacing w:val="-4"/>
                <w:szCs w:val="20"/>
                <w:lang w:val="en-GB"/>
              </w:rPr>
              <w:t xml:space="preserve"> in advertising. R</w:t>
            </w:r>
            <w:r w:rsidRPr="00742B86">
              <w:rPr>
                <w:spacing w:val="-4"/>
                <w:szCs w:val="20"/>
                <w:lang w:val="en-GB"/>
              </w:rPr>
              <w:t>ental and operative leasing activities or architectural and engineering activities registered</w:t>
            </w:r>
            <w:r w:rsidRPr="00742B86">
              <w:rPr>
                <w:rFonts w:cs="Arial"/>
                <w:bCs/>
                <w:spacing w:val="-2"/>
                <w:szCs w:val="20"/>
                <w:lang w:val="en-GB"/>
              </w:rPr>
              <w:t xml:space="preserve"> 8% decline. Services areas tied to industry experienced revival in H2. In Q4 compared to the preceding quarter, sales thus rose in land transport (+1.9%), warehousing (+3.2%) as well as job agencies (+5.2%).</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lang w:val="en-GB"/>
              </w:rPr>
            </w:pP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021DDB" w:rsidRDefault="00510A79" w:rsidP="00510A79">
            <w:pPr>
              <w:spacing w:after="0"/>
              <w:rPr>
                <w:szCs w:val="20"/>
                <w:lang w:val="en-GB"/>
              </w:rPr>
            </w:pPr>
            <w:r w:rsidRPr="00021DDB">
              <w:rPr>
                <w:b/>
                <w:lang w:val="en-GB"/>
              </w:rPr>
              <w:t xml:space="preserve">Chart 7  Contributions of branches to year-on-year change of sales in services* </w:t>
            </w:r>
            <w:r w:rsidRPr="00021DDB">
              <w:rPr>
                <w:lang w:val="en-GB"/>
              </w:rPr>
              <w:t xml:space="preserve">(in p.p., adjusted for calendar effects), </w:t>
            </w:r>
            <w:r w:rsidRPr="00021DDB">
              <w:rPr>
                <w:b/>
                <w:lang w:val="en-GB"/>
              </w:rPr>
              <w:t xml:space="preserve">balance of confidence indicator in services** </w:t>
            </w:r>
            <w:r w:rsidRPr="00021DDB">
              <w:rPr>
                <w:lang w:val="en-GB"/>
              </w:rPr>
              <w:t>(in p.p., right axis)</w:t>
            </w:r>
            <w:r w:rsidRPr="00021DDB">
              <w:rPr>
                <w:b/>
                <w:lang w:val="en-GB"/>
              </w:rPr>
              <w:t xml:space="preserve"> and selected growth barriers*</w:t>
            </w:r>
            <w:r w:rsidRPr="00021DDB">
              <w:rPr>
                <w:lang w:val="en-GB"/>
              </w:rPr>
              <w:t>* (in %, right axis)</w:t>
            </w:r>
          </w:p>
        </w:tc>
      </w:tr>
      <w:tr w:rsidR="00510A79" w:rsidRPr="00742B86" w:rsidTr="00345B78">
        <w:tblPrEx>
          <w:tblCellMar>
            <w:left w:w="70" w:type="dxa"/>
            <w:right w:w="70" w:type="dxa"/>
          </w:tblCellMar>
        </w:tblPrEx>
        <w:trPr>
          <w:trHeight w:val="145"/>
        </w:trPr>
        <w:tc>
          <w:tcPr>
            <w:tcW w:w="1494" w:type="dxa"/>
            <w:shd w:val="clear" w:color="auto" w:fill="auto"/>
          </w:tcPr>
          <w:p w:rsidR="00510A79" w:rsidRPr="00742B86" w:rsidRDefault="00510A79" w:rsidP="00510A79">
            <w:pPr>
              <w:pStyle w:val="Marginlie"/>
              <w:rPr>
                <w:lang w:val="en-GB"/>
              </w:rPr>
            </w:pPr>
          </w:p>
        </w:tc>
        <w:tc>
          <w:tcPr>
            <w:tcW w:w="185" w:type="dxa"/>
            <w:shd w:val="clear" w:color="auto" w:fill="auto"/>
          </w:tcPr>
          <w:p w:rsidR="00510A79" w:rsidRPr="00742B86" w:rsidRDefault="00510A79" w:rsidP="00510A79">
            <w:pPr>
              <w:pStyle w:val="Textpoznpodarou"/>
              <w:jc w:val="both"/>
              <w:rPr>
                <w:spacing w:val="-4"/>
                <w:lang w:val="en-GB"/>
              </w:rPr>
            </w:pPr>
          </w:p>
        </w:tc>
        <w:tc>
          <w:tcPr>
            <w:tcW w:w="7985" w:type="dxa"/>
            <w:shd w:val="clear" w:color="auto" w:fill="auto"/>
          </w:tcPr>
          <w:p w:rsidR="00510A79" w:rsidRPr="00742B86" w:rsidRDefault="00510A79" w:rsidP="00510A79">
            <w:pPr>
              <w:spacing w:after="0"/>
              <w:rPr>
                <w:spacing w:val="-4"/>
                <w:szCs w:val="20"/>
                <w:lang w:val="en-GB"/>
              </w:rPr>
            </w:pPr>
            <w:r>
              <w:rPr>
                <w:noProof/>
              </w:rPr>
              <w:drawing>
                <wp:inline distT="0" distB="0" distL="0" distR="0" wp14:anchorId="06730A0A" wp14:editId="172A6338">
                  <wp:extent cx="4903762" cy="3655274"/>
                  <wp:effectExtent l="0" t="0" r="0" b="254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lang w:val="en-GB"/>
              </w:rPr>
            </w:pP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44506B" w:rsidRDefault="00510A79" w:rsidP="00510A79">
            <w:pPr>
              <w:spacing w:after="0"/>
              <w:rPr>
                <w:rFonts w:cs="Arial"/>
                <w:sz w:val="14"/>
                <w:szCs w:val="14"/>
                <w:lang w:val="en-GB"/>
              </w:rPr>
            </w:pPr>
            <w:r w:rsidRPr="0044506B">
              <w:rPr>
                <w:rFonts w:cs="Arial"/>
                <w:sz w:val="14"/>
                <w:szCs w:val="14"/>
                <w:lang w:val="en-GB"/>
              </w:rPr>
              <w:t>*</w:t>
            </w:r>
            <w:r w:rsidRPr="0044506B">
              <w:rPr>
                <w:color w:val="0D0D0D" w:themeColor="text1" w:themeTint="F2"/>
                <w:sz w:val="14"/>
                <w:szCs w:val="14"/>
                <w:lang w:val="en-GB"/>
              </w:rPr>
              <w:t xml:space="preserve"> Without branches trade, financial activities, insurance activities, science, research and public services. </w:t>
            </w:r>
          </w:p>
          <w:p w:rsidR="00510A79" w:rsidRPr="0044506B" w:rsidRDefault="00510A79" w:rsidP="00510A79">
            <w:pPr>
              <w:spacing w:after="0"/>
              <w:rPr>
                <w:rFonts w:cs="Arial"/>
                <w:sz w:val="14"/>
                <w:szCs w:val="14"/>
                <w:lang w:val="en-GB"/>
              </w:rPr>
            </w:pPr>
            <w:r w:rsidRPr="0044506B">
              <w:rPr>
                <w:rFonts w:cs="Arial"/>
                <w:sz w:val="14"/>
                <w:szCs w:val="14"/>
                <w:lang w:val="en-GB"/>
              </w:rPr>
              <w:t xml:space="preserve">**Also includes </w:t>
            </w:r>
            <w:r w:rsidR="00F11AD8">
              <w:rPr>
                <w:rFonts w:cs="Arial"/>
                <w:sz w:val="14"/>
                <w:szCs w:val="14"/>
                <w:lang w:val="en-GB"/>
              </w:rPr>
              <w:t xml:space="preserve">also </w:t>
            </w:r>
            <w:r w:rsidRPr="0044506B">
              <w:rPr>
                <w:rFonts w:cs="Arial"/>
                <w:sz w:val="14"/>
                <w:szCs w:val="14"/>
                <w:lang w:val="en-GB"/>
              </w:rPr>
              <w:t xml:space="preserve">the financial sector. Balance of confidence as well as the barriers to growth are seasonally adjusted and express the state in the first (growth barriers), resp. second month of the given quarter (balance of confidence). Businesses could have stated more main barriers simultaneously. </w:t>
            </w:r>
          </w:p>
          <w:p w:rsidR="00510A79" w:rsidRPr="00345B78" w:rsidRDefault="00510A79" w:rsidP="00F11AD8">
            <w:pPr>
              <w:spacing w:after="0"/>
              <w:rPr>
                <w:rFonts w:cs="Arial"/>
                <w:sz w:val="14"/>
                <w:szCs w:val="14"/>
                <w:lang w:val="en-GB"/>
              </w:rPr>
            </w:pPr>
            <w:r w:rsidRPr="00742B86">
              <w:rPr>
                <w:rFonts w:cs="Arial"/>
                <w:sz w:val="14"/>
                <w:szCs w:val="14"/>
                <w:lang w:val="en-GB"/>
              </w:rPr>
              <w:t>Source: CZSO</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lang w:val="en-GB"/>
              </w:rPr>
            </w:pPr>
            <w:r w:rsidRPr="00742B86">
              <w:rPr>
                <w:lang w:val="en-GB"/>
              </w:rPr>
              <w:lastRenderedPageBreak/>
              <w:t xml:space="preserve">Demand for postal and courier activities, information activities or communication services substantially mounted up.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spacing w:val="-4"/>
                <w:szCs w:val="20"/>
                <w:lang w:val="en-GB"/>
              </w:rPr>
            </w:pPr>
            <w:r w:rsidRPr="00742B86">
              <w:rPr>
                <w:spacing w:val="-4"/>
                <w:szCs w:val="20"/>
                <w:lang w:val="en-GB"/>
              </w:rPr>
              <w:t>The role of some areas of services, which offered solution in the environment of limited social contact, on the contrary strengthened last year. Sales grew by 4.8% in telecommunication services (the most after year 2007). Information activities including e.g. data processing, web portals or hosting, also featured a swift pace (</w:t>
            </w:r>
            <w:r w:rsidR="00A17D34">
              <w:rPr>
                <w:spacing w:val="-4"/>
                <w:szCs w:val="20"/>
                <w:lang w:val="en-GB"/>
              </w:rPr>
              <w:t>+</w:t>
            </w:r>
            <w:r w:rsidRPr="00742B86">
              <w:rPr>
                <w:spacing w:val="-4"/>
                <w:szCs w:val="20"/>
                <w:lang w:val="en-GB"/>
              </w:rPr>
              <w:t xml:space="preserve">5.5%). The demand for television programming and broadcasting activities grew for the third year in a row. Postal and courier activities experienced boom; the sales hiked up by </w:t>
            </w:r>
            <w:proofErr w:type="gramStart"/>
            <w:r w:rsidRPr="00742B86">
              <w:rPr>
                <w:spacing w:val="-4"/>
                <w:szCs w:val="20"/>
                <w:lang w:val="en-GB"/>
              </w:rPr>
              <w:t>double digit</w:t>
            </w:r>
            <w:proofErr w:type="gramEnd"/>
            <w:r w:rsidRPr="00742B86">
              <w:rPr>
                <w:spacing w:val="-4"/>
                <w:szCs w:val="20"/>
                <w:lang w:val="en-GB"/>
              </w:rPr>
              <w:t xml:space="preserve"> rate of growth for the second year in a row</w:t>
            </w:r>
            <w:r w:rsidRPr="00742B86">
              <w:rPr>
                <w:rStyle w:val="Znakapoznpodarou"/>
                <w:spacing w:val="-4"/>
                <w:szCs w:val="20"/>
                <w:lang w:val="en-GB"/>
              </w:rPr>
              <w:footnoteReference w:id="40"/>
            </w:r>
            <w:r w:rsidRPr="00742B86">
              <w:rPr>
                <w:spacing w:val="-4"/>
                <w:szCs w:val="20"/>
                <w:lang w:val="en-GB"/>
              </w:rPr>
              <w:t xml:space="preserve">. Next to these, it is also possible to find some areas of services, which were not significantly impacted by the government restrictions and whose sales pace essentially did not change compared to year 2019 (real estate activities, legal and accounting activities or security and </w:t>
            </w:r>
            <w:r w:rsidRPr="003B2718">
              <w:rPr>
                <w:color w:val="0D0D0D" w:themeColor="text1" w:themeTint="F2"/>
                <w:spacing w:val="-4"/>
                <w:szCs w:val="20"/>
                <w:lang w:val="en-GB"/>
              </w:rPr>
              <w:t>investigation activities</w:t>
            </w:r>
            <w:r w:rsidRPr="003B2718">
              <w:rPr>
                <w:color w:val="0D0D0D" w:themeColor="text1" w:themeTint="F2"/>
                <w:spacing w:val="-5"/>
                <w:szCs w:val="20"/>
                <w:lang w:val="en-GB"/>
              </w:rPr>
              <w:t>).</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spacing w:val="-4"/>
                <w:lang w:val="en-GB"/>
              </w:rPr>
            </w:pPr>
            <w:r w:rsidRPr="00742B86">
              <w:rPr>
                <w:spacing w:val="-4"/>
                <w:lang w:val="en-GB"/>
              </w:rPr>
              <w:t xml:space="preserve">Retail sales dropped </w:t>
            </w:r>
            <w:r w:rsidR="00A17D34">
              <w:rPr>
                <w:spacing w:val="-4"/>
                <w:lang w:val="en-GB"/>
              </w:rPr>
              <w:t xml:space="preserve">in 2020 </w:t>
            </w:r>
            <w:r w:rsidRPr="00742B86">
              <w:rPr>
                <w:spacing w:val="-4"/>
                <w:lang w:val="en-GB"/>
              </w:rPr>
              <w:t xml:space="preserve">year-on-year for the first time in the last seven years.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spacing w:val="-4"/>
                <w:szCs w:val="20"/>
                <w:lang w:val="en-GB"/>
              </w:rPr>
            </w:pPr>
            <w:r w:rsidRPr="00742B86">
              <w:rPr>
                <w:rFonts w:cs="Arial"/>
                <w:spacing w:val="-4"/>
                <w:szCs w:val="20"/>
                <w:lang w:val="en-GB"/>
              </w:rPr>
              <w:t>Retail sales</w:t>
            </w:r>
            <w:r w:rsidRPr="00742B86">
              <w:rPr>
                <w:rStyle w:val="Znakapoznpodarou"/>
                <w:spacing w:val="-4"/>
                <w:lang w:val="en-GB"/>
              </w:rPr>
              <w:footnoteReference w:id="41"/>
            </w:r>
            <w:r w:rsidRPr="00742B86">
              <w:rPr>
                <w:rFonts w:cs="Arial"/>
                <w:spacing w:val="-4"/>
                <w:szCs w:val="20"/>
                <w:lang w:val="en-GB"/>
              </w:rPr>
              <w:t xml:space="preserve"> </w:t>
            </w:r>
            <w:proofErr w:type="gramStart"/>
            <w:r w:rsidRPr="00742B86">
              <w:rPr>
                <w:rFonts w:cs="Arial"/>
                <w:spacing w:val="-4"/>
                <w:szCs w:val="20"/>
                <w:lang w:val="en-GB"/>
              </w:rPr>
              <w:t>were majorly affected</w:t>
            </w:r>
            <w:proofErr w:type="gramEnd"/>
            <w:r w:rsidRPr="00742B86">
              <w:rPr>
                <w:rFonts w:cs="Arial"/>
                <w:spacing w:val="-4"/>
                <w:szCs w:val="20"/>
                <w:lang w:val="en-GB"/>
              </w:rPr>
              <w:t xml:space="preserve"> by </w:t>
            </w:r>
            <w:r>
              <w:rPr>
                <w:rFonts w:cs="Arial"/>
                <w:spacing w:val="-4"/>
                <w:szCs w:val="20"/>
                <w:lang w:val="en-GB"/>
              </w:rPr>
              <w:t>spring</w:t>
            </w:r>
            <w:r w:rsidRPr="00742B86">
              <w:rPr>
                <w:rFonts w:cs="Arial"/>
                <w:spacing w:val="-4"/>
                <w:szCs w:val="20"/>
                <w:lang w:val="en-GB"/>
              </w:rPr>
              <w:t xml:space="preserve"> and </w:t>
            </w:r>
            <w:r>
              <w:rPr>
                <w:rFonts w:cs="Arial"/>
                <w:spacing w:val="-4"/>
                <w:szCs w:val="20"/>
                <w:lang w:val="en-GB"/>
              </w:rPr>
              <w:t>autumn</w:t>
            </w:r>
            <w:r w:rsidR="00336F32">
              <w:rPr>
                <w:rFonts w:cs="Arial"/>
                <w:spacing w:val="-4"/>
                <w:szCs w:val="20"/>
                <w:lang w:val="en-GB"/>
              </w:rPr>
              <w:t xml:space="preserve"> wave of the anti-</w:t>
            </w:r>
            <w:r w:rsidRPr="00742B86">
              <w:rPr>
                <w:rFonts w:cs="Arial"/>
                <w:spacing w:val="-4"/>
                <w:szCs w:val="20"/>
                <w:lang w:val="en-GB"/>
              </w:rPr>
              <w:t xml:space="preserve">pandemic measures last year. In March, they plunged by 11.8% month-on-month, in November by 5.6%. For the whole year 2020, they decreased by 0.9%, and thus ended with the weakest rate of growth after year 2012. Sound condition of the labour market, being so far characterised by subdued unemployment as well as ongoing growth of real average wages (which accelerated at the end of the year) worked against any deeper descend of sales. On the other hand, the consumer confidence balance, which was very responsive to the government restrictions, remained in the negative band. Concerns of households about the growth of both prices and unemployment stayed high. Retail </w:t>
            </w:r>
            <w:proofErr w:type="gramStart"/>
            <w:r w:rsidRPr="00742B86">
              <w:rPr>
                <w:rFonts w:cs="Arial"/>
                <w:spacing w:val="-4"/>
                <w:szCs w:val="20"/>
                <w:lang w:val="en-GB"/>
              </w:rPr>
              <w:t>was also hindered</w:t>
            </w:r>
            <w:proofErr w:type="gramEnd"/>
            <w:r w:rsidRPr="00742B86">
              <w:rPr>
                <w:rFonts w:cs="Arial"/>
                <w:spacing w:val="-4"/>
                <w:szCs w:val="20"/>
                <w:lang w:val="en-GB"/>
              </w:rPr>
              <w:t xml:space="preserve"> </w:t>
            </w:r>
            <w:r w:rsidR="00336F32">
              <w:rPr>
                <w:rFonts w:cs="Arial"/>
                <w:spacing w:val="-4"/>
                <w:szCs w:val="20"/>
                <w:lang w:val="en-GB"/>
              </w:rPr>
              <w:t>by lower consumption</w:t>
            </w:r>
            <w:r w:rsidRPr="00742B86">
              <w:rPr>
                <w:rFonts w:cs="Arial"/>
                <w:spacing w:val="-4"/>
                <w:szCs w:val="20"/>
                <w:lang w:val="en-GB"/>
              </w:rPr>
              <w:t xml:space="preserve"> </w:t>
            </w:r>
            <w:r w:rsidR="00336F32">
              <w:rPr>
                <w:rFonts w:cs="Arial"/>
                <w:spacing w:val="-4"/>
                <w:szCs w:val="20"/>
                <w:lang w:val="en-GB"/>
              </w:rPr>
              <w:t xml:space="preserve">expenditures </w:t>
            </w:r>
            <w:r w:rsidRPr="00742B86">
              <w:rPr>
                <w:rFonts w:cs="Arial"/>
                <w:spacing w:val="-4"/>
                <w:szCs w:val="20"/>
                <w:lang w:val="en-GB"/>
              </w:rPr>
              <w:t xml:space="preserve">of non-residents. </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spacing w:val="-4"/>
                <w:lang w:val="en-GB"/>
              </w:rPr>
            </w:pPr>
            <w:r w:rsidRPr="00742B86">
              <w:rPr>
                <w:spacing w:val="-4"/>
                <w:lang w:val="en-GB"/>
              </w:rPr>
              <w:t xml:space="preserve">Mainly the slump of demand for fuels was pivotal to the decrease in retail. </w:t>
            </w:r>
          </w:p>
          <w:p w:rsidR="00510A79" w:rsidRPr="00742B86" w:rsidRDefault="00510A79" w:rsidP="00510A79">
            <w:pPr>
              <w:pStyle w:val="Marginlie"/>
              <w:rPr>
                <w:spacing w:val="-4"/>
                <w:lang w:val="en-GB"/>
              </w:rPr>
            </w:pPr>
          </w:p>
          <w:p w:rsidR="00510A79" w:rsidRPr="00742B86" w:rsidRDefault="00510A79" w:rsidP="00510A79">
            <w:pPr>
              <w:pStyle w:val="Marginlie"/>
              <w:rPr>
                <w:spacing w:val="-4"/>
                <w:lang w:val="en-GB"/>
              </w:rPr>
            </w:pPr>
            <w:r w:rsidRPr="00742B86">
              <w:rPr>
                <w:spacing w:val="-4"/>
                <w:lang w:val="en-GB"/>
              </w:rPr>
              <w:t xml:space="preserve">Segment of non-food goods grew only thanks to the sales via internet or mail order.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rFonts w:cs="Arial"/>
                <w:spacing w:val="-4"/>
                <w:szCs w:val="20"/>
                <w:lang w:val="en-GB"/>
              </w:rPr>
            </w:pPr>
            <w:r w:rsidRPr="00742B86">
              <w:rPr>
                <w:rFonts w:cs="Arial"/>
                <w:spacing w:val="-4"/>
                <w:szCs w:val="20"/>
                <w:lang w:val="en-GB"/>
              </w:rPr>
              <w:t xml:space="preserve">Mainly the slump of sales for fuels (by 9.0%) stood behind the decrease of </w:t>
            </w:r>
            <w:r w:rsidR="00F86A3B">
              <w:rPr>
                <w:rFonts w:cs="Arial"/>
                <w:spacing w:val="-4"/>
                <w:szCs w:val="20"/>
                <w:lang w:val="en-GB"/>
              </w:rPr>
              <w:t xml:space="preserve">whole </w:t>
            </w:r>
            <w:r w:rsidRPr="00742B86">
              <w:rPr>
                <w:rFonts w:cs="Arial"/>
                <w:spacing w:val="-4"/>
                <w:szCs w:val="20"/>
                <w:lang w:val="en-GB"/>
              </w:rPr>
              <w:t>retail last year. Sales for food also slightly decreased (</w:t>
            </w:r>
            <w:r w:rsidRPr="00742B86">
              <w:rPr>
                <w:spacing w:val="-5"/>
                <w:lang w:val="en-GB"/>
              </w:rPr>
              <w:t>–</w:t>
            </w:r>
            <w:r w:rsidRPr="00742B86">
              <w:rPr>
                <w:rFonts w:cs="Arial"/>
                <w:spacing w:val="-4"/>
                <w:szCs w:val="20"/>
                <w:lang w:val="en-GB"/>
              </w:rPr>
              <w:t xml:space="preserve">0.3%), which was caused exclusively by specialised (usually small) shops. Growth of sales of non-food goods continued last year only thanks to the dynamic development of sales via internet and mail order (+27.3%), even though it represented the weakest growth in the last decade (+0.5%). Part of specialised shops was however struck by a </w:t>
            </w:r>
            <w:proofErr w:type="gramStart"/>
            <w:r w:rsidRPr="00742B86">
              <w:rPr>
                <w:rFonts w:cs="Arial"/>
                <w:spacing w:val="-4"/>
                <w:szCs w:val="20"/>
                <w:lang w:val="en-GB"/>
              </w:rPr>
              <w:t>double digit</w:t>
            </w:r>
            <w:proofErr w:type="gramEnd"/>
            <w:r w:rsidRPr="00742B86">
              <w:rPr>
                <w:rFonts w:cs="Arial"/>
                <w:spacing w:val="-4"/>
                <w:szCs w:val="20"/>
                <w:lang w:val="en-GB"/>
              </w:rPr>
              <w:t xml:space="preserve"> plunge of sales (wearing apparel, footwear and leather goods or cultural and recreation products).  Shops with pharmaceutical and medical products (+3.5%</w:t>
            </w:r>
            <w:r w:rsidRPr="00742B86">
              <w:rPr>
                <w:rFonts w:cs="Arial"/>
                <w:spacing w:val="-6"/>
                <w:szCs w:val="20"/>
                <w:lang w:val="en-GB"/>
              </w:rPr>
              <w:t>), computer and communication equipment (+2.7%) or household goods (+1.2%) maintained a mild growth.</w:t>
            </w:r>
          </w:p>
        </w:tc>
      </w:tr>
      <w:tr w:rsidR="00510A79" w:rsidRPr="00742B86" w:rsidTr="00A52348">
        <w:trPr>
          <w:trHeight w:val="145"/>
        </w:trPr>
        <w:tc>
          <w:tcPr>
            <w:tcW w:w="1494" w:type="dxa"/>
            <w:shd w:val="clear" w:color="auto" w:fill="auto"/>
            <w:tcMar>
              <w:left w:w="0" w:type="dxa"/>
            </w:tcMar>
          </w:tcPr>
          <w:p w:rsidR="00510A79" w:rsidRPr="00742B86" w:rsidRDefault="00510A79" w:rsidP="00510A79">
            <w:pPr>
              <w:pStyle w:val="Marginlie"/>
              <w:rPr>
                <w:spacing w:val="-4"/>
                <w:lang w:val="en-GB"/>
              </w:rPr>
            </w:pPr>
            <w:r w:rsidRPr="00742B86">
              <w:rPr>
                <w:spacing w:val="-4"/>
                <w:lang w:val="en-GB"/>
              </w:rPr>
              <w:t xml:space="preserve">Record slump of sale and repair of motor vehicles. </w:t>
            </w:r>
          </w:p>
        </w:tc>
        <w:tc>
          <w:tcPr>
            <w:tcW w:w="185" w:type="dxa"/>
            <w:shd w:val="clear" w:color="auto" w:fill="auto"/>
            <w:tcMar>
              <w:left w:w="0" w:type="dxa"/>
            </w:tcMar>
          </w:tcPr>
          <w:p w:rsidR="00510A79" w:rsidRPr="00742B86" w:rsidRDefault="00510A79" w:rsidP="00510A79">
            <w:pPr>
              <w:pStyle w:val="Textpoznpodarou"/>
              <w:jc w:val="both"/>
              <w:rPr>
                <w:spacing w:val="-4"/>
                <w:lang w:val="en-GB"/>
              </w:rPr>
            </w:pPr>
          </w:p>
        </w:tc>
        <w:tc>
          <w:tcPr>
            <w:tcW w:w="7985" w:type="dxa"/>
            <w:shd w:val="clear" w:color="auto" w:fill="auto"/>
            <w:tcMar>
              <w:left w:w="0" w:type="dxa"/>
            </w:tcMar>
          </w:tcPr>
          <w:p w:rsidR="00510A79" w:rsidRPr="00742B86" w:rsidRDefault="00510A79" w:rsidP="00510A79">
            <w:pPr>
              <w:rPr>
                <w:rFonts w:cs="Arial"/>
                <w:spacing w:val="-4"/>
                <w:szCs w:val="20"/>
                <w:lang w:val="en-GB"/>
              </w:rPr>
            </w:pPr>
            <w:r w:rsidRPr="00742B86">
              <w:rPr>
                <w:rFonts w:cs="Arial"/>
                <w:spacing w:val="-4"/>
                <w:szCs w:val="20"/>
                <w:lang w:val="en-GB"/>
              </w:rPr>
              <w:t xml:space="preserve">Sales slumped by 15.2% in the motorist segment of trade last year </w:t>
            </w:r>
            <w:r w:rsidRPr="00742B86">
              <w:rPr>
                <w:spacing w:val="-5"/>
                <w:lang w:val="en-GB"/>
              </w:rPr>
              <w:t>–</w:t>
            </w:r>
            <w:r w:rsidRPr="00742B86">
              <w:rPr>
                <w:rFonts w:cs="Arial"/>
                <w:spacing w:val="-4"/>
                <w:szCs w:val="20"/>
                <w:lang w:val="en-GB"/>
              </w:rPr>
              <w:t xml:space="preserve"> nearly by </w:t>
            </w:r>
            <w:proofErr w:type="gramStart"/>
            <w:r w:rsidRPr="00742B86">
              <w:rPr>
                <w:rFonts w:cs="Arial"/>
                <w:spacing w:val="-4"/>
                <w:szCs w:val="20"/>
                <w:lang w:val="en-GB"/>
              </w:rPr>
              <w:t>one half</w:t>
            </w:r>
            <w:proofErr w:type="gramEnd"/>
            <w:r w:rsidRPr="00742B86">
              <w:rPr>
                <w:rFonts w:cs="Arial"/>
                <w:spacing w:val="-4"/>
                <w:szCs w:val="20"/>
                <w:lang w:val="en-GB"/>
              </w:rPr>
              <w:t xml:space="preserve"> more than in year 2009. It was associated with the persisting downturn of private investment </w:t>
            </w:r>
            <w:r w:rsidR="00F86A3B">
              <w:rPr>
                <w:rFonts w:cs="Arial"/>
                <w:spacing w:val="-4"/>
                <w:szCs w:val="20"/>
                <w:lang w:val="en-GB"/>
              </w:rPr>
              <w:t xml:space="preserve">activity </w:t>
            </w:r>
            <w:r w:rsidRPr="00742B86">
              <w:rPr>
                <w:rFonts w:cs="Arial"/>
                <w:spacing w:val="-4"/>
                <w:szCs w:val="20"/>
                <w:lang w:val="en-GB"/>
              </w:rPr>
              <w:t xml:space="preserve">in the economy. </w:t>
            </w:r>
          </w:p>
        </w:tc>
      </w:tr>
    </w:tbl>
    <w:p w:rsidR="00B96D74" w:rsidRPr="00742B86" w:rsidRDefault="00B96D74" w:rsidP="00E13995">
      <w:pPr>
        <w:pStyle w:val="Nadpis11"/>
        <w:rPr>
          <w:sz w:val="10"/>
          <w:szCs w:val="10"/>
          <w:lang w:val="en-GB"/>
        </w:rPr>
      </w:pPr>
      <w:r w:rsidRPr="00742B86">
        <w:rPr>
          <w:sz w:val="10"/>
          <w:szCs w:val="10"/>
          <w:lang w:val="en-GB"/>
        </w:rPr>
        <w:br w:type="page"/>
      </w:r>
    </w:p>
    <w:p w:rsidR="00791BF4" w:rsidRPr="00742B86" w:rsidRDefault="00791BF4" w:rsidP="00791BF4">
      <w:pPr>
        <w:pStyle w:val="Nadpis11"/>
        <w:rPr>
          <w:lang w:val="en-GB"/>
        </w:rPr>
      </w:pPr>
      <w:bookmarkStart w:id="13" w:name="_Toc58605374"/>
      <w:bookmarkStart w:id="14" w:name="_Toc69287527"/>
      <w:bookmarkStart w:id="15" w:name="_Toc58605375"/>
      <w:bookmarkStart w:id="16" w:name="_Toc532558287"/>
      <w:bookmarkStart w:id="17" w:name="_Toc69370722"/>
      <w:bookmarkEnd w:id="8"/>
      <w:bookmarkEnd w:id="9"/>
      <w:bookmarkEnd w:id="10"/>
      <w:r w:rsidRPr="00742B86">
        <w:rPr>
          <w:lang w:val="en-GB"/>
        </w:rPr>
        <w:lastRenderedPageBreak/>
        <w:t>4. External Relations</w:t>
      </w:r>
      <w:bookmarkEnd w:id="13"/>
      <w:bookmarkEnd w:id="14"/>
      <w:bookmarkEnd w:id="17"/>
    </w:p>
    <w:tbl>
      <w:tblPr>
        <w:tblW w:w="9639" w:type="dxa"/>
        <w:tblInd w:w="-15" w:type="dxa"/>
        <w:tblCellMar>
          <w:left w:w="0" w:type="dxa"/>
          <w:right w:w="0" w:type="dxa"/>
        </w:tblCellMar>
        <w:tblLook w:val="00A0" w:firstRow="1" w:lastRow="0" w:firstColumn="1" w:lastColumn="0" w:noHBand="0" w:noVBand="0"/>
      </w:tblPr>
      <w:tblGrid>
        <w:gridCol w:w="1762"/>
        <w:gridCol w:w="223"/>
        <w:gridCol w:w="7654"/>
      </w:tblGrid>
      <w:tr w:rsidR="00791BF4" w:rsidRPr="00742B86" w:rsidTr="009C620B">
        <w:trPr>
          <w:trHeight w:val="145"/>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t>Value of export of goods dropped last year. Major part of this fall occurred in Q2.</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spacing w:after="200"/>
              <w:rPr>
                <w:spacing w:val="-4"/>
                <w:lang w:val="en-GB"/>
              </w:rPr>
            </w:pPr>
            <w:r w:rsidRPr="00742B86">
              <w:rPr>
                <w:spacing w:val="-4"/>
                <w:lang w:val="en-GB"/>
              </w:rPr>
              <w:t xml:space="preserve">Foreign trade underwent a considerably turbulent development in year 2020. Total value of export of goods reached 3 528.8 CZK </w:t>
            </w:r>
            <w:proofErr w:type="spellStart"/>
            <w:r w:rsidRPr="00742B86">
              <w:rPr>
                <w:spacing w:val="-4"/>
                <w:lang w:val="en-GB"/>
              </w:rPr>
              <w:t>bn</w:t>
            </w:r>
            <w:proofErr w:type="spellEnd"/>
            <w:r w:rsidRPr="00742B86">
              <w:rPr>
                <w:spacing w:val="-4"/>
                <w:lang w:val="en-GB"/>
              </w:rPr>
              <w:t xml:space="preserve"> and dropped by 163.0 </w:t>
            </w:r>
            <w:proofErr w:type="spellStart"/>
            <w:r w:rsidRPr="00742B86">
              <w:rPr>
                <w:spacing w:val="-4"/>
                <w:lang w:val="en-GB"/>
              </w:rPr>
              <w:t>bn</w:t>
            </w:r>
            <w:proofErr w:type="spellEnd"/>
            <w:r w:rsidRPr="00742B86">
              <w:rPr>
                <w:spacing w:val="-4"/>
                <w:lang w:val="en-GB"/>
              </w:rPr>
              <w:t xml:space="preserve"> year-on-year (–4.4%) last year. It was the smallest amount since year 2017. Main part of losses took place in Q2, when the both sides of the foreign trade were affected by suspension of production in large both domestic and foreign businesses as well as the closure of boundaries. Export was however also falling year-on-year in both Q1 and 3 (–4.</w:t>
            </w:r>
            <w:r>
              <w:rPr>
                <w:spacing w:val="-4"/>
                <w:lang w:val="en-GB"/>
              </w:rPr>
              <w:t>1%, –22.</w:t>
            </w:r>
            <w:r w:rsidRPr="00742B86">
              <w:rPr>
                <w:spacing w:val="-4"/>
                <w:lang w:val="en-GB"/>
              </w:rPr>
              <w:t>4% and</w:t>
            </w:r>
            <w:r>
              <w:rPr>
                <w:spacing w:val="-4"/>
                <w:lang w:val="en-GB"/>
              </w:rPr>
              <w:t> –0.</w:t>
            </w:r>
            <w:r w:rsidRPr="00742B86">
              <w:rPr>
                <w:spacing w:val="-4"/>
                <w:lang w:val="en-GB"/>
              </w:rPr>
              <w:t xml:space="preserve">9% in Q1 to 3). The exporters strived to compensate the losses at least partially in the second half of the year but reached year-on-year increase only in Q4. In the final quarter of 2020, the value of export of goods amounted to 1 013.6 CZK </w:t>
            </w:r>
            <w:proofErr w:type="spellStart"/>
            <w:r w:rsidRPr="00742B86">
              <w:rPr>
                <w:spacing w:val="-4"/>
                <w:lang w:val="en-GB"/>
              </w:rPr>
              <w:t>bn</w:t>
            </w:r>
            <w:proofErr w:type="spellEnd"/>
            <w:r w:rsidRPr="00742B86">
              <w:rPr>
                <w:spacing w:val="-4"/>
                <w:lang w:val="en-GB"/>
              </w:rPr>
              <w:t xml:space="preserve"> and rose by 96.5 </w:t>
            </w:r>
            <w:proofErr w:type="spellStart"/>
            <w:r w:rsidRPr="00742B86">
              <w:rPr>
                <w:spacing w:val="-4"/>
                <w:lang w:val="en-GB"/>
              </w:rPr>
              <w:t>bn</w:t>
            </w:r>
            <w:proofErr w:type="spellEnd"/>
            <w:r w:rsidRPr="00742B86">
              <w:rPr>
                <w:spacing w:val="-4"/>
                <w:lang w:val="en-GB"/>
              </w:rPr>
              <w:t xml:space="preserve"> year-on-year (10.5%), which is the most since Q3 2014 (it was due to extensive foreign exchange change at that time). The year-on-year comparison </w:t>
            </w:r>
            <w:proofErr w:type="gramStart"/>
            <w:r w:rsidRPr="00742B86">
              <w:rPr>
                <w:spacing w:val="-4"/>
                <w:lang w:val="en-GB"/>
              </w:rPr>
              <w:t>was partially aided</w:t>
            </w:r>
            <w:proofErr w:type="gramEnd"/>
            <w:r w:rsidRPr="00742B86">
              <w:rPr>
                <w:spacing w:val="-4"/>
                <w:lang w:val="en-GB"/>
              </w:rPr>
              <w:t xml:space="preserve"> by weaker basis of the end of year 2019, at the same time however the amount of export exceeded CZK one trillion in single quarter for the first time last year. </w:t>
            </w:r>
          </w:p>
        </w:tc>
      </w:tr>
      <w:tr w:rsidR="00791BF4" w:rsidRPr="00742B86" w:rsidTr="009C620B">
        <w:trPr>
          <w:trHeight w:val="145"/>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t xml:space="preserve">Especially the export of motor vehicles was sinking. Other important export branches also suffered losses.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spacing w:after="200"/>
              <w:rPr>
                <w:spacing w:val="-4"/>
                <w:lang w:val="en-GB"/>
              </w:rPr>
            </w:pPr>
            <w:r w:rsidRPr="00742B86">
              <w:rPr>
                <w:spacing w:val="-4"/>
                <w:lang w:val="en-GB"/>
              </w:rPr>
              <w:t xml:space="preserve">Export downswing targeted the </w:t>
            </w:r>
            <w:proofErr w:type="gramStart"/>
            <w:r w:rsidRPr="00742B86">
              <w:rPr>
                <w:spacing w:val="-4"/>
                <w:lang w:val="en-GB"/>
              </w:rPr>
              <w:t>most key</w:t>
            </w:r>
            <w:proofErr w:type="gramEnd"/>
            <w:r w:rsidRPr="00742B86">
              <w:rPr>
                <w:spacing w:val="-4"/>
                <w:lang w:val="en-GB"/>
              </w:rPr>
              <w:t xml:space="preserve"> articles of the Czech export in Q2, that is motor vehicles and associated subcontractors. Simultaneously, these fields tried to catch up these losses very fast, so they on the contrary contributed the most to the export growth in the second half of the year. </w:t>
            </w:r>
            <w:r>
              <w:rPr>
                <w:spacing w:val="-4"/>
                <w:lang w:val="en-GB"/>
              </w:rPr>
              <w:t>Spring</w:t>
            </w:r>
            <w:r w:rsidRPr="00742B86">
              <w:rPr>
                <w:spacing w:val="-4"/>
                <w:lang w:val="en-GB"/>
              </w:rPr>
              <w:t xml:space="preserve"> situation affected the most export of motor vehicles, which went down by 100.2 CZK </w:t>
            </w:r>
            <w:proofErr w:type="spellStart"/>
            <w:r w:rsidRPr="00742B86">
              <w:rPr>
                <w:spacing w:val="-4"/>
                <w:lang w:val="en-GB"/>
              </w:rPr>
              <w:t>bn</w:t>
            </w:r>
            <w:proofErr w:type="spellEnd"/>
            <w:r w:rsidRPr="00742B86">
              <w:rPr>
                <w:spacing w:val="-4"/>
                <w:lang w:val="en-GB"/>
              </w:rPr>
              <w:t xml:space="preserve"> (–9.8%) to 920.0 </w:t>
            </w:r>
            <w:proofErr w:type="spellStart"/>
            <w:r w:rsidRPr="00742B86">
              <w:rPr>
                <w:spacing w:val="-4"/>
                <w:lang w:val="en-GB"/>
              </w:rPr>
              <w:t>bn</w:t>
            </w:r>
            <w:proofErr w:type="spellEnd"/>
            <w:r w:rsidRPr="00742B86">
              <w:rPr>
                <w:spacing w:val="-4"/>
                <w:lang w:val="en-GB"/>
              </w:rPr>
              <w:t xml:space="preserve"> for the whole year 2020, which is the least since year 2015. The export of machinery and equipment also strongly decreased (</w:t>
            </w:r>
            <w:r>
              <w:rPr>
                <w:spacing w:val="-4"/>
                <w:lang w:val="en-GB"/>
              </w:rPr>
              <w:noBreakHyphen/>
            </w:r>
            <w:r w:rsidRPr="00742B86">
              <w:rPr>
                <w:spacing w:val="-4"/>
                <w:lang w:val="en-GB"/>
              </w:rPr>
              <w:t xml:space="preserve">30.9 CZK </w:t>
            </w:r>
            <w:proofErr w:type="spellStart"/>
            <w:r w:rsidRPr="00742B86">
              <w:rPr>
                <w:spacing w:val="-4"/>
                <w:lang w:val="en-GB"/>
              </w:rPr>
              <w:t>bn</w:t>
            </w:r>
            <w:proofErr w:type="spellEnd"/>
            <w:r w:rsidRPr="00742B86">
              <w:rPr>
                <w:spacing w:val="-4"/>
                <w:lang w:val="en-GB"/>
              </w:rPr>
              <w:t xml:space="preserve">, –7.5%). </w:t>
            </w:r>
            <w:proofErr w:type="gramStart"/>
            <w:r w:rsidRPr="00742B86">
              <w:rPr>
                <w:spacing w:val="-4"/>
                <w:lang w:val="en-GB"/>
              </w:rPr>
              <w:t>The descend</w:t>
            </w:r>
            <w:proofErr w:type="gramEnd"/>
            <w:r w:rsidRPr="00742B86">
              <w:rPr>
                <w:spacing w:val="-4"/>
                <w:lang w:val="en-GB"/>
              </w:rPr>
              <w:t xml:space="preserve"> was gentler for metal products (–11.6 CZK </w:t>
            </w:r>
            <w:proofErr w:type="spellStart"/>
            <w:r w:rsidRPr="00742B86">
              <w:rPr>
                <w:spacing w:val="-4"/>
                <w:lang w:val="en-GB"/>
              </w:rPr>
              <w:t>bn</w:t>
            </w:r>
            <w:proofErr w:type="spellEnd"/>
            <w:r w:rsidRPr="00742B86">
              <w:rPr>
                <w:spacing w:val="-4"/>
                <w:lang w:val="en-GB"/>
              </w:rPr>
              <w:t xml:space="preserve">, –5.1%), rubber and plastic products (–7.0 </w:t>
            </w:r>
            <w:proofErr w:type="spellStart"/>
            <w:r w:rsidRPr="00742B86">
              <w:rPr>
                <w:spacing w:val="-4"/>
                <w:lang w:val="en-GB"/>
              </w:rPr>
              <w:t>bn</w:t>
            </w:r>
            <w:proofErr w:type="spellEnd"/>
            <w:r w:rsidRPr="00742B86">
              <w:rPr>
                <w:spacing w:val="-4"/>
                <w:lang w:val="en-GB"/>
              </w:rPr>
              <w:t xml:space="preserve">, –3.6%) and electrical equipment (–6.9 </w:t>
            </w:r>
            <w:proofErr w:type="spellStart"/>
            <w:r w:rsidRPr="00742B86">
              <w:rPr>
                <w:spacing w:val="-4"/>
                <w:lang w:val="en-GB"/>
              </w:rPr>
              <w:t>bn</w:t>
            </w:r>
            <w:proofErr w:type="spellEnd"/>
            <w:r w:rsidRPr="00742B86">
              <w:rPr>
                <w:spacing w:val="-4"/>
                <w:lang w:val="en-GB"/>
              </w:rPr>
              <w:t xml:space="preserve">, –2.2%). Another factor, which affected both sides of the foreign trade, was the reduction of prices of materials. It became apparent in the export of basic metals (–12.2 CZK </w:t>
            </w:r>
            <w:proofErr w:type="spellStart"/>
            <w:r w:rsidRPr="00742B86">
              <w:rPr>
                <w:spacing w:val="-4"/>
                <w:lang w:val="en-GB"/>
              </w:rPr>
              <w:t>bn</w:t>
            </w:r>
            <w:proofErr w:type="spellEnd"/>
            <w:r w:rsidRPr="00742B86">
              <w:rPr>
                <w:spacing w:val="-4"/>
                <w:lang w:val="en-GB"/>
              </w:rPr>
              <w:t xml:space="preserve">, –8.9%), but especially for coke and refined oil products (–14.2 </w:t>
            </w:r>
            <w:proofErr w:type="spellStart"/>
            <w:r w:rsidRPr="00742B86">
              <w:rPr>
                <w:spacing w:val="-4"/>
                <w:lang w:val="en-GB"/>
              </w:rPr>
              <w:t>bn</w:t>
            </w:r>
            <w:proofErr w:type="spellEnd"/>
            <w:r w:rsidRPr="00742B86">
              <w:rPr>
                <w:spacing w:val="-4"/>
                <w:lang w:val="en-GB"/>
              </w:rPr>
              <w:t xml:space="preserve">, –35.6%). Export of computers, electronic and optical appliances (21.2 CZK </w:t>
            </w:r>
            <w:proofErr w:type="spellStart"/>
            <w:r w:rsidRPr="00742B86">
              <w:rPr>
                <w:spacing w:val="-4"/>
                <w:lang w:val="en-GB"/>
              </w:rPr>
              <w:t>bn</w:t>
            </w:r>
            <w:proofErr w:type="spellEnd"/>
            <w:r w:rsidRPr="00742B86">
              <w:rPr>
                <w:spacing w:val="-4"/>
                <w:lang w:val="en-GB"/>
              </w:rPr>
              <w:t xml:space="preserve">, 5.5%) increased last year. This segment has been developing very dynamically in the last four years and only the year-on-year decrease in the period from Q3 2019 </w:t>
            </w:r>
            <w:proofErr w:type="gramStart"/>
            <w:r w:rsidRPr="00742B86">
              <w:rPr>
                <w:spacing w:val="-4"/>
                <w:lang w:val="en-GB"/>
              </w:rPr>
              <w:t>till</w:t>
            </w:r>
            <w:proofErr w:type="gramEnd"/>
            <w:r w:rsidRPr="00742B86">
              <w:rPr>
                <w:spacing w:val="-4"/>
                <w:lang w:val="en-GB"/>
              </w:rPr>
              <w:t xml:space="preserve"> Q2 2020 presented the exception. Export of food products grew by 7.5 CZK </w:t>
            </w:r>
            <w:proofErr w:type="spellStart"/>
            <w:r w:rsidRPr="00742B86">
              <w:rPr>
                <w:spacing w:val="-4"/>
                <w:lang w:val="en-GB"/>
              </w:rPr>
              <w:t>bn</w:t>
            </w:r>
            <w:proofErr w:type="spellEnd"/>
            <w:r w:rsidRPr="00742B86">
              <w:rPr>
                <w:spacing w:val="-4"/>
                <w:lang w:val="en-GB"/>
              </w:rPr>
              <w:t xml:space="preserve"> (6.6%), partially also due to price increases. Export of wearing apparel went up by 3.7 CZK </w:t>
            </w:r>
            <w:proofErr w:type="spellStart"/>
            <w:r w:rsidRPr="00742B86">
              <w:rPr>
                <w:spacing w:val="-4"/>
                <w:lang w:val="en-GB"/>
              </w:rPr>
              <w:t>bn</w:t>
            </w:r>
            <w:proofErr w:type="spellEnd"/>
            <w:r w:rsidRPr="00742B86">
              <w:rPr>
                <w:spacing w:val="-4"/>
                <w:lang w:val="en-GB"/>
              </w:rPr>
              <w:t xml:space="preserve"> (12.3%) and additions to other products of manufacturing (3.4 </w:t>
            </w:r>
            <w:proofErr w:type="spellStart"/>
            <w:r w:rsidRPr="00742B86">
              <w:rPr>
                <w:spacing w:val="-4"/>
                <w:lang w:val="en-GB"/>
              </w:rPr>
              <w:t>bn</w:t>
            </w:r>
            <w:proofErr w:type="spellEnd"/>
            <w:r w:rsidRPr="00742B86">
              <w:rPr>
                <w:spacing w:val="-4"/>
                <w:lang w:val="en-GB"/>
              </w:rPr>
              <w:t>, 4.1%), furniture (2.8 </w:t>
            </w:r>
            <w:proofErr w:type="spellStart"/>
            <w:r w:rsidRPr="00742B86">
              <w:rPr>
                <w:spacing w:val="-4"/>
                <w:lang w:val="en-GB"/>
              </w:rPr>
              <w:t>bn</w:t>
            </w:r>
            <w:proofErr w:type="spellEnd"/>
            <w:r w:rsidRPr="00742B86">
              <w:rPr>
                <w:spacing w:val="-4"/>
                <w:lang w:val="en-GB"/>
              </w:rPr>
              <w:t xml:space="preserve">, 10.0%) and basic pharmaceutical products (2.2 </w:t>
            </w:r>
            <w:proofErr w:type="spellStart"/>
            <w:r w:rsidRPr="00742B86">
              <w:rPr>
                <w:spacing w:val="-4"/>
                <w:lang w:val="en-GB"/>
              </w:rPr>
              <w:t>bn</w:t>
            </w:r>
            <w:proofErr w:type="spellEnd"/>
            <w:r w:rsidRPr="00742B86">
              <w:rPr>
                <w:spacing w:val="-4"/>
                <w:lang w:val="en-GB"/>
              </w:rPr>
              <w:t xml:space="preserve">, 4.3%) </w:t>
            </w:r>
            <w:proofErr w:type="gramStart"/>
            <w:r w:rsidRPr="00742B86">
              <w:rPr>
                <w:spacing w:val="-4"/>
                <w:lang w:val="en-GB"/>
              </w:rPr>
              <w:t>were also</w:t>
            </w:r>
            <w:proofErr w:type="gramEnd"/>
            <w:r w:rsidRPr="00742B86">
              <w:rPr>
                <w:spacing w:val="-4"/>
                <w:lang w:val="en-GB"/>
              </w:rPr>
              <w:t xml:space="preserve"> robust.</w:t>
            </w:r>
          </w:p>
        </w:tc>
      </w:tr>
      <w:tr w:rsidR="00791BF4" w:rsidRPr="00742B86" w:rsidTr="009C620B">
        <w:trPr>
          <w:trHeight w:val="170"/>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t xml:space="preserve">Significant recovery, which should have at least partially compensated the </w:t>
            </w:r>
            <w:r>
              <w:rPr>
                <w:lang w:val="en-GB"/>
              </w:rPr>
              <w:t>spring</w:t>
            </w:r>
            <w:r w:rsidRPr="00742B86">
              <w:rPr>
                <w:lang w:val="en-GB"/>
              </w:rPr>
              <w:t xml:space="preserve"> losses, arose by the end of the year.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spacing w:after="200"/>
              <w:rPr>
                <w:spacing w:val="-4"/>
                <w:lang w:val="en-GB"/>
              </w:rPr>
            </w:pPr>
            <w:r w:rsidRPr="00742B86">
              <w:rPr>
                <w:spacing w:val="-4"/>
                <w:lang w:val="en-GB"/>
              </w:rPr>
              <w:t xml:space="preserve">In Q4 2020 itself, export of motor vehicles grew the most year-on-year (39.6 CZK </w:t>
            </w:r>
            <w:proofErr w:type="spellStart"/>
            <w:r w:rsidRPr="00742B86">
              <w:rPr>
                <w:spacing w:val="-4"/>
                <w:lang w:val="en-GB"/>
              </w:rPr>
              <w:t>bn</w:t>
            </w:r>
            <w:proofErr w:type="spellEnd"/>
            <w:r w:rsidRPr="00742B86">
              <w:rPr>
                <w:spacing w:val="-4"/>
                <w:lang w:val="en-GB"/>
              </w:rPr>
              <w:t xml:space="preserve">, 15.9%). Addition strengthened for computers, electrical and optical appliances (14.0 CZK </w:t>
            </w:r>
            <w:proofErr w:type="spellStart"/>
            <w:r w:rsidRPr="00742B86">
              <w:rPr>
                <w:spacing w:val="-4"/>
                <w:lang w:val="en-GB"/>
              </w:rPr>
              <w:t>bn</w:t>
            </w:r>
            <w:proofErr w:type="spellEnd"/>
            <w:r w:rsidRPr="00742B86">
              <w:rPr>
                <w:spacing w:val="-4"/>
                <w:lang w:val="en-GB"/>
              </w:rPr>
              <w:t xml:space="preserve">, 13.2%) as well as electrical equipment (10.6 </w:t>
            </w:r>
            <w:proofErr w:type="spellStart"/>
            <w:r w:rsidRPr="00742B86">
              <w:rPr>
                <w:spacing w:val="-4"/>
                <w:lang w:val="en-GB"/>
              </w:rPr>
              <w:t>bn</w:t>
            </w:r>
            <w:proofErr w:type="spellEnd"/>
            <w:r w:rsidRPr="00742B86">
              <w:rPr>
                <w:spacing w:val="-4"/>
                <w:lang w:val="en-GB"/>
              </w:rPr>
              <w:t xml:space="preserve">, 13.6%). Following a series of decreases, the export went up year-on-year for rubber and plastic products (5.9 CZK </w:t>
            </w:r>
            <w:proofErr w:type="spellStart"/>
            <w:r w:rsidRPr="00742B86">
              <w:rPr>
                <w:spacing w:val="-4"/>
                <w:lang w:val="en-GB"/>
              </w:rPr>
              <w:t>bn</w:t>
            </w:r>
            <w:proofErr w:type="spellEnd"/>
            <w:r w:rsidRPr="00742B86">
              <w:rPr>
                <w:spacing w:val="-4"/>
                <w:lang w:val="en-GB"/>
              </w:rPr>
              <w:t xml:space="preserve">, 12.8%), chemicals and chemical products (5.9 </w:t>
            </w:r>
            <w:proofErr w:type="spellStart"/>
            <w:r w:rsidRPr="00742B86">
              <w:rPr>
                <w:spacing w:val="-4"/>
                <w:lang w:val="en-GB"/>
              </w:rPr>
              <w:t>bn</w:t>
            </w:r>
            <w:proofErr w:type="spellEnd"/>
            <w:r w:rsidRPr="00742B86">
              <w:rPr>
                <w:spacing w:val="-4"/>
                <w:lang w:val="en-GB"/>
              </w:rPr>
              <w:t xml:space="preserve">, 14.4%), metal products (4.2 </w:t>
            </w:r>
            <w:proofErr w:type="spellStart"/>
            <w:r w:rsidRPr="00742B86">
              <w:rPr>
                <w:spacing w:val="-4"/>
                <w:lang w:val="en-GB"/>
              </w:rPr>
              <w:t>bn</w:t>
            </w:r>
            <w:proofErr w:type="spellEnd"/>
            <w:r w:rsidRPr="00742B86">
              <w:rPr>
                <w:spacing w:val="-4"/>
                <w:lang w:val="en-GB"/>
              </w:rPr>
              <w:t xml:space="preserve">, 7.6%), machinery and equipment (3.5 </w:t>
            </w:r>
            <w:proofErr w:type="spellStart"/>
            <w:r w:rsidRPr="00742B86">
              <w:rPr>
                <w:spacing w:val="-4"/>
                <w:lang w:val="en-GB"/>
              </w:rPr>
              <w:t>bn</w:t>
            </w:r>
            <w:proofErr w:type="spellEnd"/>
            <w:r w:rsidRPr="00742B86">
              <w:rPr>
                <w:spacing w:val="-4"/>
                <w:lang w:val="en-GB"/>
              </w:rPr>
              <w:t xml:space="preserve">, 3.4%) and basic metals (2.6 </w:t>
            </w:r>
            <w:proofErr w:type="spellStart"/>
            <w:r w:rsidRPr="00742B86">
              <w:rPr>
                <w:spacing w:val="-4"/>
                <w:lang w:val="en-GB"/>
              </w:rPr>
              <w:t>bn</w:t>
            </w:r>
            <w:proofErr w:type="spellEnd"/>
            <w:r w:rsidRPr="00742B86">
              <w:rPr>
                <w:spacing w:val="-4"/>
                <w:lang w:val="en-GB"/>
              </w:rPr>
              <w:t xml:space="preserve">, 8.8%) in Q4. The export of paper and paper products (1.2 CZK </w:t>
            </w:r>
            <w:proofErr w:type="spellStart"/>
            <w:r w:rsidRPr="00742B86">
              <w:rPr>
                <w:spacing w:val="-4"/>
                <w:lang w:val="en-GB"/>
              </w:rPr>
              <w:t>bn</w:t>
            </w:r>
            <w:proofErr w:type="spellEnd"/>
            <w:r w:rsidRPr="00742B86">
              <w:rPr>
                <w:spacing w:val="-4"/>
                <w:lang w:val="en-GB"/>
              </w:rPr>
              <w:t>, 8.2%) and basic pharmaceutical products (1.2 </w:t>
            </w:r>
            <w:proofErr w:type="spellStart"/>
            <w:r w:rsidRPr="00742B86">
              <w:rPr>
                <w:spacing w:val="-4"/>
                <w:lang w:val="en-GB"/>
              </w:rPr>
              <w:t>bn</w:t>
            </w:r>
            <w:proofErr w:type="spellEnd"/>
            <w:r w:rsidRPr="00742B86">
              <w:rPr>
                <w:spacing w:val="-4"/>
                <w:lang w:val="en-GB"/>
              </w:rPr>
              <w:t xml:space="preserve">, 9.3%) significantly increased at the end of the year. Mainly the price decrease stood behind the continuing slump of export of coke and refined oil products (–3.7 CZK </w:t>
            </w:r>
            <w:proofErr w:type="spellStart"/>
            <w:r w:rsidRPr="00742B86">
              <w:rPr>
                <w:spacing w:val="-4"/>
                <w:lang w:val="en-GB"/>
              </w:rPr>
              <w:t>bn</w:t>
            </w:r>
            <w:proofErr w:type="spellEnd"/>
            <w:r w:rsidRPr="00742B86">
              <w:rPr>
                <w:spacing w:val="-4"/>
                <w:lang w:val="en-GB"/>
              </w:rPr>
              <w:t xml:space="preserve">, –35.2%) and electricity, gas, steam and air conditioning (–2.0 </w:t>
            </w:r>
            <w:proofErr w:type="spellStart"/>
            <w:r w:rsidRPr="00742B86">
              <w:rPr>
                <w:spacing w:val="-4"/>
                <w:lang w:val="en-GB"/>
              </w:rPr>
              <w:t>bn</w:t>
            </w:r>
            <w:proofErr w:type="spellEnd"/>
            <w:r w:rsidRPr="00742B86">
              <w:rPr>
                <w:spacing w:val="-4"/>
                <w:lang w:val="en-GB"/>
              </w:rPr>
              <w:t>, –24.6%).</w:t>
            </w:r>
          </w:p>
        </w:tc>
      </w:tr>
      <w:tr w:rsidR="00791BF4" w:rsidRPr="00742B86" w:rsidTr="009C620B">
        <w:trPr>
          <w:trHeight w:val="170"/>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t xml:space="preserve">Both export into the EU and outside the EU fell last year.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spacing w:after="200"/>
              <w:rPr>
                <w:spacing w:val="-4"/>
                <w:lang w:val="en-GB"/>
              </w:rPr>
            </w:pPr>
            <w:r w:rsidRPr="00742B86">
              <w:rPr>
                <w:spacing w:val="-4"/>
                <w:lang w:val="en-GB"/>
              </w:rPr>
              <w:t xml:space="preserve">Export into the EU (–119.4 CZK </w:t>
            </w:r>
            <w:proofErr w:type="spellStart"/>
            <w:r w:rsidRPr="00742B86">
              <w:rPr>
                <w:spacing w:val="-4"/>
                <w:lang w:val="en-GB"/>
              </w:rPr>
              <w:t>bn</w:t>
            </w:r>
            <w:proofErr w:type="spellEnd"/>
            <w:r w:rsidRPr="00742B86">
              <w:rPr>
                <w:spacing w:val="-4"/>
                <w:lang w:val="en-GB"/>
              </w:rPr>
              <w:t>, –4.1%) as well as outside of the EU (–41.7 </w:t>
            </w:r>
            <w:proofErr w:type="spellStart"/>
            <w:r w:rsidRPr="00742B86">
              <w:rPr>
                <w:spacing w:val="-4"/>
                <w:lang w:val="en-GB"/>
              </w:rPr>
              <w:t>bn</w:t>
            </w:r>
            <w:proofErr w:type="spellEnd"/>
            <w:r w:rsidRPr="00742B86">
              <w:rPr>
                <w:spacing w:val="-4"/>
                <w:lang w:val="en-GB"/>
              </w:rPr>
              <w:t xml:space="preserve">, –5.5%) recorded a strong decline last year. The value of export to Germany (–31.6 CZK </w:t>
            </w:r>
            <w:proofErr w:type="spellStart"/>
            <w:r w:rsidRPr="00742B86">
              <w:rPr>
                <w:spacing w:val="-4"/>
                <w:lang w:val="en-GB"/>
              </w:rPr>
              <w:t>bn</w:t>
            </w:r>
            <w:proofErr w:type="spellEnd"/>
            <w:r w:rsidRPr="00742B86">
              <w:rPr>
                <w:spacing w:val="-4"/>
                <w:lang w:val="en-GB"/>
              </w:rPr>
              <w:t xml:space="preserve">, –2.8%), Spain (–34.9 </w:t>
            </w:r>
            <w:proofErr w:type="spellStart"/>
            <w:r w:rsidRPr="00742B86">
              <w:rPr>
                <w:spacing w:val="-4"/>
                <w:lang w:val="en-GB"/>
              </w:rPr>
              <w:t>bn</w:t>
            </w:r>
            <w:proofErr w:type="spellEnd"/>
            <w:r w:rsidRPr="00742B86">
              <w:rPr>
                <w:spacing w:val="-4"/>
                <w:lang w:val="en-GB"/>
              </w:rPr>
              <w:t xml:space="preserve">, –28.1%), Great Britain (–18.1 </w:t>
            </w:r>
            <w:proofErr w:type="spellStart"/>
            <w:r w:rsidRPr="00742B86">
              <w:rPr>
                <w:spacing w:val="-4"/>
                <w:lang w:val="en-GB"/>
              </w:rPr>
              <w:t>bn</w:t>
            </w:r>
            <w:proofErr w:type="spellEnd"/>
            <w:r w:rsidRPr="00742B86">
              <w:rPr>
                <w:spacing w:val="-4"/>
                <w:lang w:val="en-GB"/>
              </w:rPr>
              <w:t xml:space="preserve">, –11.7%) and France (–18.8 </w:t>
            </w:r>
            <w:proofErr w:type="spellStart"/>
            <w:r w:rsidRPr="00742B86">
              <w:rPr>
                <w:spacing w:val="-4"/>
                <w:lang w:val="en-GB"/>
              </w:rPr>
              <w:t>bn</w:t>
            </w:r>
            <w:proofErr w:type="spellEnd"/>
            <w:r w:rsidRPr="00742B86">
              <w:rPr>
                <w:spacing w:val="-4"/>
                <w:lang w:val="en-GB"/>
              </w:rPr>
              <w:t xml:space="preserve">, –10.0%) decreased the most. The export to other neighbours of the Czech Republic also fell notably – by 11.8 CZK </w:t>
            </w:r>
            <w:proofErr w:type="spellStart"/>
            <w:r w:rsidRPr="00742B86">
              <w:rPr>
                <w:spacing w:val="-4"/>
                <w:lang w:val="en-GB"/>
              </w:rPr>
              <w:t>bn</w:t>
            </w:r>
            <w:proofErr w:type="spellEnd"/>
            <w:r w:rsidRPr="00742B86">
              <w:rPr>
                <w:spacing w:val="-4"/>
                <w:lang w:val="en-GB"/>
              </w:rPr>
              <w:t xml:space="preserve"> to Austria (–7.6%), by 8.4 </w:t>
            </w:r>
            <w:proofErr w:type="spellStart"/>
            <w:r w:rsidRPr="00742B86">
              <w:rPr>
                <w:spacing w:val="-4"/>
                <w:lang w:val="en-GB"/>
              </w:rPr>
              <w:t>bn</w:t>
            </w:r>
            <w:proofErr w:type="spellEnd"/>
            <w:r w:rsidRPr="00742B86">
              <w:rPr>
                <w:spacing w:val="-4"/>
                <w:lang w:val="en-GB"/>
              </w:rPr>
              <w:t xml:space="preserve"> to Slovakia (–2.5%) and by 3.6 </w:t>
            </w:r>
            <w:proofErr w:type="spellStart"/>
            <w:r w:rsidRPr="00742B86">
              <w:rPr>
                <w:spacing w:val="-4"/>
                <w:lang w:val="en-GB"/>
              </w:rPr>
              <w:t>bn</w:t>
            </w:r>
            <w:proofErr w:type="spellEnd"/>
            <w:r w:rsidRPr="00742B86">
              <w:rPr>
                <w:spacing w:val="-4"/>
                <w:lang w:val="en-GB"/>
              </w:rPr>
              <w:t xml:space="preserve"> to Poland (–1.5%). On the contrary, the value of export to Turkey (9.8 CZK </w:t>
            </w:r>
            <w:proofErr w:type="spellStart"/>
            <w:r w:rsidRPr="00742B86">
              <w:rPr>
                <w:spacing w:val="-4"/>
                <w:lang w:val="en-GB"/>
              </w:rPr>
              <w:t>bn</w:t>
            </w:r>
            <w:proofErr w:type="spellEnd"/>
            <w:r w:rsidRPr="00742B86">
              <w:rPr>
                <w:spacing w:val="-4"/>
                <w:lang w:val="en-GB"/>
              </w:rPr>
              <w:t>, 29.6%), the Netherlands (3.6 </w:t>
            </w:r>
            <w:proofErr w:type="spellStart"/>
            <w:r w:rsidRPr="00742B86">
              <w:rPr>
                <w:spacing w:val="-4"/>
                <w:lang w:val="en-GB"/>
              </w:rPr>
              <w:t>bn</w:t>
            </w:r>
            <w:proofErr w:type="spellEnd"/>
            <w:r w:rsidRPr="00742B86">
              <w:rPr>
                <w:spacing w:val="-4"/>
                <w:lang w:val="en-GB"/>
              </w:rPr>
              <w:t xml:space="preserve">, 2.9%) and Republic of Korea (1.4 </w:t>
            </w:r>
            <w:proofErr w:type="spellStart"/>
            <w:r w:rsidRPr="00742B86">
              <w:rPr>
                <w:spacing w:val="-4"/>
                <w:lang w:val="en-GB"/>
              </w:rPr>
              <w:t>bn</w:t>
            </w:r>
            <w:proofErr w:type="spellEnd"/>
            <w:r w:rsidRPr="00742B86">
              <w:rPr>
                <w:spacing w:val="-4"/>
                <w:lang w:val="en-GB"/>
              </w:rPr>
              <w:t xml:space="preserve">, 14.4%) expanded last year. The export into the EU grew strongly (91.3 CZK </w:t>
            </w:r>
            <w:proofErr w:type="spellStart"/>
            <w:r w:rsidRPr="00742B86">
              <w:rPr>
                <w:spacing w:val="-4"/>
                <w:lang w:val="en-GB"/>
              </w:rPr>
              <w:t>bn</w:t>
            </w:r>
            <w:proofErr w:type="spellEnd"/>
            <w:r w:rsidRPr="00742B86">
              <w:rPr>
                <w:spacing w:val="-4"/>
                <w:lang w:val="en-GB"/>
              </w:rPr>
              <w:t xml:space="preserve">, 12.7%), export outside the EU slightly slower </w:t>
            </w:r>
            <w:r w:rsidRPr="00742B86">
              <w:rPr>
                <w:spacing w:val="-4"/>
                <w:lang w:val="en-GB"/>
              </w:rPr>
              <w:lastRenderedPageBreak/>
              <w:t xml:space="preserve">(5.8 </w:t>
            </w:r>
            <w:proofErr w:type="spellStart"/>
            <w:r w:rsidRPr="00742B86">
              <w:rPr>
                <w:spacing w:val="-4"/>
                <w:lang w:val="en-GB"/>
              </w:rPr>
              <w:t>bn</w:t>
            </w:r>
            <w:proofErr w:type="spellEnd"/>
            <w:r w:rsidRPr="00742B86">
              <w:rPr>
                <w:spacing w:val="-4"/>
                <w:lang w:val="en-GB"/>
              </w:rPr>
              <w:t xml:space="preserve">, 2.9%) in Q4. The largest addition was observed for export to Germany (43.3 CZK </w:t>
            </w:r>
            <w:proofErr w:type="spellStart"/>
            <w:r w:rsidRPr="00742B86">
              <w:rPr>
                <w:spacing w:val="-4"/>
                <w:lang w:val="en-GB"/>
              </w:rPr>
              <w:t>bn</w:t>
            </w:r>
            <w:proofErr w:type="spellEnd"/>
            <w:r w:rsidRPr="00742B86">
              <w:rPr>
                <w:spacing w:val="-4"/>
                <w:lang w:val="en-GB"/>
              </w:rPr>
              <w:t xml:space="preserve">, 15.8%), Italy (8.4 </w:t>
            </w:r>
            <w:proofErr w:type="spellStart"/>
            <w:r w:rsidRPr="00742B86">
              <w:rPr>
                <w:spacing w:val="-4"/>
                <w:lang w:val="en-GB"/>
              </w:rPr>
              <w:t>bn</w:t>
            </w:r>
            <w:proofErr w:type="spellEnd"/>
            <w:r w:rsidRPr="00742B86">
              <w:rPr>
                <w:spacing w:val="-4"/>
                <w:lang w:val="en-GB"/>
              </w:rPr>
              <w:t xml:space="preserve">, 27.4%), Slovakia (8.2 </w:t>
            </w:r>
            <w:proofErr w:type="spellStart"/>
            <w:r w:rsidRPr="00742B86">
              <w:rPr>
                <w:spacing w:val="-4"/>
                <w:lang w:val="en-GB"/>
              </w:rPr>
              <w:t>bn</w:t>
            </w:r>
            <w:proofErr w:type="spellEnd"/>
            <w:r w:rsidRPr="00742B86">
              <w:rPr>
                <w:spacing w:val="-4"/>
                <w:lang w:val="en-GB"/>
              </w:rPr>
              <w:t xml:space="preserve">, 9.6%), France (7.2 </w:t>
            </w:r>
            <w:proofErr w:type="spellStart"/>
            <w:r w:rsidRPr="00742B86">
              <w:rPr>
                <w:spacing w:val="-4"/>
                <w:lang w:val="en-GB"/>
              </w:rPr>
              <w:t>bn</w:t>
            </w:r>
            <w:proofErr w:type="spellEnd"/>
            <w:r w:rsidRPr="00742B86">
              <w:rPr>
                <w:spacing w:val="-4"/>
                <w:lang w:val="en-GB"/>
              </w:rPr>
              <w:t xml:space="preserve">, 15.6%) and to Poland (6.3 </w:t>
            </w:r>
            <w:proofErr w:type="spellStart"/>
            <w:r w:rsidRPr="00742B86">
              <w:rPr>
                <w:spacing w:val="-4"/>
                <w:lang w:val="en-GB"/>
              </w:rPr>
              <w:t>bn</w:t>
            </w:r>
            <w:proofErr w:type="spellEnd"/>
            <w:r w:rsidRPr="00742B86">
              <w:rPr>
                <w:spacing w:val="-4"/>
                <w:lang w:val="en-GB"/>
              </w:rPr>
              <w:t>, 10.6%).</w:t>
            </w:r>
          </w:p>
        </w:tc>
      </w:tr>
      <w:tr w:rsidR="00791BF4" w:rsidRPr="00742B86" w:rsidTr="009C620B">
        <w:trPr>
          <w:trHeight w:val="145"/>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lastRenderedPageBreak/>
              <w:t xml:space="preserve">Import sank deeper than export. It </w:t>
            </w:r>
            <w:proofErr w:type="gramStart"/>
            <w:r w:rsidRPr="00742B86">
              <w:rPr>
                <w:lang w:val="en-GB"/>
              </w:rPr>
              <w:t>was directly caused</w:t>
            </w:r>
            <w:proofErr w:type="gramEnd"/>
            <w:r w:rsidRPr="00742B86">
              <w:rPr>
                <w:lang w:val="en-GB"/>
              </w:rPr>
              <w:t xml:space="preserve"> by the situation around the coronavirus, but also the lowered prices of some materials.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rPr>
                <w:spacing w:val="-4"/>
                <w:lang w:val="en-GB"/>
              </w:rPr>
            </w:pPr>
            <w:r w:rsidRPr="00742B86">
              <w:rPr>
                <w:spacing w:val="-4"/>
                <w:lang w:val="en-GB"/>
              </w:rPr>
              <w:t xml:space="preserve">The import of goods also dived last year, by 201.8 CZK </w:t>
            </w:r>
            <w:proofErr w:type="spellStart"/>
            <w:r w:rsidRPr="00742B86">
              <w:rPr>
                <w:spacing w:val="-4"/>
                <w:lang w:val="en-GB"/>
              </w:rPr>
              <w:t>bn</w:t>
            </w:r>
            <w:proofErr w:type="spellEnd"/>
            <w:r w:rsidRPr="00742B86">
              <w:rPr>
                <w:spacing w:val="-4"/>
                <w:lang w:val="en-GB"/>
              </w:rPr>
              <w:t xml:space="preserve"> (–5.7%) to 3 344.3 bn. Import did not approach the pre-crisis level as fast as export in the second half of the year (year-on-year slumps reached –3.2%, –18.5% and –4.4% in Q1 to 3). In Q4, the import already rose by 29.0 CZK </w:t>
            </w:r>
            <w:proofErr w:type="spellStart"/>
            <w:r w:rsidRPr="00742B86">
              <w:rPr>
                <w:spacing w:val="-4"/>
                <w:lang w:val="en-GB"/>
              </w:rPr>
              <w:t>bn</w:t>
            </w:r>
            <w:proofErr w:type="spellEnd"/>
            <w:r w:rsidRPr="00742B86">
              <w:rPr>
                <w:spacing w:val="-4"/>
                <w:lang w:val="en-GB"/>
              </w:rPr>
              <w:t xml:space="preserve"> (3.2%) year-on-year to 933.2 bn. The slide of import </w:t>
            </w:r>
            <w:proofErr w:type="gramStart"/>
            <w:r w:rsidRPr="00742B86">
              <w:rPr>
                <w:spacing w:val="-4"/>
                <w:lang w:val="en-GB"/>
              </w:rPr>
              <w:t>was affected</w:t>
            </w:r>
            <w:proofErr w:type="gramEnd"/>
            <w:r w:rsidRPr="00742B86">
              <w:rPr>
                <w:spacing w:val="-4"/>
                <w:lang w:val="en-GB"/>
              </w:rPr>
              <w:t xml:space="preserve"> from two directions last year. For one thing, the domestic demand went down – partially the one from producers, who further process imported components. The uncertainty also disrupted the investment activity. It is apparent on the last year´s slump of import of motor vehicles (the division also includes parts and subcontractor works) by 74.7 CZK </w:t>
            </w:r>
            <w:proofErr w:type="spellStart"/>
            <w:r w:rsidRPr="00742B86">
              <w:rPr>
                <w:spacing w:val="-4"/>
                <w:lang w:val="en-GB"/>
              </w:rPr>
              <w:t>bn</w:t>
            </w:r>
            <w:proofErr w:type="spellEnd"/>
            <w:r w:rsidRPr="00742B86">
              <w:rPr>
                <w:spacing w:val="-4"/>
                <w:lang w:val="en-GB"/>
              </w:rPr>
              <w:t xml:space="preserve"> (–13.4%) and also machinery and equipment by 30.6 </w:t>
            </w:r>
            <w:proofErr w:type="spellStart"/>
            <w:r w:rsidRPr="00742B86">
              <w:rPr>
                <w:spacing w:val="-4"/>
                <w:lang w:val="en-GB"/>
              </w:rPr>
              <w:t>bn</w:t>
            </w:r>
            <w:proofErr w:type="spellEnd"/>
            <w:r w:rsidRPr="00742B86">
              <w:rPr>
                <w:spacing w:val="-4"/>
                <w:lang w:val="en-GB"/>
              </w:rPr>
              <w:t xml:space="preserve"> (–8.7%). Import of metal products (–13.4 CZK </w:t>
            </w:r>
            <w:proofErr w:type="spellStart"/>
            <w:r w:rsidRPr="00742B86">
              <w:rPr>
                <w:spacing w:val="-4"/>
                <w:lang w:val="en-GB"/>
              </w:rPr>
              <w:t>bn</w:t>
            </w:r>
            <w:proofErr w:type="spellEnd"/>
            <w:r w:rsidRPr="00742B86">
              <w:rPr>
                <w:spacing w:val="-4"/>
                <w:lang w:val="en-GB"/>
              </w:rPr>
              <w:t xml:space="preserve">, –7.7%), other transport vehicles (–10.7 </w:t>
            </w:r>
            <w:proofErr w:type="spellStart"/>
            <w:r w:rsidRPr="00742B86">
              <w:rPr>
                <w:spacing w:val="-4"/>
                <w:lang w:val="en-GB"/>
              </w:rPr>
              <w:t>bn</w:t>
            </w:r>
            <w:proofErr w:type="spellEnd"/>
            <w:r w:rsidRPr="00742B86">
              <w:rPr>
                <w:spacing w:val="-4"/>
                <w:lang w:val="en-GB"/>
              </w:rPr>
              <w:t>, –25.4%) and rubber and plastic products (</w:t>
            </w:r>
            <w:r>
              <w:rPr>
                <w:spacing w:val="-4"/>
                <w:lang w:val="en-GB"/>
              </w:rPr>
              <w:noBreakHyphen/>
            </w:r>
            <w:r w:rsidRPr="00742B86">
              <w:rPr>
                <w:spacing w:val="-4"/>
                <w:lang w:val="en-GB"/>
              </w:rPr>
              <w:t>4.4 </w:t>
            </w:r>
            <w:proofErr w:type="spellStart"/>
            <w:r w:rsidRPr="00742B86">
              <w:rPr>
                <w:spacing w:val="-4"/>
                <w:lang w:val="en-GB"/>
              </w:rPr>
              <w:t>bn</w:t>
            </w:r>
            <w:proofErr w:type="spellEnd"/>
            <w:r w:rsidRPr="00742B86">
              <w:rPr>
                <w:spacing w:val="-4"/>
                <w:lang w:val="en-GB"/>
              </w:rPr>
              <w:t xml:space="preserve">, –2.4%) also fell. </w:t>
            </w:r>
            <w:proofErr w:type="gramStart"/>
            <w:r w:rsidRPr="00742B86">
              <w:rPr>
                <w:spacing w:val="-4"/>
                <w:lang w:val="en-GB"/>
              </w:rPr>
              <w:t>And</w:t>
            </w:r>
            <w:proofErr w:type="gramEnd"/>
            <w:r w:rsidRPr="00742B86">
              <w:rPr>
                <w:spacing w:val="-4"/>
                <w:lang w:val="en-GB"/>
              </w:rPr>
              <w:t xml:space="preserve"> for another, the plunge of prices of some materials, mainly oil, was the second factor. The value of imported oil and natural gas dropped by 56.2 CZK </w:t>
            </w:r>
            <w:proofErr w:type="spellStart"/>
            <w:r w:rsidRPr="00742B86">
              <w:rPr>
                <w:spacing w:val="-4"/>
                <w:lang w:val="en-GB"/>
              </w:rPr>
              <w:t>bn</w:t>
            </w:r>
            <w:proofErr w:type="spellEnd"/>
            <w:r w:rsidRPr="00742B86">
              <w:rPr>
                <w:spacing w:val="-4"/>
                <w:lang w:val="en-GB"/>
              </w:rPr>
              <w:t xml:space="preserve"> (–43.2%), basic metals 35.1 </w:t>
            </w:r>
            <w:proofErr w:type="spellStart"/>
            <w:r w:rsidRPr="00742B86">
              <w:rPr>
                <w:spacing w:val="-4"/>
                <w:lang w:val="en-GB"/>
              </w:rPr>
              <w:t>bn</w:t>
            </w:r>
            <w:proofErr w:type="spellEnd"/>
            <w:r w:rsidRPr="00742B86">
              <w:rPr>
                <w:spacing w:val="-4"/>
                <w:lang w:val="en-GB"/>
              </w:rPr>
              <w:t xml:space="preserve"> (–13.4%), coke and refined oil products</w:t>
            </w:r>
            <w:r w:rsidRPr="00742B86">
              <w:rPr>
                <w:rStyle w:val="Znakapoznpodarou"/>
                <w:spacing w:val="-4"/>
                <w:lang w:val="en-GB"/>
              </w:rPr>
              <w:footnoteReference w:id="42"/>
            </w:r>
            <w:r w:rsidRPr="00742B86">
              <w:rPr>
                <w:spacing w:val="-4"/>
                <w:lang w:val="en-GB"/>
              </w:rPr>
              <w:t xml:space="preserve"> by 15.2 </w:t>
            </w:r>
            <w:proofErr w:type="spellStart"/>
            <w:r w:rsidRPr="00742B86">
              <w:rPr>
                <w:spacing w:val="-4"/>
                <w:lang w:val="en-GB"/>
              </w:rPr>
              <w:t>bn</w:t>
            </w:r>
            <w:proofErr w:type="spellEnd"/>
            <w:r w:rsidRPr="00742B86">
              <w:rPr>
                <w:spacing w:val="-4"/>
                <w:lang w:val="en-GB"/>
              </w:rPr>
              <w:t xml:space="preserve"> (</w:t>
            </w:r>
            <w:r>
              <w:rPr>
                <w:spacing w:val="-4"/>
                <w:lang w:val="en-GB"/>
              </w:rPr>
              <w:noBreakHyphen/>
            </w:r>
            <w:r w:rsidRPr="00742B86">
              <w:rPr>
                <w:spacing w:val="-4"/>
                <w:lang w:val="en-GB"/>
              </w:rPr>
              <w:t>24.8%) and the decrease of the amount of imported chemicals and chemical products (</w:t>
            </w:r>
            <w:r>
              <w:rPr>
                <w:spacing w:val="-4"/>
                <w:lang w:val="en-GB"/>
              </w:rPr>
              <w:noBreakHyphen/>
            </w:r>
            <w:r w:rsidRPr="00742B86">
              <w:rPr>
                <w:spacing w:val="-4"/>
                <w:lang w:val="en-GB"/>
              </w:rPr>
              <w:t xml:space="preserve">8.8 </w:t>
            </w:r>
            <w:proofErr w:type="spellStart"/>
            <w:r w:rsidRPr="00742B86">
              <w:rPr>
                <w:spacing w:val="-4"/>
                <w:lang w:val="en-GB"/>
              </w:rPr>
              <w:t>bn</w:t>
            </w:r>
            <w:proofErr w:type="spellEnd"/>
            <w:r w:rsidRPr="00742B86">
              <w:rPr>
                <w:spacing w:val="-4"/>
                <w:lang w:val="en-GB"/>
              </w:rPr>
              <w:t xml:space="preserve">, –3.1%) was also connected to the cut of oil prices. The largest import increase was recorded for computers, electronic and optical appliances (41.6 CZK </w:t>
            </w:r>
            <w:proofErr w:type="spellStart"/>
            <w:r w:rsidRPr="00742B86">
              <w:rPr>
                <w:spacing w:val="-4"/>
                <w:lang w:val="en-GB"/>
              </w:rPr>
              <w:t>bn</w:t>
            </w:r>
            <w:proofErr w:type="spellEnd"/>
            <w:r w:rsidRPr="00742B86">
              <w:rPr>
                <w:spacing w:val="-4"/>
                <w:lang w:val="en-GB"/>
              </w:rPr>
              <w:t xml:space="preserve">, 10.0%), electrical equipment (12.8 </w:t>
            </w:r>
            <w:proofErr w:type="spellStart"/>
            <w:r w:rsidRPr="00742B86">
              <w:rPr>
                <w:spacing w:val="-4"/>
                <w:lang w:val="en-GB"/>
              </w:rPr>
              <w:t>bn</w:t>
            </w:r>
            <w:proofErr w:type="spellEnd"/>
            <w:r w:rsidRPr="00742B86">
              <w:rPr>
                <w:spacing w:val="-4"/>
                <w:lang w:val="en-GB"/>
              </w:rPr>
              <w:t xml:space="preserve">, 4.7%), basic pharmaceutical products (8.1 </w:t>
            </w:r>
            <w:proofErr w:type="spellStart"/>
            <w:r w:rsidRPr="00742B86">
              <w:rPr>
                <w:spacing w:val="-4"/>
                <w:lang w:val="en-GB"/>
              </w:rPr>
              <w:t>bn</w:t>
            </w:r>
            <w:proofErr w:type="spellEnd"/>
            <w:r w:rsidRPr="00742B86">
              <w:rPr>
                <w:spacing w:val="-4"/>
                <w:lang w:val="en-GB"/>
              </w:rPr>
              <w:t>, 7.7%) and textiles (5.6</w:t>
            </w:r>
            <w:r>
              <w:rPr>
                <w:spacing w:val="-4"/>
                <w:lang w:val="en-GB"/>
              </w:rPr>
              <w:t> </w:t>
            </w:r>
            <w:proofErr w:type="spellStart"/>
            <w:r w:rsidRPr="00742B86">
              <w:rPr>
                <w:spacing w:val="-4"/>
                <w:lang w:val="en-GB"/>
              </w:rPr>
              <w:t>bn</w:t>
            </w:r>
            <w:proofErr w:type="spellEnd"/>
            <w:r w:rsidRPr="00742B86">
              <w:rPr>
                <w:spacing w:val="-4"/>
                <w:lang w:val="en-GB"/>
              </w:rPr>
              <w:t xml:space="preserve">, 10.8%) last year. In Q4, electrical equipment (14.7 CZK </w:t>
            </w:r>
            <w:proofErr w:type="spellStart"/>
            <w:r w:rsidRPr="00742B86">
              <w:rPr>
                <w:spacing w:val="-4"/>
                <w:lang w:val="en-GB"/>
              </w:rPr>
              <w:t>bn</w:t>
            </w:r>
            <w:proofErr w:type="spellEnd"/>
            <w:r w:rsidRPr="00742B86">
              <w:rPr>
                <w:spacing w:val="-4"/>
                <w:lang w:val="en-GB"/>
              </w:rPr>
              <w:t xml:space="preserve">, 21.2%), computers, electrical and optical appliances (11.1 </w:t>
            </w:r>
            <w:proofErr w:type="spellStart"/>
            <w:r w:rsidRPr="00742B86">
              <w:rPr>
                <w:spacing w:val="-4"/>
                <w:lang w:val="en-GB"/>
              </w:rPr>
              <w:t>bn</w:t>
            </w:r>
            <w:proofErr w:type="spellEnd"/>
            <w:r w:rsidRPr="00742B86">
              <w:rPr>
                <w:spacing w:val="-4"/>
                <w:lang w:val="en-GB"/>
              </w:rPr>
              <w:t xml:space="preserve">, 8.8%) and motor vehicles (8.6 </w:t>
            </w:r>
            <w:proofErr w:type="spellStart"/>
            <w:r w:rsidRPr="00742B86">
              <w:rPr>
                <w:spacing w:val="-4"/>
                <w:lang w:val="en-GB"/>
              </w:rPr>
              <w:t>bn</w:t>
            </w:r>
            <w:proofErr w:type="spellEnd"/>
            <w:r w:rsidRPr="00742B86">
              <w:rPr>
                <w:spacing w:val="-4"/>
                <w:lang w:val="en-GB"/>
              </w:rPr>
              <w:t xml:space="preserve">, 6.1%) the most supported the year-on-year import addition. By contrast, the slump of import of oil and natural gas (–14.2 CZK </w:t>
            </w:r>
            <w:proofErr w:type="spellStart"/>
            <w:r w:rsidRPr="00742B86">
              <w:rPr>
                <w:spacing w:val="-4"/>
                <w:lang w:val="en-GB"/>
              </w:rPr>
              <w:t>bn</w:t>
            </w:r>
            <w:proofErr w:type="spellEnd"/>
            <w:r w:rsidRPr="00742B86">
              <w:rPr>
                <w:spacing w:val="-4"/>
                <w:lang w:val="en-GB"/>
              </w:rPr>
              <w:t xml:space="preserve">, –42.5%), coke and refined oil products (–5.2 </w:t>
            </w:r>
            <w:proofErr w:type="spellStart"/>
            <w:r w:rsidRPr="00742B86">
              <w:rPr>
                <w:spacing w:val="-4"/>
                <w:lang w:val="en-GB"/>
              </w:rPr>
              <w:t>bn</w:t>
            </w:r>
            <w:proofErr w:type="spellEnd"/>
            <w:r w:rsidRPr="00742B86">
              <w:rPr>
                <w:spacing w:val="-4"/>
                <w:lang w:val="en-GB"/>
              </w:rPr>
              <w:t>,</w:t>
            </w:r>
            <w:r w:rsidRPr="00742B86">
              <w:rPr>
                <w:spacing w:val="-4"/>
                <w:lang w:val="en-GB"/>
              </w:rPr>
              <w:br/>
              <w:t xml:space="preserve">–33.1%) and other transport equipment (–2.9 </w:t>
            </w:r>
            <w:proofErr w:type="spellStart"/>
            <w:r w:rsidRPr="00742B86">
              <w:rPr>
                <w:spacing w:val="-4"/>
                <w:lang w:val="en-GB"/>
              </w:rPr>
              <w:t>bn</w:t>
            </w:r>
            <w:proofErr w:type="spellEnd"/>
            <w:r w:rsidRPr="00742B86">
              <w:rPr>
                <w:spacing w:val="-4"/>
                <w:lang w:val="en-GB"/>
              </w:rPr>
              <w:t>, –28.7%) further continued.</w:t>
            </w:r>
          </w:p>
        </w:tc>
      </w:tr>
      <w:tr w:rsidR="00791BF4" w:rsidRPr="00742B86" w:rsidTr="009C620B">
        <w:trPr>
          <w:trHeight w:val="145"/>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t xml:space="preserve">Export from Germany slumped considerably.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rPr>
                <w:spacing w:val="-4"/>
                <w:lang w:val="en-GB"/>
              </w:rPr>
            </w:pPr>
            <w:r w:rsidRPr="00742B86">
              <w:rPr>
                <w:spacing w:val="-4"/>
                <w:lang w:val="en-GB"/>
              </w:rPr>
              <w:t xml:space="preserve">Import from the EU was declining more notably than the import from countries outside the EU last year. Import from Germany recorded a very deep slump (–96.2 CZK </w:t>
            </w:r>
            <w:proofErr w:type="spellStart"/>
            <w:r w:rsidRPr="00742B86">
              <w:rPr>
                <w:spacing w:val="-4"/>
                <w:lang w:val="en-GB"/>
              </w:rPr>
              <w:t>bn</w:t>
            </w:r>
            <w:proofErr w:type="spellEnd"/>
            <w:r w:rsidRPr="00742B86">
              <w:rPr>
                <w:spacing w:val="-4"/>
                <w:lang w:val="en-GB"/>
              </w:rPr>
              <w:t>, –10.5%), plunge of prices of oil and natural gas stood behind the drop of import from Russia by 47.8</w:t>
            </w:r>
            <w:r>
              <w:rPr>
                <w:spacing w:val="-4"/>
                <w:lang w:val="en-GB"/>
              </w:rPr>
              <w:t> </w:t>
            </w:r>
            <w:proofErr w:type="spellStart"/>
            <w:r w:rsidRPr="00742B86">
              <w:rPr>
                <w:spacing w:val="-4"/>
                <w:lang w:val="en-GB"/>
              </w:rPr>
              <w:t>bn</w:t>
            </w:r>
            <w:proofErr w:type="spellEnd"/>
            <w:r w:rsidRPr="00742B86">
              <w:rPr>
                <w:spacing w:val="-4"/>
                <w:lang w:val="en-GB"/>
              </w:rPr>
              <w:t xml:space="preserve"> (–41.5%) and the import from Slovakia (–14.8 </w:t>
            </w:r>
            <w:proofErr w:type="spellStart"/>
            <w:r w:rsidRPr="00742B86">
              <w:rPr>
                <w:spacing w:val="-4"/>
                <w:lang w:val="en-GB"/>
              </w:rPr>
              <w:t>bn</w:t>
            </w:r>
            <w:proofErr w:type="spellEnd"/>
            <w:r w:rsidRPr="00742B86">
              <w:rPr>
                <w:spacing w:val="-4"/>
                <w:lang w:val="en-GB"/>
              </w:rPr>
              <w:t xml:space="preserve">, –8.5%), France (–11.7 </w:t>
            </w:r>
            <w:proofErr w:type="spellStart"/>
            <w:r w:rsidRPr="00742B86">
              <w:rPr>
                <w:spacing w:val="-4"/>
                <w:lang w:val="en-GB"/>
              </w:rPr>
              <w:t>bn</w:t>
            </w:r>
            <w:proofErr w:type="spellEnd"/>
            <w:r w:rsidRPr="00742B86">
              <w:rPr>
                <w:spacing w:val="-4"/>
                <w:lang w:val="en-GB"/>
              </w:rPr>
              <w:t xml:space="preserve">, –9.9%) and Italy (–10.5 </w:t>
            </w:r>
            <w:proofErr w:type="spellStart"/>
            <w:r w:rsidRPr="00742B86">
              <w:rPr>
                <w:spacing w:val="-4"/>
                <w:lang w:val="en-GB"/>
              </w:rPr>
              <w:t>bn</w:t>
            </w:r>
            <w:proofErr w:type="spellEnd"/>
            <w:r w:rsidRPr="00742B86">
              <w:rPr>
                <w:spacing w:val="-4"/>
                <w:lang w:val="en-GB"/>
              </w:rPr>
              <w:t xml:space="preserve">, –6.6%) also significantly decreased. On the contrary, the addition to the value of import from China was the largest from year 2010 (46.2 CZK </w:t>
            </w:r>
            <w:proofErr w:type="spellStart"/>
            <w:r w:rsidRPr="00742B86">
              <w:rPr>
                <w:spacing w:val="-4"/>
                <w:lang w:val="en-GB"/>
              </w:rPr>
              <w:t>bn</w:t>
            </w:r>
            <w:proofErr w:type="spellEnd"/>
            <w:r w:rsidRPr="00742B86">
              <w:rPr>
                <w:spacing w:val="-4"/>
                <w:lang w:val="en-GB"/>
              </w:rPr>
              <w:t xml:space="preserve">, 11.9%). In Q4 2020, the fastest growing import was from China (13.9 CZK </w:t>
            </w:r>
            <w:proofErr w:type="spellStart"/>
            <w:r w:rsidRPr="00742B86">
              <w:rPr>
                <w:spacing w:val="-4"/>
                <w:lang w:val="en-GB"/>
              </w:rPr>
              <w:t>bn</w:t>
            </w:r>
            <w:proofErr w:type="spellEnd"/>
            <w:r w:rsidRPr="00742B86">
              <w:rPr>
                <w:spacing w:val="-4"/>
                <w:lang w:val="en-GB"/>
              </w:rPr>
              <w:t xml:space="preserve">, 12.4%), Hungary (7.0 </w:t>
            </w:r>
            <w:proofErr w:type="spellStart"/>
            <w:r w:rsidRPr="00742B86">
              <w:rPr>
                <w:spacing w:val="-4"/>
                <w:lang w:val="en-GB"/>
              </w:rPr>
              <w:t>bn</w:t>
            </w:r>
            <w:proofErr w:type="spellEnd"/>
            <w:r w:rsidRPr="00742B86">
              <w:rPr>
                <w:spacing w:val="-4"/>
                <w:lang w:val="en-GB"/>
              </w:rPr>
              <w:t xml:space="preserve">, 31.6%) and Poland (5.1 </w:t>
            </w:r>
            <w:proofErr w:type="spellStart"/>
            <w:r w:rsidRPr="00742B86">
              <w:rPr>
                <w:spacing w:val="-4"/>
                <w:lang w:val="en-GB"/>
              </w:rPr>
              <w:t>bn</w:t>
            </w:r>
            <w:proofErr w:type="spellEnd"/>
            <w:r w:rsidRPr="00742B86">
              <w:rPr>
                <w:spacing w:val="-4"/>
                <w:lang w:val="en-GB"/>
              </w:rPr>
              <w:t xml:space="preserve">, 6.8%) in Q4 2020. Import from Russia (–11.7 </w:t>
            </w:r>
            <w:proofErr w:type="spellStart"/>
            <w:r w:rsidRPr="00742B86">
              <w:rPr>
                <w:spacing w:val="-4"/>
                <w:lang w:val="en-GB"/>
              </w:rPr>
              <w:t>bn</w:t>
            </w:r>
            <w:proofErr w:type="spellEnd"/>
            <w:r w:rsidRPr="00742B86">
              <w:rPr>
                <w:spacing w:val="-4"/>
                <w:lang w:val="en-GB"/>
              </w:rPr>
              <w:t xml:space="preserve">, –38.2%) kept falling and import from Germany (–3.0 </w:t>
            </w:r>
            <w:proofErr w:type="spellStart"/>
            <w:r w:rsidRPr="00742B86">
              <w:rPr>
                <w:spacing w:val="-4"/>
                <w:lang w:val="en-GB"/>
              </w:rPr>
              <w:t>bn</w:t>
            </w:r>
            <w:proofErr w:type="spellEnd"/>
            <w:r w:rsidRPr="00742B86">
              <w:rPr>
                <w:spacing w:val="-4"/>
                <w:lang w:val="en-GB"/>
              </w:rPr>
              <w:t xml:space="preserve">, –1.3%) and Austria (–1.1 </w:t>
            </w:r>
            <w:proofErr w:type="spellStart"/>
            <w:r w:rsidRPr="00742B86">
              <w:rPr>
                <w:spacing w:val="-4"/>
                <w:lang w:val="en-GB"/>
              </w:rPr>
              <w:t>bn</w:t>
            </w:r>
            <w:proofErr w:type="spellEnd"/>
            <w:r w:rsidRPr="00742B86">
              <w:rPr>
                <w:spacing w:val="-4"/>
                <w:lang w:val="en-GB"/>
              </w:rPr>
              <w:t>, –3.9%) also further diminished.</w:t>
            </w:r>
          </w:p>
        </w:tc>
      </w:tr>
      <w:tr w:rsidR="00791BF4" w:rsidRPr="00742B86" w:rsidTr="009C620B">
        <w:trPr>
          <w:trHeight w:val="145"/>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t xml:space="preserve">Surplus of foreign trade with goods enlarged last year.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rPr>
                <w:spacing w:val="-4"/>
                <w:lang w:val="en-GB"/>
              </w:rPr>
            </w:pPr>
            <w:r w:rsidRPr="00742B86">
              <w:rPr>
                <w:spacing w:val="-4"/>
                <w:lang w:val="en-GB"/>
              </w:rPr>
              <w:t>The substantial lagging of import dynamics behind export dynamics aided the balance of foreign trade with goods last year. Total surplus climbed to 184</w:t>
            </w:r>
            <w:r>
              <w:rPr>
                <w:spacing w:val="-4"/>
                <w:lang w:val="en-GB"/>
              </w:rPr>
              <w:t>.</w:t>
            </w:r>
            <w:r w:rsidRPr="00742B86">
              <w:rPr>
                <w:spacing w:val="-4"/>
                <w:lang w:val="en-GB"/>
              </w:rPr>
              <w:t xml:space="preserve">5 CZK </w:t>
            </w:r>
            <w:proofErr w:type="spellStart"/>
            <w:r w:rsidRPr="00742B86">
              <w:rPr>
                <w:spacing w:val="-4"/>
                <w:lang w:val="en-GB"/>
              </w:rPr>
              <w:t>bn</w:t>
            </w:r>
            <w:proofErr w:type="spellEnd"/>
            <w:r w:rsidRPr="00742B86">
              <w:rPr>
                <w:spacing w:val="-4"/>
                <w:lang w:val="en-GB"/>
              </w:rPr>
              <w:t>, which is by 38.8</w:t>
            </w:r>
            <w:r>
              <w:rPr>
                <w:spacing w:val="-4"/>
                <w:lang w:val="en-GB"/>
              </w:rPr>
              <w:t> </w:t>
            </w:r>
            <w:proofErr w:type="spellStart"/>
            <w:r w:rsidRPr="00742B86">
              <w:rPr>
                <w:spacing w:val="-4"/>
                <w:lang w:val="en-GB"/>
              </w:rPr>
              <w:t>bn</w:t>
            </w:r>
            <w:proofErr w:type="spellEnd"/>
            <w:r w:rsidRPr="00742B86">
              <w:rPr>
                <w:spacing w:val="-4"/>
                <w:lang w:val="en-GB"/>
              </w:rPr>
              <w:t xml:space="preserve"> more year-on-year. The year-on-year improvement </w:t>
            </w:r>
            <w:proofErr w:type="gramStart"/>
            <w:r w:rsidRPr="00742B86">
              <w:rPr>
                <w:spacing w:val="-4"/>
                <w:lang w:val="en-GB"/>
              </w:rPr>
              <w:t>was in fact achieved</w:t>
            </w:r>
            <w:proofErr w:type="gramEnd"/>
            <w:r w:rsidRPr="00742B86">
              <w:rPr>
                <w:spacing w:val="-4"/>
                <w:lang w:val="en-GB"/>
              </w:rPr>
              <w:t xml:space="preserve"> strictly in H2. The surplus deteriorated against the same period of the last year (amounted to 37.9 </w:t>
            </w:r>
            <w:proofErr w:type="spellStart"/>
            <w:r w:rsidRPr="00742B86">
              <w:rPr>
                <w:spacing w:val="-4"/>
                <w:lang w:val="en-GB"/>
              </w:rPr>
              <w:t>bn</w:t>
            </w:r>
            <w:proofErr w:type="spellEnd"/>
            <w:r w:rsidRPr="00742B86">
              <w:rPr>
                <w:spacing w:val="-4"/>
                <w:lang w:val="en-GB"/>
              </w:rPr>
              <w:t>) already in Q1 and the downturn of foreign trade in Q2 led to the decrease of surplus by 47.7</w:t>
            </w:r>
            <w:r>
              <w:rPr>
                <w:spacing w:val="-4"/>
                <w:lang w:val="en-GB"/>
              </w:rPr>
              <w:t> </w:t>
            </w:r>
            <w:proofErr w:type="spellStart"/>
            <w:r w:rsidRPr="00742B86">
              <w:rPr>
                <w:spacing w:val="-4"/>
                <w:lang w:val="en-GB"/>
              </w:rPr>
              <w:t>bn</w:t>
            </w:r>
            <w:proofErr w:type="spellEnd"/>
            <w:r w:rsidRPr="00742B86">
              <w:rPr>
                <w:spacing w:val="-4"/>
                <w:lang w:val="en-GB"/>
              </w:rPr>
              <w:t xml:space="preserve"> to 9.3 bn. However, the renewal of the foreign trade was relatively fast and the surplus was already more than double of the amount from the previous year in Q3 (56.9</w:t>
            </w:r>
            <w:r>
              <w:rPr>
                <w:spacing w:val="-4"/>
                <w:lang w:val="en-GB"/>
              </w:rPr>
              <w:t> </w:t>
            </w:r>
            <w:proofErr w:type="spellStart"/>
            <w:r w:rsidRPr="00742B86">
              <w:rPr>
                <w:spacing w:val="-4"/>
                <w:lang w:val="en-GB"/>
              </w:rPr>
              <w:t>bn</w:t>
            </w:r>
            <w:proofErr w:type="spellEnd"/>
            <w:r w:rsidRPr="00742B86">
              <w:rPr>
                <w:spacing w:val="-4"/>
                <w:lang w:val="en-GB"/>
              </w:rPr>
              <w:t xml:space="preserve">). The foreign trade surplus attained 80.4 CZK </w:t>
            </w:r>
            <w:proofErr w:type="spellStart"/>
            <w:r w:rsidRPr="00742B86">
              <w:rPr>
                <w:spacing w:val="-4"/>
                <w:lang w:val="en-GB"/>
              </w:rPr>
              <w:t>bn</w:t>
            </w:r>
            <w:proofErr w:type="spellEnd"/>
            <w:r w:rsidRPr="00742B86">
              <w:rPr>
                <w:spacing w:val="-4"/>
                <w:lang w:val="en-GB"/>
              </w:rPr>
              <w:t xml:space="preserve"> in Q4 and improved by 67.5 </w:t>
            </w:r>
            <w:proofErr w:type="spellStart"/>
            <w:r w:rsidRPr="00742B86">
              <w:rPr>
                <w:spacing w:val="-4"/>
                <w:lang w:val="en-GB"/>
              </w:rPr>
              <w:t>bn</w:t>
            </w:r>
            <w:proofErr w:type="spellEnd"/>
            <w:r w:rsidRPr="00742B86">
              <w:rPr>
                <w:spacing w:val="-4"/>
                <w:lang w:val="en-GB"/>
              </w:rPr>
              <w:t xml:space="preserve"> year-on-year. The recorded balance as well as its improvement was the highest for the </w:t>
            </w:r>
            <w:proofErr w:type="gramStart"/>
            <w:r w:rsidRPr="00742B86">
              <w:rPr>
                <w:spacing w:val="-4"/>
                <w:lang w:val="en-GB"/>
              </w:rPr>
              <w:t>whole</w:t>
            </w:r>
            <w:proofErr w:type="gramEnd"/>
            <w:r w:rsidRPr="00742B86">
              <w:rPr>
                <w:spacing w:val="-4"/>
                <w:lang w:val="en-GB"/>
              </w:rPr>
              <w:t xml:space="preserve"> available time series. </w:t>
            </w:r>
          </w:p>
        </w:tc>
      </w:tr>
      <w:tr w:rsidR="00791BF4" w:rsidRPr="00742B86" w:rsidTr="009C620B">
        <w:trPr>
          <w:trHeight w:val="145"/>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t xml:space="preserve">Moderation of the deficit of trade with oil and natural gas and basic </w:t>
            </w:r>
            <w:r w:rsidRPr="00742B86">
              <w:rPr>
                <w:lang w:val="en-GB"/>
              </w:rPr>
              <w:lastRenderedPageBreak/>
              <w:t xml:space="preserve">metals mainly caused the improvement.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rPr>
                <w:spacing w:val="-4"/>
                <w:lang w:val="en-GB"/>
              </w:rPr>
            </w:pPr>
            <w:r w:rsidRPr="00742B86">
              <w:rPr>
                <w:spacing w:val="-4"/>
                <w:lang w:val="en-GB"/>
              </w:rPr>
              <w:t xml:space="preserve">Moderation of the trade with oil and natural gas deficit by 55.7 CZK </w:t>
            </w:r>
            <w:proofErr w:type="spellStart"/>
            <w:r w:rsidRPr="00742B86">
              <w:rPr>
                <w:spacing w:val="-4"/>
                <w:lang w:val="en-GB"/>
              </w:rPr>
              <w:t>bn</w:t>
            </w:r>
            <w:proofErr w:type="spellEnd"/>
            <w:r w:rsidRPr="00742B86">
              <w:rPr>
                <w:spacing w:val="-4"/>
                <w:lang w:val="en-GB"/>
              </w:rPr>
              <w:t xml:space="preserve"> and further of basic metals by 22.9 </w:t>
            </w:r>
            <w:proofErr w:type="spellStart"/>
            <w:r w:rsidRPr="00742B86">
              <w:rPr>
                <w:spacing w:val="-4"/>
                <w:lang w:val="en-GB"/>
              </w:rPr>
              <w:t>bn</w:t>
            </w:r>
            <w:proofErr w:type="spellEnd"/>
            <w:r w:rsidRPr="00742B86">
              <w:rPr>
                <w:spacing w:val="-4"/>
                <w:lang w:val="en-GB"/>
              </w:rPr>
              <w:t xml:space="preserve"> the most contributed to the improvement of the trade with goods balance last year. The already mentioned reduced prices of these materials played a role in both </w:t>
            </w:r>
            <w:r w:rsidRPr="00742B86">
              <w:rPr>
                <w:spacing w:val="-4"/>
                <w:lang w:val="en-GB"/>
              </w:rPr>
              <w:lastRenderedPageBreak/>
              <w:t>cases. The balance for other transport equipment (+6.1 </w:t>
            </w:r>
            <w:proofErr w:type="spellStart"/>
            <w:r w:rsidRPr="00742B86">
              <w:rPr>
                <w:spacing w:val="-4"/>
                <w:lang w:val="en-GB"/>
              </w:rPr>
              <w:t>bn</w:t>
            </w:r>
            <w:proofErr w:type="spellEnd"/>
            <w:r w:rsidRPr="00742B86">
              <w:rPr>
                <w:spacing w:val="-4"/>
                <w:lang w:val="en-GB"/>
              </w:rPr>
              <w:t>) and negative balance for chemicals and chemical products (+6.0 </w:t>
            </w:r>
            <w:proofErr w:type="spellStart"/>
            <w:r w:rsidRPr="00742B86">
              <w:rPr>
                <w:spacing w:val="-4"/>
                <w:lang w:val="en-GB"/>
              </w:rPr>
              <w:t>bn</w:t>
            </w:r>
            <w:proofErr w:type="spellEnd"/>
            <w:r w:rsidRPr="00742B86">
              <w:rPr>
                <w:spacing w:val="-4"/>
                <w:lang w:val="en-GB"/>
              </w:rPr>
              <w:t xml:space="preserve">) also improved. Even though the export fields of activities tried their best to make up for the losses during the second half of the year, the resulting year-on-year downturn of motor vehicle surplus reached 25.4 CZK </w:t>
            </w:r>
            <w:proofErr w:type="spellStart"/>
            <w:r w:rsidRPr="00742B86">
              <w:rPr>
                <w:spacing w:val="-4"/>
                <w:lang w:val="en-GB"/>
              </w:rPr>
              <w:t>bn</w:t>
            </w:r>
            <w:proofErr w:type="spellEnd"/>
            <w:r w:rsidRPr="00742B86">
              <w:rPr>
                <w:spacing w:val="-4"/>
                <w:lang w:val="en-GB"/>
              </w:rPr>
              <w:t xml:space="preserve">, 20.3 </w:t>
            </w:r>
            <w:proofErr w:type="spellStart"/>
            <w:r w:rsidRPr="00742B86">
              <w:rPr>
                <w:spacing w:val="-4"/>
                <w:lang w:val="en-GB"/>
              </w:rPr>
              <w:t>bn</w:t>
            </w:r>
            <w:proofErr w:type="spellEnd"/>
            <w:r w:rsidRPr="00742B86">
              <w:rPr>
                <w:spacing w:val="-4"/>
                <w:lang w:val="en-GB"/>
              </w:rPr>
              <w:t xml:space="preserve"> for computers, electronic and optical appliances and 19.7 </w:t>
            </w:r>
            <w:proofErr w:type="spellStart"/>
            <w:r w:rsidRPr="00742B86">
              <w:rPr>
                <w:spacing w:val="-4"/>
                <w:lang w:val="en-GB"/>
              </w:rPr>
              <w:t>bn</w:t>
            </w:r>
            <w:proofErr w:type="spellEnd"/>
            <w:r w:rsidRPr="00742B86">
              <w:rPr>
                <w:spacing w:val="-4"/>
                <w:lang w:val="en-GB"/>
              </w:rPr>
              <w:t xml:space="preserve"> in case of electrical equipment. Trade with textiles (–7.2 CZK </w:t>
            </w:r>
            <w:proofErr w:type="spellStart"/>
            <w:r w:rsidRPr="00742B86">
              <w:rPr>
                <w:spacing w:val="-4"/>
                <w:lang w:val="en-GB"/>
              </w:rPr>
              <w:t>bn</w:t>
            </w:r>
            <w:proofErr w:type="spellEnd"/>
            <w:r w:rsidRPr="00742B86">
              <w:rPr>
                <w:spacing w:val="-4"/>
                <w:lang w:val="en-GB"/>
              </w:rPr>
              <w:t xml:space="preserve">) and with basic pharmaceutical products (–5.9 </w:t>
            </w:r>
            <w:proofErr w:type="spellStart"/>
            <w:r w:rsidRPr="00742B86">
              <w:rPr>
                <w:spacing w:val="-4"/>
                <w:lang w:val="en-GB"/>
              </w:rPr>
              <w:t>bn</w:t>
            </w:r>
            <w:proofErr w:type="spellEnd"/>
            <w:r w:rsidRPr="00742B86">
              <w:rPr>
                <w:spacing w:val="-4"/>
                <w:lang w:val="en-GB"/>
              </w:rPr>
              <w:t xml:space="preserve">) also worsened the balance. The surplus of trade with motor vehicles (+31.0 CZK </w:t>
            </w:r>
            <w:proofErr w:type="spellStart"/>
            <w:r w:rsidRPr="00742B86">
              <w:rPr>
                <w:spacing w:val="-4"/>
                <w:lang w:val="en-GB"/>
              </w:rPr>
              <w:t>bn</w:t>
            </w:r>
            <w:proofErr w:type="spellEnd"/>
            <w:r w:rsidRPr="00742B86">
              <w:rPr>
                <w:spacing w:val="-4"/>
                <w:lang w:val="en-GB"/>
              </w:rPr>
              <w:t xml:space="preserve">) experienced record improvement and the deficit of trade with oil and natural gas shrank by 13.9 </w:t>
            </w:r>
            <w:proofErr w:type="spellStart"/>
            <w:r w:rsidRPr="00742B86">
              <w:rPr>
                <w:spacing w:val="-4"/>
                <w:lang w:val="en-GB"/>
              </w:rPr>
              <w:t>bn</w:t>
            </w:r>
            <w:proofErr w:type="spellEnd"/>
            <w:r w:rsidRPr="00742B86">
              <w:rPr>
                <w:spacing w:val="-4"/>
                <w:lang w:val="en-GB"/>
              </w:rPr>
              <w:t xml:space="preserve"> in Q4 itself. The balance of trade with metal products (+4.6 CZK </w:t>
            </w:r>
            <w:proofErr w:type="spellStart"/>
            <w:r w:rsidRPr="00742B86">
              <w:rPr>
                <w:spacing w:val="-4"/>
                <w:lang w:val="en-GB"/>
              </w:rPr>
              <w:t>bn</w:t>
            </w:r>
            <w:proofErr w:type="spellEnd"/>
            <w:r w:rsidRPr="00742B86">
              <w:rPr>
                <w:spacing w:val="-4"/>
                <w:lang w:val="en-GB"/>
              </w:rPr>
              <w:t xml:space="preserve">), with machinery and equipment (+3.2 </w:t>
            </w:r>
            <w:proofErr w:type="spellStart"/>
            <w:r w:rsidRPr="00742B86">
              <w:rPr>
                <w:spacing w:val="-4"/>
                <w:lang w:val="en-GB"/>
              </w:rPr>
              <w:t>bn</w:t>
            </w:r>
            <w:proofErr w:type="spellEnd"/>
            <w:r w:rsidRPr="00742B86">
              <w:rPr>
                <w:spacing w:val="-4"/>
                <w:lang w:val="en-GB"/>
              </w:rPr>
              <w:t xml:space="preserve">), food products (+2.9 </w:t>
            </w:r>
            <w:proofErr w:type="spellStart"/>
            <w:r w:rsidRPr="00742B86">
              <w:rPr>
                <w:spacing w:val="-4"/>
                <w:lang w:val="en-GB"/>
              </w:rPr>
              <w:t>bn</w:t>
            </w:r>
            <w:proofErr w:type="spellEnd"/>
            <w:r w:rsidRPr="00742B86">
              <w:rPr>
                <w:spacing w:val="-4"/>
                <w:lang w:val="en-GB"/>
              </w:rPr>
              <w:t xml:space="preserve">), computer, electric and optical appliances (+2.9 </w:t>
            </w:r>
            <w:proofErr w:type="spellStart"/>
            <w:r w:rsidRPr="00742B86">
              <w:rPr>
                <w:spacing w:val="-4"/>
                <w:lang w:val="en-GB"/>
              </w:rPr>
              <w:t>bn</w:t>
            </w:r>
            <w:proofErr w:type="spellEnd"/>
            <w:r w:rsidRPr="00742B86">
              <w:rPr>
                <w:spacing w:val="-4"/>
                <w:lang w:val="en-GB"/>
              </w:rPr>
              <w:t xml:space="preserve">) and other transport vehicles (+2.9 </w:t>
            </w:r>
            <w:proofErr w:type="spellStart"/>
            <w:r w:rsidRPr="00742B86">
              <w:rPr>
                <w:spacing w:val="-4"/>
                <w:lang w:val="en-GB"/>
              </w:rPr>
              <w:t>bn</w:t>
            </w:r>
            <w:proofErr w:type="spellEnd"/>
            <w:r w:rsidRPr="00742B86">
              <w:rPr>
                <w:spacing w:val="-4"/>
                <w:lang w:val="en-GB"/>
              </w:rPr>
              <w:t xml:space="preserve">) also slightly improved. More marked worsening was observed for electrical equipment (–4.2 CZK </w:t>
            </w:r>
            <w:proofErr w:type="spellStart"/>
            <w:r w:rsidRPr="00742B86">
              <w:rPr>
                <w:spacing w:val="-4"/>
                <w:lang w:val="en-GB"/>
              </w:rPr>
              <w:t>bn</w:t>
            </w:r>
            <w:proofErr w:type="spellEnd"/>
            <w:r w:rsidRPr="00742B86">
              <w:rPr>
                <w:spacing w:val="-4"/>
                <w:lang w:val="en-GB"/>
              </w:rPr>
              <w:t>).</w:t>
            </w:r>
          </w:p>
        </w:tc>
      </w:tr>
      <w:tr w:rsidR="00791BF4" w:rsidRPr="00742B86" w:rsidTr="009C620B">
        <w:trPr>
          <w:trHeight w:val="145"/>
        </w:trPr>
        <w:tc>
          <w:tcPr>
            <w:tcW w:w="1762" w:type="dxa"/>
            <w:shd w:val="clear" w:color="auto" w:fill="auto"/>
            <w:tcMar>
              <w:left w:w="0" w:type="dxa"/>
            </w:tcMar>
          </w:tcPr>
          <w:p w:rsidR="00791BF4" w:rsidRPr="00742B86" w:rsidRDefault="00791BF4" w:rsidP="009C620B">
            <w:pPr>
              <w:pStyle w:val="Marginlie"/>
              <w:rPr>
                <w:lang w:val="en-GB"/>
              </w:rPr>
            </w:pPr>
            <w:r w:rsidRPr="00742B86">
              <w:rPr>
                <w:lang w:val="en-GB"/>
              </w:rPr>
              <w:lastRenderedPageBreak/>
              <w:t xml:space="preserve">From the territorial view, the foreign trade balance with Germany and Russia improved the most. </w:t>
            </w:r>
          </w:p>
        </w:tc>
        <w:tc>
          <w:tcPr>
            <w:tcW w:w="223" w:type="dxa"/>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rPr>
                <w:spacing w:val="-4"/>
                <w:lang w:val="en-GB"/>
              </w:rPr>
            </w:pPr>
            <w:r w:rsidRPr="00742B86">
              <w:rPr>
                <w:spacing w:val="-4"/>
                <w:lang w:val="en-GB"/>
              </w:rPr>
              <w:t xml:space="preserve">Trade with Germany (+64.7 CZK </w:t>
            </w:r>
            <w:proofErr w:type="spellStart"/>
            <w:r w:rsidRPr="00742B86">
              <w:rPr>
                <w:spacing w:val="-4"/>
                <w:lang w:val="en-GB"/>
              </w:rPr>
              <w:t>bn</w:t>
            </w:r>
            <w:proofErr w:type="spellEnd"/>
            <w:r w:rsidRPr="00742B86">
              <w:rPr>
                <w:spacing w:val="-4"/>
                <w:lang w:val="en-GB"/>
              </w:rPr>
              <w:t xml:space="preserve">), further with Russia (+47.0 </w:t>
            </w:r>
            <w:proofErr w:type="spellStart"/>
            <w:r w:rsidRPr="00742B86">
              <w:rPr>
                <w:spacing w:val="-4"/>
                <w:lang w:val="en-GB"/>
              </w:rPr>
              <w:t>bn</w:t>
            </w:r>
            <w:proofErr w:type="spellEnd"/>
            <w:r w:rsidRPr="00742B86">
              <w:rPr>
                <w:spacing w:val="-4"/>
                <w:lang w:val="en-GB"/>
              </w:rPr>
              <w:t xml:space="preserve">, surplus with Russia was accomplished for the first time) </w:t>
            </w:r>
            <w:proofErr w:type="gramStart"/>
            <w:r w:rsidRPr="00742B86">
              <w:rPr>
                <w:spacing w:val="-4"/>
                <w:lang w:val="en-GB"/>
              </w:rPr>
              <w:t>and also</w:t>
            </w:r>
            <w:proofErr w:type="gramEnd"/>
            <w:r w:rsidRPr="00742B86">
              <w:rPr>
                <w:spacing w:val="-4"/>
                <w:lang w:val="en-GB"/>
              </w:rPr>
              <w:t xml:space="preserve"> with Turkey (+10.2 </w:t>
            </w:r>
            <w:proofErr w:type="spellStart"/>
            <w:r w:rsidRPr="00742B86">
              <w:rPr>
                <w:spacing w:val="-4"/>
                <w:lang w:val="en-GB"/>
              </w:rPr>
              <w:t>bn</w:t>
            </w:r>
            <w:proofErr w:type="spellEnd"/>
            <w:r w:rsidRPr="00742B86">
              <w:rPr>
                <w:spacing w:val="-4"/>
                <w:lang w:val="en-GB"/>
              </w:rPr>
              <w:t xml:space="preserve">) the most contributed to the improved foreign trade balance last year. Deficit with Italy also diminished (+7.2 CZK </w:t>
            </w:r>
            <w:proofErr w:type="spellStart"/>
            <w:r w:rsidRPr="00742B86">
              <w:rPr>
                <w:spacing w:val="-4"/>
                <w:lang w:val="en-GB"/>
              </w:rPr>
              <w:t>bn</w:t>
            </w:r>
            <w:proofErr w:type="spellEnd"/>
            <w:r w:rsidRPr="00742B86">
              <w:rPr>
                <w:spacing w:val="-4"/>
                <w:lang w:val="en-GB"/>
              </w:rPr>
              <w:t xml:space="preserve">), surplus with Slovakia (+6.4 </w:t>
            </w:r>
            <w:proofErr w:type="spellStart"/>
            <w:r w:rsidRPr="00742B86">
              <w:rPr>
                <w:spacing w:val="-4"/>
                <w:lang w:val="en-GB"/>
              </w:rPr>
              <w:t>bn</w:t>
            </w:r>
            <w:proofErr w:type="spellEnd"/>
            <w:r w:rsidRPr="00742B86">
              <w:rPr>
                <w:spacing w:val="-4"/>
                <w:lang w:val="en-GB"/>
              </w:rPr>
              <w:t xml:space="preserve">) </w:t>
            </w:r>
            <w:proofErr w:type="gramStart"/>
            <w:r w:rsidRPr="00742B86">
              <w:rPr>
                <w:spacing w:val="-4"/>
                <w:lang w:val="en-GB"/>
              </w:rPr>
              <w:t>and also</w:t>
            </w:r>
            <w:proofErr w:type="gramEnd"/>
            <w:r w:rsidRPr="00742B86">
              <w:rPr>
                <w:spacing w:val="-4"/>
                <w:lang w:val="en-GB"/>
              </w:rPr>
              <w:t xml:space="preserve"> with Korea (+5.4 </w:t>
            </w:r>
            <w:proofErr w:type="spellStart"/>
            <w:r w:rsidRPr="00742B86">
              <w:rPr>
                <w:spacing w:val="-4"/>
                <w:lang w:val="en-GB"/>
              </w:rPr>
              <w:t>bn</w:t>
            </w:r>
            <w:proofErr w:type="spellEnd"/>
            <w:r w:rsidRPr="00742B86">
              <w:rPr>
                <w:spacing w:val="-4"/>
                <w:lang w:val="en-GB"/>
              </w:rPr>
              <w:t xml:space="preserve">) improved. On the contrary, the trade with China (–46.0 CZK </w:t>
            </w:r>
            <w:proofErr w:type="spellStart"/>
            <w:r w:rsidRPr="00742B86">
              <w:rPr>
                <w:spacing w:val="-4"/>
                <w:lang w:val="en-GB"/>
              </w:rPr>
              <w:t>bn</w:t>
            </w:r>
            <w:proofErr w:type="spellEnd"/>
            <w:r w:rsidRPr="00742B86">
              <w:rPr>
                <w:spacing w:val="-4"/>
                <w:lang w:val="en-GB"/>
              </w:rPr>
              <w:t xml:space="preserve">), Spain (–33.0 </w:t>
            </w:r>
            <w:proofErr w:type="spellStart"/>
            <w:r w:rsidRPr="00742B86">
              <w:rPr>
                <w:spacing w:val="-4"/>
                <w:lang w:val="en-GB"/>
              </w:rPr>
              <w:t>bn</w:t>
            </w:r>
            <w:proofErr w:type="spellEnd"/>
            <w:r w:rsidRPr="00742B86">
              <w:rPr>
                <w:spacing w:val="-4"/>
                <w:lang w:val="en-GB"/>
              </w:rPr>
              <w:t xml:space="preserve">), Great Britain (–16.4 </w:t>
            </w:r>
            <w:proofErr w:type="spellStart"/>
            <w:r w:rsidRPr="00742B86">
              <w:rPr>
                <w:spacing w:val="-4"/>
                <w:lang w:val="en-GB"/>
              </w:rPr>
              <w:t>bn</w:t>
            </w:r>
            <w:proofErr w:type="spellEnd"/>
            <w:r w:rsidRPr="00742B86">
              <w:rPr>
                <w:spacing w:val="-4"/>
                <w:lang w:val="en-GB"/>
              </w:rPr>
              <w:t xml:space="preserve">) and with Hungary (–9.5 </w:t>
            </w:r>
            <w:proofErr w:type="spellStart"/>
            <w:r w:rsidRPr="00742B86">
              <w:rPr>
                <w:spacing w:val="-4"/>
                <w:lang w:val="en-GB"/>
              </w:rPr>
              <w:t>bn</w:t>
            </w:r>
            <w:proofErr w:type="spellEnd"/>
            <w:r w:rsidRPr="00742B86">
              <w:rPr>
                <w:spacing w:val="-4"/>
                <w:lang w:val="en-GB"/>
              </w:rPr>
              <w:t xml:space="preserve">) worked markedly in the direction of balance worsening. Massive increase of surplus with Germany (+46.2 CZK </w:t>
            </w:r>
            <w:proofErr w:type="spellStart"/>
            <w:r w:rsidRPr="00742B86">
              <w:rPr>
                <w:spacing w:val="-4"/>
                <w:lang w:val="en-GB"/>
              </w:rPr>
              <w:t>bn</w:t>
            </w:r>
            <w:proofErr w:type="spellEnd"/>
            <w:r w:rsidRPr="00742B86">
              <w:rPr>
                <w:spacing w:val="-4"/>
                <w:lang w:val="en-GB"/>
              </w:rPr>
              <w:t xml:space="preserve">) </w:t>
            </w:r>
            <w:proofErr w:type="gramStart"/>
            <w:r w:rsidRPr="00742B86">
              <w:rPr>
                <w:spacing w:val="-4"/>
                <w:lang w:val="en-GB"/>
              </w:rPr>
              <w:t>and also</w:t>
            </w:r>
            <w:proofErr w:type="gramEnd"/>
            <w:r w:rsidRPr="00742B86">
              <w:rPr>
                <w:spacing w:val="-4"/>
                <w:lang w:val="en-GB"/>
              </w:rPr>
              <w:t xml:space="preserve"> further improvement of balance with Russia (+12.4 </w:t>
            </w:r>
            <w:proofErr w:type="spellStart"/>
            <w:r w:rsidRPr="00742B86">
              <w:rPr>
                <w:spacing w:val="-4"/>
                <w:lang w:val="en-GB"/>
              </w:rPr>
              <w:t>bn</w:t>
            </w:r>
            <w:proofErr w:type="spellEnd"/>
            <w:r w:rsidRPr="00742B86">
              <w:rPr>
                <w:spacing w:val="-4"/>
                <w:lang w:val="en-GB"/>
              </w:rPr>
              <w:t xml:space="preserve">), Slovakia (+8.1 </w:t>
            </w:r>
            <w:proofErr w:type="spellStart"/>
            <w:r w:rsidRPr="00742B86">
              <w:rPr>
                <w:spacing w:val="-4"/>
                <w:lang w:val="en-GB"/>
              </w:rPr>
              <w:t>bn</w:t>
            </w:r>
            <w:proofErr w:type="spellEnd"/>
            <w:r w:rsidRPr="00742B86">
              <w:rPr>
                <w:spacing w:val="-4"/>
                <w:lang w:val="en-GB"/>
              </w:rPr>
              <w:t xml:space="preserve">), Italy (+7.9 </w:t>
            </w:r>
            <w:proofErr w:type="spellStart"/>
            <w:r w:rsidRPr="00742B86">
              <w:rPr>
                <w:spacing w:val="-4"/>
                <w:lang w:val="en-GB"/>
              </w:rPr>
              <w:t>bn</w:t>
            </w:r>
            <w:proofErr w:type="spellEnd"/>
            <w:r w:rsidRPr="00742B86">
              <w:rPr>
                <w:spacing w:val="-4"/>
                <w:lang w:val="en-GB"/>
              </w:rPr>
              <w:t xml:space="preserve">) and France (+7.0 bn.) occurred by the year´s conclusion. Balance of trade with China (–12.5 CZK </w:t>
            </w:r>
            <w:proofErr w:type="spellStart"/>
            <w:r w:rsidRPr="00742B86">
              <w:rPr>
                <w:spacing w:val="-4"/>
                <w:lang w:val="en-GB"/>
              </w:rPr>
              <w:t>bn</w:t>
            </w:r>
            <w:proofErr w:type="spellEnd"/>
            <w:r w:rsidRPr="00742B86">
              <w:rPr>
                <w:spacing w:val="-4"/>
                <w:lang w:val="en-GB"/>
              </w:rPr>
              <w:t xml:space="preserve">), Hungary (–5.1 </w:t>
            </w:r>
            <w:proofErr w:type="spellStart"/>
            <w:r w:rsidRPr="00742B86">
              <w:rPr>
                <w:spacing w:val="-4"/>
                <w:lang w:val="en-GB"/>
              </w:rPr>
              <w:t>bn</w:t>
            </w:r>
            <w:proofErr w:type="spellEnd"/>
            <w:r w:rsidRPr="00742B86">
              <w:rPr>
                <w:spacing w:val="-4"/>
                <w:lang w:val="en-GB"/>
              </w:rPr>
              <w:t xml:space="preserve">), Korea (–3.5 </w:t>
            </w:r>
            <w:proofErr w:type="spellStart"/>
            <w:r w:rsidRPr="00742B86">
              <w:rPr>
                <w:spacing w:val="-4"/>
                <w:lang w:val="en-GB"/>
              </w:rPr>
              <w:t>bn</w:t>
            </w:r>
            <w:proofErr w:type="spellEnd"/>
            <w:r w:rsidRPr="00742B86">
              <w:rPr>
                <w:spacing w:val="-4"/>
                <w:lang w:val="en-GB"/>
              </w:rPr>
              <w:t xml:space="preserve">) and Japan (–3.1 </w:t>
            </w:r>
            <w:proofErr w:type="spellStart"/>
            <w:r w:rsidRPr="00742B86">
              <w:rPr>
                <w:spacing w:val="-4"/>
                <w:lang w:val="en-GB"/>
              </w:rPr>
              <w:t>bn</w:t>
            </w:r>
            <w:proofErr w:type="spellEnd"/>
            <w:r w:rsidRPr="00742B86">
              <w:rPr>
                <w:spacing w:val="-4"/>
                <w:lang w:val="en-GB"/>
              </w:rPr>
              <w:t>) worsened the most in Q4.</w:t>
            </w:r>
          </w:p>
        </w:tc>
      </w:tr>
      <w:tr w:rsidR="00791BF4" w:rsidRPr="00742B86" w:rsidTr="009C620B">
        <w:trPr>
          <w:trHeight w:val="106"/>
        </w:trPr>
        <w:tc>
          <w:tcPr>
            <w:tcW w:w="1762" w:type="dxa"/>
            <w:vMerge w:val="restart"/>
            <w:shd w:val="clear" w:color="auto" w:fill="auto"/>
            <w:tcMar>
              <w:left w:w="0" w:type="dxa"/>
            </w:tcMar>
          </w:tcPr>
          <w:p w:rsidR="00791BF4" w:rsidRPr="00742B86" w:rsidRDefault="00791BF4" w:rsidP="009C620B">
            <w:pPr>
              <w:pStyle w:val="Marginlie"/>
              <w:rPr>
                <w:lang w:val="en-GB"/>
              </w:rPr>
            </w:pPr>
          </w:p>
        </w:tc>
        <w:tc>
          <w:tcPr>
            <w:tcW w:w="223" w:type="dxa"/>
            <w:vMerge w:val="restart"/>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spacing w:after="0"/>
              <w:rPr>
                <w:spacing w:val="-4"/>
                <w:szCs w:val="20"/>
                <w:lang w:val="en-GB"/>
              </w:rPr>
            </w:pPr>
            <w:r w:rsidRPr="00742B86">
              <w:rPr>
                <w:rFonts w:cs="Arial"/>
                <w:b/>
                <w:bCs/>
                <w:color w:val="000000"/>
                <w:szCs w:val="20"/>
                <w:lang w:val="en-GB"/>
              </w:rPr>
              <w:t xml:space="preserve">Chart 8  </w:t>
            </w:r>
            <w:r w:rsidRPr="00742B86">
              <w:rPr>
                <w:b/>
                <w:sz w:val="18"/>
                <w:szCs w:val="18"/>
                <w:lang w:val="en-GB"/>
              </w:rPr>
              <w:t xml:space="preserve">Balance of foreign trade in foreign trade statistics </w:t>
            </w:r>
            <w:r w:rsidRPr="00742B86">
              <w:rPr>
                <w:bCs/>
                <w:sz w:val="18"/>
                <w:szCs w:val="18"/>
                <w:lang w:val="en-GB"/>
              </w:rPr>
              <w:t>(</w:t>
            </w:r>
            <w:proofErr w:type="spellStart"/>
            <w:r w:rsidRPr="00742B86">
              <w:rPr>
                <w:bCs/>
                <w:sz w:val="18"/>
                <w:szCs w:val="18"/>
                <w:lang w:val="en-GB"/>
              </w:rPr>
              <w:t>cumulation</w:t>
            </w:r>
            <w:proofErr w:type="spellEnd"/>
            <w:r w:rsidRPr="00742B86">
              <w:rPr>
                <w:bCs/>
                <w:sz w:val="18"/>
                <w:szCs w:val="18"/>
                <w:lang w:val="en-GB"/>
              </w:rPr>
              <w:t xml:space="preserve"> of the whole year, in CZK </w:t>
            </w:r>
            <w:proofErr w:type="spellStart"/>
            <w:r w:rsidRPr="00742B86">
              <w:rPr>
                <w:bCs/>
                <w:sz w:val="18"/>
                <w:szCs w:val="18"/>
                <w:lang w:val="en-GB"/>
              </w:rPr>
              <w:t>bn</w:t>
            </w:r>
            <w:proofErr w:type="spellEnd"/>
            <w:r w:rsidRPr="00742B86">
              <w:rPr>
                <w:bCs/>
                <w:sz w:val="18"/>
                <w:szCs w:val="18"/>
                <w:lang w:val="en-GB"/>
              </w:rPr>
              <w:t>, selected divisions of the CPA classification)</w:t>
            </w:r>
            <w:r w:rsidRPr="00742B86">
              <w:rPr>
                <w:b/>
                <w:sz w:val="18"/>
                <w:szCs w:val="18"/>
                <w:lang w:val="en-GB"/>
              </w:rPr>
              <w:t xml:space="preserve">  </w:t>
            </w:r>
          </w:p>
        </w:tc>
      </w:tr>
      <w:tr w:rsidR="00791BF4" w:rsidRPr="00742B86" w:rsidTr="009C620B">
        <w:tblPrEx>
          <w:tblCellMar>
            <w:left w:w="70" w:type="dxa"/>
            <w:right w:w="70" w:type="dxa"/>
          </w:tblCellMar>
        </w:tblPrEx>
        <w:trPr>
          <w:trHeight w:val="106"/>
        </w:trPr>
        <w:tc>
          <w:tcPr>
            <w:tcW w:w="1762" w:type="dxa"/>
            <w:vMerge/>
            <w:shd w:val="clear" w:color="auto" w:fill="auto"/>
          </w:tcPr>
          <w:p w:rsidR="00791BF4" w:rsidRPr="00742B86" w:rsidRDefault="00791BF4" w:rsidP="009C620B">
            <w:pPr>
              <w:pStyle w:val="Marginlie"/>
              <w:rPr>
                <w:lang w:val="en-GB"/>
              </w:rPr>
            </w:pPr>
          </w:p>
        </w:tc>
        <w:tc>
          <w:tcPr>
            <w:tcW w:w="223" w:type="dxa"/>
            <w:vMerge/>
            <w:shd w:val="clear" w:color="auto" w:fill="auto"/>
          </w:tcPr>
          <w:p w:rsidR="00791BF4" w:rsidRPr="00742B86" w:rsidRDefault="00791BF4" w:rsidP="009C620B">
            <w:pPr>
              <w:pStyle w:val="Textpoznpodarou"/>
              <w:jc w:val="both"/>
              <w:rPr>
                <w:spacing w:val="-4"/>
                <w:lang w:val="en-GB"/>
              </w:rPr>
            </w:pPr>
          </w:p>
        </w:tc>
        <w:tc>
          <w:tcPr>
            <w:tcW w:w="7654" w:type="dxa"/>
            <w:shd w:val="clear" w:color="auto" w:fill="auto"/>
          </w:tcPr>
          <w:p w:rsidR="00791BF4" w:rsidRPr="00742B86" w:rsidRDefault="00791BF4" w:rsidP="009C620B">
            <w:pPr>
              <w:spacing w:after="0"/>
              <w:rPr>
                <w:spacing w:val="-4"/>
                <w:lang w:val="en-GB"/>
              </w:rPr>
            </w:pPr>
            <w:r>
              <w:rPr>
                <w:noProof/>
              </w:rPr>
              <w:drawing>
                <wp:inline distT="0" distB="0" distL="0" distR="0" wp14:anchorId="63CDA8B9" wp14:editId="63CEBF03">
                  <wp:extent cx="4737600" cy="3375400"/>
                  <wp:effectExtent l="0" t="0" r="6350" b="0"/>
                  <wp:docPr id="25" name="Graf 25">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791BF4" w:rsidRPr="00742B86" w:rsidTr="009C620B">
        <w:trPr>
          <w:trHeight w:val="106"/>
        </w:trPr>
        <w:tc>
          <w:tcPr>
            <w:tcW w:w="1762" w:type="dxa"/>
            <w:vMerge/>
            <w:shd w:val="clear" w:color="auto" w:fill="auto"/>
            <w:tcMar>
              <w:left w:w="0" w:type="dxa"/>
            </w:tcMar>
          </w:tcPr>
          <w:p w:rsidR="00791BF4" w:rsidRPr="00742B86" w:rsidRDefault="00791BF4" w:rsidP="009C620B">
            <w:pPr>
              <w:pStyle w:val="Marginlie"/>
              <w:rPr>
                <w:lang w:val="en-GB"/>
              </w:rPr>
            </w:pPr>
          </w:p>
        </w:tc>
        <w:tc>
          <w:tcPr>
            <w:tcW w:w="223" w:type="dxa"/>
            <w:vMerge/>
            <w:shd w:val="clear" w:color="auto" w:fill="auto"/>
            <w:tcMar>
              <w:left w:w="0" w:type="dxa"/>
            </w:tcMar>
          </w:tcPr>
          <w:p w:rsidR="00791BF4" w:rsidRPr="00742B86" w:rsidRDefault="00791BF4" w:rsidP="009C620B">
            <w:pPr>
              <w:pStyle w:val="Textpoznpodarou"/>
              <w:jc w:val="both"/>
              <w:rPr>
                <w:spacing w:val="-4"/>
                <w:lang w:val="en-GB"/>
              </w:rPr>
            </w:pPr>
          </w:p>
        </w:tc>
        <w:tc>
          <w:tcPr>
            <w:tcW w:w="7654" w:type="dxa"/>
            <w:shd w:val="clear" w:color="auto" w:fill="auto"/>
            <w:tcMar>
              <w:left w:w="0" w:type="dxa"/>
            </w:tcMar>
          </w:tcPr>
          <w:p w:rsidR="00791BF4" w:rsidRPr="00742B86" w:rsidRDefault="00791BF4" w:rsidP="009C620B">
            <w:pPr>
              <w:spacing w:after="0"/>
              <w:rPr>
                <w:sz w:val="14"/>
                <w:szCs w:val="14"/>
                <w:lang w:val="en-GB"/>
              </w:rPr>
            </w:pPr>
            <w:r w:rsidRPr="00742B86">
              <w:rPr>
                <w:sz w:val="14"/>
                <w:szCs w:val="14"/>
                <w:lang w:val="en-GB"/>
              </w:rPr>
              <w:t>Source: CZSO</w:t>
            </w:r>
          </w:p>
          <w:p w:rsidR="00791BF4" w:rsidRPr="00742B86" w:rsidRDefault="00791BF4" w:rsidP="009C620B">
            <w:pPr>
              <w:spacing w:after="0"/>
              <w:rPr>
                <w:b/>
                <w:bCs/>
                <w:spacing w:val="-4"/>
                <w:sz w:val="16"/>
                <w:szCs w:val="16"/>
                <w:lang w:val="en-GB"/>
              </w:rPr>
            </w:pPr>
          </w:p>
        </w:tc>
      </w:tr>
    </w:tbl>
    <w:p w:rsidR="00791BF4" w:rsidRDefault="00791BF4" w:rsidP="003E08A4">
      <w:pPr>
        <w:pStyle w:val="Nadpis11"/>
        <w:rPr>
          <w:lang w:val="en-GB"/>
        </w:rPr>
      </w:pPr>
    </w:p>
    <w:p w:rsidR="00791BF4" w:rsidRDefault="00791BF4">
      <w:pPr>
        <w:spacing w:after="0" w:line="240" w:lineRule="auto"/>
        <w:jc w:val="left"/>
        <w:rPr>
          <w:rFonts w:eastAsia="MS Gothic"/>
          <w:b/>
          <w:bCs/>
          <w:color w:val="71818C"/>
          <w:sz w:val="32"/>
          <w:szCs w:val="28"/>
          <w:lang w:val="en-GB"/>
        </w:rPr>
      </w:pPr>
      <w:r>
        <w:rPr>
          <w:lang w:val="en-GB"/>
        </w:rPr>
        <w:br w:type="page"/>
      </w:r>
    </w:p>
    <w:p w:rsidR="00791BF4" w:rsidRPr="00742B86" w:rsidRDefault="00791BF4" w:rsidP="00791BF4">
      <w:pPr>
        <w:pStyle w:val="Nadpis11"/>
        <w:rPr>
          <w:lang w:val="en-GB"/>
        </w:rPr>
      </w:pPr>
      <w:bookmarkStart w:id="18" w:name="_Toc69287528"/>
      <w:bookmarkStart w:id="19" w:name="_Toc50712130"/>
      <w:bookmarkStart w:id="20" w:name="_Toc58605377"/>
      <w:bookmarkStart w:id="21" w:name="_Toc26865023"/>
      <w:bookmarkStart w:id="22" w:name="_Toc69370723"/>
      <w:bookmarkEnd w:id="15"/>
      <w:bookmarkEnd w:id="16"/>
      <w:r w:rsidRPr="00742B86">
        <w:rPr>
          <w:lang w:val="en-GB"/>
        </w:rPr>
        <w:lastRenderedPageBreak/>
        <w:t>5. Prices</w:t>
      </w:r>
      <w:bookmarkEnd w:id="18"/>
      <w:bookmarkEnd w:id="22"/>
    </w:p>
    <w:tbl>
      <w:tblPr>
        <w:tblW w:w="9653" w:type="dxa"/>
        <w:tblInd w:w="-15" w:type="dxa"/>
        <w:tblCellMar>
          <w:left w:w="0" w:type="dxa"/>
          <w:right w:w="0" w:type="dxa"/>
        </w:tblCellMar>
        <w:tblLook w:val="00A0" w:firstRow="1" w:lastRow="0" w:firstColumn="1" w:lastColumn="0" w:noHBand="0" w:noVBand="0"/>
      </w:tblPr>
      <w:tblGrid>
        <w:gridCol w:w="1659"/>
        <w:gridCol w:w="207"/>
        <w:gridCol w:w="177"/>
        <w:gridCol w:w="7610"/>
      </w:tblGrid>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 xml:space="preserve">Total price level grew very strongly last year.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szCs w:val="20"/>
                <w:lang w:val="en-GB" w:eastAsia="en-US"/>
              </w:rPr>
            </w:pPr>
            <w:r w:rsidRPr="00742B86">
              <w:rPr>
                <w:szCs w:val="20"/>
                <w:lang w:val="en-GB" w:eastAsia="en-US"/>
              </w:rPr>
              <w:t xml:space="preserve">The total price level increased by 4.1% according to the gross domestic product deflator last year, which is the most since year 2001. The price growth of both consumption (3.4%) and capital goods (2.5%) was high. Positive terms of trade (101.6%) also supported the rise of the price level. The total price level climbed up by 4.2% year-on-year in Q4 itself. Prices of consumption goods went up by 3.1%, mainly because of the government institutions consumption (5.6%). Growth of prices of consumption goods of households slowed down to 1.8%. Prices of capital goods </w:t>
            </w:r>
            <w:proofErr w:type="gramStart"/>
            <w:r w:rsidRPr="00742B86">
              <w:rPr>
                <w:szCs w:val="20"/>
                <w:lang w:val="en-GB" w:eastAsia="en-US"/>
              </w:rPr>
              <w:t>were raised</w:t>
            </w:r>
            <w:proofErr w:type="gramEnd"/>
            <w:r w:rsidRPr="00742B86">
              <w:rPr>
                <w:szCs w:val="20"/>
                <w:lang w:val="en-GB" w:eastAsia="en-US"/>
              </w:rPr>
              <w:t xml:space="preserve"> by 2.8% in Q4. The terms of trade attained 102.0%, in that terms of trade with goods were 102.3% and with services 99.9%.</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 xml:space="preserve">Total increase of consumer prices was 3.2% last year. The year-on-year dynamics markedly slowed down in Q4.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Growth of the consumer price index markedly slowed down in Q4 2020. The consumer prices reduced by 0.4% compared to Q3, which is the first decrease since Q4 2015. The halt of sharp increases of prices of alcoholic beverages and tobacco mainly took part in the quarter-on-quarter decrease. Prices of food and non-alcoholic beverages, housing and energies and recreation and culture also reduced. At the same </w:t>
            </w:r>
            <w:proofErr w:type="gramStart"/>
            <w:r w:rsidRPr="00742B86">
              <w:rPr>
                <w:lang w:val="en-GB" w:eastAsia="en-US"/>
              </w:rPr>
              <w:t>time</w:t>
            </w:r>
            <w:proofErr w:type="gramEnd"/>
            <w:r w:rsidRPr="00742B86">
              <w:rPr>
                <w:lang w:val="en-GB" w:eastAsia="en-US"/>
              </w:rPr>
              <w:t xml:space="preserve"> the quarter-on-quarter dynamics of prices of transport and food service and accommodation slowed down. Year-on-year addition to consumer prices significantly slowed down to 2.6% in Q4, the lowest value since Q4 2018. Development of prices of food and non-alcoholic beverages and housing and energies also influenced the most the slowdown of the total year-on-year dynamics. Average inflation amounted to 3.2% in 2020 and it was the highest since year 2012. Food and non-alcoholic beverages, alcoholic beverages and tobacco and housing and energies the most supported a price growth last year. </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 xml:space="preserve">Food and non-alcoholic beverages were the main drivers of the price growth last year. Their influence notably weakened towards the end of the year.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Food and non-alcoholic beverages were one of the main driving forces of the year-on-year growth of the consumer prices for most of the year. In H1, food and non-alcoholic beverages became more expensive by an extraordinary fast pace (by 6.1% and 6.5% year-on-year in Q1 and 2). Prices of meat, which were influenced by the lack of pork on the world </w:t>
            </w:r>
            <w:proofErr w:type="gramStart"/>
            <w:r w:rsidRPr="00742B86">
              <w:rPr>
                <w:lang w:val="en-GB" w:eastAsia="en-US"/>
              </w:rPr>
              <w:t>markets</w:t>
            </w:r>
            <w:proofErr w:type="gramEnd"/>
            <w:r w:rsidRPr="00742B86">
              <w:rPr>
                <w:lang w:val="en-GB" w:eastAsia="en-US"/>
              </w:rPr>
              <w:t xml:space="preserve"> were the main reason. The lack </w:t>
            </w:r>
            <w:proofErr w:type="gramStart"/>
            <w:r w:rsidRPr="00742B86">
              <w:rPr>
                <w:lang w:val="en-GB" w:eastAsia="en-US"/>
              </w:rPr>
              <w:t>was linked</w:t>
            </w:r>
            <w:proofErr w:type="gramEnd"/>
            <w:r w:rsidRPr="00742B86">
              <w:rPr>
                <w:lang w:val="en-GB" w:eastAsia="en-US"/>
              </w:rPr>
              <w:t xml:space="preserve"> to the spread of the African swine fever. The year-on-year addition to prices of food and non-alcoholic beverages markedly slowed down (4.0%) in Q3 and the development continued similarly in Q4 (1.7%). Sharp slowdown </w:t>
            </w:r>
            <w:proofErr w:type="gramStart"/>
            <w:r w:rsidRPr="00742B86">
              <w:rPr>
                <w:lang w:val="en-GB" w:eastAsia="en-US"/>
              </w:rPr>
              <w:t>was affected</w:t>
            </w:r>
            <w:proofErr w:type="gramEnd"/>
            <w:r w:rsidRPr="00742B86">
              <w:rPr>
                <w:lang w:val="en-GB" w:eastAsia="en-US"/>
              </w:rPr>
              <w:t xml:space="preserve"> mainly by prices of meat (year-on-year addition 2.0% in Q4) and fruit (9.1%). The growth of prices of baking products and cereals was mild (1.0%). Prices of milk, cheese and eggs went down year-on-year (–1.3%). The prices of food and non-alcoholic beverages </w:t>
            </w:r>
            <w:proofErr w:type="gramStart"/>
            <w:r w:rsidRPr="00742B86">
              <w:rPr>
                <w:lang w:val="en-GB" w:eastAsia="en-US"/>
              </w:rPr>
              <w:t>were raised</w:t>
            </w:r>
            <w:proofErr w:type="gramEnd"/>
            <w:r w:rsidRPr="00742B86">
              <w:rPr>
                <w:lang w:val="en-GB" w:eastAsia="en-US"/>
              </w:rPr>
              <w:t xml:space="preserve"> by 4.5% for the whole year 2020.</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Growth of prices of housing and energies also subsided during the year.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Prices of housing, water, energies, and fuels were rising fast (5.3%) especially in year 2019, because simultaneously the prices of rent, costs of home ownership as well as prices of electricity were also growing. The year-on-year dynamics of prices of housing and energies moderated during the year (year-on-year additions 4.2%, 3.2%, 2.7% and 1.4% in individual quarters) last year. The additions to prices of rents were gradually falling (4.3% at the beginning of the year, 2.0% in Q4), the prices of imputed rent, which captures the costs of home ownership as well (from 3.7% in Q1 to 1.5% in Q4). Growth of prices of electrical energy and heating, gas and other fuels was relatively strong in Q1 to Q3 (4.7%, 3.7% and 3.5%), but it rapidly decreased in Q4 (0.4%). Prices of housing and energies rose by 2.9% compared to year 2019. Prices of rents </w:t>
            </w:r>
            <w:proofErr w:type="gramStart"/>
            <w:r w:rsidRPr="00742B86">
              <w:rPr>
                <w:lang w:val="en-GB" w:eastAsia="en-US"/>
              </w:rPr>
              <w:t>were raised</w:t>
            </w:r>
            <w:proofErr w:type="gramEnd"/>
            <w:r w:rsidRPr="00742B86">
              <w:rPr>
                <w:lang w:val="en-GB" w:eastAsia="en-US"/>
              </w:rPr>
              <w:t xml:space="preserve"> by 3.1%, imputed rents by 2.4% and energies by 3.1%. The year-on-year growth of prices of regular maintenance and small repairs (3.2%) and other services associated with housing (4.3%) remained relatively significant during the year.</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lastRenderedPageBreak/>
              <w:t xml:space="preserve">By </w:t>
            </w:r>
            <w:proofErr w:type="gramStart"/>
            <w:r w:rsidRPr="00742B86">
              <w:rPr>
                <w:spacing w:val="0"/>
                <w:lang w:val="en-GB" w:eastAsia="en-US"/>
              </w:rPr>
              <w:t>contrast</w:t>
            </w:r>
            <w:proofErr w:type="gramEnd"/>
            <w:r w:rsidRPr="00742B86">
              <w:rPr>
                <w:spacing w:val="0"/>
                <w:lang w:val="en-GB" w:eastAsia="en-US"/>
              </w:rPr>
              <w:t xml:space="preserve"> the prices of alcohol and tobacco contributed the most to the year-on-year growth of consumer prices in Q4.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The increase of the consumption tax was evident for the dynamics of the prices of alcoholic beverages and tobacco immediately at the beginning of the year (acceleration of the year-on-year price increase by 3.5%), especially for the alcoholic beverages. However, due to pre-stocking the increase of the tax on tobacco manifested only in Q2 and prices in the division received another impulse (6.6%). During H2, the dynamics of the prices of alcoholic beverages and tobacco further strengthened to 10.3% in Q3 and 9.9% in Q4. Especially the year-on-year dynamics for tobacco was strengthening (2.6%, 7.5%, 14.0% and 15.1% in individual quarters). Prices of alcoholic beverages and tobacco rose by 7.6% for the whole year 2020 (the most since year 2008), in that prices of alcoholic beverages by 4.8% and tobacco by 9.8%.</w:t>
            </w:r>
          </w:p>
        </w:tc>
      </w:tr>
      <w:tr w:rsidR="00791BF4" w:rsidRPr="00742B86" w:rsidTr="009C620B">
        <w:trPr>
          <w:trHeight w:val="170"/>
        </w:trPr>
        <w:tc>
          <w:tcPr>
            <w:tcW w:w="1659" w:type="dxa"/>
            <w:vMerge w:val="restart"/>
          </w:tcPr>
          <w:p w:rsidR="00791BF4" w:rsidRPr="00742B86" w:rsidRDefault="00791BF4" w:rsidP="009C620B">
            <w:pPr>
              <w:pStyle w:val="Marginlie"/>
              <w:rPr>
                <w:spacing w:val="0"/>
                <w:lang w:val="en-GB" w:eastAsia="en-US"/>
              </w:rPr>
            </w:pPr>
          </w:p>
        </w:tc>
        <w:tc>
          <w:tcPr>
            <w:tcW w:w="207" w:type="dxa"/>
          </w:tcPr>
          <w:p w:rsidR="00791BF4" w:rsidRPr="00742B86" w:rsidRDefault="00791BF4" w:rsidP="009C620B">
            <w:pPr>
              <w:pStyle w:val="Textpoznpodarou1"/>
              <w:jc w:val="both"/>
              <w:rPr>
                <w:highlight w:val="yellow"/>
                <w:lang w:val="en-GB" w:eastAsia="en-US"/>
              </w:rPr>
            </w:pPr>
          </w:p>
        </w:tc>
        <w:tc>
          <w:tcPr>
            <w:tcW w:w="177" w:type="dxa"/>
            <w:vMerge w:val="restart"/>
          </w:tcPr>
          <w:p w:rsidR="00791BF4" w:rsidRPr="00742B86" w:rsidRDefault="00791BF4" w:rsidP="009C620B">
            <w:pPr>
              <w:pStyle w:val="Textpoznpodarou1"/>
              <w:jc w:val="both"/>
              <w:rPr>
                <w:highlight w:val="yellow"/>
                <w:lang w:val="en-GB" w:eastAsia="en-US"/>
              </w:rPr>
            </w:pPr>
          </w:p>
        </w:tc>
        <w:tc>
          <w:tcPr>
            <w:tcW w:w="7610" w:type="dxa"/>
            <w:hideMark/>
          </w:tcPr>
          <w:p w:rsidR="00791BF4" w:rsidRPr="00742B86" w:rsidRDefault="00791BF4" w:rsidP="009C620B">
            <w:pPr>
              <w:spacing w:after="0"/>
              <w:rPr>
                <w:b/>
                <w:spacing w:val="-2"/>
                <w:szCs w:val="20"/>
                <w:lang w:val="en-GB" w:eastAsia="en-US"/>
              </w:rPr>
            </w:pPr>
            <w:r w:rsidRPr="00742B86">
              <w:rPr>
                <w:rFonts w:cs="Arial"/>
                <w:b/>
                <w:bCs/>
                <w:color w:val="000000"/>
                <w:spacing w:val="-2"/>
                <w:szCs w:val="20"/>
                <w:lang w:val="en-GB" w:eastAsia="en-US"/>
              </w:rPr>
              <w:t xml:space="preserve">Chart </w:t>
            </w:r>
            <w:proofErr w:type="gramStart"/>
            <w:r w:rsidRPr="00742B86">
              <w:rPr>
                <w:rFonts w:cs="Arial"/>
                <w:b/>
                <w:bCs/>
                <w:color w:val="000000"/>
                <w:spacing w:val="-2"/>
                <w:szCs w:val="20"/>
                <w:lang w:val="en-GB" w:eastAsia="en-US"/>
              </w:rPr>
              <w:t xml:space="preserve">9  </w:t>
            </w:r>
            <w:r w:rsidRPr="00742B86">
              <w:rPr>
                <w:rFonts w:cs="Arial"/>
                <w:b/>
                <w:bCs/>
                <w:color w:val="000000"/>
                <w:sz w:val="18"/>
                <w:szCs w:val="18"/>
                <w:lang w:val="en-GB"/>
              </w:rPr>
              <w:t>Prices</w:t>
            </w:r>
            <w:proofErr w:type="gramEnd"/>
            <w:r w:rsidRPr="00742B86">
              <w:rPr>
                <w:rFonts w:cs="Arial"/>
                <w:b/>
                <w:bCs/>
                <w:color w:val="000000"/>
                <w:sz w:val="18"/>
                <w:szCs w:val="18"/>
                <w:lang w:val="en-GB"/>
              </w:rPr>
              <w:t xml:space="preserve"> in the selected divisions of the consumer price index </w:t>
            </w:r>
            <w:r w:rsidRPr="00742B86">
              <w:rPr>
                <w:rFonts w:cs="Arial"/>
                <w:color w:val="000000"/>
                <w:sz w:val="18"/>
                <w:szCs w:val="18"/>
                <w:lang w:val="en-GB"/>
              </w:rPr>
              <w:t xml:space="preserve">(year-on-year in %) </w:t>
            </w:r>
          </w:p>
        </w:tc>
      </w:tr>
      <w:tr w:rsidR="00791BF4" w:rsidRPr="00742B86" w:rsidTr="009C620B">
        <w:tblPrEx>
          <w:tblCellMar>
            <w:left w:w="70" w:type="dxa"/>
            <w:right w:w="70" w:type="dxa"/>
          </w:tblCellMar>
        </w:tblPrEx>
        <w:trPr>
          <w:trHeight w:val="170"/>
        </w:trPr>
        <w:tc>
          <w:tcPr>
            <w:tcW w:w="1659" w:type="dxa"/>
            <w:vMerge/>
            <w:vAlign w:val="center"/>
            <w:hideMark/>
          </w:tcPr>
          <w:p w:rsidR="00791BF4" w:rsidRPr="00742B86" w:rsidRDefault="00791BF4" w:rsidP="009C620B">
            <w:pPr>
              <w:spacing w:after="0" w:line="240" w:lineRule="auto"/>
              <w:jc w:val="left"/>
              <w:rPr>
                <w:sz w:val="16"/>
                <w:szCs w:val="16"/>
                <w:lang w:val="en-GB" w:eastAsia="en-US"/>
              </w:rPr>
            </w:pPr>
          </w:p>
        </w:tc>
        <w:tc>
          <w:tcPr>
            <w:tcW w:w="207" w:type="dxa"/>
          </w:tcPr>
          <w:p w:rsidR="00791BF4" w:rsidRPr="00742B86" w:rsidRDefault="00791BF4" w:rsidP="009C620B">
            <w:pPr>
              <w:spacing w:after="0" w:line="240" w:lineRule="auto"/>
              <w:jc w:val="left"/>
              <w:rPr>
                <w:rFonts w:eastAsia="Calibri"/>
                <w:szCs w:val="20"/>
                <w:highlight w:val="yellow"/>
                <w:lang w:val="en-GB" w:eastAsia="en-US"/>
              </w:rPr>
            </w:pPr>
          </w:p>
        </w:tc>
        <w:tc>
          <w:tcPr>
            <w:tcW w:w="177" w:type="dxa"/>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spacing w:after="0"/>
              <w:rPr>
                <w:lang w:val="en-GB" w:eastAsia="en-US"/>
              </w:rPr>
            </w:pPr>
            <w:r>
              <w:rPr>
                <w:noProof/>
              </w:rPr>
              <w:drawing>
                <wp:inline distT="0" distB="0" distL="0" distR="0" wp14:anchorId="41B5716F" wp14:editId="68CD9766">
                  <wp:extent cx="4737600" cy="3384925"/>
                  <wp:effectExtent l="0" t="0" r="6350" b="6350"/>
                  <wp:docPr id="31" name="Graf 3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791BF4" w:rsidRPr="00742B86" w:rsidTr="009C620B">
        <w:trPr>
          <w:trHeight w:val="170"/>
        </w:trPr>
        <w:tc>
          <w:tcPr>
            <w:tcW w:w="0" w:type="auto"/>
            <w:vMerge/>
            <w:vAlign w:val="center"/>
            <w:hideMark/>
          </w:tcPr>
          <w:p w:rsidR="00791BF4" w:rsidRPr="00742B86" w:rsidRDefault="00791BF4" w:rsidP="009C620B">
            <w:pPr>
              <w:spacing w:after="0" w:line="240" w:lineRule="auto"/>
              <w:jc w:val="left"/>
              <w:rPr>
                <w:sz w:val="16"/>
                <w:szCs w:val="16"/>
                <w:lang w:val="en-GB" w:eastAsia="en-US"/>
              </w:rPr>
            </w:pPr>
          </w:p>
        </w:tc>
        <w:tc>
          <w:tcPr>
            <w:tcW w:w="0" w:type="auto"/>
          </w:tcPr>
          <w:p w:rsidR="00791BF4" w:rsidRPr="00742B86" w:rsidRDefault="00791BF4" w:rsidP="009C620B">
            <w:pPr>
              <w:spacing w:after="0" w:line="240" w:lineRule="auto"/>
              <w:jc w:val="left"/>
              <w:rPr>
                <w:rFonts w:eastAsia="Calibri"/>
                <w:szCs w:val="20"/>
                <w:highlight w:val="yellow"/>
                <w:lang w:val="en-GB" w:eastAsia="en-US"/>
              </w:rPr>
            </w:pPr>
          </w:p>
        </w:tc>
        <w:tc>
          <w:tcPr>
            <w:tcW w:w="0" w:type="auto"/>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rPr>
                <w:sz w:val="16"/>
                <w:szCs w:val="16"/>
                <w:lang w:val="en-GB" w:eastAsia="en-US"/>
              </w:rPr>
            </w:pPr>
            <w:r w:rsidRPr="00742B86">
              <w:rPr>
                <w:sz w:val="14"/>
                <w:szCs w:val="14"/>
                <w:lang w:val="en-GB" w:eastAsia="en-US"/>
              </w:rPr>
              <w:t>Source: CZSO</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Prices of transport </w:t>
            </w:r>
            <w:proofErr w:type="gramStart"/>
            <w:r w:rsidRPr="00742B86">
              <w:rPr>
                <w:spacing w:val="0"/>
                <w:lang w:val="en-GB" w:eastAsia="en-US"/>
              </w:rPr>
              <w:t>were affected</w:t>
            </w:r>
            <w:proofErr w:type="gramEnd"/>
            <w:r w:rsidRPr="00742B86">
              <w:rPr>
                <w:spacing w:val="0"/>
                <w:lang w:val="en-GB" w:eastAsia="en-US"/>
              </w:rPr>
              <w:t xml:space="preserve"> by the slump of oil prices, but also by the increase of prices of motor vehicles.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Division transport observed price turbulences connected first to the record </w:t>
            </w:r>
            <w:r>
              <w:rPr>
                <w:lang w:val="en-GB" w:eastAsia="en-US"/>
              </w:rPr>
              <w:t>spring</w:t>
            </w:r>
            <w:r w:rsidRPr="00742B86">
              <w:rPr>
                <w:lang w:val="en-GB" w:eastAsia="en-US"/>
              </w:rPr>
              <w:t xml:space="preserve"> slump of prices of oil and subsequently to the raised prices of motor vehicles</w:t>
            </w:r>
            <w:r w:rsidRPr="00742B86">
              <w:rPr>
                <w:rStyle w:val="Znakapoznpodarou"/>
                <w:lang w:val="en-GB" w:eastAsia="en-US"/>
              </w:rPr>
              <w:footnoteReference w:id="43"/>
            </w:r>
            <w:r w:rsidRPr="00742B86">
              <w:rPr>
                <w:lang w:val="en-GB" w:eastAsia="en-US"/>
              </w:rPr>
              <w:t xml:space="preserve"> during the last year. Both influences worked in the opposite direction, thus the resulting decrease of prices of transport was only mild in 2020 (–0.4%). In that, prices of transport vehicles went up by 4.6% and on the contrary, prices of their operation dived by 5.7%. In Q4 itself prices of transport slightly increased year-on-year (0.6%), price of transport equipment hiked up by 8.3% and prices of transport vehicle operation remained in deep descend (–6.7%).</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While the prices of food service maintained strong year-on-year growth, dynamics of the prices of accommodation weakened.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Food service and accommodation also relatively significantly added to the growth of consumer prices throughout the whole year. Year-on-year additions were stable at around 5% here throughout the most part of the year and weakened only at its end (4.3% in Q4). Prices rose by 4.9% for the whole year 2020. Large increases eventuated for prices of food service (year-on-year growth did not drop below 5.0%), while the growth of the price of accommodation services markedly slowed down from 4.9% in Q1 to 0.1% in Q4. Prices of wearing apparel and footwear climbed by 3.7% in year 2020 (in that by 3.4% in Q4). Increase of the prices of household equipment and appliances </w:t>
            </w:r>
            <w:r w:rsidRPr="00742B86">
              <w:rPr>
                <w:lang w:val="en-GB" w:eastAsia="en-US"/>
              </w:rPr>
              <w:lastRenderedPageBreak/>
              <w:t xml:space="preserve">amounted to 2.9% last year (2.8% in Q4). Prices of recreation and culture </w:t>
            </w:r>
            <w:proofErr w:type="gramStart"/>
            <w:r w:rsidRPr="00742B86">
              <w:rPr>
                <w:lang w:val="en-GB" w:eastAsia="en-US"/>
              </w:rPr>
              <w:t>were raised</w:t>
            </w:r>
            <w:proofErr w:type="gramEnd"/>
            <w:r w:rsidRPr="00742B86">
              <w:rPr>
                <w:lang w:val="en-GB" w:eastAsia="en-US"/>
              </w:rPr>
              <w:t xml:space="preserve"> by 2.2% last year (2.5% in Q4). Post</w:t>
            </w:r>
            <w:r>
              <w:rPr>
                <w:lang w:val="en-GB" w:eastAsia="en-US"/>
              </w:rPr>
              <w:t>al services</w:t>
            </w:r>
            <w:r w:rsidRPr="00742B86">
              <w:rPr>
                <w:lang w:val="en-GB" w:eastAsia="en-US"/>
              </w:rPr>
              <w:t xml:space="preserve"> and telecommunications were the only part of the consumer basket, where the prices fell last year (–3.6%). However, the decrease has been a long-term trend here. The prices of postal </w:t>
            </w:r>
            <w:r>
              <w:rPr>
                <w:lang w:val="en-GB" w:eastAsia="en-US"/>
              </w:rPr>
              <w:t>services</w:t>
            </w:r>
            <w:r w:rsidRPr="00742B86">
              <w:rPr>
                <w:lang w:val="en-GB" w:eastAsia="en-US"/>
              </w:rPr>
              <w:t xml:space="preserve"> and telecommunications last increased in year 2006.</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lastRenderedPageBreak/>
              <w:t xml:space="preserve">Consumer prices in the EU </w:t>
            </w:r>
            <w:proofErr w:type="gramStart"/>
            <w:r w:rsidRPr="00742B86">
              <w:rPr>
                <w:spacing w:val="0"/>
                <w:lang w:val="en-GB" w:eastAsia="en-US"/>
              </w:rPr>
              <w:t>were raised</w:t>
            </w:r>
            <w:proofErr w:type="gramEnd"/>
            <w:r w:rsidRPr="00742B86">
              <w:rPr>
                <w:spacing w:val="0"/>
                <w:lang w:val="en-GB" w:eastAsia="en-US"/>
              </w:rPr>
              <w:t xml:space="preserve"> the least since year 2016 last year.</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The consumer prices increased by 0.7%</w:t>
            </w:r>
            <w:r w:rsidRPr="00742B86">
              <w:rPr>
                <w:rStyle w:val="Znakapoznpodarou"/>
                <w:lang w:val="en-GB" w:eastAsia="en-US"/>
              </w:rPr>
              <w:footnoteReference w:id="44"/>
            </w:r>
            <w:r w:rsidRPr="00742B86">
              <w:rPr>
                <w:lang w:val="en-GB" w:eastAsia="en-US"/>
              </w:rPr>
              <w:t xml:space="preserve"> in the European Union last year, which is the least since year 2016, and their dynamics was gradually slowing down in the course of the year. Decline of transport prices (–2.2%), caused by the year-on-year slump of oil prices, but also the halt of growth of prices of housing and energies (–0.1%), which were affected by sharp hikes of electricity prices in the preceding years, drove the price dynamics down. Increase of prices of food and non-alcoholic beverages (2.5%) and alcoholic beverages and tobacco (3.9%) stayed strong. The consumer prices increased the most in Poland (3.7%), Hungary (3.4%) and the Czech Republic (3.3%) last year. Consumer prices decreased in total in eight countries, the most in Greece (–1.3%), Cyprus (–1.1%) and in Estonia (–0.6%). In Q4 itself, the consumer prices rose by 0.2% in the EU. Countries of the central Europe, especially Poland (3.6%), Hungary (2.9%) and the Czech Republic (2.7%) considerably defied the EU average. Prices fell in twelve countries, the most in Greece (–2.2%), Estonia (–1.3%) and in Ireland and Cyprus (similarly –1.1%).</w:t>
            </w:r>
          </w:p>
        </w:tc>
      </w:tr>
      <w:tr w:rsidR="00791BF4" w:rsidRPr="00742B86" w:rsidTr="009C620B">
        <w:trPr>
          <w:trHeight w:val="170"/>
        </w:trPr>
        <w:tc>
          <w:tcPr>
            <w:tcW w:w="1659" w:type="dxa"/>
            <w:vMerge w:val="restart"/>
          </w:tcPr>
          <w:p w:rsidR="00791BF4" w:rsidRPr="00742B86" w:rsidRDefault="00791BF4" w:rsidP="009C620B">
            <w:pPr>
              <w:pStyle w:val="Marginlie"/>
              <w:rPr>
                <w:spacing w:val="0"/>
                <w:lang w:val="en-GB" w:eastAsia="en-US"/>
              </w:rPr>
            </w:pPr>
          </w:p>
        </w:tc>
        <w:tc>
          <w:tcPr>
            <w:tcW w:w="207" w:type="dxa"/>
          </w:tcPr>
          <w:p w:rsidR="00791BF4" w:rsidRPr="00742B86" w:rsidRDefault="00791BF4" w:rsidP="009C620B">
            <w:pPr>
              <w:pStyle w:val="Textpoznpodarou1"/>
              <w:jc w:val="both"/>
              <w:rPr>
                <w:lang w:val="en-GB" w:eastAsia="en-US"/>
              </w:rPr>
            </w:pPr>
          </w:p>
        </w:tc>
        <w:tc>
          <w:tcPr>
            <w:tcW w:w="177" w:type="dxa"/>
            <w:vMerge w:val="restart"/>
          </w:tcPr>
          <w:p w:rsidR="00791BF4" w:rsidRPr="00742B86" w:rsidRDefault="00791BF4" w:rsidP="009C620B">
            <w:pPr>
              <w:pStyle w:val="Textpoznpodarou1"/>
              <w:jc w:val="both"/>
              <w:rPr>
                <w:lang w:val="en-GB" w:eastAsia="en-US"/>
              </w:rPr>
            </w:pPr>
          </w:p>
        </w:tc>
        <w:tc>
          <w:tcPr>
            <w:tcW w:w="7610" w:type="dxa"/>
            <w:hideMark/>
          </w:tcPr>
          <w:p w:rsidR="00791BF4" w:rsidRPr="00742B86" w:rsidRDefault="00791BF4" w:rsidP="009C620B">
            <w:pPr>
              <w:spacing w:after="0"/>
              <w:rPr>
                <w:szCs w:val="20"/>
                <w:lang w:val="en-GB" w:eastAsia="en-US"/>
              </w:rPr>
            </w:pPr>
            <w:r w:rsidRPr="00742B86">
              <w:rPr>
                <w:b/>
                <w:szCs w:val="20"/>
                <w:lang w:val="en-GB" w:eastAsia="en-US"/>
              </w:rPr>
              <w:t xml:space="preserve">Chart </w:t>
            </w:r>
            <w:proofErr w:type="gramStart"/>
            <w:r w:rsidRPr="00742B86">
              <w:rPr>
                <w:b/>
                <w:szCs w:val="20"/>
                <w:lang w:val="en-GB" w:eastAsia="en-US"/>
              </w:rPr>
              <w:t xml:space="preserve">10  </w:t>
            </w:r>
            <w:r w:rsidRPr="00742B86">
              <w:rPr>
                <w:b/>
                <w:sz w:val="18"/>
                <w:szCs w:val="18"/>
                <w:lang w:val="en-GB" w:eastAsia="en-US"/>
              </w:rPr>
              <w:t>Prices</w:t>
            </w:r>
            <w:proofErr w:type="gramEnd"/>
            <w:r w:rsidRPr="00742B86">
              <w:rPr>
                <w:b/>
                <w:sz w:val="18"/>
                <w:szCs w:val="18"/>
                <w:lang w:val="en-GB" w:eastAsia="en-US"/>
              </w:rPr>
              <w:t xml:space="preserve"> of real estate </w:t>
            </w:r>
            <w:r w:rsidRPr="00742B86">
              <w:rPr>
                <w:sz w:val="18"/>
                <w:szCs w:val="18"/>
                <w:lang w:val="en-GB" w:eastAsia="en-US"/>
              </w:rPr>
              <w:t>(year-on-year change, in %)</w:t>
            </w:r>
          </w:p>
        </w:tc>
      </w:tr>
      <w:tr w:rsidR="00791BF4" w:rsidRPr="00742B86" w:rsidTr="009C620B">
        <w:tblPrEx>
          <w:tblCellMar>
            <w:left w:w="70" w:type="dxa"/>
            <w:right w:w="70" w:type="dxa"/>
          </w:tblCellMar>
        </w:tblPrEx>
        <w:trPr>
          <w:trHeight w:val="170"/>
        </w:trPr>
        <w:tc>
          <w:tcPr>
            <w:tcW w:w="1659" w:type="dxa"/>
            <w:vMerge/>
            <w:vAlign w:val="center"/>
            <w:hideMark/>
          </w:tcPr>
          <w:p w:rsidR="00791BF4" w:rsidRPr="00742B86" w:rsidRDefault="00791BF4" w:rsidP="009C620B">
            <w:pPr>
              <w:spacing w:after="0" w:line="240" w:lineRule="auto"/>
              <w:jc w:val="left"/>
              <w:rPr>
                <w:sz w:val="16"/>
                <w:szCs w:val="16"/>
                <w:lang w:val="en-GB" w:eastAsia="en-US"/>
              </w:rPr>
            </w:pPr>
          </w:p>
        </w:tc>
        <w:tc>
          <w:tcPr>
            <w:tcW w:w="207" w:type="dxa"/>
          </w:tcPr>
          <w:p w:rsidR="00791BF4" w:rsidRPr="00742B86" w:rsidRDefault="00791BF4" w:rsidP="009C620B">
            <w:pPr>
              <w:spacing w:after="0" w:line="240" w:lineRule="auto"/>
              <w:jc w:val="left"/>
              <w:rPr>
                <w:rFonts w:eastAsia="Calibri"/>
                <w:szCs w:val="20"/>
                <w:lang w:val="en-GB" w:eastAsia="en-US"/>
              </w:rPr>
            </w:pPr>
          </w:p>
        </w:tc>
        <w:tc>
          <w:tcPr>
            <w:tcW w:w="177" w:type="dxa"/>
            <w:vMerge/>
            <w:vAlign w:val="center"/>
            <w:hideMark/>
          </w:tcPr>
          <w:p w:rsidR="00791BF4" w:rsidRPr="00742B86" w:rsidRDefault="00791BF4" w:rsidP="009C620B">
            <w:pPr>
              <w:spacing w:after="0" w:line="240" w:lineRule="auto"/>
              <w:jc w:val="left"/>
              <w:rPr>
                <w:rFonts w:eastAsia="Calibri"/>
                <w:szCs w:val="20"/>
                <w:lang w:val="en-GB" w:eastAsia="en-US"/>
              </w:rPr>
            </w:pPr>
          </w:p>
        </w:tc>
        <w:tc>
          <w:tcPr>
            <w:tcW w:w="7610" w:type="dxa"/>
            <w:hideMark/>
          </w:tcPr>
          <w:p w:rsidR="00791BF4" w:rsidRPr="00742B86" w:rsidRDefault="00791BF4" w:rsidP="009C620B">
            <w:pPr>
              <w:spacing w:after="0"/>
              <w:rPr>
                <w:lang w:val="en-GB" w:eastAsia="en-US"/>
              </w:rPr>
            </w:pPr>
            <w:r>
              <w:rPr>
                <w:noProof/>
              </w:rPr>
              <w:drawing>
                <wp:inline distT="0" distB="0" distL="0" distR="0" wp14:anchorId="3236095C" wp14:editId="5E11D813">
                  <wp:extent cx="4734425" cy="3378575"/>
                  <wp:effectExtent l="0" t="0" r="0" b="0"/>
                  <wp:docPr id="32" name="Graf 3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91BF4" w:rsidRPr="00742B86" w:rsidTr="009C620B">
        <w:trPr>
          <w:trHeight w:val="170"/>
        </w:trPr>
        <w:tc>
          <w:tcPr>
            <w:tcW w:w="0" w:type="auto"/>
            <w:vMerge/>
            <w:vAlign w:val="center"/>
            <w:hideMark/>
          </w:tcPr>
          <w:p w:rsidR="00791BF4" w:rsidRPr="00742B86" w:rsidRDefault="00791BF4" w:rsidP="009C620B">
            <w:pPr>
              <w:spacing w:after="0" w:line="240" w:lineRule="auto"/>
              <w:jc w:val="left"/>
              <w:rPr>
                <w:sz w:val="16"/>
                <w:szCs w:val="16"/>
                <w:lang w:val="en-GB" w:eastAsia="en-US"/>
              </w:rPr>
            </w:pPr>
          </w:p>
        </w:tc>
        <w:tc>
          <w:tcPr>
            <w:tcW w:w="0" w:type="auto"/>
          </w:tcPr>
          <w:p w:rsidR="00791BF4" w:rsidRPr="00742B86" w:rsidRDefault="00791BF4" w:rsidP="009C620B">
            <w:pPr>
              <w:spacing w:after="0" w:line="240" w:lineRule="auto"/>
              <w:jc w:val="left"/>
              <w:rPr>
                <w:rFonts w:eastAsia="Calibri"/>
                <w:szCs w:val="20"/>
                <w:lang w:val="en-GB" w:eastAsia="en-US"/>
              </w:rPr>
            </w:pPr>
          </w:p>
        </w:tc>
        <w:tc>
          <w:tcPr>
            <w:tcW w:w="0" w:type="auto"/>
            <w:vMerge/>
            <w:vAlign w:val="center"/>
            <w:hideMark/>
          </w:tcPr>
          <w:p w:rsidR="00791BF4" w:rsidRPr="00742B86" w:rsidRDefault="00791BF4" w:rsidP="009C620B">
            <w:pPr>
              <w:spacing w:after="0" w:line="240" w:lineRule="auto"/>
              <w:jc w:val="left"/>
              <w:rPr>
                <w:rFonts w:eastAsia="Calibri"/>
                <w:szCs w:val="20"/>
                <w:lang w:val="en-GB" w:eastAsia="en-US"/>
              </w:rPr>
            </w:pPr>
          </w:p>
        </w:tc>
        <w:tc>
          <w:tcPr>
            <w:tcW w:w="7610" w:type="dxa"/>
            <w:hideMark/>
          </w:tcPr>
          <w:p w:rsidR="00791BF4" w:rsidRPr="00742B86" w:rsidRDefault="00791BF4" w:rsidP="009C620B">
            <w:pPr>
              <w:rPr>
                <w:b/>
                <w:bCs/>
                <w:sz w:val="16"/>
                <w:szCs w:val="16"/>
                <w:lang w:val="en-GB" w:eastAsia="en-US"/>
              </w:rPr>
            </w:pPr>
            <w:r w:rsidRPr="00742B86">
              <w:rPr>
                <w:sz w:val="14"/>
                <w:szCs w:val="14"/>
                <w:lang w:val="en-GB" w:eastAsia="en-US"/>
              </w:rPr>
              <w:t>Source: CZSO</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Growth of prices of flats outside Prague further accelerates.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Year-on-year dynamics of the catalogue </w:t>
            </w:r>
            <w:r>
              <w:rPr>
                <w:lang w:val="en-GB" w:eastAsia="en-US"/>
              </w:rPr>
              <w:t xml:space="preserve">prices of </w:t>
            </w:r>
            <w:r w:rsidRPr="00742B86">
              <w:rPr>
                <w:lang w:val="en-GB" w:eastAsia="en-US"/>
              </w:rPr>
              <w:t xml:space="preserve">flats slowed down after a longer </w:t>
            </w:r>
            <w:proofErr w:type="gramStart"/>
            <w:r w:rsidRPr="00742B86">
              <w:rPr>
                <w:lang w:val="en-GB" w:eastAsia="en-US"/>
              </w:rPr>
              <w:t>period of time</w:t>
            </w:r>
            <w:proofErr w:type="gramEnd"/>
            <w:r w:rsidRPr="00742B86">
              <w:rPr>
                <w:lang w:val="en-GB" w:eastAsia="en-US"/>
              </w:rPr>
              <w:t xml:space="preserve"> in Q4. Supply prices of flats in the CR rose in total rose by 7.6% year-on-year. At the same time, the pace slowdown only concerned prices of flats in Prague (5.2%), the increase of the supply prices increased to 11.0% in the rest of the Czech Republic. Possible reason is the extra pressure of demand, which shifted into the Prague surroundings, but also the ongoing sharp growth of prices in other large cities, which struggled with slow construction. Also for them, the growth of prices spills into </w:t>
            </w:r>
            <w:r w:rsidRPr="00742B86">
              <w:rPr>
                <w:lang w:val="en-GB" w:eastAsia="en-US"/>
              </w:rPr>
              <w:lastRenderedPageBreak/>
              <w:t xml:space="preserve">the near vicinity. Realised prices of older flats increased by 12.6% year-on-year in Q4, which is the most since Q3 2017. Prices of flats outside Prague were again the main drivers of growth (13.6%), but the addition to realised prices of older flats in Prague also slightly gained pace. The year-on-year growth of the realised prices of new flats in Prague, which attained 9.2% in Q4, </w:t>
            </w:r>
            <w:proofErr w:type="gramStart"/>
            <w:r w:rsidRPr="00742B86">
              <w:rPr>
                <w:lang w:val="en-GB" w:eastAsia="en-US"/>
              </w:rPr>
              <w:t>was still kept</w:t>
            </w:r>
            <w:proofErr w:type="gramEnd"/>
            <w:r w:rsidRPr="00742B86">
              <w:rPr>
                <w:lang w:val="en-GB" w:eastAsia="en-US"/>
              </w:rPr>
              <w:t xml:space="preserve"> at a high level. </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lastRenderedPageBreak/>
              <w:t xml:space="preserve">Industrial producer prices </w:t>
            </w:r>
            <w:proofErr w:type="gramStart"/>
            <w:r w:rsidRPr="00742B86">
              <w:rPr>
                <w:spacing w:val="0"/>
                <w:lang w:val="en-GB" w:eastAsia="en-US"/>
              </w:rPr>
              <w:t>were also impacted</w:t>
            </w:r>
            <w:proofErr w:type="gramEnd"/>
            <w:r w:rsidRPr="00742B86">
              <w:rPr>
                <w:spacing w:val="0"/>
                <w:lang w:val="en-GB" w:eastAsia="en-US"/>
              </w:rPr>
              <w:t xml:space="preserve"> by the year-on-year slump of oil prices.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Year-on-year dynamics of the industrial producer prices </w:t>
            </w:r>
            <w:proofErr w:type="gramStart"/>
            <w:r w:rsidRPr="00742B86">
              <w:rPr>
                <w:lang w:val="en-GB" w:eastAsia="en-US"/>
              </w:rPr>
              <w:t>was affected</w:t>
            </w:r>
            <w:proofErr w:type="gramEnd"/>
            <w:r w:rsidRPr="00742B86">
              <w:rPr>
                <w:lang w:val="en-GB" w:eastAsia="en-US"/>
              </w:rPr>
              <w:t xml:space="preserve"> by the decrease of prices of oil for the most part of the year. The price level remained nearly the same for the whole year 2020 (0.1%) and the industrial producer prices experienced the same year-on-year </w:t>
            </w:r>
            <w:proofErr w:type="gramStart"/>
            <w:r w:rsidRPr="00742B86">
              <w:rPr>
                <w:lang w:val="en-GB" w:eastAsia="en-US"/>
              </w:rPr>
              <w:t>development also</w:t>
            </w:r>
            <w:proofErr w:type="gramEnd"/>
            <w:r w:rsidRPr="00742B86">
              <w:rPr>
                <w:lang w:val="en-GB" w:eastAsia="en-US"/>
              </w:rPr>
              <w:t xml:space="preserve"> in Q4. Prices of manufacturing products and services, which form majority of the total index, fell by 1.4% last year. Prices of coke and refined oil products</w:t>
            </w:r>
            <w:r w:rsidRPr="00742B86">
              <w:rPr>
                <w:rStyle w:val="Znakapoznpodarou"/>
                <w:lang w:val="en-GB" w:eastAsia="en-US"/>
              </w:rPr>
              <w:footnoteReference w:id="45"/>
            </w:r>
            <w:r w:rsidRPr="00742B86">
              <w:rPr>
                <w:lang w:val="en-GB" w:eastAsia="en-US"/>
              </w:rPr>
              <w:t xml:space="preserve"> stood behind the majority of this decrease. Last year´s decrease of prices of chemicals and chemical products </w:t>
            </w:r>
            <w:proofErr w:type="gramStart"/>
            <w:r w:rsidRPr="00742B86">
              <w:rPr>
                <w:lang w:val="en-GB" w:eastAsia="en-US"/>
              </w:rPr>
              <w:t>is also linked</w:t>
            </w:r>
            <w:proofErr w:type="gramEnd"/>
            <w:r w:rsidRPr="00742B86">
              <w:rPr>
                <w:lang w:val="en-GB" w:eastAsia="en-US"/>
              </w:rPr>
              <w:t xml:space="preserve"> to the development of oil prices (</w:t>
            </w:r>
            <w:r>
              <w:rPr>
                <w:lang w:val="en-GB" w:eastAsia="en-US"/>
              </w:rPr>
              <w:noBreakHyphen/>
            </w:r>
            <w:r w:rsidRPr="00742B86">
              <w:rPr>
                <w:lang w:val="en-GB" w:eastAsia="en-US"/>
              </w:rPr>
              <w:t>8.3%). Prices of basic metals and metal products also went down (–1.6%). Furniture and other products of manufacturing worked in the direction of industrial producer price growth (4.5%, mainly repairs, maintenance and installation of machinery and equipment), transport equipment (2.2%) and food products, beverages, and tobacco (2.1%). Prices of manufacturing goods and services fell by 1.2% year-on-year in Q4 itself, again mainly due to the development of prices of coke and refined oil products. Only prices of chemicals and chemical products exerted downward pressure on prices in Q4 (–7.3%). Prices of transport equipment (year-on-year increase by 3.3%) and furniture and other manufacturing products (4.2%) contributed the most to the growth of industrial producer prices.</w:t>
            </w:r>
          </w:p>
        </w:tc>
      </w:tr>
      <w:tr w:rsidR="00791BF4" w:rsidRPr="00742B86" w:rsidTr="009C620B">
        <w:trPr>
          <w:trHeight w:val="170"/>
        </w:trPr>
        <w:tc>
          <w:tcPr>
            <w:tcW w:w="1659" w:type="dxa"/>
            <w:vMerge w:val="restart"/>
          </w:tcPr>
          <w:p w:rsidR="00791BF4" w:rsidRPr="00742B86" w:rsidRDefault="00791BF4" w:rsidP="009C620B">
            <w:pPr>
              <w:pStyle w:val="Marginlie"/>
              <w:rPr>
                <w:spacing w:val="0"/>
                <w:lang w:val="en-GB" w:eastAsia="en-US"/>
              </w:rPr>
            </w:pPr>
          </w:p>
        </w:tc>
        <w:tc>
          <w:tcPr>
            <w:tcW w:w="207" w:type="dxa"/>
          </w:tcPr>
          <w:p w:rsidR="00791BF4" w:rsidRPr="00742B86" w:rsidRDefault="00791BF4" w:rsidP="009C620B">
            <w:pPr>
              <w:pStyle w:val="Textpoznpodarou1"/>
              <w:jc w:val="both"/>
              <w:rPr>
                <w:highlight w:val="yellow"/>
                <w:lang w:val="en-GB" w:eastAsia="en-US"/>
              </w:rPr>
            </w:pPr>
          </w:p>
        </w:tc>
        <w:tc>
          <w:tcPr>
            <w:tcW w:w="177" w:type="dxa"/>
            <w:vMerge w:val="restart"/>
          </w:tcPr>
          <w:p w:rsidR="00791BF4" w:rsidRPr="00742B86" w:rsidRDefault="00791BF4" w:rsidP="009C620B">
            <w:pPr>
              <w:pStyle w:val="Textpoznpodarou1"/>
              <w:jc w:val="both"/>
              <w:rPr>
                <w:highlight w:val="yellow"/>
                <w:lang w:val="en-GB" w:eastAsia="en-US"/>
              </w:rPr>
            </w:pPr>
          </w:p>
        </w:tc>
        <w:tc>
          <w:tcPr>
            <w:tcW w:w="7610" w:type="dxa"/>
            <w:hideMark/>
          </w:tcPr>
          <w:p w:rsidR="00791BF4" w:rsidRPr="00742B86" w:rsidRDefault="00791BF4" w:rsidP="009C620B">
            <w:pPr>
              <w:spacing w:after="0"/>
              <w:rPr>
                <w:b/>
                <w:szCs w:val="20"/>
                <w:lang w:val="en-GB" w:eastAsia="en-US"/>
              </w:rPr>
            </w:pPr>
            <w:r w:rsidRPr="00742B86">
              <w:rPr>
                <w:b/>
                <w:szCs w:val="20"/>
                <w:lang w:val="en-GB" w:eastAsia="en-US"/>
              </w:rPr>
              <w:t xml:space="preserve">Chart 11  Prices of main groups of industrial producers </w:t>
            </w:r>
            <w:r w:rsidRPr="00742B86">
              <w:rPr>
                <w:bCs/>
                <w:szCs w:val="20"/>
                <w:lang w:val="en-GB" w:eastAsia="en-US"/>
              </w:rPr>
              <w:t>(year-on-year change, in %, based on CPA classification)</w:t>
            </w:r>
            <w:r w:rsidRPr="00742B86">
              <w:rPr>
                <w:b/>
                <w:szCs w:val="20"/>
                <w:lang w:val="en-GB" w:eastAsia="en-US"/>
              </w:rPr>
              <w:t xml:space="preserve"> </w:t>
            </w:r>
          </w:p>
        </w:tc>
      </w:tr>
      <w:tr w:rsidR="00791BF4" w:rsidRPr="00742B86" w:rsidTr="009C620B">
        <w:tblPrEx>
          <w:tblCellMar>
            <w:left w:w="70" w:type="dxa"/>
            <w:right w:w="70" w:type="dxa"/>
          </w:tblCellMar>
        </w:tblPrEx>
        <w:trPr>
          <w:trHeight w:val="170"/>
        </w:trPr>
        <w:tc>
          <w:tcPr>
            <w:tcW w:w="1659" w:type="dxa"/>
            <w:vMerge/>
            <w:vAlign w:val="center"/>
            <w:hideMark/>
          </w:tcPr>
          <w:p w:rsidR="00791BF4" w:rsidRPr="00742B86" w:rsidRDefault="00791BF4" w:rsidP="009C620B">
            <w:pPr>
              <w:spacing w:after="0" w:line="240" w:lineRule="auto"/>
              <w:jc w:val="left"/>
              <w:rPr>
                <w:sz w:val="16"/>
                <w:szCs w:val="16"/>
                <w:lang w:val="en-GB" w:eastAsia="en-US"/>
              </w:rPr>
            </w:pPr>
          </w:p>
        </w:tc>
        <w:tc>
          <w:tcPr>
            <w:tcW w:w="207" w:type="dxa"/>
          </w:tcPr>
          <w:p w:rsidR="00791BF4" w:rsidRPr="00742B86" w:rsidRDefault="00791BF4" w:rsidP="009C620B">
            <w:pPr>
              <w:spacing w:after="0" w:line="240" w:lineRule="auto"/>
              <w:jc w:val="left"/>
              <w:rPr>
                <w:rFonts w:eastAsia="Calibri"/>
                <w:szCs w:val="20"/>
                <w:highlight w:val="yellow"/>
                <w:lang w:val="en-GB" w:eastAsia="en-US"/>
              </w:rPr>
            </w:pPr>
          </w:p>
        </w:tc>
        <w:tc>
          <w:tcPr>
            <w:tcW w:w="177" w:type="dxa"/>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spacing w:after="0"/>
              <w:rPr>
                <w:lang w:val="en-GB" w:eastAsia="en-US"/>
              </w:rPr>
            </w:pPr>
            <w:r>
              <w:rPr>
                <w:noProof/>
              </w:rPr>
              <w:drawing>
                <wp:inline distT="0" distB="0" distL="0" distR="0" wp14:anchorId="6D9B3FF2" wp14:editId="77F10818">
                  <wp:extent cx="4737600" cy="3378575"/>
                  <wp:effectExtent l="0" t="0" r="6350" b="0"/>
                  <wp:docPr id="35" name="Graf 3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791BF4" w:rsidRPr="00742B86" w:rsidTr="009C620B">
        <w:trPr>
          <w:trHeight w:val="170"/>
        </w:trPr>
        <w:tc>
          <w:tcPr>
            <w:tcW w:w="0" w:type="auto"/>
            <w:vMerge/>
            <w:vAlign w:val="center"/>
            <w:hideMark/>
          </w:tcPr>
          <w:p w:rsidR="00791BF4" w:rsidRPr="00742B86" w:rsidRDefault="00791BF4" w:rsidP="009C620B">
            <w:pPr>
              <w:spacing w:after="0" w:line="240" w:lineRule="auto"/>
              <w:jc w:val="left"/>
              <w:rPr>
                <w:sz w:val="16"/>
                <w:szCs w:val="16"/>
                <w:lang w:val="en-GB" w:eastAsia="en-US"/>
              </w:rPr>
            </w:pPr>
          </w:p>
        </w:tc>
        <w:tc>
          <w:tcPr>
            <w:tcW w:w="0" w:type="auto"/>
          </w:tcPr>
          <w:p w:rsidR="00791BF4" w:rsidRPr="00742B86" w:rsidRDefault="00791BF4" w:rsidP="009C620B">
            <w:pPr>
              <w:spacing w:after="0" w:line="240" w:lineRule="auto"/>
              <w:jc w:val="left"/>
              <w:rPr>
                <w:rFonts w:eastAsia="Calibri"/>
                <w:szCs w:val="20"/>
                <w:highlight w:val="yellow"/>
                <w:lang w:val="en-GB" w:eastAsia="en-US"/>
              </w:rPr>
            </w:pPr>
          </w:p>
        </w:tc>
        <w:tc>
          <w:tcPr>
            <w:tcW w:w="0" w:type="auto"/>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rPr>
                <w:b/>
                <w:bCs/>
                <w:sz w:val="16"/>
                <w:szCs w:val="16"/>
                <w:lang w:val="en-GB" w:eastAsia="en-US"/>
              </w:rPr>
            </w:pPr>
            <w:r w:rsidRPr="00742B86">
              <w:rPr>
                <w:sz w:val="14"/>
                <w:szCs w:val="14"/>
                <w:lang w:val="en-GB" w:eastAsia="en-US"/>
              </w:rPr>
              <w:t>Source: CZSO</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Prices of mining and quarrying were falling year-on-year.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Prices of mining and quarrying dropped in total by 2.8% in 2020 and </w:t>
            </w:r>
            <w:proofErr w:type="gramStart"/>
            <w:r w:rsidRPr="00742B86">
              <w:rPr>
                <w:lang w:val="en-GB" w:eastAsia="en-US"/>
              </w:rPr>
              <w:t>were also</w:t>
            </w:r>
            <w:proofErr w:type="gramEnd"/>
            <w:r w:rsidRPr="00742B86">
              <w:rPr>
                <w:lang w:val="en-GB" w:eastAsia="en-US"/>
              </w:rPr>
              <w:t xml:space="preserve"> affected by the decreased prices of oil. Since prices of oil and natural gas extraction plunged deeply (–24.2%), coal mining also recorded notable decrease (–5.0%). On the contrary, prices of other mining and quarrying of mineral resources grew by 4.9% (it mostly </w:t>
            </w:r>
            <w:r w:rsidRPr="00742B86">
              <w:rPr>
                <w:lang w:val="en-GB" w:eastAsia="en-US"/>
              </w:rPr>
              <w:lastRenderedPageBreak/>
              <w:t>concerns building materials). In Q4 itself, the year-on-year decrease of prices of mining and quarrying moderated to 2.0%. Very strong growth of the prices of electricity continued last year (in total by 7.7%), it however slowed slightly down during the year. Still, the year-on-year addition ended marked 6.1% in Q4. Prices of water supply and wastewater management services rose by 6.1%, in that by 6.4% year-on-year in Q4.</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lastRenderedPageBreak/>
              <w:t xml:space="preserve">Industrial producer prices </w:t>
            </w:r>
            <w:proofErr w:type="gramStart"/>
            <w:r w:rsidRPr="00742B86">
              <w:rPr>
                <w:spacing w:val="0"/>
                <w:lang w:val="en-GB" w:eastAsia="en-US"/>
              </w:rPr>
              <w:t>were affected</w:t>
            </w:r>
            <w:proofErr w:type="gramEnd"/>
            <w:r w:rsidRPr="00742B86">
              <w:rPr>
                <w:spacing w:val="0"/>
                <w:lang w:val="en-GB" w:eastAsia="en-US"/>
              </w:rPr>
              <w:t xml:space="preserve"> by the slump of oil prices in the whole EU.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Industrial producer prices dropped by 2.4% in the EU last year. The slump of oil prices had the main share, which influenced the prices of mining and quarrying (–8.7%), but also prices in manufacturing (–1.6%). Prices of electricity, gas, steam and air conditioning (–5.9%) were also falling. Industrial producer prices fell in the majority of EU countries last year. Ireland (–7.5%), Lithuania (–6.6%) and Denmark (–4.7%) recorded the largest decrease. Prices grew the most in Malta (1.6%), Slovakia and Hungary (similarly 0.8%). In Q4 itself, the prices of producers in the EU fell by 1.6%.  Effect of the oil prices slump was evaporating only slowly, thus the decrease in the majority of the EU countries lingered on. The largest drop occurred in Lithuania (</w:t>
            </w:r>
            <w:r>
              <w:rPr>
                <w:lang w:val="en-GB" w:eastAsia="en-US"/>
              </w:rPr>
              <w:noBreakHyphen/>
            </w:r>
            <w:r w:rsidRPr="00742B86">
              <w:rPr>
                <w:lang w:val="en-GB" w:eastAsia="en-US"/>
              </w:rPr>
              <w:t>6.7%), Cyprus (–5.9%) and Greece (–5.5%). Prices grew the most in Malta (1.7%), in Hungary (1.5%) and Ireland (1.2%) in Q4.</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Year-on-year growth of prices of market services mildly weakened last year.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Dynamics of prices of market services slightly weakened last year compared to year 2019, when the marked growth was associated with the pressure on the labour market and the rise of wages. In total, the prices of market services grew by 2.1% in year 2020. Warehousing and support activities for transportation (increase by 5.2%) and services in the area of programming and consultancy (3.6%) contributed the most to the growth of prices. The effect of prices of services in real estate activities was also significant (2.9%). Addition to prices of services in the area of employment, which are </w:t>
            </w:r>
            <w:proofErr w:type="gramStart"/>
            <w:r w:rsidRPr="00742B86">
              <w:rPr>
                <w:lang w:val="en-GB" w:eastAsia="en-US"/>
              </w:rPr>
              <w:t>to a large extent</w:t>
            </w:r>
            <w:proofErr w:type="gramEnd"/>
            <w:r w:rsidRPr="00742B86">
              <w:rPr>
                <w:lang w:val="en-GB" w:eastAsia="en-US"/>
              </w:rPr>
              <w:t xml:space="preserve"> linked to the wage dynamics, weakened compared to year 2019, but still remained substantial (5.1%). Prices of advertising and market research fell last year for the first time since 2014 </w:t>
            </w:r>
            <w:r>
              <w:rPr>
                <w:lang w:val="en-GB" w:eastAsia="en-US"/>
              </w:rPr>
              <w:t>(–0.</w:t>
            </w:r>
            <w:r w:rsidRPr="00742B86">
              <w:rPr>
                <w:lang w:val="en-GB" w:eastAsia="en-US"/>
              </w:rPr>
              <w:t xml:space="preserve">3 %) and prices of telecommunication </w:t>
            </w:r>
            <w:proofErr w:type="gramStart"/>
            <w:r w:rsidRPr="00742B86">
              <w:rPr>
                <w:lang w:val="en-GB" w:eastAsia="en-US"/>
              </w:rPr>
              <w:t>services also</w:t>
            </w:r>
            <w:proofErr w:type="gramEnd"/>
            <w:r w:rsidRPr="00742B86">
              <w:rPr>
                <w:lang w:val="en-GB" w:eastAsia="en-US"/>
              </w:rPr>
              <w:t xml:space="preserve"> registered a mild decrease (–0.1%).</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Some services reflected the current economic situation.</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Year-on-year addition to prices of market services was the highest in Q1 (2.5%), following a mild weakening, the growth kept a stable level for the rest of the year (2.1%, 2.0% and 2.0% in Q2 to 4). The structure of growth did not differ much from the numbers for the whole year. In Q4, warehousing and support activities for transportation (year-on-year addition of 4.9%), services in the area of programming and consultancy and related activities (3.6%) and services in the area of real estate (3.3%) contributed the most to the price growth. Current economic situation was likely reflected in the marked acceleration of the growth of prices for services in activities of head offices and management consultancy activities (7.9%) and on the contrary in the slowdown of services in the area of employment (1.3%). Prices of advertising and market research fell by 1.9% year-on-year in Q4.</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Prices of agricultural production fell last year. However, the plunge moderated during the year.</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spacing w:val="-2"/>
                <w:lang w:val="en-GB" w:eastAsia="en-US"/>
              </w:rPr>
            </w:pPr>
            <w:r w:rsidRPr="00742B86">
              <w:rPr>
                <w:spacing w:val="-2"/>
                <w:lang w:val="en-GB" w:eastAsia="en-US"/>
              </w:rPr>
              <w:t xml:space="preserve">Prices of agricultural production fell by 3.4% in year 2020. In that prices of plant production dived by 4.0% and prices of animal production by 2.4%. Especially prices of potatoes (–19.8%), vegetables and garden products (–9.7%), cereals (–4.9%), and feed crops (–3.4%) were falling in the plant production. In </w:t>
            </w:r>
            <w:proofErr w:type="gramStart"/>
            <w:r w:rsidRPr="00742B86">
              <w:rPr>
                <w:spacing w:val="-2"/>
                <w:lang w:val="en-GB" w:eastAsia="en-US"/>
              </w:rPr>
              <w:t>contrast</w:t>
            </w:r>
            <w:proofErr w:type="gramEnd"/>
            <w:r w:rsidRPr="00742B86">
              <w:rPr>
                <w:spacing w:val="-2"/>
                <w:lang w:val="en-GB" w:eastAsia="en-US"/>
              </w:rPr>
              <w:t xml:space="preserve"> the prices of fruit climbed up (16.5%). With the animal production, prices of farm animals decreased by 2.1% (to a large extent influenced by high basis of year 2019) and animal products by 2.7% (prices of milk dropped by 3.4%, while the prices of eggs went up by 4.0%). In Q4, prices of agricultural production decreased by 3.2%. Year-on-year downswing of prices of plant production weakened during the year and attained only 0.1% in Q4. Cereals (among them especially wheat), which from significant plunge at the beginning of the year moved into the year-on-year growth of 3.1% in Q4, stood behind it. Prices of industrial crop increased by 3.6% in Q4 and fruit by 9.4%. Towards the end of the year, prices of feed crops </w:t>
            </w:r>
            <w:r w:rsidRPr="00742B86">
              <w:rPr>
                <w:spacing w:val="-2"/>
                <w:lang w:val="en-GB" w:eastAsia="en-US"/>
              </w:rPr>
              <w:lastRenderedPageBreak/>
              <w:t>(</w:t>
            </w:r>
            <w:r>
              <w:rPr>
                <w:spacing w:val="-2"/>
                <w:lang w:val="en-GB" w:eastAsia="en-US"/>
              </w:rPr>
              <w:noBreakHyphen/>
            </w:r>
            <w:r w:rsidRPr="00742B86">
              <w:rPr>
                <w:spacing w:val="-2"/>
                <w:lang w:val="en-GB" w:eastAsia="en-US"/>
              </w:rPr>
              <w:t>9.9%), vegetables and garden products (–7.2%) and potatoes (–25.3%) were falling. Prices of animal production decreased by 8.0% year-on-year in Q4. In that plunge of prices of farm animals reached 13.9%, mainly due to the impact of development of prices of pigs and piglets (–25.0%). Prices of milk decreased by 2.8% year-on-year in Q4 and prices of eggs by 1.5%.</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lastRenderedPageBreak/>
              <w:t>Export prices increased last year. Depreciation of koruna foreign exchange also had a share in it.</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Development of prices of foreign trade </w:t>
            </w:r>
            <w:proofErr w:type="gramStart"/>
            <w:r w:rsidRPr="00742B86">
              <w:rPr>
                <w:lang w:val="en-GB" w:eastAsia="en-US"/>
              </w:rPr>
              <w:t>was strongly affected</w:t>
            </w:r>
            <w:proofErr w:type="gramEnd"/>
            <w:r w:rsidRPr="00742B86">
              <w:rPr>
                <w:lang w:val="en-GB" w:eastAsia="en-US"/>
              </w:rPr>
              <w:t xml:space="preserve"> by the depreciation in the value of koruna against the euro, which considerably subdued the pressures on the decrease of prices. Export prices thus increased by 1.1% in 2020. Food and live animals (increase 3.5%), beverages and tobacco (5.4%), machinery and transport equipment (2.8%) and industrial consumption goods (2.9%) worked in the direction of increase of prices. Prices of export of mineral fuels and grease (–15.8%) and other materials</w:t>
            </w:r>
            <w:r w:rsidRPr="00742B86">
              <w:rPr>
                <w:rStyle w:val="Znakapoznpodarou"/>
                <w:lang w:val="en-GB" w:eastAsia="en-US"/>
              </w:rPr>
              <w:footnoteReference w:id="46"/>
            </w:r>
            <w:r w:rsidRPr="00742B86">
              <w:rPr>
                <w:lang w:val="en-GB" w:eastAsia="en-US"/>
              </w:rPr>
              <w:t xml:space="preserve"> (–6.4%) markedly slumped, but prices of chemicals (–2.6%) and semi-finished products</w:t>
            </w:r>
            <w:r w:rsidRPr="00742B86">
              <w:rPr>
                <w:rStyle w:val="Znakapoznpodarou"/>
                <w:lang w:val="en-GB"/>
              </w:rPr>
              <w:footnoteReference w:id="47"/>
            </w:r>
            <w:r w:rsidRPr="00742B86">
              <w:rPr>
                <w:lang w:val="en-GB" w:eastAsia="en-US"/>
              </w:rPr>
              <w:t xml:space="preserve"> (–0.5%) also fell. In Q4 itself, the year-on-year growth of prices of export strengthened to 2.5%, especially under the influence of raised addition to prices of food and live animals (4.2%), machinery and transport equipment (3.9%) and industrial consumption goods (2.8%). Prices of other materials (3.6%) as well as semi-finished products (1.4%) transferred from year-on-year decrease into a solid growth. Already strong increase of prices of beverages and tobacco mildly strengthened (5.6%). Prices of mineral fuels remained in deep plunge (–10.2%).</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Import prices fell last year, mainly due to the impact of prices of mineral fuels.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Prices of import fell by 1.1% in 2020. Because the prices of mineral fuels plunged deeply (–24.6%). Prices of other materials also decreased (–3.5%). Decrease was also registered for chemicals (–2.4%), beverages and tobacco (–1.1%) and semi-finished products (–0.9%). Similarly to the export, the prices of imported food also strongly grew (3.6%), prices of machinery and transport equipment (2.2%) and industrial consumption goods (1.8%) also increased. In Q4, the prices of import lowered by 0.3% year-on-year. Further prices of mineral fuels were also falling (–18.8%) and food and live </w:t>
            </w:r>
            <w:proofErr w:type="gramStart"/>
            <w:r w:rsidRPr="00742B86">
              <w:rPr>
                <w:lang w:val="en-GB" w:eastAsia="en-US"/>
              </w:rPr>
              <w:t>animals also</w:t>
            </w:r>
            <w:proofErr w:type="gramEnd"/>
            <w:r w:rsidRPr="00742B86">
              <w:rPr>
                <w:lang w:val="en-GB" w:eastAsia="en-US"/>
              </w:rPr>
              <w:t xml:space="preserve"> moved into decrease (–1.3%). On the contrary, after longer period of decreases the price of beverages and tobacco started to grow year-on-year (2.5%). Prices of import of semi-finished products rose by 1.3%, machinery and transport equipment by 1.6% and industrial consumption goods by 2.1%.</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Substantial difference between the development of prices of export and import led to positive terms of trade.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Terms of trade of the foreign trade with goods attained 102.2% last year. Terms of trade with mineral fuels (111.7%), beverages and tobacco (106.6%), industrial consumption goods </w:t>
            </w:r>
            <w:r>
              <w:rPr>
                <w:lang w:val="en-GB" w:eastAsia="en-US"/>
              </w:rPr>
              <w:t>(101.1</w:t>
            </w:r>
            <w:r w:rsidRPr="00742B86">
              <w:rPr>
                <w:lang w:val="en-GB" w:eastAsia="en-US"/>
              </w:rPr>
              <w:t xml:space="preserve">%) were positive. Mildly positive were also terms of trade with machinery and transport equipment (100.6%) and semi-finished products (100.4%). Terms of trade with other materials were negative last year (97.0%) and terms </w:t>
            </w:r>
            <w:proofErr w:type="gramStart"/>
            <w:r w:rsidRPr="00742B86">
              <w:rPr>
                <w:lang w:val="en-GB" w:eastAsia="en-US"/>
              </w:rPr>
              <w:t>were also</w:t>
            </w:r>
            <w:proofErr w:type="gramEnd"/>
            <w:r w:rsidRPr="00742B86">
              <w:rPr>
                <w:lang w:val="en-GB" w:eastAsia="en-US"/>
              </w:rPr>
              <w:t xml:space="preserve"> mildly negative with chemicals (99.8%) and food (99.9%). In Q4 itself, the terms of trade of the foreign trade reached 102.8%, especially due to the trade with mineral fuels (110.6%), food (105.6%), other materials (103.2%), beverages and tobacco (103.0%) and machinery and transport equipment (102.3%). Terms of trade with chemicals were negative (98.0%).</w:t>
            </w:r>
          </w:p>
        </w:tc>
      </w:tr>
    </w:tbl>
    <w:p w:rsidR="00791BF4" w:rsidRPr="00742B86" w:rsidRDefault="00791BF4" w:rsidP="00791BF4">
      <w:pPr>
        <w:spacing w:after="0" w:line="240" w:lineRule="auto"/>
        <w:jc w:val="left"/>
        <w:rPr>
          <w:b/>
          <w:sz w:val="2"/>
          <w:szCs w:val="2"/>
          <w:highlight w:val="yellow"/>
          <w:lang w:val="en-GB"/>
        </w:rPr>
      </w:pPr>
    </w:p>
    <w:p w:rsidR="00791BF4" w:rsidRPr="00742B86" w:rsidRDefault="00791BF4" w:rsidP="00791BF4">
      <w:pPr>
        <w:pStyle w:val="Nadpis11"/>
        <w:rPr>
          <w:lang w:val="en-GB"/>
        </w:rPr>
        <w:sectPr w:rsidR="00791BF4" w:rsidRPr="00742B86" w:rsidSect="00A03B10">
          <w:headerReference w:type="even" r:id="rId20"/>
          <w:headerReference w:type="default" r:id="rId21"/>
          <w:footerReference w:type="even" r:id="rId22"/>
          <w:footerReference w:type="default" r:id="rId23"/>
          <w:pgSz w:w="11906" w:h="16838" w:code="9"/>
          <w:pgMar w:top="1134" w:right="1134" w:bottom="1418" w:left="1134" w:header="680" w:footer="737" w:gutter="0"/>
          <w:cols w:space="708"/>
          <w:docGrid w:linePitch="360"/>
        </w:sectPr>
      </w:pPr>
    </w:p>
    <w:p w:rsidR="00B2450C" w:rsidRPr="00742B86" w:rsidRDefault="00B2450C" w:rsidP="00B2450C">
      <w:pPr>
        <w:pStyle w:val="Nadpis11"/>
        <w:spacing w:after="120"/>
        <w:rPr>
          <w:lang w:val="en-GB"/>
        </w:rPr>
      </w:pPr>
      <w:bookmarkStart w:id="23" w:name="_Toc69370724"/>
      <w:r w:rsidRPr="00742B86">
        <w:rPr>
          <w:lang w:val="en-GB"/>
        </w:rPr>
        <w:lastRenderedPageBreak/>
        <w:t>6. </w:t>
      </w:r>
      <w:r w:rsidR="003A4098" w:rsidRPr="00742B86">
        <w:rPr>
          <w:lang w:val="en-GB"/>
        </w:rPr>
        <w:t>Labour Market</w:t>
      </w:r>
      <w:bookmarkEnd w:id="19"/>
      <w:bookmarkEnd w:id="23"/>
    </w:p>
    <w:tbl>
      <w:tblPr>
        <w:tblW w:w="9664" w:type="dxa"/>
        <w:tblInd w:w="-25" w:type="dxa"/>
        <w:tblCellMar>
          <w:left w:w="0" w:type="dxa"/>
          <w:right w:w="0" w:type="dxa"/>
        </w:tblCellMar>
        <w:tblLook w:val="00A0" w:firstRow="1" w:lastRow="0" w:firstColumn="1" w:lastColumn="0" w:noHBand="0" w:noVBand="0"/>
      </w:tblPr>
      <w:tblGrid>
        <w:gridCol w:w="1687"/>
        <w:gridCol w:w="182"/>
        <w:gridCol w:w="7795"/>
      </w:tblGrid>
      <w:tr w:rsidR="00E97F14" w:rsidRPr="00742B86" w:rsidTr="00370CFF">
        <w:trPr>
          <w:trHeight w:val="155"/>
        </w:trPr>
        <w:tc>
          <w:tcPr>
            <w:tcW w:w="1687" w:type="dxa"/>
            <w:shd w:val="clear" w:color="auto" w:fill="auto"/>
            <w:tcMar>
              <w:left w:w="0" w:type="dxa"/>
            </w:tcMar>
          </w:tcPr>
          <w:p w:rsidR="00E97F14" w:rsidRPr="00742B86" w:rsidRDefault="005E003B" w:rsidP="0091476D">
            <w:pPr>
              <w:pStyle w:val="Marginlie"/>
              <w:spacing w:after="120"/>
              <w:rPr>
                <w:spacing w:val="-4"/>
                <w:lang w:val="en-GB"/>
              </w:rPr>
            </w:pPr>
            <w:r w:rsidRPr="00742B86">
              <w:rPr>
                <w:spacing w:val="-4"/>
                <w:lang w:val="en-GB"/>
              </w:rPr>
              <w:t xml:space="preserve">Number of </w:t>
            </w:r>
            <w:r w:rsidR="001409AB" w:rsidRPr="00742B86">
              <w:rPr>
                <w:spacing w:val="-4"/>
                <w:lang w:val="en-GB"/>
              </w:rPr>
              <w:t xml:space="preserve">workers decreased last year the most since year </w:t>
            </w:r>
            <w:r w:rsidR="00E97F14" w:rsidRPr="00742B86">
              <w:rPr>
                <w:spacing w:val="-4"/>
                <w:lang w:val="en-GB"/>
              </w:rPr>
              <w:t>2009.</w:t>
            </w:r>
            <w:r w:rsidR="001409AB" w:rsidRPr="00742B86">
              <w:rPr>
                <w:spacing w:val="-4"/>
                <w:lang w:val="en-GB"/>
              </w:rPr>
              <w:t xml:space="preserve"> </w:t>
            </w:r>
            <w:r w:rsidR="008D6E5C" w:rsidRPr="00742B86">
              <w:rPr>
                <w:spacing w:val="-4"/>
                <w:lang w:val="en-GB"/>
              </w:rPr>
              <w:t xml:space="preserve">Impacts of </w:t>
            </w:r>
            <w:r w:rsidR="00202575">
              <w:rPr>
                <w:spacing w:val="-4"/>
                <w:lang w:val="en-GB"/>
              </w:rPr>
              <w:t>spring</w:t>
            </w:r>
            <w:r w:rsidR="008D6E5C" w:rsidRPr="00742B86">
              <w:rPr>
                <w:spacing w:val="-4"/>
                <w:lang w:val="en-GB"/>
              </w:rPr>
              <w:t xml:space="preserve"> counter pandemic measures were </w:t>
            </w:r>
            <w:r w:rsidR="001C21CA" w:rsidRPr="00742B86">
              <w:rPr>
                <w:spacing w:val="-4"/>
                <w:lang w:val="en-GB"/>
              </w:rPr>
              <w:t xml:space="preserve">larger than for restrictions introduced in the last part of the year. </w:t>
            </w:r>
          </w:p>
        </w:tc>
        <w:tc>
          <w:tcPr>
            <w:tcW w:w="182" w:type="dxa"/>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97F14" w:rsidRPr="00742B86" w:rsidRDefault="005E003B" w:rsidP="0091476D">
            <w:pPr>
              <w:spacing w:after="220"/>
              <w:rPr>
                <w:rFonts w:cs="Arial"/>
                <w:bCs/>
                <w:color w:val="000000"/>
                <w:spacing w:val="-4"/>
                <w:szCs w:val="20"/>
                <w:lang w:val="en-GB"/>
              </w:rPr>
            </w:pPr>
            <w:r w:rsidRPr="00742B86">
              <w:rPr>
                <w:rFonts w:cs="Arial"/>
                <w:bCs/>
                <w:color w:val="000000"/>
                <w:spacing w:val="-4"/>
                <w:szCs w:val="20"/>
                <w:lang w:val="en-GB"/>
              </w:rPr>
              <w:t>Total employment</w:t>
            </w:r>
            <w:r w:rsidR="00E97F14" w:rsidRPr="00742B86">
              <w:rPr>
                <w:spacing w:val="-4"/>
                <w:vertAlign w:val="superscript"/>
                <w:lang w:val="en-GB"/>
              </w:rPr>
              <w:footnoteReference w:id="48"/>
            </w:r>
            <w:r w:rsidR="00E97F14" w:rsidRPr="00742B86">
              <w:rPr>
                <w:rFonts w:cs="Arial"/>
                <w:bCs/>
                <w:color w:val="000000"/>
                <w:spacing w:val="-4"/>
                <w:szCs w:val="20"/>
                <w:lang w:val="en-GB"/>
              </w:rPr>
              <w:t xml:space="preserve"> </w:t>
            </w:r>
            <w:r w:rsidRPr="00742B86">
              <w:rPr>
                <w:rFonts w:cs="Arial"/>
                <w:bCs/>
                <w:color w:val="000000"/>
                <w:spacing w:val="-4"/>
                <w:szCs w:val="20"/>
                <w:lang w:val="en-GB"/>
              </w:rPr>
              <w:t xml:space="preserve">dropped by </w:t>
            </w:r>
            <w:r w:rsidR="00E97F14" w:rsidRPr="00742B86">
              <w:rPr>
                <w:rFonts w:cs="Arial"/>
                <w:bCs/>
                <w:color w:val="000000"/>
                <w:spacing w:val="-4"/>
                <w:szCs w:val="20"/>
                <w:lang w:val="en-GB"/>
              </w:rPr>
              <w:t>1</w:t>
            </w:r>
            <w:r w:rsidRPr="00742B86">
              <w:rPr>
                <w:rFonts w:cs="Arial"/>
                <w:bCs/>
                <w:color w:val="000000"/>
                <w:spacing w:val="-4"/>
                <w:szCs w:val="20"/>
                <w:lang w:val="en-GB"/>
              </w:rPr>
              <w:t>.</w:t>
            </w:r>
            <w:r w:rsidR="00E97F14" w:rsidRPr="00742B86">
              <w:rPr>
                <w:rFonts w:cs="Arial"/>
                <w:bCs/>
                <w:color w:val="000000"/>
                <w:spacing w:val="-4"/>
                <w:szCs w:val="20"/>
                <w:lang w:val="en-GB"/>
              </w:rPr>
              <w:t>5%</w:t>
            </w:r>
            <w:r w:rsidR="00E97F14" w:rsidRPr="00742B86">
              <w:rPr>
                <w:rStyle w:val="Znakapoznpodarou"/>
                <w:bCs/>
                <w:color w:val="000000"/>
                <w:spacing w:val="-4"/>
                <w:szCs w:val="20"/>
                <w:lang w:val="en-GB"/>
              </w:rPr>
              <w:footnoteReference w:id="49"/>
            </w:r>
            <w:r w:rsidRPr="00742B86">
              <w:rPr>
                <w:rFonts w:cs="Arial"/>
                <w:bCs/>
                <w:color w:val="000000"/>
                <w:spacing w:val="-4"/>
                <w:szCs w:val="20"/>
                <w:lang w:val="en-GB"/>
              </w:rPr>
              <w:t xml:space="preserve"> year-on-year last year</w:t>
            </w:r>
            <w:r w:rsidR="00E97F14" w:rsidRPr="00742B86">
              <w:rPr>
                <w:rFonts w:cs="Arial"/>
                <w:bCs/>
                <w:color w:val="000000"/>
                <w:spacing w:val="-4"/>
                <w:szCs w:val="20"/>
                <w:lang w:val="en-GB"/>
              </w:rPr>
              <w:t xml:space="preserve">. </w:t>
            </w:r>
            <w:r w:rsidRPr="00742B86">
              <w:rPr>
                <w:rFonts w:cs="Arial"/>
                <w:bCs/>
                <w:color w:val="000000"/>
                <w:spacing w:val="-4"/>
                <w:szCs w:val="20"/>
                <w:lang w:val="en-GB"/>
              </w:rPr>
              <w:t xml:space="preserve">Deeper </w:t>
            </w:r>
            <w:r w:rsidR="001C21CA" w:rsidRPr="00742B86">
              <w:rPr>
                <w:rFonts w:cs="Arial"/>
                <w:bCs/>
                <w:color w:val="000000"/>
                <w:spacing w:val="-4"/>
                <w:szCs w:val="20"/>
                <w:lang w:val="en-GB"/>
              </w:rPr>
              <w:t xml:space="preserve">downturn afflicted domestic economy in the last two decades only in year </w:t>
            </w:r>
            <w:r w:rsidR="00E97F14" w:rsidRPr="00742B86">
              <w:rPr>
                <w:rFonts w:cs="Arial"/>
                <w:bCs/>
                <w:color w:val="000000"/>
                <w:spacing w:val="-4"/>
                <w:szCs w:val="20"/>
                <w:lang w:val="en-GB"/>
              </w:rPr>
              <w:t>2009 (–1</w:t>
            </w:r>
            <w:r w:rsidR="001C21CA" w:rsidRPr="00742B86">
              <w:rPr>
                <w:rFonts w:cs="Arial"/>
                <w:bCs/>
                <w:color w:val="000000"/>
                <w:spacing w:val="-4"/>
                <w:szCs w:val="20"/>
                <w:lang w:val="en-GB"/>
              </w:rPr>
              <w:t>.</w:t>
            </w:r>
            <w:r w:rsidR="00E97F14" w:rsidRPr="00742B86">
              <w:rPr>
                <w:rFonts w:cs="Arial"/>
                <w:bCs/>
                <w:color w:val="000000"/>
                <w:spacing w:val="-4"/>
                <w:szCs w:val="20"/>
                <w:lang w:val="en-GB"/>
              </w:rPr>
              <w:t>8%). T</w:t>
            </w:r>
            <w:r w:rsidR="001C21CA" w:rsidRPr="00742B86">
              <w:rPr>
                <w:rFonts w:cs="Arial"/>
                <w:bCs/>
                <w:color w:val="000000"/>
                <w:spacing w:val="-4"/>
                <w:szCs w:val="20"/>
                <w:lang w:val="en-GB"/>
              </w:rPr>
              <w:t xml:space="preserve">his result reflected impact of both </w:t>
            </w:r>
            <w:r w:rsidR="00202575">
              <w:rPr>
                <w:rFonts w:cs="Arial"/>
                <w:bCs/>
                <w:color w:val="000000"/>
                <w:spacing w:val="-4"/>
                <w:szCs w:val="20"/>
                <w:lang w:val="en-GB"/>
              </w:rPr>
              <w:t>spring</w:t>
            </w:r>
            <w:r w:rsidR="001C21CA" w:rsidRPr="00742B86">
              <w:rPr>
                <w:rFonts w:cs="Arial"/>
                <w:bCs/>
                <w:color w:val="000000"/>
                <w:spacing w:val="-4"/>
                <w:szCs w:val="20"/>
                <w:lang w:val="en-GB"/>
              </w:rPr>
              <w:t xml:space="preserve"> and </w:t>
            </w:r>
            <w:r w:rsidR="00202575">
              <w:rPr>
                <w:rFonts w:cs="Arial"/>
                <w:bCs/>
                <w:color w:val="000000"/>
                <w:spacing w:val="-4"/>
                <w:szCs w:val="20"/>
                <w:lang w:val="en-GB"/>
              </w:rPr>
              <w:t>autumn</w:t>
            </w:r>
            <w:r w:rsidR="007705B1">
              <w:rPr>
                <w:rFonts w:cs="Arial"/>
                <w:bCs/>
                <w:color w:val="000000"/>
                <w:spacing w:val="-4"/>
                <w:szCs w:val="20"/>
                <w:lang w:val="en-GB"/>
              </w:rPr>
              <w:t xml:space="preserve"> waves of anti-</w:t>
            </w:r>
            <w:r w:rsidR="001C21CA" w:rsidRPr="00742B86">
              <w:rPr>
                <w:rFonts w:cs="Arial"/>
                <w:bCs/>
                <w:color w:val="000000"/>
                <w:spacing w:val="-4"/>
                <w:szCs w:val="20"/>
                <w:lang w:val="en-GB"/>
              </w:rPr>
              <w:t xml:space="preserve">pandemic </w:t>
            </w:r>
            <w:r w:rsidR="006D4150" w:rsidRPr="00742B86">
              <w:rPr>
                <w:rFonts w:cs="Arial"/>
                <w:bCs/>
                <w:color w:val="000000"/>
                <w:spacing w:val="-4"/>
                <w:szCs w:val="20"/>
                <w:lang w:val="en-GB"/>
              </w:rPr>
              <w:t>measures when businesses as well as whole branches were suspended. During Q</w:t>
            </w:r>
            <w:r w:rsidR="00E97F14" w:rsidRPr="00742B86">
              <w:rPr>
                <w:rFonts w:cs="Arial"/>
                <w:bCs/>
                <w:color w:val="000000"/>
                <w:spacing w:val="-4"/>
                <w:szCs w:val="20"/>
                <w:lang w:val="en-GB"/>
              </w:rPr>
              <w:t>2</w:t>
            </w:r>
            <w:r w:rsidR="006D4150" w:rsidRPr="00742B86">
              <w:rPr>
                <w:rFonts w:cs="Arial"/>
                <w:bCs/>
                <w:color w:val="000000"/>
                <w:spacing w:val="-4"/>
                <w:szCs w:val="20"/>
                <w:lang w:val="en-GB"/>
              </w:rPr>
              <w:t xml:space="preserve"> </w:t>
            </w:r>
            <w:r w:rsidR="00E97F14" w:rsidRPr="00742B86">
              <w:rPr>
                <w:rFonts w:cs="Arial"/>
                <w:bCs/>
                <w:color w:val="000000"/>
                <w:spacing w:val="-4"/>
                <w:szCs w:val="20"/>
                <w:lang w:val="en-GB"/>
              </w:rPr>
              <w:t>2020</w:t>
            </w:r>
            <w:r w:rsidR="006D4150" w:rsidRPr="00742B86">
              <w:rPr>
                <w:rFonts w:cs="Arial"/>
                <w:bCs/>
                <w:color w:val="000000"/>
                <w:spacing w:val="-4"/>
                <w:szCs w:val="20"/>
                <w:lang w:val="en-GB"/>
              </w:rPr>
              <w:t xml:space="preserve">, the number of workers plunged by </w:t>
            </w:r>
            <w:r w:rsidR="00E97F14" w:rsidRPr="00742B86">
              <w:rPr>
                <w:rFonts w:cs="Arial"/>
                <w:bCs/>
                <w:color w:val="000000"/>
                <w:spacing w:val="-4"/>
                <w:szCs w:val="20"/>
                <w:lang w:val="en-GB"/>
              </w:rPr>
              <w:t>1</w:t>
            </w:r>
            <w:r w:rsidR="006D4150" w:rsidRPr="00742B86">
              <w:rPr>
                <w:rFonts w:cs="Arial"/>
                <w:bCs/>
                <w:color w:val="000000"/>
                <w:spacing w:val="-4"/>
                <w:szCs w:val="20"/>
                <w:lang w:val="en-GB"/>
              </w:rPr>
              <w:t>.</w:t>
            </w:r>
            <w:r w:rsidR="00E97F14" w:rsidRPr="00742B86">
              <w:rPr>
                <w:rFonts w:cs="Arial"/>
                <w:bCs/>
                <w:color w:val="000000"/>
                <w:spacing w:val="-4"/>
                <w:szCs w:val="20"/>
                <w:lang w:val="en-GB"/>
              </w:rPr>
              <w:t>5%,</w:t>
            </w:r>
            <w:r w:rsidR="006D4150" w:rsidRPr="00742B86">
              <w:rPr>
                <w:rFonts w:cs="Arial"/>
                <w:bCs/>
                <w:color w:val="000000"/>
                <w:spacing w:val="-4"/>
                <w:szCs w:val="20"/>
                <w:lang w:val="en-GB"/>
              </w:rPr>
              <w:t xml:space="preserve"> which represented the deepest quarter-on-quarter </w:t>
            </w:r>
            <w:r w:rsidR="004439AF" w:rsidRPr="00742B86">
              <w:rPr>
                <w:rFonts w:cs="Arial"/>
                <w:bCs/>
                <w:color w:val="000000"/>
                <w:spacing w:val="-4"/>
                <w:szCs w:val="20"/>
                <w:lang w:val="en-GB"/>
              </w:rPr>
              <w:t xml:space="preserve">decline in the available time series </w:t>
            </w:r>
            <w:r w:rsidR="00E97F14" w:rsidRPr="00742B86">
              <w:rPr>
                <w:rFonts w:cs="Arial"/>
                <w:bCs/>
                <w:color w:val="000000"/>
                <w:spacing w:val="-4"/>
                <w:szCs w:val="20"/>
                <w:lang w:val="en-GB"/>
              </w:rPr>
              <w:t>(</w:t>
            </w:r>
            <w:r w:rsidR="004439AF" w:rsidRPr="00742B86">
              <w:rPr>
                <w:rFonts w:cs="Arial"/>
                <w:bCs/>
                <w:color w:val="000000"/>
                <w:spacing w:val="-4"/>
                <w:szCs w:val="20"/>
                <w:lang w:val="en-GB"/>
              </w:rPr>
              <w:t xml:space="preserve">beginning by year </w:t>
            </w:r>
            <w:r w:rsidR="00E97F14" w:rsidRPr="00742B86">
              <w:rPr>
                <w:rFonts w:cs="Arial"/>
                <w:bCs/>
                <w:color w:val="000000"/>
                <w:spacing w:val="-4"/>
                <w:szCs w:val="20"/>
                <w:lang w:val="en-GB"/>
              </w:rPr>
              <w:t>1995).</w:t>
            </w:r>
            <w:r w:rsidR="004439AF" w:rsidRPr="00742B86">
              <w:rPr>
                <w:rFonts w:cs="Arial"/>
                <w:bCs/>
                <w:color w:val="000000"/>
                <w:spacing w:val="-4"/>
                <w:szCs w:val="20"/>
                <w:lang w:val="en-GB"/>
              </w:rPr>
              <w:t xml:space="preserve"> Easing of majority of restrictions resulted in stabilisation in the subsequent quarter </w:t>
            </w:r>
            <w:r w:rsidR="00E97F14" w:rsidRPr="00742B86">
              <w:rPr>
                <w:rFonts w:cs="Arial"/>
                <w:bCs/>
                <w:color w:val="000000"/>
                <w:spacing w:val="-4"/>
                <w:szCs w:val="20"/>
                <w:lang w:val="en-GB"/>
              </w:rPr>
              <w:t>(+0</w:t>
            </w:r>
            <w:r w:rsidR="004439AF" w:rsidRPr="00742B86">
              <w:rPr>
                <w:rFonts w:cs="Arial"/>
                <w:bCs/>
                <w:color w:val="000000"/>
                <w:spacing w:val="-4"/>
                <w:szCs w:val="20"/>
                <w:lang w:val="en-GB"/>
              </w:rPr>
              <w:t>.</w:t>
            </w:r>
            <w:r w:rsidR="00E97F14" w:rsidRPr="00742B86">
              <w:rPr>
                <w:rFonts w:cs="Arial"/>
                <w:bCs/>
                <w:color w:val="000000"/>
                <w:spacing w:val="-4"/>
                <w:szCs w:val="20"/>
                <w:lang w:val="en-GB"/>
              </w:rPr>
              <w:t>2%).</w:t>
            </w:r>
            <w:r w:rsidR="007705B1">
              <w:rPr>
                <w:rFonts w:cs="Arial"/>
                <w:bCs/>
                <w:color w:val="000000"/>
                <w:spacing w:val="-4"/>
                <w:szCs w:val="20"/>
                <w:lang w:val="en-GB"/>
              </w:rPr>
              <w:t xml:space="preserve"> The d</w:t>
            </w:r>
            <w:r w:rsidR="004439AF" w:rsidRPr="00742B86">
              <w:rPr>
                <w:rFonts w:cs="Arial"/>
                <w:bCs/>
                <w:color w:val="000000"/>
                <w:spacing w:val="-4"/>
                <w:szCs w:val="20"/>
                <w:lang w:val="en-GB"/>
              </w:rPr>
              <w:t>eterioration occurred</w:t>
            </w:r>
            <w:r w:rsidR="00010359" w:rsidRPr="00742B86">
              <w:rPr>
                <w:rFonts w:cs="Arial"/>
                <w:bCs/>
                <w:color w:val="000000"/>
                <w:spacing w:val="-4"/>
                <w:szCs w:val="20"/>
                <w:lang w:val="en-GB"/>
              </w:rPr>
              <w:t xml:space="preserve"> </w:t>
            </w:r>
            <w:r w:rsidR="007705B1">
              <w:rPr>
                <w:rFonts w:cs="Arial"/>
                <w:bCs/>
                <w:color w:val="000000"/>
                <w:spacing w:val="-4"/>
                <w:szCs w:val="20"/>
                <w:lang w:val="en-GB"/>
              </w:rPr>
              <w:t xml:space="preserve">again </w:t>
            </w:r>
            <w:r w:rsidR="00010359" w:rsidRPr="00742B86">
              <w:rPr>
                <w:rFonts w:cs="Arial"/>
                <w:bCs/>
                <w:color w:val="000000"/>
                <w:spacing w:val="-4"/>
                <w:szCs w:val="20"/>
                <w:lang w:val="en-GB"/>
              </w:rPr>
              <w:t xml:space="preserve">in </w:t>
            </w:r>
            <w:r w:rsidR="004439AF" w:rsidRPr="00742B86">
              <w:rPr>
                <w:rFonts w:cs="Arial"/>
                <w:bCs/>
                <w:color w:val="000000"/>
                <w:spacing w:val="-4"/>
                <w:szCs w:val="20"/>
                <w:lang w:val="en-GB"/>
              </w:rPr>
              <w:t xml:space="preserve">the last part of the year. The depth of quarter-on-quarter reduction was however milder compared to the </w:t>
            </w:r>
            <w:r w:rsidR="00202575">
              <w:rPr>
                <w:rFonts w:cs="Arial"/>
                <w:bCs/>
                <w:color w:val="000000"/>
                <w:spacing w:val="-4"/>
                <w:szCs w:val="20"/>
                <w:lang w:val="en-GB"/>
              </w:rPr>
              <w:t>spring</w:t>
            </w:r>
            <w:r w:rsidR="004439AF" w:rsidRPr="00742B86">
              <w:rPr>
                <w:rFonts w:cs="Arial"/>
                <w:bCs/>
                <w:color w:val="000000"/>
                <w:spacing w:val="-4"/>
                <w:szCs w:val="20"/>
                <w:lang w:val="en-GB"/>
              </w:rPr>
              <w:t xml:space="preserve"> period here </w:t>
            </w:r>
            <w:r w:rsidR="00E97F14" w:rsidRPr="00742B86">
              <w:rPr>
                <w:rFonts w:cs="Arial"/>
                <w:bCs/>
                <w:color w:val="000000"/>
                <w:spacing w:val="-4"/>
                <w:szCs w:val="20"/>
                <w:lang w:val="en-GB"/>
              </w:rPr>
              <w:t>(–0</w:t>
            </w:r>
            <w:r w:rsidR="004439AF" w:rsidRPr="00742B86">
              <w:rPr>
                <w:rFonts w:cs="Arial"/>
                <w:bCs/>
                <w:color w:val="000000"/>
                <w:spacing w:val="-4"/>
                <w:szCs w:val="20"/>
                <w:lang w:val="en-GB"/>
              </w:rPr>
              <w:t>.</w:t>
            </w:r>
            <w:r w:rsidR="00E97F14" w:rsidRPr="00742B86">
              <w:rPr>
                <w:rFonts w:cs="Arial"/>
                <w:bCs/>
                <w:color w:val="000000"/>
                <w:spacing w:val="-4"/>
                <w:szCs w:val="20"/>
                <w:lang w:val="en-GB"/>
              </w:rPr>
              <w:t xml:space="preserve">5%), </w:t>
            </w:r>
            <w:r w:rsidR="004439AF" w:rsidRPr="00742B86">
              <w:rPr>
                <w:rFonts w:cs="Arial"/>
                <w:bCs/>
                <w:color w:val="000000"/>
                <w:spacing w:val="-4"/>
                <w:szCs w:val="20"/>
                <w:lang w:val="en-GB"/>
              </w:rPr>
              <w:t>because among other things</w:t>
            </w:r>
            <w:r w:rsidR="00E97F14" w:rsidRPr="00742B86">
              <w:rPr>
                <w:rFonts w:cs="Arial"/>
                <w:bCs/>
                <w:color w:val="000000"/>
                <w:spacing w:val="-4"/>
                <w:szCs w:val="20"/>
                <w:lang w:val="en-GB"/>
              </w:rPr>
              <w:t xml:space="preserve">, </w:t>
            </w:r>
            <w:r w:rsidR="004439AF" w:rsidRPr="00742B86">
              <w:rPr>
                <w:rFonts w:cs="Arial"/>
                <w:bCs/>
                <w:color w:val="000000"/>
                <w:spacing w:val="-4"/>
                <w:szCs w:val="20"/>
                <w:lang w:val="en-GB"/>
              </w:rPr>
              <w:t xml:space="preserve">the continuity of production in manufacturing wasn´t significantly disrupted any more. </w:t>
            </w:r>
          </w:p>
        </w:tc>
      </w:tr>
      <w:tr w:rsidR="00E97F14" w:rsidRPr="00742B86" w:rsidTr="00370CFF">
        <w:trPr>
          <w:trHeight w:val="155"/>
        </w:trPr>
        <w:tc>
          <w:tcPr>
            <w:tcW w:w="1687" w:type="dxa"/>
            <w:shd w:val="clear" w:color="auto" w:fill="auto"/>
            <w:tcMar>
              <w:left w:w="0" w:type="dxa"/>
            </w:tcMar>
          </w:tcPr>
          <w:p w:rsidR="00E97F14" w:rsidRPr="00742B86" w:rsidRDefault="005D0A73" w:rsidP="0091476D">
            <w:pPr>
              <w:pStyle w:val="Marginlie"/>
              <w:spacing w:after="120"/>
              <w:rPr>
                <w:spacing w:val="-4"/>
                <w:lang w:val="en-GB"/>
              </w:rPr>
            </w:pPr>
            <w:r w:rsidRPr="00742B86">
              <w:rPr>
                <w:spacing w:val="-4"/>
                <w:lang w:val="en-GB"/>
              </w:rPr>
              <w:t xml:space="preserve">Employment reduction </w:t>
            </w:r>
            <w:proofErr w:type="gramStart"/>
            <w:r w:rsidRPr="00742B86">
              <w:rPr>
                <w:spacing w:val="-4"/>
                <w:lang w:val="en-GB"/>
              </w:rPr>
              <w:t>was driven</w:t>
            </w:r>
            <w:proofErr w:type="gramEnd"/>
            <w:r w:rsidRPr="00742B86">
              <w:rPr>
                <w:spacing w:val="-4"/>
                <w:lang w:val="en-GB"/>
              </w:rPr>
              <w:t xml:space="preserve"> the most by manufacturing and branches tied to tourism last year. </w:t>
            </w:r>
          </w:p>
          <w:p w:rsidR="00E97F14" w:rsidRPr="00742B86" w:rsidRDefault="00E97F14" w:rsidP="0091476D">
            <w:pPr>
              <w:pStyle w:val="Marginlie"/>
              <w:spacing w:after="120"/>
              <w:rPr>
                <w:spacing w:val="-4"/>
                <w:lang w:val="en-GB"/>
              </w:rPr>
            </w:pPr>
          </w:p>
          <w:p w:rsidR="00E97F14" w:rsidRPr="00742B86" w:rsidRDefault="00E97F14" w:rsidP="0091476D">
            <w:pPr>
              <w:pStyle w:val="Marginlie"/>
              <w:spacing w:after="120"/>
              <w:rPr>
                <w:spacing w:val="-4"/>
                <w:lang w:val="en-GB"/>
              </w:rPr>
            </w:pPr>
          </w:p>
          <w:p w:rsidR="00E97F14" w:rsidRPr="00742B86" w:rsidRDefault="00E97F14" w:rsidP="0091476D">
            <w:pPr>
              <w:pStyle w:val="Marginlie"/>
              <w:spacing w:after="120"/>
              <w:rPr>
                <w:spacing w:val="-4"/>
                <w:lang w:val="en-GB"/>
              </w:rPr>
            </w:pPr>
          </w:p>
          <w:p w:rsidR="00E97F14" w:rsidRPr="00742B86" w:rsidRDefault="00E97F14" w:rsidP="0091476D">
            <w:pPr>
              <w:pStyle w:val="Marginlie"/>
              <w:spacing w:after="120"/>
              <w:rPr>
                <w:spacing w:val="-4"/>
                <w:lang w:val="en-GB"/>
              </w:rPr>
            </w:pPr>
          </w:p>
          <w:p w:rsidR="00E97F14" w:rsidRPr="00742B86" w:rsidRDefault="007705B1" w:rsidP="0091476D">
            <w:pPr>
              <w:pStyle w:val="Marginlie"/>
              <w:spacing w:after="120"/>
              <w:rPr>
                <w:spacing w:val="-4"/>
                <w:lang w:val="en-GB"/>
              </w:rPr>
            </w:pPr>
            <w:r>
              <w:rPr>
                <w:spacing w:val="-4"/>
                <w:lang w:val="en-GB"/>
              </w:rPr>
              <w:t>Growth</w:t>
            </w:r>
            <w:r w:rsidR="00206B92" w:rsidRPr="00742B86">
              <w:rPr>
                <w:spacing w:val="-4"/>
                <w:lang w:val="en-GB"/>
              </w:rPr>
              <w:t xml:space="preserve"> in the area of ICT and public services on the contrary continued. Construction was also acquiring new workers. </w:t>
            </w:r>
          </w:p>
        </w:tc>
        <w:tc>
          <w:tcPr>
            <w:tcW w:w="182" w:type="dxa"/>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97F14" w:rsidRPr="00742B86" w:rsidRDefault="005D0A73" w:rsidP="007705B1">
            <w:pPr>
              <w:spacing w:after="220"/>
              <w:rPr>
                <w:rFonts w:cs="Arial"/>
                <w:bCs/>
                <w:color w:val="000000"/>
                <w:spacing w:val="-5"/>
                <w:szCs w:val="20"/>
                <w:lang w:val="en-GB"/>
              </w:rPr>
            </w:pPr>
            <w:r w:rsidRPr="00742B86">
              <w:rPr>
                <w:rFonts w:cs="Arial"/>
                <w:bCs/>
                <w:color w:val="000000"/>
                <w:spacing w:val="-5"/>
                <w:szCs w:val="20"/>
                <w:lang w:val="en-GB"/>
              </w:rPr>
              <w:t xml:space="preserve">Employment development on the branch level </w:t>
            </w:r>
            <w:proofErr w:type="gramStart"/>
            <w:r w:rsidRPr="00742B86">
              <w:rPr>
                <w:rFonts w:cs="Arial"/>
                <w:bCs/>
                <w:color w:val="000000"/>
                <w:spacing w:val="-5"/>
                <w:szCs w:val="20"/>
                <w:lang w:val="en-GB"/>
              </w:rPr>
              <w:t>was considerably differentiated</w:t>
            </w:r>
            <w:proofErr w:type="gramEnd"/>
            <w:r w:rsidRPr="00742B86">
              <w:rPr>
                <w:rFonts w:cs="Arial"/>
                <w:bCs/>
                <w:color w:val="000000"/>
                <w:spacing w:val="-5"/>
                <w:szCs w:val="20"/>
                <w:lang w:val="en-GB"/>
              </w:rPr>
              <w:t xml:space="preserve"> for the whole last year. </w:t>
            </w:r>
            <w:r w:rsidR="002243CC" w:rsidRPr="00742B86">
              <w:rPr>
                <w:rFonts w:cs="Arial"/>
                <w:bCs/>
                <w:color w:val="000000"/>
                <w:spacing w:val="-5"/>
                <w:szCs w:val="20"/>
                <w:lang w:val="en-GB"/>
              </w:rPr>
              <w:t>Manufacturing, which lost 3.3% of employees in 2020, contributed to th</w:t>
            </w:r>
            <w:r w:rsidR="007705B1">
              <w:rPr>
                <w:rFonts w:cs="Arial"/>
                <w:bCs/>
                <w:color w:val="000000"/>
                <w:spacing w:val="-5"/>
                <w:szCs w:val="20"/>
                <w:lang w:val="en-GB"/>
              </w:rPr>
              <w:t xml:space="preserve">e decrease of the number of </w:t>
            </w:r>
            <w:r w:rsidR="002243CC" w:rsidRPr="00742B86">
              <w:rPr>
                <w:rFonts w:cs="Arial"/>
                <w:bCs/>
                <w:color w:val="000000"/>
                <w:spacing w:val="-5"/>
                <w:szCs w:val="20"/>
                <w:lang w:val="en-GB"/>
              </w:rPr>
              <w:t xml:space="preserve">workers </w:t>
            </w:r>
            <w:r w:rsidR="007705B1">
              <w:rPr>
                <w:rFonts w:cs="Arial"/>
                <w:bCs/>
                <w:color w:val="000000"/>
                <w:spacing w:val="-5"/>
                <w:szCs w:val="20"/>
                <w:lang w:val="en-GB"/>
              </w:rPr>
              <w:t xml:space="preserve">in the whole economy </w:t>
            </w:r>
            <w:r w:rsidR="002243CC" w:rsidRPr="00742B86">
              <w:rPr>
                <w:rFonts w:cs="Arial"/>
                <w:bCs/>
                <w:color w:val="000000"/>
                <w:spacing w:val="-5"/>
                <w:szCs w:val="20"/>
                <w:lang w:val="en-GB"/>
              </w:rPr>
              <w:t xml:space="preserve">by nearly one half. </w:t>
            </w:r>
            <w:r w:rsidR="0088433C" w:rsidRPr="00742B86">
              <w:rPr>
                <w:rFonts w:cs="Arial"/>
                <w:bCs/>
                <w:color w:val="000000"/>
                <w:spacing w:val="-5"/>
                <w:szCs w:val="20"/>
                <w:lang w:val="en-GB"/>
              </w:rPr>
              <w:t xml:space="preserve">Not even the motor vehicle manufacturers and their closest subcontractors </w:t>
            </w:r>
            <w:proofErr w:type="gramStart"/>
            <w:r w:rsidR="0088433C" w:rsidRPr="00742B86">
              <w:rPr>
                <w:rFonts w:cs="Arial"/>
                <w:bCs/>
                <w:color w:val="000000"/>
                <w:spacing w:val="-5"/>
                <w:szCs w:val="20"/>
                <w:lang w:val="en-GB"/>
              </w:rPr>
              <w:t>were spared</w:t>
            </w:r>
            <w:proofErr w:type="gramEnd"/>
            <w:r w:rsidR="0088433C" w:rsidRPr="00742B86">
              <w:rPr>
                <w:rFonts w:cs="Arial"/>
                <w:bCs/>
                <w:color w:val="000000"/>
                <w:spacing w:val="-5"/>
                <w:szCs w:val="20"/>
                <w:lang w:val="en-GB"/>
              </w:rPr>
              <w:t xml:space="preserve"> a notable reduction of employment</w:t>
            </w:r>
            <w:r w:rsidR="00E97F14" w:rsidRPr="00742B86">
              <w:rPr>
                <w:rStyle w:val="Znakapoznpodarou"/>
                <w:bCs/>
                <w:color w:val="000000"/>
                <w:spacing w:val="-5"/>
                <w:szCs w:val="20"/>
                <w:lang w:val="en-GB"/>
              </w:rPr>
              <w:footnoteReference w:id="50"/>
            </w:r>
            <w:r w:rsidR="00E97F14" w:rsidRPr="00742B86">
              <w:rPr>
                <w:rFonts w:cs="Arial"/>
                <w:bCs/>
                <w:color w:val="000000"/>
                <w:spacing w:val="-5"/>
                <w:szCs w:val="20"/>
                <w:lang w:val="en-GB"/>
              </w:rPr>
              <w:t xml:space="preserve">. </w:t>
            </w:r>
            <w:r w:rsidR="00FA23E8" w:rsidRPr="00742B86">
              <w:rPr>
                <w:rFonts w:cs="Arial"/>
                <w:bCs/>
                <w:color w:val="000000"/>
                <w:spacing w:val="-5"/>
                <w:szCs w:val="20"/>
                <w:lang w:val="en-GB"/>
              </w:rPr>
              <w:t>However, the economic situation in industry improved in Q</w:t>
            </w:r>
            <w:r w:rsidR="00E97F14" w:rsidRPr="00742B86">
              <w:rPr>
                <w:rFonts w:cs="Arial"/>
                <w:bCs/>
                <w:color w:val="000000"/>
                <w:spacing w:val="-5"/>
                <w:szCs w:val="20"/>
                <w:lang w:val="en-GB"/>
              </w:rPr>
              <w:t>4</w:t>
            </w:r>
            <w:r w:rsidR="00FA23E8" w:rsidRPr="00742B86">
              <w:rPr>
                <w:rFonts w:cs="Arial"/>
                <w:bCs/>
                <w:color w:val="000000"/>
                <w:spacing w:val="-5"/>
                <w:szCs w:val="20"/>
                <w:lang w:val="en-GB"/>
              </w:rPr>
              <w:t xml:space="preserve"> </w:t>
            </w:r>
            <w:r w:rsidR="0088433C" w:rsidRPr="00742B86">
              <w:rPr>
                <w:rFonts w:cs="Arial"/>
                <w:bCs/>
                <w:color w:val="000000"/>
                <w:spacing w:val="-5"/>
                <w:szCs w:val="20"/>
                <w:lang w:val="en-GB"/>
              </w:rPr>
              <w:t xml:space="preserve">and the growth of </w:t>
            </w:r>
            <w:r w:rsidR="007705B1">
              <w:rPr>
                <w:rFonts w:cs="Arial"/>
                <w:bCs/>
                <w:color w:val="000000"/>
                <w:spacing w:val="-5"/>
                <w:szCs w:val="20"/>
                <w:lang w:val="en-GB"/>
              </w:rPr>
              <w:t xml:space="preserve">new </w:t>
            </w:r>
            <w:r w:rsidR="0088433C" w:rsidRPr="00742B86">
              <w:rPr>
                <w:rFonts w:cs="Arial"/>
                <w:bCs/>
                <w:color w:val="000000"/>
                <w:spacing w:val="-5"/>
                <w:szCs w:val="20"/>
                <w:lang w:val="en-GB"/>
              </w:rPr>
              <w:t>orders caused the year-on-yea</w:t>
            </w:r>
            <w:r w:rsidR="007705B1">
              <w:rPr>
                <w:rFonts w:cs="Arial"/>
                <w:bCs/>
                <w:color w:val="000000"/>
                <w:spacing w:val="-5"/>
                <w:szCs w:val="20"/>
                <w:lang w:val="en-GB"/>
              </w:rPr>
              <w:t>r decrease of employment did not deepen any more</w:t>
            </w:r>
            <w:r w:rsidR="0088433C" w:rsidRPr="00742B86">
              <w:rPr>
                <w:rFonts w:cs="Arial"/>
                <w:bCs/>
                <w:color w:val="000000"/>
                <w:spacing w:val="-5"/>
                <w:szCs w:val="20"/>
                <w:lang w:val="en-GB"/>
              </w:rPr>
              <w:t xml:space="preserve">. </w:t>
            </w:r>
            <w:r w:rsidR="00F51697" w:rsidRPr="00742B86">
              <w:rPr>
                <w:rFonts w:cs="Arial"/>
                <w:bCs/>
                <w:color w:val="000000"/>
                <w:spacing w:val="-5"/>
                <w:szCs w:val="20"/>
                <w:lang w:val="en-GB"/>
              </w:rPr>
              <w:t xml:space="preserve">Segment </w:t>
            </w:r>
            <w:r w:rsidR="007705B1">
              <w:rPr>
                <w:rFonts w:cs="Arial"/>
                <w:bCs/>
                <w:color w:val="000000"/>
                <w:spacing w:val="-5"/>
                <w:szCs w:val="20"/>
                <w:lang w:val="en-GB"/>
              </w:rPr>
              <w:t xml:space="preserve">of </w:t>
            </w:r>
            <w:r w:rsidR="00F51697" w:rsidRPr="00742B86">
              <w:rPr>
                <w:rFonts w:cs="Arial"/>
                <w:bCs/>
                <w:color w:val="000000"/>
                <w:spacing w:val="-5"/>
                <w:szCs w:val="20"/>
                <w:lang w:val="en-GB"/>
              </w:rPr>
              <w:t xml:space="preserve">trade, transport, accommodation, and food service </w:t>
            </w:r>
            <w:proofErr w:type="gramStart"/>
            <w:r w:rsidR="00F51697" w:rsidRPr="00742B86">
              <w:rPr>
                <w:rFonts w:cs="Arial"/>
                <w:bCs/>
                <w:color w:val="000000"/>
                <w:spacing w:val="-5"/>
                <w:szCs w:val="20"/>
                <w:lang w:val="en-GB"/>
              </w:rPr>
              <w:t>was on the contrary hit</w:t>
            </w:r>
            <w:proofErr w:type="gramEnd"/>
            <w:r w:rsidR="00F51697" w:rsidRPr="00742B86">
              <w:rPr>
                <w:rFonts w:cs="Arial"/>
                <w:bCs/>
                <w:color w:val="000000"/>
                <w:spacing w:val="-5"/>
                <w:szCs w:val="20"/>
                <w:lang w:val="en-GB"/>
              </w:rPr>
              <w:t xml:space="preserve"> by the </w:t>
            </w:r>
            <w:r w:rsidR="00202575">
              <w:rPr>
                <w:rFonts w:cs="Arial"/>
                <w:bCs/>
                <w:color w:val="000000"/>
                <w:spacing w:val="-5"/>
                <w:szCs w:val="20"/>
                <w:lang w:val="en-GB"/>
              </w:rPr>
              <w:t>autumn</w:t>
            </w:r>
            <w:r w:rsidR="00F51697" w:rsidRPr="00742B86">
              <w:rPr>
                <w:rFonts w:cs="Arial"/>
                <w:bCs/>
                <w:color w:val="000000"/>
                <w:spacing w:val="-5"/>
                <w:szCs w:val="20"/>
                <w:lang w:val="en-GB"/>
              </w:rPr>
              <w:t xml:space="preserve"> wave of government restrictive measures very severely. Employment plunged by precise </w:t>
            </w:r>
            <w:r w:rsidR="00E97F14" w:rsidRPr="00742B86">
              <w:rPr>
                <w:rFonts w:cs="Arial"/>
                <w:bCs/>
                <w:color w:val="000000"/>
                <w:spacing w:val="-5"/>
                <w:szCs w:val="20"/>
                <w:lang w:val="en-GB"/>
              </w:rPr>
              <w:t>5%</w:t>
            </w:r>
            <w:r w:rsidR="00F51697" w:rsidRPr="00742B86">
              <w:rPr>
                <w:rFonts w:cs="Arial"/>
                <w:bCs/>
                <w:color w:val="000000"/>
                <w:spacing w:val="-5"/>
                <w:szCs w:val="20"/>
                <w:lang w:val="en-GB"/>
              </w:rPr>
              <w:t xml:space="preserve"> here and in Q</w:t>
            </w:r>
            <w:r w:rsidR="00E97F14" w:rsidRPr="00742B86">
              <w:rPr>
                <w:rFonts w:cs="Arial"/>
                <w:bCs/>
                <w:color w:val="000000"/>
                <w:spacing w:val="-5"/>
                <w:szCs w:val="20"/>
                <w:lang w:val="en-GB"/>
              </w:rPr>
              <w:t>4</w:t>
            </w:r>
            <w:r w:rsidR="00F51697" w:rsidRPr="00742B86">
              <w:rPr>
                <w:rFonts w:cs="Arial"/>
                <w:bCs/>
                <w:color w:val="000000"/>
                <w:spacing w:val="-5"/>
                <w:szCs w:val="20"/>
                <w:lang w:val="en-GB"/>
              </w:rPr>
              <w:t xml:space="preserve"> already contributed to the reduction of jobs in the</w:t>
            </w:r>
            <w:r w:rsidR="007705B1">
              <w:rPr>
                <w:rFonts w:cs="Arial"/>
                <w:bCs/>
                <w:color w:val="000000"/>
                <w:spacing w:val="-5"/>
                <w:szCs w:val="20"/>
                <w:lang w:val="en-GB"/>
              </w:rPr>
              <w:t xml:space="preserve"> whole</w:t>
            </w:r>
            <w:r w:rsidR="00F51697" w:rsidRPr="00742B86">
              <w:rPr>
                <w:rFonts w:cs="Arial"/>
                <w:bCs/>
                <w:color w:val="000000"/>
                <w:spacing w:val="-5"/>
                <w:szCs w:val="20"/>
                <w:lang w:val="en-GB"/>
              </w:rPr>
              <w:t xml:space="preserve"> economy more than the whole industry</w:t>
            </w:r>
            <w:r w:rsidR="007705B1">
              <w:rPr>
                <w:rFonts w:cs="Arial"/>
                <w:bCs/>
                <w:color w:val="000000"/>
                <w:spacing w:val="-5"/>
                <w:szCs w:val="20"/>
                <w:lang w:val="en-GB"/>
              </w:rPr>
              <w:t xml:space="preserve"> itself</w:t>
            </w:r>
            <w:r w:rsidR="00F51697" w:rsidRPr="00742B86">
              <w:rPr>
                <w:rFonts w:cs="Arial"/>
                <w:bCs/>
                <w:color w:val="000000"/>
                <w:spacing w:val="-5"/>
                <w:szCs w:val="20"/>
                <w:lang w:val="en-GB"/>
              </w:rPr>
              <w:t xml:space="preserve">. </w:t>
            </w:r>
            <w:r w:rsidR="00FA23E8" w:rsidRPr="00742B86">
              <w:rPr>
                <w:rFonts w:cs="Arial"/>
                <w:bCs/>
                <w:color w:val="000000"/>
                <w:spacing w:val="-5"/>
                <w:szCs w:val="20"/>
                <w:lang w:val="en-GB"/>
              </w:rPr>
              <w:t xml:space="preserve">Branch professional, scientific, </w:t>
            </w:r>
            <w:r w:rsidR="00F51697" w:rsidRPr="00742B86">
              <w:rPr>
                <w:rFonts w:cs="Arial"/>
                <w:bCs/>
                <w:color w:val="000000"/>
                <w:spacing w:val="-5"/>
                <w:szCs w:val="20"/>
                <w:lang w:val="en-GB"/>
              </w:rPr>
              <w:t>technical,</w:t>
            </w:r>
            <w:r w:rsidR="00FA23E8" w:rsidRPr="00742B86">
              <w:rPr>
                <w:rFonts w:cs="Arial"/>
                <w:bCs/>
                <w:color w:val="000000"/>
                <w:spacing w:val="-5"/>
                <w:szCs w:val="20"/>
                <w:lang w:val="en-GB"/>
              </w:rPr>
              <w:t xml:space="preserve"> and administrative and support service activities, which reduced workers by 4.6% last year - the most in the era of the independent CR – was also hit strongly. </w:t>
            </w:r>
            <w:r w:rsidR="00D3640A" w:rsidRPr="00742B86">
              <w:rPr>
                <w:rFonts w:cs="Arial"/>
                <w:bCs/>
                <w:color w:val="000000"/>
                <w:spacing w:val="-5"/>
                <w:szCs w:val="20"/>
                <w:lang w:val="en-GB"/>
              </w:rPr>
              <w:t>It contrasted with the development in the long-term evolving information and communication,</w:t>
            </w:r>
            <w:r w:rsidR="00835E9A" w:rsidRPr="00742B86">
              <w:rPr>
                <w:rFonts w:cs="Arial"/>
                <w:bCs/>
                <w:color w:val="000000"/>
                <w:spacing w:val="-5"/>
                <w:szCs w:val="20"/>
                <w:lang w:val="en-GB"/>
              </w:rPr>
              <w:t xml:space="preserve"> whose significance was </w:t>
            </w:r>
            <w:proofErr w:type="gramStart"/>
            <w:r w:rsidR="007705B1" w:rsidRPr="00742B86">
              <w:rPr>
                <w:rFonts w:cs="Arial"/>
                <w:bCs/>
                <w:color w:val="000000"/>
                <w:spacing w:val="-5"/>
                <w:szCs w:val="20"/>
                <w:lang w:val="en-GB"/>
              </w:rPr>
              <w:t>further</w:t>
            </w:r>
            <w:proofErr w:type="gramEnd"/>
            <w:r w:rsidR="007705B1" w:rsidRPr="00742B86">
              <w:rPr>
                <w:rFonts w:cs="Arial"/>
                <w:bCs/>
                <w:color w:val="000000"/>
                <w:spacing w:val="-5"/>
                <w:szCs w:val="20"/>
                <w:lang w:val="en-GB"/>
              </w:rPr>
              <w:t xml:space="preserve"> strengthened </w:t>
            </w:r>
            <w:r w:rsidR="007705B1">
              <w:rPr>
                <w:rFonts w:cs="Arial"/>
                <w:bCs/>
                <w:color w:val="000000"/>
                <w:spacing w:val="-5"/>
                <w:szCs w:val="20"/>
                <w:lang w:val="en-GB"/>
              </w:rPr>
              <w:t>(</w:t>
            </w:r>
            <w:r w:rsidR="00835E9A" w:rsidRPr="00742B86">
              <w:rPr>
                <w:rFonts w:cs="Arial"/>
                <w:bCs/>
                <w:color w:val="000000"/>
                <w:spacing w:val="-5"/>
                <w:szCs w:val="20"/>
                <w:lang w:val="en-GB"/>
              </w:rPr>
              <w:t xml:space="preserve">thanks to the measures adopted to limit personal contacts </w:t>
            </w:r>
            <w:r w:rsidR="007705B1">
              <w:rPr>
                <w:rFonts w:cs="Arial"/>
                <w:bCs/>
                <w:color w:val="000000"/>
                <w:spacing w:val="-5"/>
                <w:szCs w:val="20"/>
                <w:lang w:val="en-GB"/>
              </w:rPr>
              <w:t xml:space="preserve">– </w:t>
            </w:r>
            <w:r w:rsidR="00495273" w:rsidRPr="00742B86">
              <w:rPr>
                <w:rFonts w:cs="Arial"/>
                <w:bCs/>
                <w:color w:val="000000"/>
                <w:spacing w:val="-5"/>
                <w:szCs w:val="20"/>
                <w:lang w:val="en-GB"/>
              </w:rPr>
              <w:t>home office work, dist</w:t>
            </w:r>
            <w:r w:rsidR="00835E9A" w:rsidRPr="00742B86">
              <w:rPr>
                <w:rFonts w:cs="Arial"/>
                <w:bCs/>
                <w:color w:val="000000"/>
                <w:spacing w:val="-5"/>
                <w:szCs w:val="20"/>
                <w:lang w:val="en-GB"/>
              </w:rPr>
              <w:t>ance learning</w:t>
            </w:r>
            <w:r w:rsidR="00E97F14" w:rsidRPr="00742B86">
              <w:rPr>
                <w:rFonts w:cs="Arial"/>
                <w:bCs/>
                <w:color w:val="000000"/>
                <w:spacing w:val="-5"/>
                <w:szCs w:val="20"/>
                <w:lang w:val="en-GB"/>
              </w:rPr>
              <w:t>)</w:t>
            </w:r>
            <w:r w:rsidR="00835E9A" w:rsidRPr="00742B86">
              <w:rPr>
                <w:rFonts w:cs="Arial"/>
                <w:bCs/>
                <w:color w:val="000000"/>
                <w:spacing w:val="-5"/>
                <w:szCs w:val="20"/>
                <w:lang w:val="en-GB"/>
              </w:rPr>
              <w:t>. Last year´s growth of employment</w:t>
            </w:r>
            <w:r w:rsidR="000E3A07" w:rsidRPr="00742B86">
              <w:rPr>
                <w:rFonts w:cs="Arial"/>
                <w:bCs/>
                <w:color w:val="000000"/>
                <w:spacing w:val="-5"/>
                <w:szCs w:val="20"/>
                <w:lang w:val="en-GB"/>
              </w:rPr>
              <w:t xml:space="preserve"> compared to strong rates of growth from the last four years </w:t>
            </w:r>
            <w:r w:rsidR="00E97F14" w:rsidRPr="00742B86">
              <w:rPr>
                <w:rFonts w:cs="Arial"/>
                <w:bCs/>
                <w:color w:val="000000"/>
                <w:spacing w:val="-5"/>
                <w:szCs w:val="20"/>
                <w:lang w:val="en-GB"/>
              </w:rPr>
              <w:t>(4 </w:t>
            </w:r>
            <w:r w:rsidR="000E3A07" w:rsidRPr="00742B86">
              <w:rPr>
                <w:rFonts w:cs="Arial"/>
                <w:bCs/>
                <w:color w:val="000000"/>
                <w:spacing w:val="-5"/>
                <w:szCs w:val="20"/>
                <w:lang w:val="en-GB"/>
              </w:rPr>
              <w:t xml:space="preserve">to </w:t>
            </w:r>
            <w:r w:rsidR="00E97F14" w:rsidRPr="00742B86">
              <w:rPr>
                <w:rFonts w:cs="Arial"/>
                <w:bCs/>
                <w:color w:val="000000"/>
                <w:spacing w:val="-5"/>
                <w:szCs w:val="20"/>
                <w:lang w:val="en-GB"/>
              </w:rPr>
              <w:t>5%)</w:t>
            </w:r>
            <w:r w:rsidR="000E3A07" w:rsidRPr="00742B86">
              <w:rPr>
                <w:rFonts w:cs="Arial"/>
                <w:bCs/>
                <w:color w:val="000000"/>
                <w:spacing w:val="-5"/>
                <w:szCs w:val="20"/>
                <w:lang w:val="en-GB"/>
              </w:rPr>
              <w:t xml:space="preserve"> did not slacken much. Public services also did not divert from the longer term </w:t>
            </w:r>
            <w:r w:rsidR="0019691A" w:rsidRPr="00742B86">
              <w:rPr>
                <w:rFonts w:cs="Arial"/>
                <w:bCs/>
                <w:color w:val="000000"/>
                <w:spacing w:val="-5"/>
                <w:szCs w:val="20"/>
                <w:lang w:val="en-GB"/>
              </w:rPr>
              <w:t>t</w:t>
            </w:r>
            <w:r w:rsidR="000E3A07" w:rsidRPr="00742B86">
              <w:rPr>
                <w:rFonts w:cs="Arial"/>
                <w:bCs/>
                <w:color w:val="000000"/>
                <w:spacing w:val="-5"/>
                <w:szCs w:val="20"/>
                <w:lang w:val="en-GB"/>
              </w:rPr>
              <w:t>rends la</w:t>
            </w:r>
            <w:r w:rsidR="007705B1">
              <w:rPr>
                <w:rFonts w:cs="Arial"/>
                <w:bCs/>
                <w:color w:val="000000"/>
                <w:spacing w:val="-5"/>
                <w:szCs w:val="20"/>
                <w:lang w:val="en-GB"/>
              </w:rPr>
              <w:t>st year. Here, mainly education</w:t>
            </w:r>
            <w:r w:rsidR="000E3A07" w:rsidRPr="00742B86">
              <w:rPr>
                <w:rFonts w:cs="Arial"/>
                <w:bCs/>
                <w:color w:val="000000"/>
                <w:spacing w:val="-5"/>
                <w:szCs w:val="20"/>
                <w:lang w:val="en-GB"/>
              </w:rPr>
              <w:t xml:space="preserve"> </w:t>
            </w:r>
            <w:r w:rsidR="007705B1">
              <w:rPr>
                <w:rFonts w:cs="Arial"/>
                <w:bCs/>
                <w:color w:val="000000"/>
                <w:spacing w:val="-5"/>
                <w:szCs w:val="20"/>
                <w:lang w:val="en-GB"/>
              </w:rPr>
              <w:t xml:space="preserve">(and </w:t>
            </w:r>
            <w:r w:rsidR="000E3A07" w:rsidRPr="00742B86">
              <w:rPr>
                <w:rFonts w:cs="Arial"/>
                <w:bCs/>
                <w:color w:val="000000"/>
                <w:spacing w:val="-5"/>
                <w:szCs w:val="20"/>
                <w:lang w:val="en-GB"/>
              </w:rPr>
              <w:t xml:space="preserve">to a lesser </w:t>
            </w:r>
            <w:proofErr w:type="gramStart"/>
            <w:r w:rsidR="000E3A07" w:rsidRPr="00742B86">
              <w:rPr>
                <w:rFonts w:cs="Arial"/>
                <w:bCs/>
                <w:color w:val="000000"/>
                <w:spacing w:val="-5"/>
                <w:szCs w:val="20"/>
                <w:lang w:val="en-GB"/>
              </w:rPr>
              <w:t>extent also</w:t>
            </w:r>
            <w:proofErr w:type="gramEnd"/>
            <w:r w:rsidR="000E3A07" w:rsidRPr="00742B86">
              <w:rPr>
                <w:rFonts w:cs="Arial"/>
                <w:bCs/>
                <w:color w:val="000000"/>
                <w:spacing w:val="-5"/>
                <w:szCs w:val="20"/>
                <w:lang w:val="en-GB"/>
              </w:rPr>
              <w:t xml:space="preserve"> the health and social care</w:t>
            </w:r>
            <w:r w:rsidR="007705B1">
              <w:rPr>
                <w:rFonts w:cs="Arial"/>
                <w:bCs/>
                <w:color w:val="000000"/>
                <w:spacing w:val="-5"/>
                <w:szCs w:val="20"/>
                <w:lang w:val="en-GB"/>
              </w:rPr>
              <w:t>)</w:t>
            </w:r>
            <w:r w:rsidR="000E3A07" w:rsidRPr="00742B86">
              <w:rPr>
                <w:rFonts w:cs="Arial"/>
                <w:bCs/>
                <w:color w:val="000000"/>
                <w:spacing w:val="-5"/>
                <w:szCs w:val="20"/>
                <w:lang w:val="en-GB"/>
              </w:rPr>
              <w:t xml:space="preserve"> contributed to higher employment. Among branches outside the services sector, workers </w:t>
            </w:r>
            <w:proofErr w:type="gramStart"/>
            <w:r w:rsidR="000E3A07" w:rsidRPr="00742B86">
              <w:rPr>
                <w:rFonts w:cs="Arial"/>
                <w:bCs/>
                <w:color w:val="000000"/>
                <w:spacing w:val="-5"/>
                <w:szCs w:val="20"/>
                <w:lang w:val="en-GB"/>
              </w:rPr>
              <w:t>were added</w:t>
            </w:r>
            <w:proofErr w:type="gramEnd"/>
            <w:r w:rsidR="000E3A07" w:rsidRPr="00742B86">
              <w:rPr>
                <w:rFonts w:cs="Arial"/>
                <w:bCs/>
                <w:color w:val="000000"/>
                <w:spacing w:val="-5"/>
                <w:szCs w:val="20"/>
                <w:lang w:val="en-GB"/>
              </w:rPr>
              <w:t xml:space="preserve"> also in construction </w:t>
            </w:r>
            <w:r w:rsidR="00E97F14" w:rsidRPr="00742B86">
              <w:rPr>
                <w:rFonts w:cs="Arial"/>
                <w:bCs/>
                <w:color w:val="000000"/>
                <w:spacing w:val="-5"/>
                <w:szCs w:val="20"/>
                <w:lang w:val="en-GB"/>
              </w:rPr>
              <w:t>(+1</w:t>
            </w:r>
            <w:r w:rsidR="000E3A07" w:rsidRPr="00742B86">
              <w:rPr>
                <w:rFonts w:cs="Arial"/>
                <w:bCs/>
                <w:color w:val="000000"/>
                <w:spacing w:val="-5"/>
                <w:szCs w:val="20"/>
                <w:lang w:val="en-GB"/>
              </w:rPr>
              <w:t>.</w:t>
            </w:r>
            <w:r w:rsidR="00E97F14" w:rsidRPr="00742B86">
              <w:rPr>
                <w:rFonts w:cs="Arial"/>
                <w:bCs/>
                <w:color w:val="000000"/>
                <w:spacing w:val="-5"/>
                <w:szCs w:val="20"/>
                <w:lang w:val="en-GB"/>
              </w:rPr>
              <w:t>5%,</w:t>
            </w:r>
            <w:r w:rsidR="000E3A07" w:rsidRPr="00742B86">
              <w:rPr>
                <w:rFonts w:cs="Arial"/>
                <w:bCs/>
                <w:color w:val="000000"/>
                <w:spacing w:val="-5"/>
                <w:szCs w:val="20"/>
                <w:lang w:val="en-GB"/>
              </w:rPr>
              <w:t xml:space="preserve"> the most in the last decade</w:t>
            </w:r>
            <w:r w:rsidR="00E97F14" w:rsidRPr="00742B86">
              <w:rPr>
                <w:rFonts w:cs="Arial"/>
                <w:bCs/>
                <w:color w:val="000000"/>
                <w:spacing w:val="-5"/>
                <w:szCs w:val="20"/>
                <w:lang w:val="en-GB"/>
              </w:rPr>
              <w:t>).</w:t>
            </w:r>
          </w:p>
        </w:tc>
      </w:tr>
      <w:tr w:rsidR="00E97F14" w:rsidRPr="00742B86" w:rsidTr="00370CFF">
        <w:trPr>
          <w:trHeight w:val="155"/>
        </w:trPr>
        <w:tc>
          <w:tcPr>
            <w:tcW w:w="1687" w:type="dxa"/>
            <w:shd w:val="clear" w:color="auto" w:fill="auto"/>
            <w:tcMar>
              <w:left w:w="0" w:type="dxa"/>
            </w:tcMar>
          </w:tcPr>
          <w:p w:rsidR="00E97F14" w:rsidRPr="00742B86" w:rsidRDefault="00D5376B" w:rsidP="0091476D">
            <w:pPr>
              <w:pStyle w:val="Marginlie"/>
              <w:spacing w:after="120"/>
              <w:rPr>
                <w:spacing w:val="-4"/>
                <w:lang w:val="en-GB"/>
              </w:rPr>
            </w:pPr>
            <w:r w:rsidRPr="00742B86">
              <w:rPr>
                <w:spacing w:val="-4"/>
                <w:lang w:val="en-GB"/>
              </w:rPr>
              <w:t xml:space="preserve">Number of employees shrank relatively more than number of entrepreneurs last year. </w:t>
            </w:r>
          </w:p>
          <w:p w:rsidR="00E97F14" w:rsidRPr="00742B86" w:rsidRDefault="00E97F14" w:rsidP="0091476D">
            <w:pPr>
              <w:pStyle w:val="Marginlie"/>
              <w:spacing w:after="120"/>
              <w:rPr>
                <w:spacing w:val="-4"/>
                <w:lang w:val="en-GB"/>
              </w:rPr>
            </w:pPr>
          </w:p>
          <w:p w:rsidR="00E97F14" w:rsidRPr="00742B86" w:rsidRDefault="00D5376B" w:rsidP="0091476D">
            <w:pPr>
              <w:pStyle w:val="Marginlie"/>
              <w:spacing w:after="120"/>
              <w:rPr>
                <w:spacing w:val="-4"/>
                <w:lang w:val="en-GB"/>
              </w:rPr>
            </w:pPr>
            <w:r w:rsidRPr="00742B86">
              <w:rPr>
                <w:spacing w:val="-4"/>
                <w:lang w:val="en-GB"/>
              </w:rPr>
              <w:t xml:space="preserve">Entrepreneurs worked by 10% hours less year-on-year last year, employees by </w:t>
            </w:r>
            <w:r w:rsidR="00E97F14" w:rsidRPr="00742B86">
              <w:rPr>
                <w:spacing w:val="-4"/>
                <w:lang w:val="en-GB"/>
              </w:rPr>
              <w:t>5%.</w:t>
            </w:r>
          </w:p>
        </w:tc>
        <w:tc>
          <w:tcPr>
            <w:tcW w:w="182" w:type="dxa"/>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97F14" w:rsidRPr="00742B86" w:rsidRDefault="000436C5" w:rsidP="0091476D">
            <w:pPr>
              <w:spacing w:after="220"/>
              <w:rPr>
                <w:rFonts w:cs="Arial"/>
                <w:bCs/>
                <w:color w:val="000000"/>
                <w:spacing w:val="-4"/>
                <w:szCs w:val="20"/>
                <w:lang w:val="en-GB"/>
              </w:rPr>
            </w:pPr>
            <w:r>
              <w:rPr>
                <w:rFonts w:cs="Arial"/>
                <w:bCs/>
                <w:color w:val="000000"/>
                <w:spacing w:val="-4"/>
                <w:szCs w:val="20"/>
                <w:lang w:val="en-GB"/>
              </w:rPr>
              <w:t>In the</w:t>
            </w:r>
            <w:r w:rsidR="00D3546A" w:rsidRPr="00742B86">
              <w:rPr>
                <w:rFonts w:cs="Arial"/>
                <w:bCs/>
                <w:color w:val="000000"/>
                <w:spacing w:val="-4"/>
                <w:szCs w:val="20"/>
                <w:lang w:val="en-GB"/>
              </w:rPr>
              <w:t xml:space="preserve"> year </w:t>
            </w:r>
            <w:r w:rsidR="00E97F14" w:rsidRPr="00742B86">
              <w:rPr>
                <w:rFonts w:cs="Arial"/>
                <w:bCs/>
                <w:color w:val="000000"/>
                <w:spacing w:val="-4"/>
                <w:szCs w:val="20"/>
                <w:lang w:val="en-GB"/>
              </w:rPr>
              <w:t>2020</w:t>
            </w:r>
            <w:r w:rsidR="00D3546A" w:rsidRPr="00742B86">
              <w:rPr>
                <w:rFonts w:cs="Arial"/>
                <w:bCs/>
                <w:color w:val="000000"/>
                <w:spacing w:val="-4"/>
                <w:szCs w:val="20"/>
                <w:lang w:val="en-GB"/>
              </w:rPr>
              <w:t xml:space="preserve">, both the number of employees </w:t>
            </w:r>
            <w:r w:rsidR="00E97F14" w:rsidRPr="00742B86">
              <w:rPr>
                <w:rFonts w:cs="Arial"/>
                <w:bCs/>
                <w:color w:val="000000"/>
                <w:spacing w:val="-4"/>
                <w:szCs w:val="20"/>
                <w:lang w:val="en-GB"/>
              </w:rPr>
              <w:t>(–1</w:t>
            </w:r>
            <w:r w:rsidR="00D3546A" w:rsidRPr="00742B86">
              <w:rPr>
                <w:rFonts w:cs="Arial"/>
                <w:bCs/>
                <w:color w:val="000000"/>
                <w:spacing w:val="-4"/>
                <w:szCs w:val="20"/>
                <w:lang w:val="en-GB"/>
              </w:rPr>
              <w:t>.</w:t>
            </w:r>
            <w:r w:rsidR="00E97F14" w:rsidRPr="00742B86">
              <w:rPr>
                <w:rFonts w:cs="Arial"/>
                <w:bCs/>
                <w:color w:val="000000"/>
                <w:spacing w:val="-4"/>
                <w:szCs w:val="20"/>
                <w:lang w:val="en-GB"/>
              </w:rPr>
              <w:t>5%)</w:t>
            </w:r>
            <w:r w:rsidR="00D3546A" w:rsidRPr="00742B86">
              <w:rPr>
                <w:rFonts w:cs="Arial"/>
                <w:bCs/>
                <w:color w:val="000000"/>
                <w:spacing w:val="-4"/>
                <w:szCs w:val="20"/>
                <w:lang w:val="en-GB"/>
              </w:rPr>
              <w:t xml:space="preserve"> and entrepreneurs </w:t>
            </w:r>
            <w:r w:rsidR="00E97F14" w:rsidRPr="00742B86">
              <w:rPr>
                <w:rFonts w:cs="Arial"/>
                <w:bCs/>
                <w:color w:val="000000"/>
                <w:spacing w:val="-4"/>
                <w:szCs w:val="20"/>
                <w:lang w:val="en-GB"/>
              </w:rPr>
              <w:t>(–1</w:t>
            </w:r>
            <w:r w:rsidR="00D3546A" w:rsidRPr="00742B86">
              <w:rPr>
                <w:rFonts w:cs="Arial"/>
                <w:bCs/>
                <w:color w:val="000000"/>
                <w:spacing w:val="-4"/>
                <w:szCs w:val="20"/>
                <w:lang w:val="en-GB"/>
              </w:rPr>
              <w:t>.</w:t>
            </w:r>
            <w:r w:rsidR="00E97F14" w:rsidRPr="00742B86">
              <w:rPr>
                <w:rFonts w:cs="Arial"/>
                <w:bCs/>
                <w:color w:val="000000"/>
                <w:spacing w:val="-4"/>
                <w:szCs w:val="20"/>
                <w:lang w:val="en-GB"/>
              </w:rPr>
              <w:t>2%)</w:t>
            </w:r>
            <w:r w:rsidR="00D3546A" w:rsidRPr="00742B86">
              <w:rPr>
                <w:rFonts w:cs="Arial"/>
                <w:bCs/>
                <w:color w:val="000000"/>
                <w:spacing w:val="-4"/>
                <w:szCs w:val="20"/>
                <w:lang w:val="en-GB"/>
              </w:rPr>
              <w:t xml:space="preserve"> decreased</w:t>
            </w:r>
            <w:r w:rsidR="00E97F14" w:rsidRPr="00742B86">
              <w:rPr>
                <w:rStyle w:val="Znakapoznpodarou"/>
                <w:bCs/>
                <w:color w:val="000000"/>
                <w:spacing w:val="-4"/>
                <w:szCs w:val="20"/>
                <w:lang w:val="en-GB"/>
              </w:rPr>
              <w:footnoteReference w:id="51"/>
            </w:r>
            <w:r w:rsidR="00E97F14" w:rsidRPr="00742B86">
              <w:rPr>
                <w:rFonts w:cs="Arial"/>
                <w:bCs/>
                <w:color w:val="000000"/>
                <w:spacing w:val="-4"/>
                <w:szCs w:val="20"/>
                <w:lang w:val="en-GB"/>
              </w:rPr>
              <w:t xml:space="preserve">. </w:t>
            </w:r>
            <w:r w:rsidR="00D5376B" w:rsidRPr="00742B86">
              <w:rPr>
                <w:rFonts w:cs="Arial"/>
                <w:bCs/>
                <w:color w:val="000000"/>
                <w:spacing w:val="-4"/>
                <w:szCs w:val="20"/>
                <w:lang w:val="en-GB"/>
              </w:rPr>
              <w:t>Adverse development of self-employe</w:t>
            </w:r>
            <w:r w:rsidR="00D3546A" w:rsidRPr="00742B86">
              <w:rPr>
                <w:rFonts w:cs="Arial"/>
                <w:bCs/>
                <w:color w:val="000000"/>
                <w:spacing w:val="-4"/>
                <w:szCs w:val="20"/>
                <w:lang w:val="en-GB"/>
              </w:rPr>
              <w:t>d</w:t>
            </w:r>
            <w:r w:rsidR="00D5376B" w:rsidRPr="00742B86">
              <w:rPr>
                <w:rFonts w:cs="Arial"/>
                <w:bCs/>
                <w:color w:val="000000"/>
                <w:spacing w:val="-4"/>
                <w:szCs w:val="20"/>
                <w:lang w:val="en-GB"/>
              </w:rPr>
              <w:t xml:space="preserve"> in </w:t>
            </w:r>
            <w:r w:rsidR="00D3546A" w:rsidRPr="00742B86">
              <w:rPr>
                <w:rFonts w:cs="Arial"/>
                <w:bCs/>
                <w:color w:val="000000"/>
                <w:spacing w:val="-4"/>
                <w:szCs w:val="20"/>
                <w:lang w:val="en-GB"/>
              </w:rPr>
              <w:t>manufacturing</w:t>
            </w:r>
            <w:r w:rsidR="00D5376B" w:rsidRPr="00742B86">
              <w:rPr>
                <w:rFonts w:cs="Arial"/>
                <w:bCs/>
                <w:color w:val="000000"/>
                <w:spacing w:val="-4"/>
                <w:szCs w:val="20"/>
                <w:lang w:val="en-GB"/>
              </w:rPr>
              <w:t xml:space="preserve"> or </w:t>
            </w:r>
            <w:r>
              <w:rPr>
                <w:rFonts w:cs="Arial"/>
                <w:bCs/>
                <w:color w:val="000000"/>
                <w:spacing w:val="-4"/>
                <w:szCs w:val="20"/>
                <w:lang w:val="en-GB"/>
              </w:rPr>
              <w:t>in activities</w:t>
            </w:r>
            <w:r w:rsidR="00D5376B" w:rsidRPr="00742B86">
              <w:rPr>
                <w:rFonts w:cs="Arial"/>
                <w:bCs/>
                <w:color w:val="000000"/>
                <w:spacing w:val="-4"/>
                <w:szCs w:val="20"/>
                <w:lang w:val="en-GB"/>
              </w:rPr>
              <w:t xml:space="preserve"> tied to tourism </w:t>
            </w:r>
            <w:proofErr w:type="gramStart"/>
            <w:r w:rsidR="00D5376B" w:rsidRPr="00742B86">
              <w:rPr>
                <w:rFonts w:cs="Arial"/>
                <w:bCs/>
                <w:color w:val="000000"/>
                <w:spacing w:val="-4"/>
                <w:szCs w:val="20"/>
                <w:lang w:val="en-GB"/>
              </w:rPr>
              <w:t>was partially offset</w:t>
            </w:r>
            <w:proofErr w:type="gramEnd"/>
            <w:r w:rsidR="00D5376B" w:rsidRPr="00742B86">
              <w:rPr>
                <w:rFonts w:cs="Arial"/>
                <w:bCs/>
                <w:color w:val="000000"/>
                <w:spacing w:val="-4"/>
                <w:szCs w:val="20"/>
                <w:lang w:val="en-GB"/>
              </w:rPr>
              <w:t xml:space="preserve"> by higher entrepreneurial activity in constr</w:t>
            </w:r>
            <w:r w:rsidR="006256B8" w:rsidRPr="00742B86">
              <w:rPr>
                <w:rFonts w:cs="Arial"/>
                <w:bCs/>
                <w:color w:val="000000"/>
                <w:spacing w:val="-4"/>
                <w:szCs w:val="20"/>
                <w:lang w:val="en-GB"/>
              </w:rPr>
              <w:t>u</w:t>
            </w:r>
            <w:r w:rsidR="00D5376B" w:rsidRPr="00742B86">
              <w:rPr>
                <w:rFonts w:cs="Arial"/>
                <w:bCs/>
                <w:color w:val="000000"/>
                <w:spacing w:val="-4"/>
                <w:szCs w:val="20"/>
                <w:lang w:val="en-GB"/>
              </w:rPr>
              <w:t>ction o</w:t>
            </w:r>
            <w:r w:rsidR="006256B8" w:rsidRPr="00742B86">
              <w:rPr>
                <w:rFonts w:cs="Arial"/>
                <w:bCs/>
                <w:color w:val="000000"/>
                <w:spacing w:val="-4"/>
                <w:szCs w:val="20"/>
                <w:lang w:val="en-GB"/>
              </w:rPr>
              <w:t>r</w:t>
            </w:r>
            <w:r>
              <w:rPr>
                <w:rFonts w:cs="Arial"/>
                <w:bCs/>
                <w:color w:val="000000"/>
                <w:spacing w:val="-4"/>
                <w:szCs w:val="20"/>
                <w:lang w:val="en-GB"/>
              </w:rPr>
              <w:t xml:space="preserve"> ICT</w:t>
            </w:r>
            <w:r w:rsidR="00D5376B" w:rsidRPr="00742B86">
              <w:rPr>
                <w:rFonts w:cs="Arial"/>
                <w:bCs/>
                <w:color w:val="000000"/>
                <w:spacing w:val="-4"/>
                <w:szCs w:val="20"/>
                <w:lang w:val="en-GB"/>
              </w:rPr>
              <w:t xml:space="preserve">. </w:t>
            </w:r>
            <w:r>
              <w:rPr>
                <w:rFonts w:cs="Arial"/>
                <w:bCs/>
                <w:color w:val="000000"/>
                <w:spacing w:val="-4"/>
                <w:szCs w:val="20"/>
                <w:lang w:val="en-GB"/>
              </w:rPr>
              <w:t>Fact, that the number</w:t>
            </w:r>
            <w:r w:rsidR="00D3546A" w:rsidRPr="00742B86">
              <w:rPr>
                <w:rFonts w:cs="Arial"/>
                <w:bCs/>
                <w:color w:val="000000"/>
                <w:spacing w:val="-4"/>
                <w:szCs w:val="20"/>
                <w:lang w:val="en-GB"/>
              </w:rPr>
              <w:t xml:space="preserve"> of entrepreneurs did not fall</w:t>
            </w:r>
            <w:r>
              <w:rPr>
                <w:rFonts w:cs="Arial"/>
                <w:bCs/>
                <w:color w:val="000000"/>
                <w:spacing w:val="-4"/>
                <w:szCs w:val="20"/>
                <w:lang w:val="en-GB"/>
              </w:rPr>
              <w:t xml:space="preserve"> even</w:t>
            </w:r>
            <w:r w:rsidR="00D3546A" w:rsidRPr="00742B86">
              <w:rPr>
                <w:rFonts w:cs="Arial"/>
                <w:bCs/>
                <w:color w:val="000000"/>
                <w:spacing w:val="-4"/>
                <w:szCs w:val="20"/>
                <w:lang w:val="en-GB"/>
              </w:rPr>
              <w:t xml:space="preserve"> more does not </w:t>
            </w:r>
            <w:proofErr w:type="gramStart"/>
            <w:r w:rsidR="00D3546A" w:rsidRPr="00742B86">
              <w:rPr>
                <w:rFonts w:cs="Arial"/>
                <w:bCs/>
                <w:color w:val="000000"/>
                <w:spacing w:val="-4"/>
                <w:szCs w:val="20"/>
                <w:lang w:val="en-GB"/>
              </w:rPr>
              <w:t>mean,</w:t>
            </w:r>
            <w:proofErr w:type="gramEnd"/>
            <w:r w:rsidR="00D3546A" w:rsidRPr="00742B86">
              <w:rPr>
                <w:rFonts w:cs="Arial"/>
                <w:bCs/>
                <w:color w:val="000000"/>
                <w:spacing w:val="-4"/>
                <w:szCs w:val="20"/>
                <w:lang w:val="en-GB"/>
              </w:rPr>
              <w:t xml:space="preserve"> that this segment of the labour market was not considerably hit by the </w:t>
            </w:r>
            <w:r w:rsidR="00632579">
              <w:rPr>
                <w:rFonts w:cs="Arial"/>
                <w:bCs/>
                <w:color w:val="000000"/>
                <w:spacing w:val="-4"/>
                <w:szCs w:val="20"/>
                <w:lang w:val="en-GB"/>
              </w:rPr>
              <w:t>anti-</w:t>
            </w:r>
            <w:r w:rsidR="00D3546A" w:rsidRPr="00742B86">
              <w:rPr>
                <w:rFonts w:cs="Arial"/>
                <w:bCs/>
                <w:color w:val="000000"/>
                <w:spacing w:val="-4"/>
                <w:szCs w:val="20"/>
                <w:lang w:val="en-GB"/>
              </w:rPr>
              <w:t>pandemic measures. The</w:t>
            </w:r>
            <w:r w:rsidR="00632579">
              <w:rPr>
                <w:rFonts w:cs="Arial"/>
                <w:bCs/>
                <w:color w:val="000000"/>
                <w:spacing w:val="-4"/>
                <w:szCs w:val="20"/>
                <w:lang w:val="en-GB"/>
              </w:rPr>
              <w:t xml:space="preserve"> average weekly number of </w:t>
            </w:r>
            <w:r w:rsidR="00D3546A" w:rsidRPr="00742B86">
              <w:rPr>
                <w:rFonts w:cs="Arial"/>
                <w:bCs/>
                <w:color w:val="000000"/>
                <w:spacing w:val="-4"/>
                <w:szCs w:val="20"/>
                <w:lang w:val="en-GB"/>
              </w:rPr>
              <w:t xml:space="preserve">worked hours of entrepreneurs </w:t>
            </w:r>
            <w:r w:rsidR="00E97F14" w:rsidRPr="00742B86">
              <w:rPr>
                <w:rFonts w:cs="Arial"/>
                <w:bCs/>
                <w:color w:val="000000"/>
                <w:spacing w:val="-4"/>
                <w:szCs w:val="20"/>
                <w:lang w:val="en-GB"/>
              </w:rPr>
              <w:t>(</w:t>
            </w:r>
            <w:r w:rsidR="00D3546A" w:rsidRPr="00742B86">
              <w:rPr>
                <w:rFonts w:cs="Arial"/>
                <w:bCs/>
                <w:color w:val="000000"/>
                <w:spacing w:val="-4"/>
                <w:szCs w:val="20"/>
                <w:lang w:val="en-GB"/>
              </w:rPr>
              <w:t>in main employment</w:t>
            </w:r>
            <w:r w:rsidR="00E97F14" w:rsidRPr="00742B86">
              <w:rPr>
                <w:rFonts w:cs="Arial"/>
                <w:bCs/>
                <w:color w:val="000000"/>
                <w:spacing w:val="-4"/>
                <w:szCs w:val="20"/>
                <w:lang w:val="en-GB"/>
              </w:rPr>
              <w:t>)</w:t>
            </w:r>
            <w:r w:rsidR="00D3546A" w:rsidRPr="00742B86">
              <w:rPr>
                <w:rFonts w:cs="Arial"/>
                <w:bCs/>
                <w:color w:val="000000"/>
                <w:spacing w:val="-4"/>
                <w:szCs w:val="20"/>
                <w:lang w:val="en-GB"/>
              </w:rPr>
              <w:t xml:space="preserve"> during the both </w:t>
            </w:r>
            <w:r w:rsidR="00202575">
              <w:rPr>
                <w:rFonts w:cs="Arial"/>
                <w:bCs/>
                <w:color w:val="000000"/>
                <w:spacing w:val="-4"/>
                <w:szCs w:val="20"/>
                <w:lang w:val="en-GB"/>
              </w:rPr>
              <w:t>spring</w:t>
            </w:r>
            <w:r w:rsidR="00D3546A" w:rsidRPr="00742B86">
              <w:rPr>
                <w:rFonts w:cs="Arial"/>
                <w:bCs/>
                <w:color w:val="000000"/>
                <w:spacing w:val="-4"/>
                <w:szCs w:val="20"/>
                <w:lang w:val="en-GB"/>
              </w:rPr>
              <w:t xml:space="preserve"> and </w:t>
            </w:r>
            <w:r w:rsidR="00202575">
              <w:rPr>
                <w:rFonts w:cs="Arial"/>
                <w:bCs/>
                <w:color w:val="000000"/>
                <w:spacing w:val="-4"/>
                <w:szCs w:val="20"/>
                <w:lang w:val="en-GB"/>
              </w:rPr>
              <w:t>autumn</w:t>
            </w:r>
            <w:r w:rsidR="00D3546A" w:rsidRPr="00742B86">
              <w:rPr>
                <w:rFonts w:cs="Arial"/>
                <w:bCs/>
                <w:color w:val="000000"/>
                <w:spacing w:val="-4"/>
                <w:szCs w:val="20"/>
                <w:lang w:val="en-GB"/>
              </w:rPr>
              <w:t xml:space="preserve"> wave plunged by more than </w:t>
            </w:r>
            <w:r w:rsidR="00E97F14" w:rsidRPr="00742B86">
              <w:rPr>
                <w:spacing w:val="-4"/>
                <w:lang w:val="en-GB"/>
              </w:rPr>
              <w:t>10%</w:t>
            </w:r>
            <w:r w:rsidR="00D3546A" w:rsidRPr="00742B86">
              <w:rPr>
                <w:spacing w:val="-4"/>
                <w:lang w:val="en-GB"/>
              </w:rPr>
              <w:t xml:space="preserve"> year-on-year</w:t>
            </w:r>
            <w:r w:rsidR="00E97F14" w:rsidRPr="00742B86">
              <w:rPr>
                <w:spacing w:val="-4"/>
                <w:lang w:val="en-GB"/>
              </w:rPr>
              <w:t>,</w:t>
            </w:r>
            <w:r w:rsidR="00D3546A" w:rsidRPr="00742B86">
              <w:rPr>
                <w:spacing w:val="-4"/>
                <w:lang w:val="en-GB"/>
              </w:rPr>
              <w:t xml:space="preserve"> in April only even by </w:t>
            </w:r>
            <w:r w:rsidR="00E97F14" w:rsidRPr="00742B86">
              <w:rPr>
                <w:spacing w:val="-4"/>
                <w:lang w:val="en-GB"/>
              </w:rPr>
              <w:t xml:space="preserve">31%. </w:t>
            </w:r>
            <w:r w:rsidR="00D3546A" w:rsidRPr="00742B86">
              <w:rPr>
                <w:spacing w:val="-4"/>
                <w:lang w:val="en-GB"/>
              </w:rPr>
              <w:t xml:space="preserve">For the whole year, the reduction of number of hours worked by entrepreneurs was </w:t>
            </w:r>
            <w:r w:rsidR="00E97F14" w:rsidRPr="00742B86">
              <w:rPr>
                <w:spacing w:val="-4"/>
                <w:lang w:val="en-GB"/>
              </w:rPr>
              <w:t>10% </w:t>
            </w:r>
            <w:r w:rsidR="00E97F14" w:rsidRPr="00742B86">
              <w:rPr>
                <w:rFonts w:cs="Arial"/>
                <w:bCs/>
                <w:color w:val="000000"/>
                <w:spacing w:val="-4"/>
                <w:szCs w:val="20"/>
                <w:lang w:val="en-GB"/>
              </w:rPr>
              <w:t>–</w:t>
            </w:r>
            <w:r w:rsidR="00E97F14" w:rsidRPr="00742B86">
              <w:rPr>
                <w:spacing w:val="-4"/>
                <w:lang w:val="en-GB"/>
              </w:rPr>
              <w:t xml:space="preserve"> </w:t>
            </w:r>
            <w:r w:rsidR="00552860" w:rsidRPr="00742B86">
              <w:rPr>
                <w:spacing w:val="-4"/>
                <w:lang w:val="en-GB"/>
              </w:rPr>
              <w:t>double the number for employees</w:t>
            </w:r>
            <w:r w:rsidR="00E97F14" w:rsidRPr="00742B86">
              <w:rPr>
                <w:rStyle w:val="Znakapoznpodarou"/>
                <w:spacing w:val="-4"/>
                <w:lang w:val="en-GB"/>
              </w:rPr>
              <w:footnoteReference w:id="52"/>
            </w:r>
            <w:r w:rsidR="00E97F14" w:rsidRPr="00742B86">
              <w:rPr>
                <w:spacing w:val="-4"/>
                <w:lang w:val="en-GB"/>
              </w:rPr>
              <w:t xml:space="preserve">. </w:t>
            </w:r>
            <w:r w:rsidR="00632579">
              <w:rPr>
                <w:spacing w:val="-4"/>
                <w:lang w:val="en-GB"/>
              </w:rPr>
              <w:t>The total n</w:t>
            </w:r>
            <w:r w:rsidR="00D3546A" w:rsidRPr="00742B86">
              <w:rPr>
                <w:spacing w:val="-4"/>
                <w:lang w:val="en-GB"/>
              </w:rPr>
              <w:t>umb</w:t>
            </w:r>
            <w:r w:rsidR="00632579">
              <w:rPr>
                <w:spacing w:val="-4"/>
                <w:lang w:val="en-GB"/>
              </w:rPr>
              <w:t xml:space="preserve">er of hours worked in the whole </w:t>
            </w:r>
            <w:r w:rsidR="00D3546A" w:rsidRPr="00742B86">
              <w:rPr>
                <w:spacing w:val="-4"/>
                <w:lang w:val="en-GB"/>
              </w:rPr>
              <w:t xml:space="preserve">economy slumped by record 6% last year. </w:t>
            </w:r>
            <w:r w:rsidR="00632579">
              <w:rPr>
                <w:spacing w:val="-4"/>
                <w:lang w:val="en-GB"/>
              </w:rPr>
              <w:t>It represented</w:t>
            </w:r>
            <w:r w:rsidR="005766CA" w:rsidRPr="00742B86">
              <w:rPr>
                <w:spacing w:val="-4"/>
                <w:lang w:val="en-GB"/>
              </w:rPr>
              <w:t xml:space="preserve"> three times deeper decrease </w:t>
            </w:r>
            <w:r w:rsidR="00D5376B" w:rsidRPr="00742B86">
              <w:rPr>
                <w:spacing w:val="-4"/>
                <w:lang w:val="en-GB"/>
              </w:rPr>
              <w:t xml:space="preserve">compared to the crisis year </w:t>
            </w:r>
            <w:r w:rsidR="00E97F14" w:rsidRPr="00742B86">
              <w:rPr>
                <w:spacing w:val="-4"/>
                <w:lang w:val="en-GB"/>
              </w:rPr>
              <w:t>2009.</w:t>
            </w:r>
          </w:p>
        </w:tc>
      </w:tr>
      <w:tr w:rsidR="00E97F14" w:rsidRPr="00742B86" w:rsidTr="00370CFF">
        <w:trPr>
          <w:trHeight w:val="155"/>
        </w:trPr>
        <w:tc>
          <w:tcPr>
            <w:tcW w:w="1687" w:type="dxa"/>
            <w:shd w:val="clear" w:color="auto" w:fill="auto"/>
            <w:tcMar>
              <w:left w:w="0" w:type="dxa"/>
            </w:tcMar>
          </w:tcPr>
          <w:p w:rsidR="00E97F14" w:rsidRPr="00742B86" w:rsidRDefault="00E97F14" w:rsidP="0091476D">
            <w:pPr>
              <w:pStyle w:val="Marginlie"/>
              <w:spacing w:after="120"/>
              <w:rPr>
                <w:spacing w:val="-4"/>
                <w:lang w:val="en-GB"/>
              </w:rPr>
            </w:pPr>
            <w:r w:rsidRPr="00742B86">
              <w:rPr>
                <w:spacing w:val="-4"/>
                <w:lang w:val="en-GB"/>
              </w:rPr>
              <w:lastRenderedPageBreak/>
              <w:t>Negativ</w:t>
            </w:r>
            <w:r w:rsidR="009645B8">
              <w:rPr>
                <w:spacing w:val="-4"/>
                <w:lang w:val="en-GB"/>
              </w:rPr>
              <w:t>e</w:t>
            </w:r>
            <w:r w:rsidR="00D2638A" w:rsidRPr="00742B86">
              <w:rPr>
                <w:spacing w:val="-4"/>
                <w:lang w:val="en-GB"/>
              </w:rPr>
              <w:t xml:space="preserve"> employment </w:t>
            </w:r>
            <w:r w:rsidR="009645B8">
              <w:rPr>
                <w:spacing w:val="-4"/>
                <w:lang w:val="en-GB"/>
              </w:rPr>
              <w:t xml:space="preserve">expectations </w:t>
            </w:r>
            <w:r w:rsidR="00D2638A" w:rsidRPr="00742B86">
              <w:rPr>
                <w:spacing w:val="-4"/>
                <w:lang w:val="en-GB"/>
              </w:rPr>
              <w:t>deepened in services during Q4.</w:t>
            </w:r>
            <w:r w:rsidR="007D18DA" w:rsidRPr="00742B86">
              <w:rPr>
                <w:spacing w:val="-4"/>
                <w:lang w:val="en-GB"/>
              </w:rPr>
              <w:t xml:space="preserve"> On the </w:t>
            </w:r>
            <w:proofErr w:type="gramStart"/>
            <w:r w:rsidR="007D18DA" w:rsidRPr="00742B86">
              <w:rPr>
                <w:spacing w:val="-4"/>
                <w:lang w:val="en-GB"/>
              </w:rPr>
              <w:t>contrary</w:t>
            </w:r>
            <w:proofErr w:type="gramEnd"/>
            <w:r w:rsidR="007D18DA" w:rsidRPr="00742B86">
              <w:rPr>
                <w:spacing w:val="-4"/>
                <w:lang w:val="en-GB"/>
              </w:rPr>
              <w:t xml:space="preserve"> the pessimism fast subsided in industry. </w:t>
            </w:r>
          </w:p>
        </w:tc>
        <w:tc>
          <w:tcPr>
            <w:tcW w:w="182" w:type="dxa"/>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97F14" w:rsidRPr="00742B86" w:rsidRDefault="00734E1D" w:rsidP="0091476D">
            <w:pPr>
              <w:spacing w:after="220"/>
              <w:rPr>
                <w:rFonts w:cs="Arial"/>
                <w:bCs/>
                <w:color w:val="000000"/>
                <w:spacing w:val="-4"/>
                <w:szCs w:val="20"/>
                <w:lang w:val="en-GB"/>
              </w:rPr>
            </w:pPr>
            <w:r w:rsidRPr="00742B86">
              <w:rPr>
                <w:rFonts w:cs="Arial"/>
                <w:bCs/>
                <w:color w:val="000000"/>
                <w:spacing w:val="-4"/>
                <w:szCs w:val="20"/>
                <w:lang w:val="en-GB"/>
              </w:rPr>
              <w:t xml:space="preserve">After the </w:t>
            </w:r>
            <w:r w:rsidR="00202575">
              <w:rPr>
                <w:rFonts w:cs="Arial"/>
                <w:bCs/>
                <w:color w:val="000000"/>
                <w:spacing w:val="-4"/>
                <w:szCs w:val="20"/>
                <w:lang w:val="en-GB"/>
              </w:rPr>
              <w:t>summer</w:t>
            </w:r>
            <w:r w:rsidRPr="00742B86">
              <w:rPr>
                <w:rFonts w:cs="Arial"/>
                <w:bCs/>
                <w:color w:val="000000"/>
                <w:spacing w:val="-4"/>
                <w:szCs w:val="20"/>
                <w:lang w:val="en-GB"/>
              </w:rPr>
              <w:t xml:space="preserve"> recovery, the </w:t>
            </w:r>
            <w:proofErr w:type="gramStart"/>
            <w:r w:rsidRPr="00742B86">
              <w:rPr>
                <w:rFonts w:cs="Arial"/>
                <w:bCs/>
                <w:color w:val="000000"/>
                <w:spacing w:val="-4"/>
                <w:szCs w:val="20"/>
                <w:lang w:val="en-GB"/>
              </w:rPr>
              <w:t>s</w:t>
            </w:r>
            <w:r w:rsidR="00D2638A" w:rsidRPr="00742B86">
              <w:rPr>
                <w:rFonts w:cs="Arial"/>
                <w:bCs/>
                <w:color w:val="000000"/>
                <w:spacing w:val="-4"/>
                <w:szCs w:val="20"/>
                <w:lang w:val="en-GB"/>
              </w:rPr>
              <w:t>hort term</w:t>
            </w:r>
            <w:proofErr w:type="gramEnd"/>
            <w:r w:rsidR="00D2638A" w:rsidRPr="00742B86">
              <w:rPr>
                <w:rFonts w:cs="Arial"/>
                <w:bCs/>
                <w:color w:val="000000"/>
                <w:spacing w:val="-4"/>
                <w:szCs w:val="20"/>
                <w:lang w:val="en-GB"/>
              </w:rPr>
              <w:t xml:space="preserve"> expectations of businesses in the area of employment </w:t>
            </w:r>
            <w:r w:rsidR="007D18DA" w:rsidRPr="00742B86">
              <w:rPr>
                <w:rFonts w:cs="Arial"/>
                <w:bCs/>
                <w:color w:val="000000"/>
                <w:spacing w:val="-4"/>
                <w:szCs w:val="20"/>
                <w:lang w:val="en-GB"/>
              </w:rPr>
              <w:t>worsened in the majority of main branches</w:t>
            </w:r>
            <w:r w:rsidRPr="00742B86">
              <w:rPr>
                <w:rFonts w:cs="Arial"/>
                <w:bCs/>
                <w:color w:val="000000"/>
                <w:spacing w:val="-4"/>
                <w:szCs w:val="20"/>
                <w:lang w:val="en-GB"/>
              </w:rPr>
              <w:t xml:space="preserve"> during the last year´s quarter </w:t>
            </w:r>
            <w:r w:rsidR="00E97F14" w:rsidRPr="00742B86">
              <w:rPr>
                <w:rFonts w:cs="Arial"/>
                <w:bCs/>
                <w:color w:val="000000"/>
                <w:spacing w:val="-4"/>
                <w:szCs w:val="20"/>
                <w:lang w:val="en-GB"/>
              </w:rPr>
              <w:t>(</w:t>
            </w:r>
            <w:r w:rsidR="00D2638A" w:rsidRPr="00742B86">
              <w:rPr>
                <w:rFonts w:cs="Arial"/>
                <w:bCs/>
                <w:color w:val="000000"/>
                <w:spacing w:val="-4"/>
                <w:szCs w:val="20"/>
                <w:lang w:val="en-GB"/>
              </w:rPr>
              <w:t>mainly in selected services</w:t>
            </w:r>
            <w:r w:rsidR="00E97F14" w:rsidRPr="00742B86">
              <w:rPr>
                <w:rFonts w:cs="Arial"/>
                <w:bCs/>
                <w:color w:val="000000"/>
                <w:spacing w:val="-4"/>
                <w:szCs w:val="20"/>
                <w:lang w:val="en-GB"/>
              </w:rPr>
              <w:t xml:space="preserve">). </w:t>
            </w:r>
            <w:r w:rsidR="00511BF3" w:rsidRPr="00742B86">
              <w:rPr>
                <w:rFonts w:cs="Arial"/>
                <w:bCs/>
                <w:color w:val="000000"/>
                <w:spacing w:val="-4"/>
                <w:szCs w:val="20"/>
                <w:lang w:val="en-GB"/>
              </w:rPr>
              <w:t xml:space="preserve">Still, they were more favourable compared to the peak of the </w:t>
            </w:r>
            <w:r w:rsidR="00202575">
              <w:rPr>
                <w:rFonts w:cs="Arial"/>
                <w:bCs/>
                <w:color w:val="000000"/>
                <w:spacing w:val="-4"/>
                <w:szCs w:val="20"/>
                <w:lang w:val="en-GB"/>
              </w:rPr>
              <w:t>spring</w:t>
            </w:r>
            <w:r w:rsidR="00511BF3" w:rsidRPr="00742B86">
              <w:rPr>
                <w:rFonts w:cs="Arial"/>
                <w:bCs/>
                <w:color w:val="000000"/>
                <w:spacing w:val="-4"/>
                <w:szCs w:val="20"/>
                <w:lang w:val="en-GB"/>
              </w:rPr>
              <w:t xml:space="preserve"> cri</w:t>
            </w:r>
            <w:r w:rsidR="00F82A12">
              <w:rPr>
                <w:rFonts w:cs="Arial"/>
                <w:bCs/>
                <w:color w:val="000000"/>
                <w:spacing w:val="-4"/>
                <w:szCs w:val="20"/>
                <w:lang w:val="en-GB"/>
              </w:rPr>
              <w:t>sis. Different situation occurred</w:t>
            </w:r>
            <w:r w:rsidR="00511BF3" w:rsidRPr="00742B86">
              <w:rPr>
                <w:rFonts w:cs="Arial"/>
                <w:bCs/>
                <w:color w:val="000000"/>
                <w:spacing w:val="-4"/>
                <w:szCs w:val="20"/>
                <w:lang w:val="en-GB"/>
              </w:rPr>
              <w:t xml:space="preserve"> in industry, which was not directly affected by the </w:t>
            </w:r>
            <w:r w:rsidR="00202575">
              <w:rPr>
                <w:rFonts w:cs="Arial"/>
                <w:bCs/>
                <w:color w:val="000000"/>
                <w:spacing w:val="-4"/>
                <w:szCs w:val="20"/>
                <w:lang w:val="en-GB"/>
              </w:rPr>
              <w:t>autumn</w:t>
            </w:r>
            <w:r w:rsidR="00511BF3" w:rsidRPr="00742B86">
              <w:rPr>
                <w:rFonts w:cs="Arial"/>
                <w:bCs/>
                <w:color w:val="000000"/>
                <w:spacing w:val="-4"/>
                <w:szCs w:val="20"/>
                <w:lang w:val="en-GB"/>
              </w:rPr>
              <w:t xml:space="preserve"> </w:t>
            </w:r>
            <w:r w:rsidR="00CB3818" w:rsidRPr="00742B86">
              <w:rPr>
                <w:rFonts w:cs="Arial"/>
                <w:bCs/>
                <w:color w:val="000000"/>
                <w:spacing w:val="-4"/>
                <w:szCs w:val="20"/>
                <w:lang w:val="en-GB"/>
              </w:rPr>
              <w:t xml:space="preserve">controlled </w:t>
            </w:r>
            <w:proofErr w:type="gramStart"/>
            <w:r w:rsidR="00CB3818" w:rsidRPr="00742B86">
              <w:rPr>
                <w:rFonts w:cs="Arial"/>
                <w:bCs/>
                <w:color w:val="000000"/>
                <w:spacing w:val="-4"/>
                <w:szCs w:val="20"/>
                <w:lang w:val="en-GB"/>
              </w:rPr>
              <w:t>slow</w:t>
            </w:r>
            <w:proofErr w:type="gramEnd"/>
            <w:r w:rsidR="00CB3818" w:rsidRPr="00742B86">
              <w:rPr>
                <w:rFonts w:cs="Arial"/>
                <w:bCs/>
                <w:color w:val="000000"/>
                <w:spacing w:val="-4"/>
                <w:szCs w:val="20"/>
                <w:lang w:val="en-GB"/>
              </w:rPr>
              <w:t xml:space="preserve"> down</w:t>
            </w:r>
            <w:r w:rsidR="00F82A12">
              <w:rPr>
                <w:rFonts w:cs="Arial"/>
                <w:bCs/>
                <w:color w:val="000000"/>
                <w:spacing w:val="-4"/>
                <w:szCs w:val="20"/>
                <w:lang w:val="en-GB"/>
              </w:rPr>
              <w:t>. T</w:t>
            </w:r>
            <w:r w:rsidR="00CB3818" w:rsidRPr="00742B86">
              <w:rPr>
                <w:rFonts w:cs="Arial"/>
                <w:bCs/>
                <w:color w:val="000000"/>
                <w:spacing w:val="-4"/>
                <w:szCs w:val="20"/>
                <w:lang w:val="en-GB"/>
              </w:rPr>
              <w:t>he emplo</w:t>
            </w:r>
            <w:r w:rsidR="00F82A12">
              <w:rPr>
                <w:rFonts w:cs="Arial"/>
                <w:bCs/>
                <w:color w:val="000000"/>
                <w:spacing w:val="-4"/>
                <w:szCs w:val="20"/>
                <w:lang w:val="en-GB"/>
              </w:rPr>
              <w:t>yment outlooks accompanied by</w:t>
            </w:r>
            <w:r w:rsidR="00CB3818" w:rsidRPr="00742B86">
              <w:rPr>
                <w:rFonts w:cs="Arial"/>
                <w:bCs/>
                <w:color w:val="000000"/>
                <w:spacing w:val="-4"/>
                <w:szCs w:val="20"/>
                <w:lang w:val="en-GB"/>
              </w:rPr>
              <w:t xml:space="preserve"> simultaneous growth of new industrial orders improved here in Q</w:t>
            </w:r>
            <w:r w:rsidR="00E97F14" w:rsidRPr="00742B86">
              <w:rPr>
                <w:rFonts w:cs="Arial"/>
                <w:bCs/>
                <w:color w:val="000000"/>
                <w:spacing w:val="-4"/>
                <w:szCs w:val="20"/>
                <w:lang w:val="en-GB"/>
              </w:rPr>
              <w:t>4.</w:t>
            </w:r>
            <w:r w:rsidR="00CB3818" w:rsidRPr="00742B86">
              <w:rPr>
                <w:rFonts w:cs="Arial"/>
                <w:bCs/>
                <w:color w:val="000000"/>
                <w:spacing w:val="-4"/>
                <w:szCs w:val="20"/>
                <w:lang w:val="en-GB"/>
              </w:rPr>
              <w:t xml:space="preserve"> </w:t>
            </w:r>
            <w:r w:rsidR="007C1D66" w:rsidRPr="00742B86">
              <w:rPr>
                <w:rFonts w:cs="Arial"/>
                <w:bCs/>
                <w:color w:val="000000"/>
                <w:spacing w:val="-4"/>
                <w:szCs w:val="20"/>
                <w:lang w:val="en-GB"/>
              </w:rPr>
              <w:t xml:space="preserve">Based on the business cycle survey from January </w:t>
            </w:r>
            <w:r w:rsidR="00E97F14" w:rsidRPr="00742B86">
              <w:rPr>
                <w:rFonts w:cs="Arial"/>
                <w:bCs/>
                <w:color w:val="000000"/>
                <w:spacing w:val="-4"/>
                <w:szCs w:val="20"/>
                <w:lang w:val="en-GB"/>
              </w:rPr>
              <w:t>2021</w:t>
            </w:r>
            <w:r w:rsidR="007C1D66" w:rsidRPr="00742B86">
              <w:rPr>
                <w:rFonts w:cs="Arial"/>
                <w:bCs/>
                <w:color w:val="000000"/>
                <w:spacing w:val="-4"/>
                <w:szCs w:val="20"/>
                <w:lang w:val="en-GB"/>
              </w:rPr>
              <w:t>, one third of businesses in selected services</w:t>
            </w:r>
            <w:r w:rsidR="007C1D66" w:rsidRPr="00742B86">
              <w:rPr>
                <w:rStyle w:val="Znakapoznpodarou"/>
                <w:bCs/>
                <w:color w:val="000000"/>
                <w:spacing w:val="-4"/>
                <w:szCs w:val="20"/>
                <w:lang w:val="en-GB"/>
              </w:rPr>
              <w:footnoteReference w:id="53"/>
            </w:r>
            <w:r w:rsidR="007C1D66" w:rsidRPr="00742B86">
              <w:rPr>
                <w:rFonts w:cs="Arial"/>
                <w:bCs/>
                <w:color w:val="000000"/>
                <w:spacing w:val="-4"/>
                <w:szCs w:val="20"/>
                <w:lang w:val="en-GB"/>
              </w:rPr>
              <w:t xml:space="preserve"> an</w:t>
            </w:r>
            <w:r w:rsidR="00F82A12">
              <w:rPr>
                <w:rFonts w:cs="Arial"/>
                <w:bCs/>
                <w:color w:val="000000"/>
                <w:spacing w:val="-4"/>
                <w:szCs w:val="20"/>
                <w:lang w:val="en-GB"/>
              </w:rPr>
              <w:t>ticipated reduction of the number</w:t>
            </w:r>
            <w:r w:rsidR="0023668D" w:rsidRPr="00742B86">
              <w:rPr>
                <w:rFonts w:cs="Arial"/>
                <w:bCs/>
                <w:color w:val="000000"/>
                <w:spacing w:val="-4"/>
                <w:szCs w:val="20"/>
                <w:lang w:val="en-GB"/>
              </w:rPr>
              <w:t xml:space="preserve"> </w:t>
            </w:r>
            <w:r w:rsidR="007C1D66" w:rsidRPr="00742B86">
              <w:rPr>
                <w:rFonts w:cs="Arial"/>
                <w:bCs/>
                <w:color w:val="000000"/>
                <w:spacing w:val="-4"/>
                <w:szCs w:val="20"/>
                <w:lang w:val="en-GB"/>
              </w:rPr>
              <w:t xml:space="preserve">of </w:t>
            </w:r>
            <w:r w:rsidR="0023668D" w:rsidRPr="00742B86">
              <w:rPr>
                <w:rFonts w:cs="Arial"/>
                <w:bCs/>
                <w:color w:val="000000"/>
                <w:spacing w:val="-4"/>
                <w:szCs w:val="20"/>
                <w:lang w:val="en-GB"/>
              </w:rPr>
              <w:t>employees</w:t>
            </w:r>
            <w:r w:rsidR="007C1D66" w:rsidRPr="00742B86">
              <w:rPr>
                <w:rFonts w:cs="Arial"/>
                <w:bCs/>
                <w:color w:val="000000"/>
                <w:spacing w:val="-4"/>
                <w:szCs w:val="20"/>
                <w:lang w:val="en-GB"/>
              </w:rPr>
              <w:t xml:space="preserve"> in the subsequent three months</w:t>
            </w:r>
            <w:r w:rsidR="00E97F14" w:rsidRPr="00742B86">
              <w:rPr>
                <w:rStyle w:val="Znakapoznpodarou"/>
                <w:bCs/>
                <w:color w:val="000000"/>
                <w:spacing w:val="-4"/>
                <w:szCs w:val="20"/>
                <w:lang w:val="en-GB"/>
              </w:rPr>
              <w:footnoteReference w:id="54"/>
            </w:r>
            <w:r w:rsidR="007C1D66" w:rsidRPr="00742B86">
              <w:rPr>
                <w:rFonts w:cs="Arial"/>
                <w:bCs/>
                <w:color w:val="000000"/>
                <w:spacing w:val="-4"/>
                <w:szCs w:val="20"/>
                <w:lang w:val="en-GB"/>
              </w:rPr>
              <w:t xml:space="preserve">. </w:t>
            </w:r>
            <w:r w:rsidR="00F82A12">
              <w:rPr>
                <w:rFonts w:cs="Arial"/>
                <w:bCs/>
                <w:color w:val="000000"/>
                <w:spacing w:val="-4"/>
                <w:szCs w:val="20"/>
                <w:lang w:val="en-GB"/>
              </w:rPr>
              <w:t>It was only 12 %</w:t>
            </w:r>
            <w:r w:rsidR="001971BA" w:rsidRPr="00742B86">
              <w:rPr>
                <w:rFonts w:cs="Arial"/>
                <w:bCs/>
                <w:color w:val="000000"/>
                <w:spacing w:val="-4"/>
                <w:szCs w:val="20"/>
                <w:lang w:val="en-GB"/>
              </w:rPr>
              <w:t xml:space="preserve"> in construction, similarly to both trade and industry – there even slightly prevailed the proportion of businesses anticipating an employment growth. </w:t>
            </w:r>
          </w:p>
        </w:tc>
      </w:tr>
      <w:tr w:rsidR="00E97F14" w:rsidRPr="00742B86" w:rsidTr="00370CFF">
        <w:trPr>
          <w:trHeight w:val="155"/>
        </w:trPr>
        <w:tc>
          <w:tcPr>
            <w:tcW w:w="1687" w:type="dxa"/>
            <w:vMerge w:val="restart"/>
            <w:shd w:val="clear" w:color="auto" w:fill="auto"/>
            <w:tcMar>
              <w:left w:w="0" w:type="dxa"/>
            </w:tcMar>
          </w:tcPr>
          <w:p w:rsidR="00E97F14" w:rsidRPr="00742B86" w:rsidRDefault="00E97F14" w:rsidP="0091476D">
            <w:pPr>
              <w:pStyle w:val="Marginlie"/>
              <w:spacing w:after="120"/>
              <w:rPr>
                <w:spacing w:val="-4"/>
                <w:lang w:val="en-GB"/>
              </w:rPr>
            </w:pPr>
          </w:p>
        </w:tc>
        <w:tc>
          <w:tcPr>
            <w:tcW w:w="182" w:type="dxa"/>
            <w:vMerge w:val="restart"/>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97F14" w:rsidRPr="00370CFF" w:rsidRDefault="003A4098" w:rsidP="0091476D">
            <w:pPr>
              <w:spacing w:after="0"/>
              <w:rPr>
                <w:spacing w:val="-2"/>
                <w:szCs w:val="20"/>
                <w:lang w:val="en-GB"/>
              </w:rPr>
            </w:pPr>
            <w:r w:rsidRPr="00370CFF">
              <w:rPr>
                <w:rFonts w:cs="Arial"/>
                <w:b/>
                <w:bCs/>
                <w:color w:val="000000"/>
                <w:szCs w:val="20"/>
                <w:lang w:val="en-GB"/>
              </w:rPr>
              <w:t xml:space="preserve">Chart </w:t>
            </w:r>
            <w:r w:rsidR="00D152E7">
              <w:rPr>
                <w:rFonts w:cs="Arial"/>
                <w:b/>
                <w:bCs/>
                <w:color w:val="000000"/>
                <w:szCs w:val="20"/>
                <w:lang w:val="en-GB"/>
              </w:rPr>
              <w:t>12</w:t>
            </w:r>
            <w:r w:rsidR="00E97F14" w:rsidRPr="00370CFF">
              <w:rPr>
                <w:rFonts w:cs="Arial"/>
                <w:b/>
                <w:bCs/>
                <w:color w:val="000000"/>
                <w:szCs w:val="20"/>
                <w:lang w:val="en-GB"/>
              </w:rPr>
              <w:t xml:space="preserve">  </w:t>
            </w:r>
            <w:r w:rsidR="00E5062B" w:rsidRPr="00370CFF">
              <w:rPr>
                <w:rFonts w:cs="Arial"/>
                <w:b/>
                <w:bCs/>
                <w:color w:val="000000"/>
                <w:szCs w:val="20"/>
                <w:lang w:val="en-GB"/>
              </w:rPr>
              <w:t xml:space="preserve">Total employment </w:t>
            </w:r>
            <w:r w:rsidR="00E97F14" w:rsidRPr="00370CFF">
              <w:rPr>
                <w:szCs w:val="20"/>
                <w:lang w:val="en-GB" w:eastAsia="en-US"/>
              </w:rPr>
              <w:t>(</w:t>
            </w:r>
            <w:r w:rsidR="00E5062B" w:rsidRPr="00370CFF">
              <w:rPr>
                <w:szCs w:val="20"/>
                <w:lang w:val="en-GB" w:eastAsia="en-US"/>
              </w:rPr>
              <w:t xml:space="preserve">year-on-year in </w:t>
            </w:r>
            <w:r w:rsidR="00E97F14" w:rsidRPr="00370CFF">
              <w:rPr>
                <w:spacing w:val="-2"/>
                <w:szCs w:val="20"/>
                <w:lang w:val="en-GB"/>
              </w:rPr>
              <w:t>%)</w:t>
            </w:r>
            <w:r w:rsidR="00E97F14" w:rsidRPr="00370CFF">
              <w:rPr>
                <w:b/>
                <w:bCs/>
                <w:spacing w:val="-2"/>
                <w:szCs w:val="20"/>
                <w:lang w:val="en-GB"/>
              </w:rPr>
              <w:t xml:space="preserve">, </w:t>
            </w:r>
            <w:r w:rsidR="00E5062B" w:rsidRPr="00370CFF">
              <w:rPr>
                <w:b/>
                <w:bCs/>
                <w:spacing w:val="-2"/>
                <w:szCs w:val="20"/>
                <w:lang w:val="en-GB"/>
              </w:rPr>
              <w:t xml:space="preserve">contributions of branches to year-on-year change of employment </w:t>
            </w:r>
            <w:r w:rsidR="00E97F14" w:rsidRPr="00370CFF">
              <w:rPr>
                <w:spacing w:val="-2"/>
                <w:szCs w:val="20"/>
                <w:lang w:val="en-GB"/>
              </w:rPr>
              <w:t>(</w:t>
            </w:r>
            <w:r w:rsidR="00E5062B" w:rsidRPr="00370CFF">
              <w:rPr>
                <w:spacing w:val="-2"/>
                <w:szCs w:val="20"/>
                <w:lang w:val="en-GB"/>
              </w:rPr>
              <w:t>in p.p.</w:t>
            </w:r>
            <w:r w:rsidR="00E97F14" w:rsidRPr="00370CFF">
              <w:rPr>
                <w:spacing w:val="-2"/>
                <w:szCs w:val="20"/>
                <w:lang w:val="en-GB"/>
              </w:rPr>
              <w:t>)</w:t>
            </w:r>
            <w:r w:rsidR="00E97F14" w:rsidRPr="00370CFF">
              <w:rPr>
                <w:b/>
                <w:bCs/>
                <w:spacing w:val="-2"/>
                <w:szCs w:val="20"/>
                <w:lang w:val="en-GB"/>
              </w:rPr>
              <w:t xml:space="preserve"> a</w:t>
            </w:r>
            <w:r w:rsidR="00E5062B" w:rsidRPr="00370CFF">
              <w:rPr>
                <w:b/>
                <w:bCs/>
                <w:spacing w:val="-2"/>
                <w:szCs w:val="20"/>
                <w:lang w:val="en-GB"/>
              </w:rPr>
              <w:t xml:space="preserve">nd expectations of employment development </w:t>
            </w:r>
            <w:r w:rsidR="00E97F14" w:rsidRPr="00370CFF">
              <w:rPr>
                <w:spacing w:val="-2"/>
                <w:szCs w:val="20"/>
                <w:lang w:val="en-GB"/>
              </w:rPr>
              <w:t>(</w:t>
            </w:r>
            <w:r w:rsidR="00E5062B" w:rsidRPr="00370CFF">
              <w:rPr>
                <w:spacing w:val="-2"/>
                <w:szCs w:val="20"/>
                <w:lang w:val="en-GB"/>
              </w:rPr>
              <w:t>balance in p. p.</w:t>
            </w:r>
            <w:r w:rsidR="00F82A12">
              <w:rPr>
                <w:spacing w:val="-2"/>
                <w:szCs w:val="20"/>
                <w:lang w:val="en-GB"/>
              </w:rPr>
              <w:t>, right axis</w:t>
            </w:r>
            <w:r w:rsidR="00E97F14" w:rsidRPr="00370CFF">
              <w:rPr>
                <w:spacing w:val="-2"/>
                <w:szCs w:val="20"/>
                <w:lang w:val="en-GB"/>
              </w:rPr>
              <w:t>)</w:t>
            </w:r>
          </w:p>
        </w:tc>
      </w:tr>
      <w:tr w:rsidR="00E97F14" w:rsidRPr="00742B86" w:rsidTr="0015417D">
        <w:tblPrEx>
          <w:tblCellMar>
            <w:left w:w="70" w:type="dxa"/>
            <w:right w:w="70" w:type="dxa"/>
          </w:tblCellMar>
        </w:tblPrEx>
        <w:trPr>
          <w:trHeight w:val="155"/>
        </w:trPr>
        <w:tc>
          <w:tcPr>
            <w:tcW w:w="1687" w:type="dxa"/>
            <w:vMerge/>
            <w:shd w:val="clear" w:color="auto" w:fill="auto"/>
          </w:tcPr>
          <w:p w:rsidR="00E97F14" w:rsidRPr="00742B86" w:rsidRDefault="00E97F14" w:rsidP="0091476D">
            <w:pPr>
              <w:pStyle w:val="Marginlie"/>
              <w:spacing w:after="120"/>
              <w:rPr>
                <w:spacing w:val="-4"/>
                <w:lang w:val="en-GB"/>
              </w:rPr>
            </w:pPr>
          </w:p>
        </w:tc>
        <w:tc>
          <w:tcPr>
            <w:tcW w:w="182" w:type="dxa"/>
            <w:vMerge/>
            <w:shd w:val="clear" w:color="auto" w:fill="auto"/>
          </w:tcPr>
          <w:p w:rsidR="00E97F14" w:rsidRPr="00742B86" w:rsidRDefault="00E97F14" w:rsidP="0091476D">
            <w:pPr>
              <w:pStyle w:val="Textpoznpodarou"/>
              <w:spacing w:after="120"/>
              <w:jc w:val="both"/>
              <w:rPr>
                <w:spacing w:val="-4"/>
                <w:lang w:val="en-GB"/>
              </w:rPr>
            </w:pPr>
          </w:p>
        </w:tc>
        <w:tc>
          <w:tcPr>
            <w:tcW w:w="7795" w:type="dxa"/>
            <w:shd w:val="clear" w:color="auto" w:fill="auto"/>
          </w:tcPr>
          <w:p w:rsidR="00E97F14" w:rsidRPr="00742B86" w:rsidRDefault="0015417D" w:rsidP="0091476D">
            <w:pPr>
              <w:spacing w:after="0" w:line="240" w:lineRule="auto"/>
              <w:rPr>
                <w:spacing w:val="-4"/>
                <w:lang w:val="en-GB"/>
              </w:rPr>
            </w:pPr>
            <w:r>
              <w:rPr>
                <w:noProof/>
              </w:rPr>
              <w:drawing>
                <wp:inline distT="0" distB="0" distL="0" distR="0" wp14:anchorId="5AB7E318" wp14:editId="651915D2">
                  <wp:extent cx="4855210" cy="3474720"/>
                  <wp:effectExtent l="0" t="0" r="254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E97F14" w:rsidRPr="00742B86" w:rsidTr="00370CFF">
        <w:trPr>
          <w:trHeight w:val="671"/>
        </w:trPr>
        <w:tc>
          <w:tcPr>
            <w:tcW w:w="1687" w:type="dxa"/>
            <w:vMerge/>
            <w:shd w:val="clear" w:color="auto" w:fill="auto"/>
            <w:tcMar>
              <w:left w:w="0" w:type="dxa"/>
            </w:tcMar>
          </w:tcPr>
          <w:p w:rsidR="00E97F14" w:rsidRPr="00742B86" w:rsidRDefault="00E97F14" w:rsidP="0091476D">
            <w:pPr>
              <w:pStyle w:val="Marginlie"/>
              <w:spacing w:after="120"/>
              <w:rPr>
                <w:spacing w:val="-4"/>
                <w:lang w:val="en-GB"/>
              </w:rPr>
            </w:pPr>
          </w:p>
        </w:tc>
        <w:tc>
          <w:tcPr>
            <w:tcW w:w="182" w:type="dxa"/>
            <w:vMerge/>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5062B" w:rsidRPr="00742B86" w:rsidRDefault="00E5062B" w:rsidP="00E5062B">
            <w:pPr>
              <w:spacing w:after="0" w:line="240" w:lineRule="auto"/>
              <w:rPr>
                <w:rFonts w:cs="Arial"/>
                <w:sz w:val="14"/>
                <w:szCs w:val="14"/>
                <w:lang w:val="en-GB"/>
              </w:rPr>
            </w:pPr>
            <w:r w:rsidRPr="00742B86">
              <w:rPr>
                <w:rFonts w:cs="Arial"/>
                <w:sz w:val="14"/>
                <w:szCs w:val="14"/>
                <w:lang w:val="en-GB"/>
              </w:rPr>
              <w:t>*Mining and energetics; Financial and insurance activities; Real estate activities; Arts, entertainment and recreation activities</w:t>
            </w:r>
            <w:r w:rsidR="009E5BFE" w:rsidRPr="00742B86">
              <w:rPr>
                <w:rFonts w:cs="Arial"/>
                <w:sz w:val="14"/>
                <w:szCs w:val="14"/>
                <w:lang w:val="en-GB"/>
              </w:rPr>
              <w:t>.</w:t>
            </w:r>
            <w:r w:rsidRPr="00742B86">
              <w:rPr>
                <w:rFonts w:cs="Arial"/>
                <w:sz w:val="14"/>
                <w:szCs w:val="14"/>
                <w:lang w:val="en-GB"/>
              </w:rPr>
              <w:t xml:space="preserve"> </w:t>
            </w:r>
          </w:p>
          <w:p w:rsidR="00E97F14" w:rsidRPr="00742B86" w:rsidRDefault="00E5062B" w:rsidP="009E5BFE">
            <w:pPr>
              <w:spacing w:after="0" w:line="240" w:lineRule="auto"/>
              <w:rPr>
                <w:rFonts w:cs="Arial"/>
                <w:sz w:val="14"/>
                <w:szCs w:val="14"/>
                <w:lang w:val="en-GB"/>
              </w:rPr>
            </w:pPr>
            <w:r w:rsidRPr="00742B86">
              <w:rPr>
                <w:rFonts w:cs="Arial"/>
                <w:sz w:val="14"/>
                <w:szCs w:val="14"/>
                <w:lang w:val="en-GB"/>
              </w:rPr>
              <w:t xml:space="preserve">Note: Balance of expectations expresses the difference </w:t>
            </w:r>
            <w:r w:rsidR="00F82A12">
              <w:rPr>
                <w:rFonts w:cs="Arial"/>
                <w:sz w:val="14"/>
                <w:szCs w:val="14"/>
                <w:lang w:val="en-GB"/>
              </w:rPr>
              <w:t>(</w:t>
            </w:r>
            <w:r w:rsidRPr="00742B86">
              <w:rPr>
                <w:rFonts w:cs="Arial"/>
                <w:sz w:val="14"/>
                <w:szCs w:val="14"/>
                <w:lang w:val="en-GB"/>
              </w:rPr>
              <w:t>in p.p.</w:t>
            </w:r>
            <w:r w:rsidR="00F82A12">
              <w:rPr>
                <w:rFonts w:cs="Arial"/>
                <w:sz w:val="14"/>
                <w:szCs w:val="14"/>
                <w:lang w:val="en-GB"/>
              </w:rPr>
              <w:t>)</w:t>
            </w:r>
            <w:r w:rsidRPr="00742B86">
              <w:rPr>
                <w:rFonts w:cs="Arial"/>
                <w:sz w:val="14"/>
                <w:szCs w:val="14"/>
                <w:lang w:val="en-GB"/>
              </w:rPr>
              <w:t xml:space="preserve"> between categories growth vs. decrease of employment in the </w:t>
            </w:r>
            <w:r w:rsidR="009E5BFE" w:rsidRPr="00742B86">
              <w:rPr>
                <w:rFonts w:cs="Arial"/>
                <w:sz w:val="14"/>
                <w:szCs w:val="14"/>
                <w:lang w:val="en-GB"/>
              </w:rPr>
              <w:t xml:space="preserve">nearest three months. Data </w:t>
            </w:r>
            <w:proofErr w:type="gramStart"/>
            <w:r w:rsidR="009E5BFE" w:rsidRPr="00742B86">
              <w:rPr>
                <w:rFonts w:cs="Arial"/>
                <w:sz w:val="14"/>
                <w:szCs w:val="14"/>
                <w:lang w:val="en-GB"/>
              </w:rPr>
              <w:t>are seasonally adjusted</w:t>
            </w:r>
            <w:proofErr w:type="gramEnd"/>
            <w:r w:rsidR="009E5BFE" w:rsidRPr="00742B86">
              <w:rPr>
                <w:rFonts w:cs="Arial"/>
                <w:sz w:val="14"/>
                <w:szCs w:val="14"/>
                <w:lang w:val="en-GB"/>
              </w:rPr>
              <w:t xml:space="preserve"> and relate to the second month of the given quarter. </w:t>
            </w:r>
          </w:p>
          <w:p w:rsidR="001971BA" w:rsidRPr="009F2518" w:rsidRDefault="001971BA" w:rsidP="009F2518">
            <w:pPr>
              <w:spacing w:after="200" w:line="240" w:lineRule="auto"/>
              <w:rPr>
                <w:rFonts w:cs="Arial"/>
                <w:sz w:val="14"/>
                <w:szCs w:val="14"/>
                <w:lang w:val="en-GB"/>
              </w:rPr>
            </w:pPr>
            <w:r w:rsidRPr="00742B86">
              <w:rPr>
                <w:rFonts w:cs="Arial"/>
                <w:sz w:val="14"/>
                <w:szCs w:val="14"/>
                <w:lang w:val="en-GB"/>
              </w:rPr>
              <w:t>Source</w:t>
            </w:r>
            <w:r w:rsidR="00E97F14" w:rsidRPr="00742B86">
              <w:rPr>
                <w:rFonts w:cs="Arial"/>
                <w:sz w:val="14"/>
                <w:szCs w:val="14"/>
                <w:lang w:val="en-GB"/>
              </w:rPr>
              <w:t xml:space="preserve">: </w:t>
            </w:r>
            <w:r w:rsidRPr="00742B86">
              <w:rPr>
                <w:rFonts w:cs="Arial"/>
                <w:sz w:val="14"/>
                <w:szCs w:val="14"/>
                <w:lang w:val="en-GB"/>
              </w:rPr>
              <w:t>CZSO</w:t>
            </w:r>
            <w:r w:rsidR="00E97F14" w:rsidRPr="00742B86">
              <w:rPr>
                <w:rFonts w:cs="Arial"/>
                <w:sz w:val="14"/>
                <w:szCs w:val="14"/>
                <w:lang w:val="en-GB"/>
              </w:rPr>
              <w:t xml:space="preserve"> (n</w:t>
            </w:r>
            <w:r w:rsidRPr="00742B86">
              <w:rPr>
                <w:rFonts w:cs="Arial"/>
                <w:sz w:val="14"/>
                <w:szCs w:val="14"/>
                <w:lang w:val="en-GB"/>
              </w:rPr>
              <w:t>ational accounts, business cycle surveys</w:t>
            </w:r>
            <w:r w:rsidR="0015417D">
              <w:rPr>
                <w:rFonts w:cs="Arial"/>
                <w:sz w:val="14"/>
                <w:szCs w:val="14"/>
                <w:lang w:val="en-GB"/>
              </w:rPr>
              <w:t>)</w:t>
            </w:r>
          </w:p>
        </w:tc>
      </w:tr>
      <w:tr w:rsidR="00E97F14" w:rsidRPr="00742B86" w:rsidTr="00370CFF">
        <w:trPr>
          <w:trHeight w:val="145"/>
        </w:trPr>
        <w:tc>
          <w:tcPr>
            <w:tcW w:w="1687" w:type="dxa"/>
            <w:shd w:val="clear" w:color="auto" w:fill="auto"/>
            <w:tcMar>
              <w:left w:w="0" w:type="dxa"/>
            </w:tcMar>
          </w:tcPr>
          <w:p w:rsidR="00E97F14" w:rsidRPr="00742B86" w:rsidRDefault="00415072" w:rsidP="0091476D">
            <w:pPr>
              <w:pStyle w:val="Marginlie"/>
              <w:spacing w:after="120"/>
              <w:rPr>
                <w:spacing w:val="-5"/>
                <w:lang w:val="en-GB"/>
              </w:rPr>
            </w:pPr>
            <w:r w:rsidRPr="00742B86">
              <w:rPr>
                <w:spacing w:val="-5"/>
                <w:lang w:val="en-GB"/>
              </w:rPr>
              <w:t xml:space="preserve">Unemployment rate went up only slightly during the year </w:t>
            </w:r>
            <w:r w:rsidR="00E97F14" w:rsidRPr="00742B86">
              <w:rPr>
                <w:spacing w:val="-5"/>
                <w:lang w:val="en-GB"/>
              </w:rPr>
              <w:t>2020</w:t>
            </w:r>
            <w:r w:rsidRPr="00742B86">
              <w:rPr>
                <w:spacing w:val="-5"/>
                <w:lang w:val="en-GB"/>
              </w:rPr>
              <w:t xml:space="preserve">. </w:t>
            </w:r>
            <w:r w:rsidR="00356DB3" w:rsidRPr="00742B86">
              <w:rPr>
                <w:spacing w:val="-5"/>
                <w:lang w:val="en-GB"/>
              </w:rPr>
              <w:t>Faster grew the unemployment of females</w:t>
            </w:r>
            <w:r w:rsidR="00E97F14" w:rsidRPr="00742B86">
              <w:rPr>
                <w:spacing w:val="-5"/>
                <w:lang w:val="en-GB"/>
              </w:rPr>
              <w:t xml:space="preserve">, </w:t>
            </w:r>
            <w:r w:rsidR="00356DB3" w:rsidRPr="00742B86">
              <w:rPr>
                <w:spacing w:val="-5"/>
                <w:lang w:val="en-GB"/>
              </w:rPr>
              <w:t xml:space="preserve">situation of young persons on the labour market also worsened. </w:t>
            </w:r>
          </w:p>
        </w:tc>
        <w:tc>
          <w:tcPr>
            <w:tcW w:w="182" w:type="dxa"/>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97F14" w:rsidRPr="00742B86" w:rsidRDefault="009E407B" w:rsidP="00370CFF">
            <w:pPr>
              <w:spacing w:after="220"/>
              <w:rPr>
                <w:rFonts w:cs="Arial"/>
                <w:bCs/>
                <w:color w:val="000000"/>
                <w:spacing w:val="-4"/>
                <w:szCs w:val="20"/>
                <w:lang w:val="en-GB"/>
              </w:rPr>
            </w:pPr>
            <w:r w:rsidRPr="00742B86">
              <w:rPr>
                <w:color w:val="0D0D0D" w:themeColor="text1" w:themeTint="F2"/>
                <w:spacing w:val="-4"/>
                <w:lang w:val="en-GB"/>
              </w:rPr>
              <w:t>General unemployment rate</w:t>
            </w:r>
            <w:r w:rsidR="00E97F14" w:rsidRPr="00742B86">
              <w:rPr>
                <w:rStyle w:val="Znakapoznpodarou"/>
                <w:color w:val="0D0D0D" w:themeColor="text1" w:themeTint="F2"/>
                <w:spacing w:val="-4"/>
                <w:lang w:val="en-GB"/>
              </w:rPr>
              <w:footnoteReference w:id="55"/>
            </w:r>
            <w:r w:rsidR="00E97F14" w:rsidRPr="00742B86">
              <w:rPr>
                <w:color w:val="0D0D0D" w:themeColor="text1" w:themeTint="F2"/>
                <w:spacing w:val="-4"/>
                <w:lang w:val="en-GB"/>
              </w:rPr>
              <w:t xml:space="preserve">, </w:t>
            </w:r>
            <w:r w:rsidR="00403171" w:rsidRPr="00742B86">
              <w:rPr>
                <w:color w:val="0D0D0D" w:themeColor="text1" w:themeTint="F2"/>
                <w:spacing w:val="-4"/>
                <w:lang w:val="en-GB"/>
              </w:rPr>
              <w:t xml:space="preserve">which </w:t>
            </w:r>
            <w:r w:rsidR="00A72F8E" w:rsidRPr="00742B86">
              <w:rPr>
                <w:color w:val="0D0D0D" w:themeColor="text1" w:themeTint="F2"/>
                <w:spacing w:val="-4"/>
                <w:lang w:val="en-GB"/>
              </w:rPr>
              <w:t>was still in the near proximity of its historical minimum throughout the whole Q</w:t>
            </w:r>
            <w:r w:rsidR="00E97F14" w:rsidRPr="00742B86">
              <w:rPr>
                <w:color w:val="0D0D0D" w:themeColor="text1" w:themeTint="F2"/>
                <w:spacing w:val="-4"/>
                <w:lang w:val="en-GB"/>
              </w:rPr>
              <w:t>1</w:t>
            </w:r>
            <w:r w:rsidR="00A72F8E" w:rsidRPr="00742B86">
              <w:rPr>
                <w:color w:val="0D0D0D" w:themeColor="text1" w:themeTint="F2"/>
                <w:spacing w:val="-4"/>
                <w:lang w:val="en-GB"/>
              </w:rPr>
              <w:t xml:space="preserve"> </w:t>
            </w:r>
            <w:r w:rsidR="00E97F14" w:rsidRPr="00742B86">
              <w:rPr>
                <w:color w:val="0D0D0D" w:themeColor="text1" w:themeTint="F2"/>
                <w:spacing w:val="-4"/>
                <w:lang w:val="en-GB"/>
              </w:rPr>
              <w:t>2020</w:t>
            </w:r>
            <w:r w:rsidR="00A72F8E" w:rsidRPr="00742B86">
              <w:rPr>
                <w:color w:val="0D0D0D" w:themeColor="text1" w:themeTint="F2"/>
                <w:spacing w:val="-4"/>
                <w:lang w:val="en-GB"/>
              </w:rPr>
              <w:t xml:space="preserve">, </w:t>
            </w:r>
            <w:r w:rsidR="00403171" w:rsidRPr="00742B86">
              <w:rPr>
                <w:color w:val="0D0D0D" w:themeColor="text1" w:themeTint="F2"/>
                <w:spacing w:val="-4"/>
                <w:lang w:val="en-GB"/>
              </w:rPr>
              <w:t xml:space="preserve">was rising only slowly for the most part of the last year. It amounted to </w:t>
            </w:r>
            <w:r w:rsidR="00E97F14" w:rsidRPr="00742B86">
              <w:rPr>
                <w:color w:val="0D0D0D" w:themeColor="text1" w:themeTint="F2"/>
                <w:spacing w:val="-4"/>
                <w:lang w:val="en-GB"/>
              </w:rPr>
              <w:t>2</w:t>
            </w:r>
            <w:r w:rsidR="00C87F4F" w:rsidRPr="00742B86">
              <w:rPr>
                <w:color w:val="0D0D0D" w:themeColor="text1" w:themeTint="F2"/>
                <w:spacing w:val="-4"/>
                <w:lang w:val="en-GB"/>
              </w:rPr>
              <w:t>.</w:t>
            </w:r>
            <w:r w:rsidR="00E97F14" w:rsidRPr="00742B86">
              <w:rPr>
                <w:color w:val="0D0D0D" w:themeColor="text1" w:themeTint="F2"/>
                <w:spacing w:val="-4"/>
                <w:lang w:val="en-GB"/>
              </w:rPr>
              <w:t>8%</w:t>
            </w:r>
            <w:r w:rsidR="00A72F8E" w:rsidRPr="00742B86">
              <w:rPr>
                <w:color w:val="0D0D0D" w:themeColor="text1" w:themeTint="F2"/>
                <w:spacing w:val="-4"/>
                <w:lang w:val="en-GB"/>
              </w:rPr>
              <w:t xml:space="preserve"> for males</w:t>
            </w:r>
            <w:r w:rsidR="00E97F14" w:rsidRPr="00742B86">
              <w:rPr>
                <w:color w:val="0D0D0D" w:themeColor="text1" w:themeTint="F2"/>
                <w:spacing w:val="-4"/>
                <w:lang w:val="en-GB"/>
              </w:rPr>
              <w:t>, 3</w:t>
            </w:r>
            <w:r w:rsidR="00C87F4F" w:rsidRPr="00742B86">
              <w:rPr>
                <w:color w:val="0D0D0D" w:themeColor="text1" w:themeTint="F2"/>
                <w:spacing w:val="-4"/>
                <w:lang w:val="en-GB"/>
              </w:rPr>
              <w:t>.</w:t>
            </w:r>
            <w:r w:rsidR="00E97F14" w:rsidRPr="00742B86">
              <w:rPr>
                <w:color w:val="0D0D0D" w:themeColor="text1" w:themeTint="F2"/>
                <w:spacing w:val="-4"/>
                <w:lang w:val="en-GB"/>
              </w:rPr>
              <w:t>8%</w:t>
            </w:r>
            <w:r w:rsidR="00C87F4F" w:rsidRPr="00742B86">
              <w:rPr>
                <w:color w:val="0D0D0D" w:themeColor="text1" w:themeTint="F2"/>
                <w:spacing w:val="-4"/>
                <w:lang w:val="en-GB"/>
              </w:rPr>
              <w:t xml:space="preserve"> for females</w:t>
            </w:r>
            <w:r w:rsidR="00A72F8E" w:rsidRPr="00742B86">
              <w:rPr>
                <w:color w:val="0D0D0D" w:themeColor="text1" w:themeTint="F2"/>
                <w:spacing w:val="-4"/>
                <w:lang w:val="en-GB"/>
              </w:rPr>
              <w:t xml:space="preserve"> in December</w:t>
            </w:r>
            <w:r w:rsidR="00E21413">
              <w:rPr>
                <w:color w:val="0D0D0D" w:themeColor="text1" w:themeTint="F2"/>
                <w:spacing w:val="-4"/>
                <w:lang w:val="en-GB"/>
              </w:rPr>
              <w:t xml:space="preserve"> 2020</w:t>
            </w:r>
            <w:r w:rsidR="00E97F14" w:rsidRPr="00742B86">
              <w:rPr>
                <w:color w:val="0D0D0D" w:themeColor="text1" w:themeTint="F2"/>
                <w:spacing w:val="-4"/>
                <w:lang w:val="en-GB"/>
              </w:rPr>
              <w:t>,</w:t>
            </w:r>
            <w:r w:rsidR="00A72F8E" w:rsidRPr="00742B86">
              <w:rPr>
                <w:color w:val="0D0D0D" w:themeColor="text1" w:themeTint="F2"/>
                <w:spacing w:val="-4"/>
                <w:lang w:val="en-GB"/>
              </w:rPr>
              <w:t xml:space="preserve"> by </w:t>
            </w:r>
            <w:r w:rsidR="00E97F14" w:rsidRPr="00742B86">
              <w:rPr>
                <w:color w:val="0D0D0D" w:themeColor="text1" w:themeTint="F2"/>
                <w:spacing w:val="-4"/>
                <w:lang w:val="en-GB"/>
              </w:rPr>
              <w:t>1</w:t>
            </w:r>
            <w:r w:rsidR="00A72F8E" w:rsidRPr="00742B86">
              <w:rPr>
                <w:color w:val="0D0D0D" w:themeColor="text1" w:themeTint="F2"/>
                <w:spacing w:val="-4"/>
                <w:lang w:val="en-GB"/>
              </w:rPr>
              <w:t>.</w:t>
            </w:r>
            <w:r w:rsidR="00E97F14" w:rsidRPr="00742B86">
              <w:rPr>
                <w:color w:val="0D0D0D" w:themeColor="text1" w:themeTint="F2"/>
                <w:spacing w:val="-4"/>
                <w:lang w:val="en-GB"/>
              </w:rPr>
              <w:t>0 p.</w:t>
            </w:r>
            <w:r w:rsidR="00A72F8E" w:rsidRPr="00742B86">
              <w:rPr>
                <w:color w:val="0D0D0D" w:themeColor="text1" w:themeTint="F2"/>
                <w:spacing w:val="-4"/>
                <w:lang w:val="en-GB"/>
              </w:rPr>
              <w:t>p</w:t>
            </w:r>
            <w:r w:rsidR="00E97F14" w:rsidRPr="00742B86">
              <w:rPr>
                <w:color w:val="0D0D0D" w:themeColor="text1" w:themeTint="F2"/>
                <w:spacing w:val="-4"/>
                <w:lang w:val="en-GB"/>
              </w:rPr>
              <w:t>.</w:t>
            </w:r>
            <w:r w:rsidR="00A72F8E" w:rsidRPr="00742B86">
              <w:rPr>
                <w:color w:val="0D0D0D" w:themeColor="text1" w:themeTint="F2"/>
                <w:spacing w:val="-4"/>
                <w:lang w:val="en-GB"/>
              </w:rPr>
              <w:t xml:space="preserve"> year-on-year</w:t>
            </w:r>
            <w:r w:rsidR="00E97F14" w:rsidRPr="00742B86">
              <w:rPr>
                <w:color w:val="0D0D0D" w:themeColor="text1" w:themeTint="F2"/>
                <w:spacing w:val="-4"/>
                <w:lang w:val="en-GB"/>
              </w:rPr>
              <w:t>, resp. 1</w:t>
            </w:r>
            <w:r w:rsidR="00A72F8E" w:rsidRPr="00742B86">
              <w:rPr>
                <w:color w:val="0D0D0D" w:themeColor="text1" w:themeTint="F2"/>
                <w:spacing w:val="-4"/>
                <w:lang w:val="en-GB"/>
              </w:rPr>
              <w:t>.</w:t>
            </w:r>
            <w:r w:rsidR="00E97F14" w:rsidRPr="00742B86">
              <w:rPr>
                <w:color w:val="0D0D0D" w:themeColor="text1" w:themeTint="F2"/>
                <w:spacing w:val="-4"/>
                <w:lang w:val="en-GB"/>
              </w:rPr>
              <w:t>4 p.</w:t>
            </w:r>
            <w:r w:rsidR="00A72F8E" w:rsidRPr="00742B86">
              <w:rPr>
                <w:color w:val="0D0D0D" w:themeColor="text1" w:themeTint="F2"/>
                <w:spacing w:val="-4"/>
                <w:lang w:val="en-GB"/>
              </w:rPr>
              <w:t>p</w:t>
            </w:r>
            <w:r w:rsidR="00E97F14" w:rsidRPr="00742B86">
              <w:rPr>
                <w:color w:val="0D0D0D" w:themeColor="text1" w:themeTint="F2"/>
                <w:spacing w:val="-4"/>
                <w:lang w:val="en-GB"/>
              </w:rPr>
              <w:t>.</w:t>
            </w:r>
            <w:r w:rsidR="00A72F8E" w:rsidRPr="00742B86">
              <w:rPr>
                <w:color w:val="0D0D0D" w:themeColor="text1" w:themeTint="F2"/>
                <w:spacing w:val="-4"/>
                <w:lang w:val="en-GB"/>
              </w:rPr>
              <w:t xml:space="preserve"> more</w:t>
            </w:r>
            <w:r w:rsidR="00E97F14" w:rsidRPr="00742B86">
              <w:rPr>
                <w:rStyle w:val="Znakapoznpodarou"/>
                <w:color w:val="0D0D0D" w:themeColor="text1" w:themeTint="F2"/>
                <w:spacing w:val="-4"/>
                <w:lang w:val="en-GB"/>
              </w:rPr>
              <w:footnoteReference w:id="56"/>
            </w:r>
            <w:r w:rsidR="00E97F14" w:rsidRPr="00742B86">
              <w:rPr>
                <w:color w:val="0D0D0D" w:themeColor="text1" w:themeTint="F2"/>
                <w:spacing w:val="-4"/>
                <w:lang w:val="en-GB"/>
              </w:rPr>
              <w:t xml:space="preserve">. </w:t>
            </w:r>
            <w:r w:rsidR="003B04DB" w:rsidRPr="00742B86">
              <w:rPr>
                <w:color w:val="0D0D0D" w:themeColor="text1" w:themeTint="F2"/>
                <w:spacing w:val="-4"/>
                <w:lang w:val="en-GB"/>
              </w:rPr>
              <w:t xml:space="preserve">The difference in dynamics between </w:t>
            </w:r>
            <w:r w:rsidR="0083233B" w:rsidRPr="00742B86">
              <w:rPr>
                <w:color w:val="0D0D0D" w:themeColor="text1" w:themeTint="F2"/>
                <w:spacing w:val="-4"/>
                <w:lang w:val="en-GB"/>
              </w:rPr>
              <w:t>genders wa</w:t>
            </w:r>
            <w:r w:rsidR="00C87F4F" w:rsidRPr="00742B86">
              <w:rPr>
                <w:color w:val="0D0D0D" w:themeColor="text1" w:themeTint="F2"/>
                <w:spacing w:val="-4"/>
                <w:lang w:val="en-GB"/>
              </w:rPr>
              <w:t>s apparen</w:t>
            </w:r>
            <w:r w:rsidR="00E21413">
              <w:rPr>
                <w:color w:val="0D0D0D" w:themeColor="text1" w:themeTint="F2"/>
                <w:spacing w:val="-4"/>
                <w:lang w:val="en-GB"/>
              </w:rPr>
              <w:t>t especially in Q4 2020</w:t>
            </w:r>
            <w:r w:rsidR="00C87F4F" w:rsidRPr="00742B86">
              <w:rPr>
                <w:color w:val="0D0D0D" w:themeColor="text1" w:themeTint="F2"/>
                <w:spacing w:val="-4"/>
                <w:lang w:val="en-GB"/>
              </w:rPr>
              <w:t xml:space="preserve">. </w:t>
            </w:r>
            <w:r w:rsidR="009225B8" w:rsidRPr="00742B86">
              <w:rPr>
                <w:color w:val="0D0D0D" w:themeColor="text1" w:themeTint="F2"/>
                <w:spacing w:val="-4"/>
                <w:lang w:val="en-GB"/>
              </w:rPr>
              <w:t>Larger losses of job positions, mainly in the areas connected to tourism and</w:t>
            </w:r>
            <w:r w:rsidR="00544E94" w:rsidRPr="00742B86">
              <w:rPr>
                <w:color w:val="0D0D0D" w:themeColor="text1" w:themeTint="F2"/>
                <w:spacing w:val="-4"/>
                <w:lang w:val="en-GB"/>
              </w:rPr>
              <w:t xml:space="preserve"> leisure time activities, </w:t>
            </w:r>
            <w:r w:rsidR="00E21413">
              <w:rPr>
                <w:color w:val="0D0D0D" w:themeColor="text1" w:themeTint="F2"/>
                <w:spacing w:val="-4"/>
                <w:lang w:val="en-GB"/>
              </w:rPr>
              <w:t>generally</w:t>
            </w:r>
            <w:r w:rsidR="003B04DB" w:rsidRPr="00742B86">
              <w:rPr>
                <w:color w:val="0D0D0D" w:themeColor="text1" w:themeTint="F2"/>
                <w:spacing w:val="-4"/>
                <w:lang w:val="en-GB"/>
              </w:rPr>
              <w:t xml:space="preserve"> weakened the position of young persons on the labour market. </w:t>
            </w:r>
            <w:r w:rsidR="00544E94" w:rsidRPr="00742B86">
              <w:rPr>
                <w:color w:val="0D0D0D" w:themeColor="text1" w:themeTint="F2"/>
                <w:spacing w:val="-4"/>
                <w:lang w:val="en-GB"/>
              </w:rPr>
              <w:t xml:space="preserve">Unemployment rate of persons aged up to </w:t>
            </w:r>
            <w:r w:rsidR="00E97F14" w:rsidRPr="00742B86">
              <w:rPr>
                <w:color w:val="0D0D0D" w:themeColor="text1" w:themeTint="F2"/>
                <w:spacing w:val="-4"/>
                <w:lang w:val="en-GB"/>
              </w:rPr>
              <w:t>25 </w:t>
            </w:r>
            <w:r w:rsidR="00544E94" w:rsidRPr="00742B86">
              <w:rPr>
                <w:color w:val="0D0D0D" w:themeColor="text1" w:themeTint="F2"/>
                <w:spacing w:val="-4"/>
                <w:lang w:val="en-GB"/>
              </w:rPr>
              <w:t xml:space="preserve">years rose to </w:t>
            </w:r>
            <w:r w:rsidR="00E97F14" w:rsidRPr="00742B86">
              <w:rPr>
                <w:color w:val="0D0D0D" w:themeColor="text1" w:themeTint="F2"/>
                <w:spacing w:val="-4"/>
                <w:lang w:val="en-GB"/>
              </w:rPr>
              <w:t>10</w:t>
            </w:r>
            <w:r w:rsidR="00544E94" w:rsidRPr="00742B86">
              <w:rPr>
                <w:color w:val="0D0D0D" w:themeColor="text1" w:themeTint="F2"/>
                <w:spacing w:val="-4"/>
                <w:lang w:val="en-GB"/>
              </w:rPr>
              <w:t>.</w:t>
            </w:r>
            <w:r w:rsidR="00E97F14" w:rsidRPr="00742B86">
              <w:rPr>
                <w:color w:val="0D0D0D" w:themeColor="text1" w:themeTint="F2"/>
                <w:spacing w:val="-4"/>
                <w:lang w:val="en-GB"/>
              </w:rPr>
              <w:t>5%</w:t>
            </w:r>
            <w:r w:rsidR="00544E94" w:rsidRPr="00742B86">
              <w:rPr>
                <w:color w:val="0D0D0D" w:themeColor="text1" w:themeTint="F2"/>
                <w:spacing w:val="-4"/>
                <w:lang w:val="en-GB"/>
              </w:rPr>
              <w:t xml:space="preserve"> at the end of last year</w:t>
            </w:r>
            <w:r w:rsidR="00E97F14" w:rsidRPr="00742B86">
              <w:rPr>
                <w:color w:val="0D0D0D" w:themeColor="text1" w:themeTint="F2"/>
                <w:spacing w:val="-4"/>
                <w:lang w:val="en-GB"/>
              </w:rPr>
              <w:t xml:space="preserve"> (</w:t>
            </w:r>
            <w:r w:rsidR="00415072" w:rsidRPr="00742B86">
              <w:rPr>
                <w:color w:val="0D0D0D" w:themeColor="text1" w:themeTint="F2"/>
                <w:spacing w:val="-4"/>
                <w:lang w:val="en-GB"/>
              </w:rPr>
              <w:t xml:space="preserve">in that to </w:t>
            </w:r>
            <w:r w:rsidR="00E97F14" w:rsidRPr="00742B86">
              <w:rPr>
                <w:color w:val="0D0D0D" w:themeColor="text1" w:themeTint="F2"/>
                <w:spacing w:val="-4"/>
                <w:lang w:val="en-GB"/>
              </w:rPr>
              <w:t>12</w:t>
            </w:r>
            <w:r w:rsidR="00415072" w:rsidRPr="00742B86">
              <w:rPr>
                <w:color w:val="0D0D0D" w:themeColor="text1" w:themeTint="F2"/>
                <w:spacing w:val="-4"/>
                <w:lang w:val="en-GB"/>
              </w:rPr>
              <w:t>.</w:t>
            </w:r>
            <w:r w:rsidR="00E97F14" w:rsidRPr="00742B86">
              <w:rPr>
                <w:color w:val="0D0D0D" w:themeColor="text1" w:themeTint="F2"/>
                <w:spacing w:val="-4"/>
                <w:lang w:val="en-GB"/>
              </w:rPr>
              <w:t>7%</w:t>
            </w:r>
            <w:r w:rsidR="00415072" w:rsidRPr="00742B86">
              <w:rPr>
                <w:color w:val="0D0D0D" w:themeColor="text1" w:themeTint="F2"/>
                <w:spacing w:val="-4"/>
                <w:lang w:val="en-GB"/>
              </w:rPr>
              <w:t xml:space="preserve"> for females</w:t>
            </w:r>
            <w:r w:rsidR="00E97F14" w:rsidRPr="00742B86">
              <w:rPr>
                <w:color w:val="0D0D0D" w:themeColor="text1" w:themeTint="F2"/>
                <w:spacing w:val="-4"/>
                <w:lang w:val="en-GB"/>
              </w:rPr>
              <w:t>).</w:t>
            </w:r>
            <w:r w:rsidR="00415072" w:rsidRPr="00742B86">
              <w:rPr>
                <w:color w:val="0D0D0D" w:themeColor="text1" w:themeTint="F2"/>
                <w:spacing w:val="-4"/>
                <w:lang w:val="en-GB"/>
              </w:rPr>
              <w:t xml:space="preserve"> It represented more than</w:t>
            </w:r>
            <w:r w:rsidR="00544E94" w:rsidRPr="00742B86">
              <w:rPr>
                <w:color w:val="0D0D0D" w:themeColor="text1" w:themeTint="F2"/>
                <w:spacing w:val="-4"/>
                <w:lang w:val="en-GB"/>
              </w:rPr>
              <w:t xml:space="preserve"> double the level from the previous year and </w:t>
            </w:r>
            <w:r w:rsidR="00FE4602" w:rsidRPr="00742B86">
              <w:rPr>
                <w:color w:val="0D0D0D" w:themeColor="text1" w:themeTint="F2"/>
                <w:spacing w:val="-4"/>
                <w:lang w:val="en-GB"/>
              </w:rPr>
              <w:t xml:space="preserve">at the same time a maximum since October </w:t>
            </w:r>
            <w:r w:rsidR="00E97F14" w:rsidRPr="00742B86">
              <w:rPr>
                <w:color w:val="0D0D0D" w:themeColor="text1" w:themeTint="F2"/>
                <w:spacing w:val="-4"/>
                <w:lang w:val="en-GB"/>
              </w:rPr>
              <w:t>2016. P</w:t>
            </w:r>
            <w:r w:rsidR="00415072" w:rsidRPr="00742B86">
              <w:rPr>
                <w:color w:val="0D0D0D" w:themeColor="text1" w:themeTint="F2"/>
                <w:spacing w:val="-4"/>
                <w:lang w:val="en-GB"/>
              </w:rPr>
              <w:t xml:space="preserve">roportion of </w:t>
            </w:r>
            <w:r w:rsidR="00FE4602" w:rsidRPr="00742B86">
              <w:rPr>
                <w:color w:val="0D0D0D" w:themeColor="text1" w:themeTint="F2"/>
                <w:spacing w:val="-4"/>
                <w:lang w:val="en-GB"/>
              </w:rPr>
              <w:t xml:space="preserve">young persons on </w:t>
            </w:r>
            <w:r w:rsidR="00FE4602" w:rsidRPr="00742B86">
              <w:rPr>
                <w:color w:val="0D0D0D" w:themeColor="text1" w:themeTint="F2"/>
                <w:spacing w:val="-4"/>
                <w:lang w:val="en-GB"/>
              </w:rPr>
              <w:lastRenderedPageBreak/>
              <w:t>total number of unemployed however did not increase much</w:t>
            </w:r>
            <w:r w:rsidR="00E97F14" w:rsidRPr="00742B86">
              <w:rPr>
                <w:rStyle w:val="Znakapoznpodarou"/>
                <w:color w:val="0D0D0D" w:themeColor="text1" w:themeTint="F2"/>
                <w:spacing w:val="-4"/>
                <w:lang w:val="en-GB"/>
              </w:rPr>
              <w:footnoteReference w:id="57"/>
            </w:r>
            <w:r w:rsidR="00E97F14" w:rsidRPr="00742B86">
              <w:rPr>
                <w:color w:val="0D0D0D" w:themeColor="text1" w:themeTint="F2"/>
                <w:spacing w:val="-4"/>
                <w:lang w:val="en-GB"/>
              </w:rPr>
              <w:t xml:space="preserve">. </w:t>
            </w:r>
            <w:r w:rsidR="00FE4602" w:rsidRPr="00742B86">
              <w:rPr>
                <w:color w:val="0D0D0D" w:themeColor="text1" w:themeTint="F2"/>
                <w:spacing w:val="-4"/>
                <w:lang w:val="en-GB"/>
              </w:rPr>
              <w:t xml:space="preserve">It was also valid in case of long-term unemployed persons, who </w:t>
            </w:r>
            <w:r w:rsidR="00F44F17" w:rsidRPr="00742B86">
              <w:rPr>
                <w:color w:val="0D0D0D" w:themeColor="text1" w:themeTint="F2"/>
                <w:spacing w:val="-4"/>
                <w:lang w:val="en-GB"/>
              </w:rPr>
              <w:t xml:space="preserve">comprised only </w:t>
            </w:r>
            <w:r w:rsidR="00E97F14" w:rsidRPr="00742B86">
              <w:rPr>
                <w:color w:val="0D0D0D" w:themeColor="text1" w:themeTint="F2"/>
                <w:spacing w:val="-4"/>
                <w:lang w:val="en-GB"/>
              </w:rPr>
              <w:t>21</w:t>
            </w:r>
            <w:r w:rsidR="00F44F17" w:rsidRPr="00742B86">
              <w:rPr>
                <w:color w:val="0D0D0D" w:themeColor="text1" w:themeTint="F2"/>
                <w:spacing w:val="-4"/>
                <w:lang w:val="en-GB"/>
              </w:rPr>
              <w:t>.</w:t>
            </w:r>
            <w:r w:rsidR="00E97F14" w:rsidRPr="00742B86">
              <w:rPr>
                <w:color w:val="0D0D0D" w:themeColor="text1" w:themeTint="F2"/>
                <w:spacing w:val="-4"/>
                <w:lang w:val="en-GB"/>
              </w:rPr>
              <w:t>5%</w:t>
            </w:r>
            <w:r w:rsidR="00F44F17" w:rsidRPr="00742B86">
              <w:rPr>
                <w:color w:val="0D0D0D" w:themeColor="text1" w:themeTint="F2"/>
                <w:spacing w:val="-4"/>
                <w:lang w:val="en-GB"/>
              </w:rPr>
              <w:t xml:space="preserve"> of all unemployed </w:t>
            </w:r>
            <w:r w:rsidR="00FE4602" w:rsidRPr="00742B86">
              <w:rPr>
                <w:color w:val="0D0D0D" w:themeColor="text1" w:themeTint="F2"/>
                <w:spacing w:val="-4"/>
                <w:lang w:val="en-GB"/>
              </w:rPr>
              <w:t>in Q4</w:t>
            </w:r>
            <w:r w:rsidR="00E97F14" w:rsidRPr="00742B86">
              <w:rPr>
                <w:color w:val="0D0D0D" w:themeColor="text1" w:themeTint="F2"/>
                <w:spacing w:val="-4"/>
                <w:lang w:val="en-GB"/>
              </w:rPr>
              <w:t xml:space="preserve"> (</w:t>
            </w:r>
            <w:r w:rsidR="00FE4602" w:rsidRPr="00742B86">
              <w:rPr>
                <w:color w:val="0D0D0D" w:themeColor="text1" w:themeTint="F2"/>
                <w:spacing w:val="-4"/>
                <w:lang w:val="en-GB"/>
              </w:rPr>
              <w:t xml:space="preserve">one of the lowest values since half of the 90s). </w:t>
            </w:r>
            <w:r w:rsidR="00F44F17" w:rsidRPr="00742B86">
              <w:rPr>
                <w:color w:val="0D0D0D" w:themeColor="text1" w:themeTint="F2"/>
                <w:spacing w:val="-4"/>
                <w:lang w:val="en-GB"/>
              </w:rPr>
              <w:t>Unemployment rat</w:t>
            </w:r>
            <w:r w:rsidR="0080003D" w:rsidRPr="00742B86">
              <w:rPr>
                <w:color w:val="0D0D0D" w:themeColor="text1" w:themeTint="F2"/>
                <w:spacing w:val="-4"/>
                <w:lang w:val="en-GB"/>
              </w:rPr>
              <w:t xml:space="preserve">e among the </w:t>
            </w:r>
            <w:r w:rsidR="00E21413">
              <w:rPr>
                <w:color w:val="0D0D0D" w:themeColor="text1" w:themeTint="F2"/>
                <w:spacing w:val="-4"/>
                <w:lang w:val="en-GB"/>
              </w:rPr>
              <w:t xml:space="preserve">Czech </w:t>
            </w:r>
            <w:r w:rsidR="0080003D" w:rsidRPr="00742B86">
              <w:rPr>
                <w:color w:val="0D0D0D" w:themeColor="text1" w:themeTint="F2"/>
                <w:spacing w:val="-4"/>
                <w:lang w:val="en-GB"/>
              </w:rPr>
              <w:t xml:space="preserve">regions increased the most year-on-year in Karlovy Vary region </w:t>
            </w:r>
            <w:r w:rsidR="00E97F14" w:rsidRPr="00742B86">
              <w:rPr>
                <w:spacing w:val="-4"/>
                <w:lang w:val="en-GB"/>
              </w:rPr>
              <w:t>(</w:t>
            </w:r>
            <w:r w:rsidR="00F44F17" w:rsidRPr="00742B86">
              <w:rPr>
                <w:spacing w:val="-4"/>
                <w:lang w:val="en-GB"/>
              </w:rPr>
              <w:t xml:space="preserve">by </w:t>
            </w:r>
            <w:r w:rsidR="00E97F14" w:rsidRPr="00742B86">
              <w:rPr>
                <w:spacing w:val="-4"/>
                <w:lang w:val="en-GB"/>
              </w:rPr>
              <w:t>2</w:t>
            </w:r>
            <w:r w:rsidR="00F44F17" w:rsidRPr="00742B86">
              <w:rPr>
                <w:spacing w:val="-4"/>
                <w:lang w:val="en-GB"/>
              </w:rPr>
              <w:t>.</w:t>
            </w:r>
            <w:r w:rsidR="00E97F14" w:rsidRPr="00742B86">
              <w:rPr>
                <w:spacing w:val="-4"/>
                <w:lang w:val="en-GB"/>
              </w:rPr>
              <w:t>3 p.</w:t>
            </w:r>
            <w:r w:rsidR="00F44F17" w:rsidRPr="00742B86">
              <w:rPr>
                <w:spacing w:val="-4"/>
                <w:lang w:val="en-GB"/>
              </w:rPr>
              <w:t>p</w:t>
            </w:r>
            <w:r w:rsidR="00E97F14" w:rsidRPr="00742B86">
              <w:rPr>
                <w:spacing w:val="-4"/>
                <w:lang w:val="en-GB"/>
              </w:rPr>
              <w:t>.,</w:t>
            </w:r>
            <w:r w:rsidR="00F44F17" w:rsidRPr="00742B86">
              <w:rPr>
                <w:spacing w:val="-4"/>
                <w:lang w:val="en-GB"/>
              </w:rPr>
              <w:t xml:space="preserve"> to </w:t>
            </w:r>
            <w:r w:rsidR="00E97F14" w:rsidRPr="00742B86">
              <w:rPr>
                <w:spacing w:val="-4"/>
                <w:lang w:val="en-GB"/>
              </w:rPr>
              <w:t>6</w:t>
            </w:r>
            <w:r w:rsidR="00F44F17" w:rsidRPr="00742B86">
              <w:rPr>
                <w:spacing w:val="-4"/>
                <w:lang w:val="en-GB"/>
              </w:rPr>
              <w:t>.</w:t>
            </w:r>
            <w:r w:rsidR="00E97F14" w:rsidRPr="00742B86">
              <w:rPr>
                <w:spacing w:val="-4"/>
                <w:lang w:val="en-GB"/>
              </w:rPr>
              <w:t>1%),</w:t>
            </w:r>
            <w:r w:rsidR="00F44F17" w:rsidRPr="00742B86">
              <w:rPr>
                <w:spacing w:val="-4"/>
                <w:lang w:val="en-GB"/>
              </w:rPr>
              <w:t xml:space="preserve"> where</w:t>
            </w:r>
            <w:r w:rsidR="0080003D" w:rsidRPr="00742B86">
              <w:rPr>
                <w:spacing w:val="-4"/>
                <w:lang w:val="en-GB"/>
              </w:rPr>
              <w:t xml:space="preserve"> </w:t>
            </w:r>
            <w:r w:rsidR="00650251" w:rsidRPr="00742B86">
              <w:rPr>
                <w:spacing w:val="-4"/>
                <w:lang w:val="en-GB"/>
              </w:rPr>
              <w:t>both the plunge of tourism and worsened conditions for cross-border work</w:t>
            </w:r>
            <w:r w:rsidR="000B5825" w:rsidRPr="00742B86">
              <w:rPr>
                <w:spacing w:val="-4"/>
                <w:lang w:val="en-GB"/>
              </w:rPr>
              <w:t>ers</w:t>
            </w:r>
            <w:r w:rsidR="00650251" w:rsidRPr="00742B86">
              <w:rPr>
                <w:spacing w:val="-4"/>
                <w:lang w:val="en-GB"/>
              </w:rPr>
              <w:t xml:space="preserve"> became evident</w:t>
            </w:r>
            <w:r w:rsidR="00E21413">
              <w:rPr>
                <w:spacing w:val="-4"/>
                <w:lang w:val="en-GB"/>
              </w:rPr>
              <w:t xml:space="preserve"> last year</w:t>
            </w:r>
            <w:r w:rsidR="00E97F14" w:rsidRPr="00742B86">
              <w:rPr>
                <w:spacing w:val="-4"/>
                <w:lang w:val="en-GB"/>
              </w:rPr>
              <w:t>.</w:t>
            </w:r>
            <w:r w:rsidR="00E97F14" w:rsidRPr="00742B86">
              <w:rPr>
                <w:color w:val="0D0D0D" w:themeColor="text1" w:themeTint="F2"/>
                <w:spacing w:val="-4"/>
                <w:lang w:val="en-GB"/>
              </w:rPr>
              <w:t xml:space="preserve"> </w:t>
            </w:r>
            <w:r w:rsidR="00F44F17" w:rsidRPr="00742B86">
              <w:rPr>
                <w:color w:val="0D0D0D" w:themeColor="text1" w:themeTint="F2"/>
                <w:spacing w:val="-4"/>
                <w:lang w:val="en-GB"/>
              </w:rPr>
              <w:t xml:space="preserve">Variations between regions however remained </w:t>
            </w:r>
            <w:r w:rsidR="00C63419" w:rsidRPr="00742B86">
              <w:rPr>
                <w:color w:val="0D0D0D" w:themeColor="text1" w:themeTint="F2"/>
                <w:spacing w:val="-4"/>
                <w:lang w:val="en-GB"/>
              </w:rPr>
              <w:t xml:space="preserve">relatively small. Less than </w:t>
            </w:r>
            <w:r w:rsidR="00E97F14" w:rsidRPr="00742B86">
              <w:rPr>
                <w:color w:val="0D0D0D" w:themeColor="text1" w:themeTint="F2"/>
                <w:spacing w:val="-4"/>
                <w:lang w:val="en-GB"/>
              </w:rPr>
              <w:t>2%</w:t>
            </w:r>
            <w:r w:rsidR="00C63419" w:rsidRPr="00742B86">
              <w:rPr>
                <w:color w:val="0D0D0D" w:themeColor="text1" w:themeTint="F2"/>
                <w:spacing w:val="-4"/>
                <w:lang w:val="en-GB"/>
              </w:rPr>
              <w:t xml:space="preserve"> unemployment </w:t>
            </w:r>
            <w:r w:rsidR="00E21413">
              <w:rPr>
                <w:color w:val="0D0D0D" w:themeColor="text1" w:themeTint="F2"/>
                <w:spacing w:val="-4"/>
                <w:lang w:val="en-GB"/>
              </w:rPr>
              <w:t xml:space="preserve">rate </w:t>
            </w:r>
            <w:r w:rsidR="00C63419" w:rsidRPr="00742B86">
              <w:rPr>
                <w:color w:val="0D0D0D" w:themeColor="text1" w:themeTint="F2"/>
                <w:spacing w:val="-4"/>
                <w:lang w:val="en-GB"/>
              </w:rPr>
              <w:t xml:space="preserve">persisted in the </w:t>
            </w:r>
            <w:proofErr w:type="spellStart"/>
            <w:r w:rsidR="00C63419" w:rsidRPr="00742B86">
              <w:rPr>
                <w:color w:val="0D0D0D" w:themeColor="text1" w:themeTint="F2"/>
                <w:spacing w:val="-4"/>
                <w:lang w:val="en-GB"/>
              </w:rPr>
              <w:t>Pardubicky</w:t>
            </w:r>
            <w:proofErr w:type="spellEnd"/>
            <w:r w:rsidR="00C63419" w:rsidRPr="00742B86">
              <w:rPr>
                <w:color w:val="0D0D0D" w:themeColor="text1" w:themeTint="F2"/>
                <w:spacing w:val="-4"/>
                <w:lang w:val="en-GB"/>
              </w:rPr>
              <w:t xml:space="preserve"> and </w:t>
            </w:r>
            <w:proofErr w:type="spellStart"/>
            <w:r w:rsidR="00C63419" w:rsidRPr="00742B86">
              <w:rPr>
                <w:color w:val="0D0D0D" w:themeColor="text1" w:themeTint="F2"/>
                <w:spacing w:val="-4"/>
                <w:lang w:val="en-GB"/>
              </w:rPr>
              <w:t>Zlinsky</w:t>
            </w:r>
            <w:proofErr w:type="spellEnd"/>
            <w:r w:rsidR="00C63419" w:rsidRPr="00742B86">
              <w:rPr>
                <w:color w:val="0D0D0D" w:themeColor="text1" w:themeTint="F2"/>
                <w:spacing w:val="-4"/>
                <w:lang w:val="en-GB"/>
              </w:rPr>
              <w:t xml:space="preserve"> regions, which are also </w:t>
            </w:r>
            <w:r w:rsidR="00650251" w:rsidRPr="00742B86">
              <w:rPr>
                <w:color w:val="0D0D0D" w:themeColor="text1" w:themeTint="F2"/>
                <w:spacing w:val="-4"/>
                <w:lang w:val="en-GB"/>
              </w:rPr>
              <w:t>characterised</w:t>
            </w:r>
            <w:r w:rsidR="00E21413">
              <w:rPr>
                <w:color w:val="0D0D0D" w:themeColor="text1" w:themeTint="F2"/>
                <w:spacing w:val="-4"/>
                <w:lang w:val="en-GB"/>
              </w:rPr>
              <w:t xml:space="preserve"> by milder specialisation on</w:t>
            </w:r>
            <w:r w:rsidR="00C63419" w:rsidRPr="00742B86">
              <w:rPr>
                <w:color w:val="0D0D0D" w:themeColor="text1" w:themeTint="F2"/>
                <w:spacing w:val="-4"/>
                <w:lang w:val="en-GB"/>
              </w:rPr>
              <w:t xml:space="preserve"> industry. </w:t>
            </w:r>
          </w:p>
        </w:tc>
      </w:tr>
      <w:tr w:rsidR="00E97F14" w:rsidRPr="00742B86" w:rsidTr="00370CFF">
        <w:trPr>
          <w:trHeight w:val="145"/>
        </w:trPr>
        <w:tc>
          <w:tcPr>
            <w:tcW w:w="1687" w:type="dxa"/>
            <w:shd w:val="clear" w:color="auto" w:fill="auto"/>
            <w:tcMar>
              <w:left w:w="0" w:type="dxa"/>
            </w:tcMar>
          </w:tcPr>
          <w:p w:rsidR="00E97F14" w:rsidRPr="00742B86" w:rsidRDefault="00E4218B" w:rsidP="00230DB5">
            <w:pPr>
              <w:pStyle w:val="Marginlie"/>
              <w:spacing w:after="120"/>
              <w:rPr>
                <w:spacing w:val="-5"/>
                <w:lang w:val="en-GB"/>
              </w:rPr>
            </w:pPr>
            <w:r w:rsidRPr="00742B86">
              <w:rPr>
                <w:lang w:val="en-GB"/>
              </w:rPr>
              <w:lastRenderedPageBreak/>
              <w:t>Government stabilisation programmes, the</w:t>
            </w:r>
            <w:r w:rsidR="00230DB5">
              <w:rPr>
                <w:lang w:val="en-GB"/>
              </w:rPr>
              <w:t xml:space="preserve"> wider</w:t>
            </w:r>
            <w:r w:rsidR="00160E90" w:rsidRPr="00742B86">
              <w:rPr>
                <w:lang w:val="en-GB"/>
              </w:rPr>
              <w:t xml:space="preserve"> offer of </w:t>
            </w:r>
            <w:r w:rsidR="00230DB5">
              <w:rPr>
                <w:lang w:val="en-GB"/>
              </w:rPr>
              <w:t xml:space="preserve">jobs in </w:t>
            </w:r>
            <w:r w:rsidR="00160E90" w:rsidRPr="00742B86">
              <w:rPr>
                <w:lang w:val="en-GB"/>
              </w:rPr>
              <w:t xml:space="preserve">the services sector or gradual revival of industry </w:t>
            </w:r>
            <w:r w:rsidR="0049026F" w:rsidRPr="00742B86">
              <w:rPr>
                <w:lang w:val="en-GB"/>
              </w:rPr>
              <w:t xml:space="preserve">worked against a higher growth of unemployment. </w:t>
            </w:r>
          </w:p>
        </w:tc>
        <w:tc>
          <w:tcPr>
            <w:tcW w:w="182" w:type="dxa"/>
            <w:shd w:val="clear" w:color="auto" w:fill="auto"/>
            <w:tcMar>
              <w:left w:w="0" w:type="dxa"/>
            </w:tcMar>
          </w:tcPr>
          <w:p w:rsidR="00E97F14" w:rsidRPr="00742B86" w:rsidRDefault="00E97F14" w:rsidP="0091476D">
            <w:pPr>
              <w:pStyle w:val="Textpoznpodarou"/>
              <w:spacing w:after="120"/>
              <w:jc w:val="both"/>
              <w:rPr>
                <w:spacing w:val="-4"/>
                <w:lang w:val="en-GB"/>
              </w:rPr>
            </w:pPr>
          </w:p>
        </w:tc>
        <w:tc>
          <w:tcPr>
            <w:tcW w:w="7795" w:type="dxa"/>
            <w:shd w:val="clear" w:color="auto" w:fill="auto"/>
            <w:tcMar>
              <w:left w:w="0" w:type="dxa"/>
            </w:tcMar>
          </w:tcPr>
          <w:p w:rsidR="00E97F14" w:rsidRPr="00742B86" w:rsidRDefault="0049026F" w:rsidP="0091476D">
            <w:pPr>
              <w:spacing w:after="220"/>
              <w:rPr>
                <w:color w:val="0D0D0D" w:themeColor="text1" w:themeTint="F2"/>
                <w:spacing w:val="-3"/>
                <w:lang w:val="en-GB"/>
              </w:rPr>
            </w:pPr>
            <w:r w:rsidRPr="00742B86">
              <w:rPr>
                <w:color w:val="0D0D0D" w:themeColor="text1" w:themeTint="F2"/>
                <w:spacing w:val="-3"/>
                <w:lang w:val="en-GB"/>
              </w:rPr>
              <w:t xml:space="preserve">Especially government stabilisation programmes </w:t>
            </w:r>
            <w:r w:rsidR="00E97F14" w:rsidRPr="00742B86">
              <w:rPr>
                <w:color w:val="0D0D0D" w:themeColor="text1" w:themeTint="F2"/>
                <w:spacing w:val="-3"/>
                <w:lang w:val="en-GB"/>
              </w:rPr>
              <w:t>(Antivirus</w:t>
            </w:r>
            <w:r w:rsidR="00E97F14" w:rsidRPr="00742B86">
              <w:rPr>
                <w:rStyle w:val="Znakapoznpodarou"/>
                <w:color w:val="0D0D0D" w:themeColor="text1" w:themeTint="F2"/>
                <w:spacing w:val="-3"/>
                <w:lang w:val="en-GB"/>
              </w:rPr>
              <w:footnoteReference w:id="58"/>
            </w:r>
            <w:r w:rsidR="00E97F14" w:rsidRPr="00742B86">
              <w:rPr>
                <w:color w:val="0D0D0D" w:themeColor="text1" w:themeTint="F2"/>
                <w:spacing w:val="-3"/>
                <w:lang w:val="en-GB"/>
              </w:rPr>
              <w:t xml:space="preserve">, </w:t>
            </w:r>
            <w:r w:rsidRPr="00742B86">
              <w:rPr>
                <w:color w:val="0D0D0D" w:themeColor="text1" w:themeTint="F2"/>
                <w:spacing w:val="-3"/>
                <w:lang w:val="en-GB"/>
              </w:rPr>
              <w:t>care benefits</w:t>
            </w:r>
            <w:r w:rsidR="00E97F14" w:rsidRPr="00742B86">
              <w:rPr>
                <w:rStyle w:val="Znakapoznpodarou"/>
                <w:color w:val="0D0D0D" w:themeColor="text1" w:themeTint="F2"/>
                <w:spacing w:val="-3"/>
                <w:lang w:val="en-GB"/>
              </w:rPr>
              <w:footnoteReference w:id="59"/>
            </w:r>
            <w:r w:rsidR="00E97F14" w:rsidRPr="00742B86">
              <w:rPr>
                <w:color w:val="0D0D0D" w:themeColor="text1" w:themeTint="F2"/>
                <w:spacing w:val="-3"/>
                <w:lang w:val="en-GB"/>
              </w:rPr>
              <w:t>)</w:t>
            </w:r>
            <w:r w:rsidR="00D40E6C" w:rsidRPr="00742B86">
              <w:rPr>
                <w:color w:val="0D0D0D" w:themeColor="text1" w:themeTint="F2"/>
                <w:spacing w:val="-3"/>
                <w:lang w:val="en-GB"/>
              </w:rPr>
              <w:t xml:space="preserve"> </w:t>
            </w:r>
            <w:r w:rsidR="00BA08E1" w:rsidRPr="00742B86">
              <w:rPr>
                <w:color w:val="0D0D0D" w:themeColor="text1" w:themeTint="F2"/>
                <w:spacing w:val="-3"/>
                <w:lang w:val="en-GB"/>
              </w:rPr>
              <w:t xml:space="preserve">functioned </w:t>
            </w:r>
            <w:r w:rsidR="00D40E6C" w:rsidRPr="00742B86">
              <w:rPr>
                <w:color w:val="0D0D0D" w:themeColor="text1" w:themeTint="F2"/>
                <w:spacing w:val="-3"/>
                <w:lang w:val="en-GB"/>
              </w:rPr>
              <w:t>against</w:t>
            </w:r>
            <w:r w:rsidR="00BA08E1" w:rsidRPr="00742B86">
              <w:rPr>
                <w:color w:val="0D0D0D" w:themeColor="text1" w:themeTint="F2"/>
                <w:spacing w:val="-3"/>
                <w:lang w:val="en-GB"/>
              </w:rPr>
              <w:t xml:space="preserve"> more perceptible growth of unemployment. </w:t>
            </w:r>
            <w:r w:rsidR="00185AA7" w:rsidRPr="00742B86">
              <w:rPr>
                <w:color w:val="0D0D0D" w:themeColor="text1" w:themeTint="F2"/>
                <w:spacing w:val="-3"/>
                <w:lang w:val="en-GB"/>
              </w:rPr>
              <w:t xml:space="preserve">The fact, that part of the labour market </w:t>
            </w:r>
            <w:proofErr w:type="gramStart"/>
            <w:r w:rsidR="00185AA7" w:rsidRPr="00742B86">
              <w:rPr>
                <w:color w:val="0D0D0D" w:themeColor="text1" w:themeTint="F2"/>
                <w:spacing w:val="-3"/>
                <w:lang w:val="en-GB"/>
              </w:rPr>
              <w:t>was not affected</w:t>
            </w:r>
            <w:proofErr w:type="gramEnd"/>
            <w:r w:rsidR="00185AA7" w:rsidRPr="00742B86">
              <w:rPr>
                <w:color w:val="0D0D0D" w:themeColor="text1" w:themeTint="F2"/>
                <w:spacing w:val="-3"/>
                <w:lang w:val="en-GB"/>
              </w:rPr>
              <w:t xml:space="preserve"> too much by the adverse development last year </w:t>
            </w:r>
            <w:r w:rsidR="00BA08E1" w:rsidRPr="00742B86">
              <w:rPr>
                <w:color w:val="0D0D0D" w:themeColor="text1" w:themeTint="F2"/>
                <w:spacing w:val="-3"/>
                <w:lang w:val="en-GB"/>
              </w:rPr>
              <w:t>also played a part</w:t>
            </w:r>
            <w:r w:rsidR="00E97F14" w:rsidRPr="00742B86">
              <w:rPr>
                <w:color w:val="0D0D0D" w:themeColor="text1" w:themeTint="F2"/>
                <w:spacing w:val="-3"/>
                <w:lang w:val="en-GB"/>
              </w:rPr>
              <w:t xml:space="preserve">. </w:t>
            </w:r>
            <w:r w:rsidR="000B1AA3" w:rsidRPr="00742B86">
              <w:rPr>
                <w:color w:val="0D0D0D" w:themeColor="text1" w:themeTint="F2"/>
                <w:spacing w:val="-3"/>
                <w:lang w:val="en-GB"/>
              </w:rPr>
              <w:t xml:space="preserve">Some people, who lost job, could thus </w:t>
            </w:r>
            <w:r w:rsidR="00230DB5">
              <w:rPr>
                <w:color w:val="0D0D0D" w:themeColor="text1" w:themeTint="F2"/>
                <w:spacing w:val="-3"/>
                <w:lang w:val="en-GB"/>
              </w:rPr>
              <w:t>(at least temporarily)</w:t>
            </w:r>
            <w:r w:rsidR="000B1AA3" w:rsidRPr="00742B86">
              <w:rPr>
                <w:color w:val="0D0D0D" w:themeColor="text1" w:themeTint="F2"/>
                <w:spacing w:val="-3"/>
                <w:lang w:val="en-GB"/>
              </w:rPr>
              <w:t xml:space="preserve"> find employmen</w:t>
            </w:r>
            <w:r w:rsidR="00230DB5">
              <w:rPr>
                <w:color w:val="0D0D0D" w:themeColor="text1" w:themeTint="F2"/>
                <w:spacing w:val="-3"/>
                <w:lang w:val="en-GB"/>
              </w:rPr>
              <w:t>t in another field,</w:t>
            </w:r>
            <w:r w:rsidR="000B1AA3" w:rsidRPr="00742B86">
              <w:rPr>
                <w:color w:val="0D0D0D" w:themeColor="text1" w:themeTint="F2"/>
                <w:spacing w:val="-3"/>
                <w:lang w:val="en-GB"/>
              </w:rPr>
              <w:t xml:space="preserve"> espec</w:t>
            </w:r>
            <w:r w:rsidR="00230DB5">
              <w:rPr>
                <w:color w:val="0D0D0D" w:themeColor="text1" w:themeTint="F2"/>
                <w:spacing w:val="-3"/>
                <w:lang w:val="en-GB"/>
              </w:rPr>
              <w:t>ially in regions with wide range</w:t>
            </w:r>
            <w:r w:rsidR="000B1AA3" w:rsidRPr="00742B86">
              <w:rPr>
                <w:color w:val="0D0D0D" w:themeColor="text1" w:themeTint="F2"/>
                <w:spacing w:val="-3"/>
                <w:lang w:val="en-GB"/>
              </w:rPr>
              <w:t xml:space="preserve"> of positions in services </w:t>
            </w:r>
            <w:r w:rsidR="00E97F14" w:rsidRPr="00742B86">
              <w:rPr>
                <w:color w:val="0D0D0D" w:themeColor="text1" w:themeTint="F2"/>
                <w:spacing w:val="-3"/>
                <w:lang w:val="en-GB"/>
              </w:rPr>
              <w:t>(</w:t>
            </w:r>
            <w:r w:rsidR="000B1AA3" w:rsidRPr="00742B86">
              <w:rPr>
                <w:color w:val="0D0D0D" w:themeColor="text1" w:themeTint="F2"/>
                <w:spacing w:val="-3"/>
                <w:lang w:val="en-GB"/>
              </w:rPr>
              <w:t>e.g. in Prague</w:t>
            </w:r>
            <w:r w:rsidR="00E97F14" w:rsidRPr="00742B86">
              <w:rPr>
                <w:color w:val="0D0D0D" w:themeColor="text1" w:themeTint="F2"/>
                <w:spacing w:val="-3"/>
                <w:lang w:val="en-GB"/>
              </w:rPr>
              <w:t xml:space="preserve">). </w:t>
            </w:r>
            <w:r w:rsidR="00887CEF" w:rsidRPr="00742B86">
              <w:rPr>
                <w:color w:val="0D0D0D" w:themeColor="text1" w:themeTint="F2"/>
                <w:spacing w:val="-3"/>
                <w:lang w:val="en-GB"/>
              </w:rPr>
              <w:t xml:space="preserve">Fast recovery of industry could however also </w:t>
            </w:r>
            <w:proofErr w:type="gramStart"/>
            <w:r w:rsidR="00887CEF" w:rsidRPr="00742B86">
              <w:rPr>
                <w:color w:val="0D0D0D" w:themeColor="text1" w:themeTint="F2"/>
                <w:spacing w:val="-3"/>
                <w:lang w:val="en-GB"/>
              </w:rPr>
              <w:t>have an effect</w:t>
            </w:r>
            <w:proofErr w:type="gramEnd"/>
            <w:r w:rsidR="00887CEF" w:rsidRPr="00742B86">
              <w:rPr>
                <w:color w:val="0D0D0D" w:themeColor="text1" w:themeTint="F2"/>
                <w:spacing w:val="-3"/>
                <w:lang w:val="en-GB"/>
              </w:rPr>
              <w:t xml:space="preserve">. </w:t>
            </w:r>
            <w:r w:rsidR="007E3513" w:rsidRPr="00742B86">
              <w:rPr>
                <w:color w:val="0D0D0D" w:themeColor="text1" w:themeTint="F2"/>
                <w:spacing w:val="-3"/>
                <w:lang w:val="en-GB"/>
              </w:rPr>
              <w:t>Concerns of households about the spike of unemployment s</w:t>
            </w:r>
            <w:r w:rsidR="00887CEF" w:rsidRPr="00742B86">
              <w:rPr>
                <w:color w:val="0D0D0D" w:themeColor="text1" w:themeTint="F2"/>
                <w:spacing w:val="-3"/>
                <w:lang w:val="en-GB"/>
              </w:rPr>
              <w:t>harply contrasted</w:t>
            </w:r>
            <w:r w:rsidR="007E3513" w:rsidRPr="00742B86">
              <w:rPr>
                <w:color w:val="0D0D0D" w:themeColor="text1" w:themeTint="F2"/>
                <w:spacing w:val="-3"/>
                <w:lang w:val="en-GB"/>
              </w:rPr>
              <w:t xml:space="preserve"> with the subdued growth of the real unemployment. </w:t>
            </w:r>
            <w:r w:rsidR="00230DB5">
              <w:rPr>
                <w:spacing w:val="-3"/>
                <w:lang w:val="en-GB"/>
              </w:rPr>
              <w:t>Concerns</w:t>
            </w:r>
            <w:r w:rsidR="007E3513" w:rsidRPr="00742B86">
              <w:rPr>
                <w:spacing w:val="-3"/>
                <w:lang w:val="en-GB"/>
              </w:rPr>
              <w:t xml:space="preserve"> reached the highest level since the beginning of year 2009 during Q4 </w:t>
            </w:r>
            <w:r w:rsidR="00E97F14" w:rsidRPr="00742B86">
              <w:rPr>
                <w:spacing w:val="-3"/>
                <w:lang w:val="en-GB"/>
              </w:rPr>
              <w:t>2020</w:t>
            </w:r>
            <w:r w:rsidR="00E97F14" w:rsidRPr="00742B86">
              <w:rPr>
                <w:rStyle w:val="Znakapoznpodarou"/>
                <w:spacing w:val="-3"/>
                <w:lang w:val="en-GB"/>
              </w:rPr>
              <w:footnoteReference w:id="60"/>
            </w:r>
            <w:r w:rsidR="007E3513" w:rsidRPr="00742B86">
              <w:rPr>
                <w:spacing w:val="-3"/>
                <w:lang w:val="en-GB"/>
              </w:rPr>
              <w:t xml:space="preserve">. </w:t>
            </w:r>
          </w:p>
        </w:tc>
      </w:tr>
      <w:tr w:rsidR="009F2518" w:rsidRPr="00742B86" w:rsidTr="00370CFF">
        <w:trPr>
          <w:trHeight w:val="145"/>
        </w:trPr>
        <w:tc>
          <w:tcPr>
            <w:tcW w:w="1687" w:type="dxa"/>
            <w:shd w:val="clear" w:color="auto" w:fill="auto"/>
            <w:tcMar>
              <w:left w:w="0" w:type="dxa"/>
            </w:tcMar>
          </w:tcPr>
          <w:p w:rsidR="00144D63" w:rsidRDefault="009F2518" w:rsidP="009F2518">
            <w:pPr>
              <w:pStyle w:val="Marginlie"/>
              <w:spacing w:after="120"/>
              <w:rPr>
                <w:lang w:val="en-GB"/>
              </w:rPr>
            </w:pPr>
            <w:r w:rsidRPr="00742B86">
              <w:rPr>
                <w:lang w:val="en-GB"/>
              </w:rPr>
              <w:t xml:space="preserve">Number of job vacancies was slightly falling year-on-year since April 2020.  </w:t>
            </w:r>
          </w:p>
          <w:p w:rsidR="00144D63" w:rsidRDefault="00144D63" w:rsidP="009F2518">
            <w:pPr>
              <w:pStyle w:val="Marginlie"/>
              <w:spacing w:after="120"/>
              <w:rPr>
                <w:lang w:val="en-GB"/>
              </w:rPr>
            </w:pPr>
          </w:p>
          <w:p w:rsidR="009F2518" w:rsidRPr="00742B86" w:rsidRDefault="009F2518" w:rsidP="009F2518">
            <w:pPr>
              <w:pStyle w:val="Marginlie"/>
              <w:spacing w:after="120"/>
              <w:rPr>
                <w:lang w:val="en-GB"/>
              </w:rPr>
            </w:pPr>
            <w:r w:rsidRPr="00742B86">
              <w:rPr>
                <w:lang w:val="en-GB"/>
              </w:rPr>
              <w:t xml:space="preserve">Job vacancies for apprentices reduced the most. Supply of vacancies for foreign workers however remained high. </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9F2518" w:rsidP="009F2518">
            <w:pPr>
              <w:spacing w:after="220"/>
              <w:rPr>
                <w:color w:val="0D0D0D" w:themeColor="text1" w:themeTint="F2"/>
                <w:spacing w:val="-3"/>
                <w:lang w:val="en-GB"/>
              </w:rPr>
            </w:pPr>
            <w:r w:rsidRPr="00742B86">
              <w:rPr>
                <w:color w:val="0D0D0D" w:themeColor="text1" w:themeTint="F2"/>
                <w:spacing w:val="-5"/>
                <w:lang w:val="en-GB"/>
              </w:rPr>
              <w:t xml:space="preserve">Job offices in the CR were offering 319 thousand job vacancies at the end of year 2020. It was less than in both December 2018 and 2019. Number of vacancies was falling year-on-year already since April 2020, the strongest reduction occurred in September and October (by nearly 30 thousand.). From </w:t>
            </w:r>
            <w:r>
              <w:rPr>
                <w:color w:val="0D0D0D" w:themeColor="text1" w:themeTint="F2"/>
                <w:spacing w:val="-5"/>
                <w:lang w:val="en-GB"/>
              </w:rPr>
              <w:t xml:space="preserve">the view of </w:t>
            </w:r>
            <w:r w:rsidRPr="00742B86">
              <w:rPr>
                <w:color w:val="0D0D0D" w:themeColor="text1" w:themeTint="F2"/>
                <w:spacing w:val="-5"/>
                <w:lang w:val="en-GB"/>
              </w:rPr>
              <w:t>educational requirements, mostly po</w:t>
            </w:r>
            <w:r>
              <w:rPr>
                <w:color w:val="0D0D0D" w:themeColor="text1" w:themeTint="F2"/>
                <w:spacing w:val="-5"/>
                <w:lang w:val="en-GB"/>
              </w:rPr>
              <w:t xml:space="preserve">sitions for apprentices shrank </w:t>
            </w:r>
            <w:r w:rsidRPr="00742B86">
              <w:rPr>
                <w:color w:val="0D0D0D" w:themeColor="text1" w:themeTint="F2"/>
                <w:spacing w:val="-5"/>
                <w:lang w:val="en-GB"/>
              </w:rPr>
              <w:t>for the whole last year (by 25%)</w:t>
            </w:r>
            <w:proofErr w:type="gramStart"/>
            <w:r w:rsidRPr="00742B86">
              <w:rPr>
                <w:color w:val="0D0D0D" w:themeColor="text1" w:themeTint="F2"/>
                <w:spacing w:val="-5"/>
                <w:lang w:val="en-GB"/>
              </w:rPr>
              <w:t>,</w:t>
            </w:r>
            <w:proofErr w:type="gramEnd"/>
            <w:r w:rsidRPr="00742B86">
              <w:rPr>
                <w:color w:val="0D0D0D" w:themeColor="text1" w:themeTint="F2"/>
                <w:spacing w:val="-5"/>
                <w:lang w:val="en-GB"/>
              </w:rPr>
              <w:t xml:space="preserve"> on the contrary positions </w:t>
            </w:r>
            <w:r w:rsidR="00144D63">
              <w:rPr>
                <w:color w:val="0D0D0D" w:themeColor="text1" w:themeTint="F2"/>
                <w:spacing w:val="-5"/>
                <w:lang w:val="en-GB"/>
              </w:rPr>
              <w:t xml:space="preserve">for people </w:t>
            </w:r>
            <w:r w:rsidRPr="00742B86">
              <w:rPr>
                <w:color w:val="0D0D0D" w:themeColor="text1" w:themeTint="F2"/>
                <w:spacing w:val="-5"/>
                <w:lang w:val="en-GB"/>
              </w:rPr>
              <w:t>with maximum primary education registered only a small decrease (by 3%, to 238 thousand.)</w:t>
            </w:r>
            <w:r w:rsidRPr="00742B86">
              <w:rPr>
                <w:rStyle w:val="Znakapoznpodarou"/>
                <w:color w:val="0D0D0D" w:themeColor="text1" w:themeTint="F2"/>
                <w:spacing w:val="-5"/>
                <w:lang w:val="en-GB"/>
              </w:rPr>
              <w:footnoteReference w:id="61"/>
            </w:r>
            <w:r w:rsidRPr="00742B86">
              <w:rPr>
                <w:color w:val="0D0D0D" w:themeColor="text1" w:themeTint="F2"/>
                <w:spacing w:val="-5"/>
                <w:lang w:val="en-GB"/>
              </w:rPr>
              <w:t xml:space="preserve"> for the whole last year. Among the main groups of em</w:t>
            </w:r>
            <w:r w:rsidRPr="00B37499">
              <w:rPr>
                <w:color w:val="0D0D0D" w:themeColor="text1" w:themeTint="F2"/>
                <w:spacing w:val="-5"/>
                <w:lang w:val="en-GB"/>
              </w:rPr>
              <w:t xml:space="preserve">ployment, the supply of vacancies for </w:t>
            </w:r>
            <w:r w:rsidR="00B37499" w:rsidRPr="00B37499">
              <w:rPr>
                <w:color w:val="0D0D0D" w:themeColor="text1" w:themeTint="F2"/>
                <w:spacing w:val="-5"/>
                <w:lang w:val="en-GB"/>
              </w:rPr>
              <w:t xml:space="preserve">service and sales workers </w:t>
            </w:r>
            <w:r w:rsidRPr="00742B86">
              <w:rPr>
                <w:color w:val="0D0D0D" w:themeColor="text1" w:themeTint="F2"/>
                <w:spacing w:val="-5"/>
                <w:lang w:val="en-GB"/>
              </w:rPr>
              <w:t>went down (by 11%) a</w:t>
            </w:r>
            <w:r w:rsidR="00B37499">
              <w:rPr>
                <w:color w:val="0D0D0D" w:themeColor="text1" w:themeTint="F2"/>
                <w:spacing w:val="-5"/>
                <w:lang w:val="en-GB"/>
              </w:rPr>
              <w:t>s well as</w:t>
            </w:r>
            <w:r w:rsidR="00B37499" w:rsidRPr="00B37499">
              <w:rPr>
                <w:color w:val="0D0D0D" w:themeColor="text1" w:themeTint="F2"/>
                <w:spacing w:val="-5"/>
                <w:lang w:val="en-GB"/>
              </w:rPr>
              <w:t xml:space="preserve"> machine operators and assemblers</w:t>
            </w:r>
            <w:r w:rsidR="00B37499" w:rsidRPr="00B37499">
              <w:rPr>
                <w:color w:val="FF0000"/>
                <w:spacing w:val="-5"/>
                <w:lang w:val="en-GB"/>
              </w:rPr>
              <w:t xml:space="preserve"> </w:t>
            </w:r>
            <w:r w:rsidRPr="00742B86">
              <w:rPr>
                <w:color w:val="0D0D0D" w:themeColor="text1" w:themeTint="F2"/>
                <w:spacing w:val="-5"/>
                <w:lang w:val="en-GB"/>
              </w:rPr>
              <w:t xml:space="preserve">(also by 11%). Reduction of number of vacancies was in effect </w:t>
            </w:r>
            <w:proofErr w:type="gramStart"/>
            <w:r w:rsidRPr="00742B86">
              <w:rPr>
                <w:color w:val="0D0D0D" w:themeColor="text1" w:themeTint="F2"/>
                <w:spacing w:val="-5"/>
                <w:lang w:val="en-GB"/>
              </w:rPr>
              <w:t>all-encompassing</w:t>
            </w:r>
            <w:proofErr w:type="gramEnd"/>
            <w:r w:rsidRPr="00742B86">
              <w:rPr>
                <w:color w:val="0D0D0D" w:themeColor="text1" w:themeTint="F2"/>
                <w:spacing w:val="-5"/>
                <w:lang w:val="en-GB"/>
              </w:rPr>
              <w:t xml:space="preserve">, the only positions which grew were positions for qualified workers in agriculture and forestry. Total number of job vacancies </w:t>
            </w:r>
            <w:r w:rsidR="00144D63">
              <w:rPr>
                <w:color w:val="0D0D0D" w:themeColor="text1" w:themeTint="F2"/>
                <w:spacing w:val="-5"/>
                <w:lang w:val="en-GB"/>
              </w:rPr>
              <w:t xml:space="preserve">in December 2020 </w:t>
            </w:r>
            <w:r w:rsidRPr="00742B86">
              <w:rPr>
                <w:color w:val="0D0D0D" w:themeColor="text1" w:themeTint="F2"/>
                <w:spacing w:val="-5"/>
                <w:lang w:val="en-GB"/>
              </w:rPr>
              <w:t>was still higher than the number of registered applicants for work (292 thousand). For persons with higher than primary education however, alre</w:t>
            </w:r>
            <w:r w:rsidR="00B37499">
              <w:rPr>
                <w:color w:val="0D0D0D" w:themeColor="text1" w:themeTint="F2"/>
                <w:spacing w:val="-5"/>
                <w:lang w:val="en-GB"/>
              </w:rPr>
              <w:t>ady 2.6 applicants belonged to one</w:t>
            </w:r>
            <w:r w:rsidRPr="00742B86">
              <w:rPr>
                <w:color w:val="0D0D0D" w:themeColor="text1" w:themeTint="F2"/>
                <w:spacing w:val="-5"/>
                <w:lang w:val="en-GB"/>
              </w:rPr>
              <w:t xml:space="preserve"> corresponding position, the most in the last four year</w:t>
            </w:r>
            <w:r w:rsidR="00144D63">
              <w:rPr>
                <w:color w:val="0D0D0D" w:themeColor="text1" w:themeTint="F2"/>
                <w:spacing w:val="-5"/>
                <w:lang w:val="en-GB"/>
              </w:rPr>
              <w:t>s</w:t>
            </w:r>
            <w:r w:rsidRPr="00742B86">
              <w:rPr>
                <w:color w:val="0D0D0D" w:themeColor="text1" w:themeTint="F2"/>
                <w:spacing w:val="-5"/>
                <w:lang w:val="en-GB"/>
              </w:rPr>
              <w:t xml:space="preserve">. </w:t>
            </w:r>
          </w:p>
        </w:tc>
      </w:tr>
      <w:tr w:rsidR="009F2518" w:rsidRPr="00742B86" w:rsidTr="00370CFF">
        <w:trPr>
          <w:trHeight w:val="145"/>
        </w:trPr>
        <w:tc>
          <w:tcPr>
            <w:tcW w:w="1687" w:type="dxa"/>
            <w:shd w:val="clear" w:color="auto" w:fill="auto"/>
            <w:tcMar>
              <w:left w:w="0" w:type="dxa"/>
            </w:tcMar>
          </w:tcPr>
          <w:p w:rsidR="009F2518" w:rsidRPr="00742B86" w:rsidRDefault="009F2518" w:rsidP="009F2518">
            <w:pPr>
              <w:pStyle w:val="Marginlie"/>
              <w:spacing w:after="120"/>
              <w:rPr>
                <w:lang w:val="en-GB"/>
              </w:rPr>
            </w:pPr>
            <w:r w:rsidRPr="00742B86">
              <w:rPr>
                <w:spacing w:val="0"/>
                <w:lang w:val="en-GB"/>
              </w:rPr>
              <w:t xml:space="preserve">Number of economically inactive expanded last year the most since year 2008. Increase was evident mainly in both outer age spectra of the productive age. </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9F2518" w:rsidRDefault="009F2518" w:rsidP="009F2518">
            <w:pPr>
              <w:spacing w:after="0"/>
              <w:rPr>
                <w:color w:val="0D0D0D" w:themeColor="text1" w:themeTint="F2"/>
                <w:spacing w:val="-2"/>
                <w:lang w:val="en-GB"/>
              </w:rPr>
            </w:pPr>
            <w:r w:rsidRPr="009F2518">
              <w:rPr>
                <w:rFonts w:cs="Arial"/>
                <w:bCs/>
                <w:color w:val="000000"/>
                <w:spacing w:val="-2"/>
                <w:szCs w:val="20"/>
                <w:lang w:val="en-GB"/>
              </w:rPr>
              <w:t xml:space="preserve">Changes on the labour market were rather than in the unemployment reflected in the expanding ranks of economically inactive </w:t>
            </w:r>
            <w:r w:rsidRPr="009F2518">
              <w:rPr>
                <w:rFonts w:cs="Arial"/>
                <w:bCs/>
                <w:color w:val="0D0D0D" w:themeColor="text1" w:themeTint="F2"/>
                <w:spacing w:val="-2"/>
                <w:szCs w:val="20"/>
                <w:lang w:val="en-GB"/>
              </w:rPr>
              <w:t xml:space="preserve">in 2020. </w:t>
            </w:r>
            <w:r w:rsidRPr="009F2518">
              <w:rPr>
                <w:spacing w:val="-2"/>
                <w:lang w:val="en-GB"/>
              </w:rPr>
              <w:t>Their increase was the largest for the last decade last year (+1.8%)</w:t>
            </w:r>
            <w:r w:rsidRPr="009F2518">
              <w:rPr>
                <w:rStyle w:val="Znakapoznpodarou"/>
                <w:spacing w:val="-2"/>
                <w:lang w:val="en-GB"/>
              </w:rPr>
              <w:footnoteReference w:id="62"/>
            </w:r>
            <w:r w:rsidRPr="009F2518">
              <w:rPr>
                <w:spacing w:val="-2"/>
                <w:lang w:val="en-GB"/>
              </w:rPr>
              <w:t xml:space="preserve">. In Q4 itself, the growth was evident mainly for persons under the age of 30 years (also due to the limited supply of temporary and part-time jobs), partially also for persons in the age group above 60 years (especially males). It </w:t>
            </w:r>
            <w:proofErr w:type="gramStart"/>
            <w:r w:rsidRPr="009F2518">
              <w:rPr>
                <w:spacing w:val="-2"/>
                <w:lang w:val="en-GB"/>
              </w:rPr>
              <w:t>cann</w:t>
            </w:r>
            <w:r w:rsidR="002E0A27">
              <w:rPr>
                <w:spacing w:val="-2"/>
                <w:lang w:val="en-GB"/>
              </w:rPr>
              <w:t>ot be ruled out,</w:t>
            </w:r>
            <w:proofErr w:type="gramEnd"/>
            <w:r w:rsidR="002E0A27">
              <w:rPr>
                <w:spacing w:val="-2"/>
                <w:lang w:val="en-GB"/>
              </w:rPr>
              <w:t xml:space="preserve"> that some</w:t>
            </w:r>
            <w:r w:rsidRPr="009F2518">
              <w:rPr>
                <w:spacing w:val="-2"/>
                <w:lang w:val="en-GB"/>
              </w:rPr>
              <w:t xml:space="preserve"> of these persons withdrew from the labour market only temporarily. Number of inactive </w:t>
            </w:r>
            <w:r w:rsidR="002E0A27">
              <w:rPr>
                <w:spacing w:val="-2"/>
                <w:lang w:val="en-GB"/>
              </w:rPr>
              <w:t xml:space="preserve">persons </w:t>
            </w:r>
            <w:r w:rsidRPr="009F2518">
              <w:rPr>
                <w:spacing w:val="-2"/>
                <w:lang w:val="en-GB"/>
              </w:rPr>
              <w:t xml:space="preserve">not seeking job, but wishing to work, ceased its decrease year-on-year for the first time after four years last year. This group contained nearly 100 thousand persons in Q4. Majority of them however was not able </w:t>
            </w:r>
            <w:proofErr w:type="gramStart"/>
            <w:r w:rsidRPr="009F2518">
              <w:rPr>
                <w:spacing w:val="-2"/>
                <w:lang w:val="en-GB"/>
              </w:rPr>
              <w:t>to immediately enter</w:t>
            </w:r>
            <w:proofErr w:type="gramEnd"/>
            <w:r w:rsidRPr="009F2518">
              <w:rPr>
                <w:spacing w:val="-2"/>
                <w:lang w:val="en-GB"/>
              </w:rPr>
              <w:t xml:space="preserve"> employment. </w:t>
            </w:r>
          </w:p>
        </w:tc>
      </w:tr>
      <w:tr w:rsidR="009F2518" w:rsidRPr="00742B86" w:rsidTr="00370CFF">
        <w:trPr>
          <w:trHeight w:val="155"/>
        </w:trPr>
        <w:tc>
          <w:tcPr>
            <w:tcW w:w="1687" w:type="dxa"/>
            <w:vMerge w:val="restart"/>
            <w:shd w:val="clear" w:color="auto" w:fill="auto"/>
            <w:tcMar>
              <w:left w:w="0" w:type="dxa"/>
            </w:tcMar>
          </w:tcPr>
          <w:p w:rsidR="009F2518" w:rsidRPr="00742B86" w:rsidRDefault="009F2518" w:rsidP="009F2518">
            <w:pPr>
              <w:pStyle w:val="Marginlie"/>
              <w:spacing w:after="120"/>
              <w:rPr>
                <w:spacing w:val="-4"/>
                <w:lang w:val="en-GB"/>
              </w:rPr>
            </w:pPr>
          </w:p>
        </w:tc>
        <w:tc>
          <w:tcPr>
            <w:tcW w:w="182" w:type="dxa"/>
            <w:vMerge w:val="restart"/>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D152E7" w:rsidP="009F2518">
            <w:pPr>
              <w:spacing w:after="0"/>
              <w:rPr>
                <w:b/>
                <w:spacing w:val="-4"/>
                <w:lang w:val="en-GB"/>
              </w:rPr>
            </w:pPr>
            <w:r>
              <w:rPr>
                <w:b/>
                <w:spacing w:val="-4"/>
                <w:lang w:val="en-GB"/>
              </w:rPr>
              <w:t xml:space="preserve">Chart </w:t>
            </w:r>
            <w:proofErr w:type="gramStart"/>
            <w:r>
              <w:rPr>
                <w:b/>
                <w:spacing w:val="-4"/>
                <w:lang w:val="en-GB"/>
              </w:rPr>
              <w:t>13</w:t>
            </w:r>
            <w:r w:rsidR="009F2518" w:rsidRPr="00742B86">
              <w:rPr>
                <w:b/>
                <w:spacing w:val="-4"/>
                <w:lang w:val="en-GB"/>
              </w:rPr>
              <w:t xml:space="preserve">  </w:t>
            </w:r>
            <w:r w:rsidR="009F2518">
              <w:rPr>
                <w:rFonts w:cs="Arial"/>
                <w:b/>
                <w:spacing w:val="-3"/>
                <w:lang w:val="en-GB"/>
              </w:rPr>
              <w:t>ILO</w:t>
            </w:r>
            <w:proofErr w:type="gramEnd"/>
            <w:r w:rsidR="009F2518" w:rsidRPr="00742B86">
              <w:rPr>
                <w:rFonts w:cs="Arial"/>
                <w:b/>
                <w:spacing w:val="-3"/>
                <w:lang w:val="en-GB"/>
              </w:rPr>
              <w:t xml:space="preserve"> unemployment rate </w:t>
            </w:r>
            <w:r w:rsidR="009F2518" w:rsidRPr="00742B86">
              <w:rPr>
                <w:rFonts w:cs="Arial"/>
                <w:bCs/>
                <w:spacing w:val="-3"/>
                <w:lang w:val="en-GB"/>
              </w:rPr>
              <w:t>(in %)</w:t>
            </w:r>
            <w:r w:rsidR="009F2518" w:rsidRPr="00742B86">
              <w:rPr>
                <w:rFonts w:cs="Arial"/>
                <w:b/>
                <w:spacing w:val="-3"/>
                <w:lang w:val="en-GB"/>
              </w:rPr>
              <w:t xml:space="preserve">, ratio of long-term unemployed and persons up to 25 and above 50 years of age among unemployed </w:t>
            </w:r>
            <w:r w:rsidR="009F2518" w:rsidRPr="00742B86">
              <w:rPr>
                <w:rFonts w:cs="Arial"/>
                <w:bCs/>
                <w:spacing w:val="-3"/>
                <w:lang w:val="en-GB"/>
              </w:rPr>
              <w:t>(in %)</w:t>
            </w:r>
            <w:r w:rsidR="009F2518" w:rsidRPr="00742B86">
              <w:rPr>
                <w:rFonts w:cs="Arial"/>
                <w:b/>
                <w:spacing w:val="-3"/>
                <w:lang w:val="en-GB"/>
              </w:rPr>
              <w:t xml:space="preserve">, economically inactive willing to work </w:t>
            </w:r>
            <w:r w:rsidR="009F2518" w:rsidRPr="00742B86">
              <w:rPr>
                <w:rFonts w:cs="Arial"/>
                <w:bCs/>
                <w:spacing w:val="-3"/>
                <w:lang w:val="en-GB"/>
              </w:rPr>
              <w:t>(in thousand)</w:t>
            </w:r>
            <w:r w:rsidR="009F2518" w:rsidRPr="00742B86">
              <w:rPr>
                <w:rFonts w:cs="Arial"/>
                <w:bCs/>
                <w:spacing w:val="-4"/>
                <w:lang w:val="en-GB"/>
              </w:rPr>
              <w:t>*</w:t>
            </w:r>
            <w:r w:rsidR="009F2518" w:rsidRPr="00742B86">
              <w:rPr>
                <w:rFonts w:cs="Arial"/>
                <w:b/>
                <w:spacing w:val="-3"/>
                <w:lang w:val="en-GB"/>
              </w:rPr>
              <w:t xml:space="preserve"> and unemployment expectations of households </w:t>
            </w:r>
            <w:r w:rsidR="009F2518" w:rsidRPr="00742B86">
              <w:rPr>
                <w:rFonts w:cs="Arial"/>
                <w:bCs/>
                <w:spacing w:val="-4"/>
                <w:lang w:val="en-GB"/>
              </w:rPr>
              <w:t>(in %)**</w:t>
            </w:r>
          </w:p>
        </w:tc>
      </w:tr>
      <w:tr w:rsidR="009F2518" w:rsidRPr="00742B86" w:rsidTr="00370CFF">
        <w:tblPrEx>
          <w:tblCellMar>
            <w:left w:w="70" w:type="dxa"/>
            <w:right w:w="70" w:type="dxa"/>
          </w:tblCellMar>
        </w:tblPrEx>
        <w:trPr>
          <w:trHeight w:val="155"/>
        </w:trPr>
        <w:tc>
          <w:tcPr>
            <w:tcW w:w="1687" w:type="dxa"/>
            <w:vMerge/>
            <w:shd w:val="clear" w:color="auto" w:fill="auto"/>
          </w:tcPr>
          <w:p w:rsidR="009F2518" w:rsidRPr="00742B86" w:rsidRDefault="009F2518" w:rsidP="009F2518">
            <w:pPr>
              <w:pStyle w:val="Marginlie"/>
              <w:spacing w:after="120"/>
              <w:rPr>
                <w:spacing w:val="-4"/>
                <w:lang w:val="en-GB"/>
              </w:rPr>
            </w:pPr>
          </w:p>
        </w:tc>
        <w:tc>
          <w:tcPr>
            <w:tcW w:w="182" w:type="dxa"/>
            <w:vMerge/>
            <w:shd w:val="clear" w:color="auto" w:fill="auto"/>
          </w:tcPr>
          <w:p w:rsidR="009F2518" w:rsidRPr="00742B86" w:rsidRDefault="009F2518" w:rsidP="009F2518">
            <w:pPr>
              <w:pStyle w:val="Textpoznpodarou"/>
              <w:spacing w:after="120"/>
              <w:jc w:val="both"/>
              <w:rPr>
                <w:spacing w:val="-4"/>
                <w:lang w:val="en-GB"/>
              </w:rPr>
            </w:pPr>
          </w:p>
        </w:tc>
        <w:tc>
          <w:tcPr>
            <w:tcW w:w="7795" w:type="dxa"/>
            <w:shd w:val="clear" w:color="auto" w:fill="auto"/>
          </w:tcPr>
          <w:p w:rsidR="009F2518" w:rsidRPr="00742B86" w:rsidRDefault="009F2518" w:rsidP="009F2518">
            <w:pPr>
              <w:spacing w:after="40" w:line="240" w:lineRule="auto"/>
              <w:rPr>
                <w:spacing w:val="-4"/>
                <w:lang w:val="en-GB"/>
              </w:rPr>
            </w:pPr>
            <w:r>
              <w:rPr>
                <w:noProof/>
              </w:rPr>
              <w:drawing>
                <wp:inline distT="0" distB="0" distL="0" distR="0" wp14:anchorId="5356B67C" wp14:editId="33198EFB">
                  <wp:extent cx="4727495" cy="3736697"/>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9F2518" w:rsidRPr="00742B86" w:rsidTr="00370CFF">
        <w:trPr>
          <w:trHeight w:val="671"/>
        </w:trPr>
        <w:tc>
          <w:tcPr>
            <w:tcW w:w="1687" w:type="dxa"/>
            <w:vMerge/>
            <w:shd w:val="clear" w:color="auto" w:fill="auto"/>
            <w:tcMar>
              <w:left w:w="0" w:type="dxa"/>
            </w:tcMar>
          </w:tcPr>
          <w:p w:rsidR="009F2518" w:rsidRPr="00742B86" w:rsidRDefault="009F2518" w:rsidP="009F2518">
            <w:pPr>
              <w:pStyle w:val="Marginlie"/>
              <w:rPr>
                <w:spacing w:val="-4"/>
                <w:lang w:val="en-GB"/>
              </w:rPr>
            </w:pPr>
          </w:p>
        </w:tc>
        <w:tc>
          <w:tcPr>
            <w:tcW w:w="182" w:type="dxa"/>
            <w:vMerge/>
            <w:shd w:val="clear" w:color="auto" w:fill="auto"/>
            <w:tcMar>
              <w:left w:w="0" w:type="dxa"/>
            </w:tcMar>
          </w:tcPr>
          <w:p w:rsidR="009F2518" w:rsidRPr="00742B86" w:rsidRDefault="009F2518" w:rsidP="009F2518">
            <w:pPr>
              <w:pStyle w:val="Textpoznpodarou"/>
              <w:jc w:val="both"/>
              <w:rPr>
                <w:spacing w:val="-4"/>
                <w:lang w:val="en-GB"/>
              </w:rPr>
            </w:pPr>
          </w:p>
        </w:tc>
        <w:tc>
          <w:tcPr>
            <w:tcW w:w="7795" w:type="dxa"/>
            <w:shd w:val="clear" w:color="auto" w:fill="auto"/>
            <w:tcMar>
              <w:left w:w="0" w:type="dxa"/>
            </w:tcMar>
          </w:tcPr>
          <w:p w:rsidR="009F2518" w:rsidRPr="009F2518" w:rsidRDefault="009F2518" w:rsidP="009F2518">
            <w:pPr>
              <w:spacing w:after="0" w:line="240" w:lineRule="auto"/>
              <w:rPr>
                <w:rFonts w:cs="Arial"/>
                <w:color w:val="0D0D0D" w:themeColor="text1" w:themeTint="F2"/>
                <w:sz w:val="14"/>
                <w:szCs w:val="14"/>
                <w:lang w:val="en-GB"/>
              </w:rPr>
            </w:pPr>
            <w:r w:rsidRPr="009F2518">
              <w:rPr>
                <w:rFonts w:cs="Arial"/>
                <w:color w:val="0D0D0D" w:themeColor="text1" w:themeTint="F2"/>
                <w:sz w:val="14"/>
                <w:szCs w:val="14"/>
                <w:lang w:val="en-GB"/>
              </w:rPr>
              <w:t xml:space="preserve">Note: Figures regarding the unemployment rate </w:t>
            </w:r>
            <w:proofErr w:type="gramStart"/>
            <w:r w:rsidRPr="009F2518">
              <w:rPr>
                <w:rFonts w:cs="Arial"/>
                <w:color w:val="0D0D0D" w:themeColor="text1" w:themeTint="F2"/>
                <w:sz w:val="14"/>
                <w:szCs w:val="14"/>
                <w:lang w:val="en-GB"/>
              </w:rPr>
              <w:t>are seasonally adjusted</w:t>
            </w:r>
            <w:proofErr w:type="gramEnd"/>
            <w:r w:rsidRPr="009F2518">
              <w:rPr>
                <w:rFonts w:cs="Arial"/>
                <w:color w:val="0D0D0D" w:themeColor="text1" w:themeTint="F2"/>
                <w:sz w:val="14"/>
                <w:szCs w:val="14"/>
                <w:lang w:val="en-GB"/>
              </w:rPr>
              <w:t>, other data are not.</w:t>
            </w:r>
          </w:p>
          <w:p w:rsidR="009F2518" w:rsidRPr="009F2518" w:rsidRDefault="009F2518" w:rsidP="009F2518">
            <w:pPr>
              <w:spacing w:after="0" w:line="240" w:lineRule="auto"/>
              <w:rPr>
                <w:rFonts w:cs="Arial"/>
                <w:bCs/>
                <w:color w:val="0D0D0D" w:themeColor="text1" w:themeTint="F2"/>
                <w:sz w:val="14"/>
                <w:szCs w:val="14"/>
                <w:lang w:val="en-GB"/>
              </w:rPr>
            </w:pPr>
            <w:r w:rsidRPr="009F2518">
              <w:rPr>
                <w:rFonts w:cs="Arial"/>
                <w:bCs/>
                <w:color w:val="0D0D0D" w:themeColor="text1" w:themeTint="F2"/>
                <w:sz w:val="14"/>
                <w:szCs w:val="14"/>
                <w:lang w:val="en-GB"/>
              </w:rPr>
              <w:t xml:space="preserve">*Persons not in employment, not seeking work, but expressing the willingness to work. </w:t>
            </w:r>
          </w:p>
          <w:p w:rsidR="009F2518" w:rsidRPr="009F2518" w:rsidRDefault="009F2518" w:rsidP="009F2518">
            <w:pPr>
              <w:spacing w:after="0" w:line="240" w:lineRule="auto"/>
              <w:rPr>
                <w:rFonts w:cs="Arial"/>
                <w:color w:val="0D0D0D" w:themeColor="text1" w:themeTint="F2"/>
                <w:sz w:val="14"/>
                <w:szCs w:val="14"/>
                <w:lang w:val="en-GB"/>
              </w:rPr>
            </w:pPr>
            <w:r w:rsidRPr="009F2518">
              <w:rPr>
                <w:rFonts w:cs="Arial"/>
                <w:color w:val="0D0D0D" w:themeColor="text1" w:themeTint="F2"/>
                <w:sz w:val="14"/>
                <w:szCs w:val="14"/>
                <w:lang w:val="en-GB"/>
              </w:rPr>
              <w:t xml:space="preserve">**Seasonally adjusted balance of expectations of unemployment in the next 12 months (difference between percentage frequency of answers of households “growth” and “decrease” expressed in percentage points. Data relate to the middle month of the given quarter. </w:t>
            </w:r>
          </w:p>
          <w:p w:rsidR="009F2518" w:rsidRPr="009F2518" w:rsidRDefault="009F2518" w:rsidP="009F2518">
            <w:pPr>
              <w:spacing w:after="0" w:line="240" w:lineRule="auto"/>
              <w:rPr>
                <w:rFonts w:cs="Arial"/>
                <w:color w:val="0D0D0D" w:themeColor="text1" w:themeTint="F2"/>
                <w:sz w:val="14"/>
                <w:szCs w:val="14"/>
                <w:lang w:val="en-GB"/>
              </w:rPr>
            </w:pPr>
            <w:r w:rsidRPr="009F2518">
              <w:rPr>
                <w:rFonts w:cs="Arial"/>
                <w:color w:val="0D0D0D" w:themeColor="text1" w:themeTint="F2"/>
                <w:sz w:val="14"/>
                <w:szCs w:val="14"/>
                <w:lang w:val="en-GB"/>
              </w:rPr>
              <w:t>Source: CZSO (LFSS, business cycle surveys)</w:t>
            </w:r>
          </w:p>
          <w:p w:rsidR="009F2518" w:rsidRPr="00742B86" w:rsidRDefault="009F2518" w:rsidP="009F2518">
            <w:pPr>
              <w:spacing w:after="0" w:line="240" w:lineRule="auto"/>
              <w:rPr>
                <w:rFonts w:cs="Arial"/>
                <w:b/>
                <w:bCs/>
                <w:color w:val="0D0D0D" w:themeColor="text1" w:themeTint="F2"/>
                <w:spacing w:val="-2"/>
                <w:sz w:val="14"/>
                <w:szCs w:val="14"/>
                <w:lang w:val="en-GB"/>
              </w:rPr>
            </w:pPr>
          </w:p>
        </w:tc>
      </w:tr>
      <w:tr w:rsidR="009F2518" w:rsidRPr="00742B86" w:rsidTr="00370CFF">
        <w:trPr>
          <w:trHeight w:val="145"/>
        </w:trPr>
        <w:tc>
          <w:tcPr>
            <w:tcW w:w="1687" w:type="dxa"/>
            <w:shd w:val="clear" w:color="auto" w:fill="auto"/>
            <w:tcMar>
              <w:left w:w="0" w:type="dxa"/>
            </w:tcMar>
          </w:tcPr>
          <w:p w:rsidR="009F2518" w:rsidRPr="00742B86" w:rsidRDefault="009F2518" w:rsidP="009F2518">
            <w:pPr>
              <w:pStyle w:val="Marginlie"/>
              <w:spacing w:after="120"/>
              <w:rPr>
                <w:spacing w:val="0"/>
                <w:lang w:val="en-GB"/>
              </w:rPr>
            </w:pPr>
            <w:r w:rsidRPr="00742B86">
              <w:rPr>
                <w:spacing w:val="0"/>
                <w:lang w:val="en-GB"/>
              </w:rPr>
              <w:t xml:space="preserve">Wage development was affected </w:t>
            </w:r>
            <w:proofErr w:type="gramStart"/>
            <w:r w:rsidRPr="00742B86">
              <w:rPr>
                <w:spacing w:val="0"/>
                <w:lang w:val="en-GB"/>
              </w:rPr>
              <w:t>both by the long-term fa</w:t>
            </w:r>
            <w:r w:rsidR="00FF79F9">
              <w:rPr>
                <w:spacing w:val="0"/>
                <w:lang w:val="en-GB"/>
              </w:rPr>
              <w:t>ctors and extraordinary</w:t>
            </w:r>
            <w:proofErr w:type="gramEnd"/>
            <w:r w:rsidR="00FF79F9">
              <w:rPr>
                <w:spacing w:val="0"/>
                <w:lang w:val="en-GB"/>
              </w:rPr>
              <w:t xml:space="preserve"> anti-</w:t>
            </w:r>
            <w:r w:rsidRPr="00742B86">
              <w:rPr>
                <w:spacing w:val="0"/>
                <w:lang w:val="en-GB"/>
              </w:rPr>
              <w:t xml:space="preserve">pandemic measures. </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9F2518" w:rsidP="009F2518">
            <w:pPr>
              <w:spacing w:after="220"/>
              <w:rPr>
                <w:rFonts w:cs="Arial"/>
                <w:bCs/>
                <w:color w:val="000000"/>
                <w:spacing w:val="-3"/>
                <w:szCs w:val="20"/>
                <w:lang w:val="en-GB"/>
              </w:rPr>
            </w:pPr>
            <w:r w:rsidRPr="00742B86">
              <w:rPr>
                <w:rFonts w:cs="Arial"/>
                <w:bCs/>
                <w:color w:val="000000"/>
                <w:spacing w:val="-3"/>
                <w:szCs w:val="20"/>
                <w:lang w:val="en-GB"/>
              </w:rPr>
              <w:t xml:space="preserve">While for employment as well as unemployment, the last year was in the spirit of gradual milder changes, development in the wage area featured turbulent signs. For the reasons of quarantine measures as well as the </w:t>
            </w:r>
            <w:proofErr w:type="gramStart"/>
            <w:r w:rsidRPr="00742B86">
              <w:rPr>
                <w:rFonts w:cs="Arial"/>
                <w:bCs/>
                <w:color w:val="000000"/>
                <w:spacing w:val="-3"/>
                <w:szCs w:val="20"/>
                <w:lang w:val="en-GB"/>
              </w:rPr>
              <w:t>longer term</w:t>
            </w:r>
            <w:proofErr w:type="gramEnd"/>
            <w:r w:rsidRPr="00742B86">
              <w:rPr>
                <w:rFonts w:cs="Arial"/>
                <w:bCs/>
                <w:color w:val="000000"/>
                <w:spacing w:val="-3"/>
                <w:szCs w:val="20"/>
                <w:lang w:val="en-GB"/>
              </w:rPr>
              <w:t xml:space="preserve"> decrease of demand, </w:t>
            </w:r>
            <w:r w:rsidRPr="00742B86">
              <w:rPr>
                <w:rFonts w:cs="Arial"/>
                <w:bCs/>
                <w:spacing w:val="-3"/>
                <w:lang w:val="en-GB"/>
              </w:rPr>
              <w:t xml:space="preserve">many branches experienced restriction or </w:t>
            </w:r>
            <w:r w:rsidRPr="00B37499">
              <w:rPr>
                <w:rFonts w:cs="Arial"/>
                <w:bCs/>
                <w:color w:val="0D0D0D" w:themeColor="text1" w:themeTint="F2"/>
                <w:spacing w:val="-3"/>
                <w:lang w:val="en-GB"/>
              </w:rPr>
              <w:t xml:space="preserve">complete </w:t>
            </w:r>
            <w:r w:rsidR="00B37499" w:rsidRPr="00B37499">
              <w:rPr>
                <w:rFonts w:cs="Arial"/>
                <w:bCs/>
                <w:color w:val="0D0D0D" w:themeColor="text1" w:themeTint="F2"/>
                <w:spacing w:val="-3"/>
                <w:lang w:val="en-GB"/>
              </w:rPr>
              <w:t>closure of establishment</w:t>
            </w:r>
            <w:r w:rsidRPr="00B37499">
              <w:rPr>
                <w:rFonts w:cs="Arial"/>
                <w:bCs/>
                <w:color w:val="0D0D0D" w:themeColor="text1" w:themeTint="F2"/>
                <w:spacing w:val="-3"/>
                <w:lang w:val="en-GB"/>
              </w:rPr>
              <w:t xml:space="preserve">s, which </w:t>
            </w:r>
            <w:r w:rsidRPr="00742B86">
              <w:rPr>
                <w:rFonts w:cs="Arial"/>
                <w:bCs/>
                <w:spacing w:val="-3"/>
                <w:lang w:val="en-GB"/>
              </w:rPr>
              <w:t>was</w:t>
            </w:r>
            <w:r w:rsidR="00FA34FF">
              <w:rPr>
                <w:rFonts w:cs="Arial"/>
                <w:bCs/>
                <w:spacing w:val="-3"/>
                <w:lang w:val="en-GB"/>
              </w:rPr>
              <w:t xml:space="preserve"> negatively mirrored in the real hours</w:t>
            </w:r>
            <w:r w:rsidRPr="00742B86">
              <w:rPr>
                <w:rFonts w:cs="Arial"/>
                <w:bCs/>
                <w:spacing w:val="-3"/>
                <w:lang w:val="en-GB"/>
              </w:rPr>
              <w:t xml:space="preserve"> worked. </w:t>
            </w:r>
            <w:proofErr w:type="gramStart"/>
            <w:r w:rsidRPr="00742B86">
              <w:rPr>
                <w:rFonts w:cs="Arial"/>
                <w:bCs/>
                <w:spacing w:val="-3"/>
                <w:lang w:val="en-GB"/>
              </w:rPr>
              <w:t>Volume of paid out wages was also influenced by the government protection programmes</w:t>
            </w:r>
            <w:proofErr w:type="gramEnd"/>
            <w:r w:rsidRPr="00742B86">
              <w:rPr>
                <w:rStyle w:val="Znakapoznpodarou"/>
                <w:color w:val="0D0D0D" w:themeColor="text1" w:themeTint="F2"/>
                <w:spacing w:val="-3"/>
                <w:lang w:val="en-GB"/>
              </w:rPr>
              <w:footnoteReference w:id="63"/>
            </w:r>
            <w:r w:rsidRPr="00742B86">
              <w:rPr>
                <w:rFonts w:cs="Arial"/>
                <w:bCs/>
                <w:spacing w:val="-3"/>
                <w:lang w:val="en-GB"/>
              </w:rPr>
              <w:t>. In addition, the wage devel</w:t>
            </w:r>
            <w:r w:rsidR="00FA34FF">
              <w:rPr>
                <w:rFonts w:cs="Arial"/>
                <w:bCs/>
                <w:spacing w:val="-3"/>
                <w:lang w:val="en-GB"/>
              </w:rPr>
              <w:t xml:space="preserve">opment also reflected the </w:t>
            </w:r>
            <w:proofErr w:type="gramStart"/>
            <w:r w:rsidR="00FA34FF">
              <w:rPr>
                <w:rFonts w:cs="Arial"/>
                <w:bCs/>
                <w:spacing w:val="-3"/>
                <w:lang w:val="en-GB"/>
              </w:rPr>
              <w:t xml:space="preserve">long </w:t>
            </w:r>
            <w:r w:rsidRPr="00742B86">
              <w:rPr>
                <w:rFonts w:cs="Arial"/>
                <w:bCs/>
                <w:spacing w:val="-3"/>
                <w:lang w:val="en-GB"/>
              </w:rPr>
              <w:t>term</w:t>
            </w:r>
            <w:proofErr w:type="gramEnd"/>
            <w:r w:rsidRPr="00742B86">
              <w:rPr>
                <w:rFonts w:cs="Arial"/>
                <w:bCs/>
                <w:spacing w:val="-3"/>
                <w:lang w:val="en-GB"/>
              </w:rPr>
              <w:t xml:space="preserve"> factors, e.g. increase of the minimum wage or labour market rigidity (concluding longer term internal contracts regarding the growth of wages or </w:t>
            </w:r>
            <w:r w:rsidR="00FA34FF">
              <w:rPr>
                <w:rFonts w:cs="Arial"/>
                <w:bCs/>
                <w:spacing w:val="-3"/>
                <w:lang w:val="en-GB"/>
              </w:rPr>
              <w:t>“</w:t>
            </w:r>
            <w:r w:rsidRPr="00742B86">
              <w:rPr>
                <w:rFonts w:cs="Arial"/>
                <w:bCs/>
                <w:spacing w:val="-3"/>
                <w:lang w:val="en-GB"/>
              </w:rPr>
              <w:t>tariff compensation system</w:t>
            </w:r>
            <w:r w:rsidR="00FA34FF">
              <w:rPr>
                <w:rFonts w:cs="Arial"/>
                <w:bCs/>
                <w:spacing w:val="-3"/>
                <w:lang w:val="en-GB"/>
              </w:rPr>
              <w:t>”</w:t>
            </w:r>
            <w:r w:rsidRPr="00742B86">
              <w:rPr>
                <w:rFonts w:cs="Arial"/>
                <w:bCs/>
                <w:spacing w:val="-3"/>
                <w:lang w:val="en-GB"/>
              </w:rPr>
              <w:t xml:space="preserve"> in the non-business sphere</w:t>
            </w:r>
            <w:r w:rsidRPr="00742B86">
              <w:rPr>
                <w:spacing w:val="-3"/>
                <w:lang w:val="en-GB"/>
              </w:rPr>
              <w:t>).</w:t>
            </w:r>
          </w:p>
        </w:tc>
      </w:tr>
      <w:tr w:rsidR="009F2518" w:rsidRPr="00742B86" w:rsidTr="00370CFF">
        <w:trPr>
          <w:trHeight w:val="145"/>
        </w:trPr>
        <w:tc>
          <w:tcPr>
            <w:tcW w:w="1687" w:type="dxa"/>
            <w:shd w:val="clear" w:color="auto" w:fill="auto"/>
            <w:tcMar>
              <w:left w:w="0" w:type="dxa"/>
            </w:tcMar>
          </w:tcPr>
          <w:p w:rsidR="009F2518" w:rsidRPr="00742B86" w:rsidRDefault="009F2518" w:rsidP="009F2518">
            <w:pPr>
              <w:pStyle w:val="Marginlie"/>
              <w:spacing w:after="120"/>
              <w:rPr>
                <w:spacing w:val="0"/>
                <w:lang w:val="en-GB"/>
              </w:rPr>
            </w:pPr>
            <w:r w:rsidRPr="00742B86">
              <w:rPr>
                <w:spacing w:val="0"/>
                <w:lang w:val="en-GB"/>
              </w:rPr>
              <w:t xml:space="preserve">Impacts of restrictive measures on the wage development were in Q4 shadowed by the payment of bonuses in health care as well as the continuing recovery in industry. </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9F2518" w:rsidP="009F2518">
            <w:pPr>
              <w:spacing w:after="220"/>
              <w:rPr>
                <w:rFonts w:cs="Arial"/>
                <w:bCs/>
                <w:color w:val="000000"/>
                <w:szCs w:val="20"/>
                <w:lang w:val="en-GB"/>
              </w:rPr>
            </w:pPr>
            <w:r w:rsidRPr="00742B86">
              <w:rPr>
                <w:rFonts w:cs="Arial"/>
                <w:bCs/>
                <w:color w:val="000000"/>
                <w:szCs w:val="20"/>
                <w:lang w:val="en-GB"/>
              </w:rPr>
              <w:t xml:space="preserve">While the average wage grew by mere 0.7% in the economy year-on-year in Q2 2020 (and compared to the previous quarter it dropped by unprecedented 3.1%), the pace fastened to 6.5% in Q4. Such diverse results arose in the periods of the year when the performances of businesses </w:t>
            </w:r>
            <w:proofErr w:type="gramStart"/>
            <w:r w:rsidRPr="00742B86">
              <w:rPr>
                <w:rFonts w:cs="Arial"/>
                <w:bCs/>
                <w:color w:val="000000"/>
                <w:szCs w:val="20"/>
                <w:lang w:val="en-GB"/>
              </w:rPr>
              <w:t>were most affected</w:t>
            </w:r>
            <w:proofErr w:type="gramEnd"/>
            <w:r w:rsidRPr="00742B86">
              <w:rPr>
                <w:rFonts w:cs="Arial"/>
                <w:bCs/>
                <w:color w:val="000000"/>
                <w:szCs w:val="20"/>
                <w:lang w:val="en-GB"/>
              </w:rPr>
              <w:t xml:space="preserve"> by the consequences of the government restrictive measures. </w:t>
            </w:r>
            <w:r w:rsidRPr="00742B86">
              <w:rPr>
                <w:rFonts w:cs="Arial"/>
                <w:bCs/>
                <w:lang w:val="en-GB"/>
              </w:rPr>
              <w:t xml:space="preserve">Restrictions in Q4 however marked the wages in the whole economy less than in </w:t>
            </w:r>
            <w:r w:rsidR="00AA41B7">
              <w:rPr>
                <w:rFonts w:cs="Arial"/>
                <w:bCs/>
                <w:lang w:val="en-GB"/>
              </w:rPr>
              <w:t>Q2</w:t>
            </w:r>
            <w:r w:rsidR="00733F35">
              <w:rPr>
                <w:rFonts w:cs="Arial"/>
                <w:bCs/>
                <w:lang w:val="en-GB"/>
              </w:rPr>
              <w:t>, since</w:t>
            </w:r>
            <w:r w:rsidRPr="00742B86">
              <w:rPr>
                <w:rFonts w:cs="Arial"/>
                <w:bCs/>
                <w:lang w:val="en-GB"/>
              </w:rPr>
              <w:t xml:space="preserve"> the payment of extraordi</w:t>
            </w:r>
            <w:r w:rsidR="00733F35">
              <w:rPr>
                <w:rFonts w:cs="Arial"/>
                <w:bCs/>
                <w:lang w:val="en-GB"/>
              </w:rPr>
              <w:t>nary bonuses in the health care as well as</w:t>
            </w:r>
            <w:r w:rsidR="00235818">
              <w:rPr>
                <w:rFonts w:cs="Arial"/>
                <w:bCs/>
                <w:lang w:val="en-GB"/>
              </w:rPr>
              <w:t xml:space="preserve"> the continuing recovery in</w:t>
            </w:r>
            <w:r w:rsidR="00537AC2">
              <w:rPr>
                <w:rFonts w:cs="Arial"/>
                <w:bCs/>
                <w:lang w:val="en-GB"/>
              </w:rPr>
              <w:t xml:space="preserve"> industry</w:t>
            </w:r>
            <w:r w:rsidR="00235818">
              <w:rPr>
                <w:rFonts w:cs="Arial"/>
                <w:bCs/>
                <w:lang w:val="en-GB"/>
              </w:rPr>
              <w:t xml:space="preserve"> (</w:t>
            </w:r>
            <w:r w:rsidRPr="00742B86">
              <w:rPr>
                <w:rFonts w:cs="Arial"/>
                <w:bCs/>
                <w:lang w:val="en-GB"/>
              </w:rPr>
              <w:t>weight dominan</w:t>
            </w:r>
            <w:r w:rsidR="00C21775">
              <w:rPr>
                <w:rFonts w:cs="Arial"/>
                <w:bCs/>
                <w:lang w:val="en-GB"/>
              </w:rPr>
              <w:t>t branch</w:t>
            </w:r>
            <w:r w:rsidR="00235818">
              <w:rPr>
                <w:rFonts w:cs="Arial"/>
                <w:bCs/>
                <w:lang w:val="en-GB"/>
              </w:rPr>
              <w:t xml:space="preserve">) </w:t>
            </w:r>
            <w:r w:rsidR="00C21775">
              <w:rPr>
                <w:rFonts w:cs="Arial"/>
                <w:bCs/>
                <w:lang w:val="en-GB"/>
              </w:rPr>
              <w:t>had a</w:t>
            </w:r>
            <w:r w:rsidRPr="00742B86">
              <w:rPr>
                <w:rFonts w:cs="Arial"/>
                <w:bCs/>
                <w:lang w:val="en-GB"/>
              </w:rPr>
              <w:t xml:space="preserve"> </w:t>
            </w:r>
            <w:r w:rsidR="00733F35">
              <w:rPr>
                <w:rFonts w:cs="Arial"/>
                <w:bCs/>
                <w:lang w:val="en-GB"/>
              </w:rPr>
              <w:t xml:space="preserve">strong positive </w:t>
            </w:r>
            <w:r w:rsidR="00AA41B7">
              <w:rPr>
                <w:rFonts w:cs="Arial"/>
                <w:bCs/>
                <w:lang w:val="en-GB"/>
              </w:rPr>
              <w:t xml:space="preserve">effect. The </w:t>
            </w:r>
            <w:r w:rsidRPr="00742B86">
              <w:rPr>
                <w:rFonts w:cs="Arial"/>
                <w:bCs/>
                <w:lang w:val="en-GB"/>
              </w:rPr>
              <w:t xml:space="preserve">average monthly nominal wage of employee in the economy attained </w:t>
            </w:r>
            <w:r w:rsidR="00AA41B7">
              <w:rPr>
                <w:color w:val="0D0D0D" w:themeColor="text1" w:themeTint="F2"/>
                <w:spacing w:val="-4"/>
                <w:lang w:val="en-GB"/>
              </w:rPr>
              <w:t xml:space="preserve">35.6 thousand in the </w:t>
            </w:r>
            <w:r w:rsidRPr="00742B86">
              <w:rPr>
                <w:color w:val="0D0D0D" w:themeColor="text1" w:themeTint="F2"/>
                <w:spacing w:val="-4"/>
                <w:lang w:val="en-GB"/>
              </w:rPr>
              <w:t>year 2020. It thus increased by 4.4% year-on-year, the least in the last four years. L</w:t>
            </w:r>
            <w:r w:rsidR="00AA41B7">
              <w:rPr>
                <w:color w:val="0D0D0D" w:themeColor="text1" w:themeTint="F2"/>
                <w:spacing w:val="-4"/>
                <w:lang w:val="en-GB"/>
              </w:rPr>
              <w:t>argely uneven impact of anti-</w:t>
            </w:r>
            <w:r w:rsidRPr="00742B86">
              <w:rPr>
                <w:color w:val="0D0D0D" w:themeColor="text1" w:themeTint="F2"/>
                <w:spacing w:val="-4"/>
                <w:lang w:val="en-GB"/>
              </w:rPr>
              <w:t xml:space="preserve">pandemic measures as well as varying adaptability </w:t>
            </w:r>
            <w:r w:rsidRPr="00742B86">
              <w:rPr>
                <w:color w:val="0D0D0D" w:themeColor="text1" w:themeTint="F2"/>
                <w:spacing w:val="-4"/>
                <w:lang w:val="en-GB"/>
              </w:rPr>
              <w:lastRenderedPageBreak/>
              <w:t xml:space="preserve">of different segments of the labour market </w:t>
            </w:r>
            <w:r w:rsidRPr="00742B86">
              <w:rPr>
                <w:spacing w:val="-4"/>
                <w:szCs w:val="20"/>
                <w:lang w:val="en-GB"/>
              </w:rPr>
              <w:t xml:space="preserve">(e.g. link of the volume of earnings to number of hours worked) was mirrored into a substantially differentiated development of wages on the level of individual branches last year. </w:t>
            </w:r>
          </w:p>
        </w:tc>
      </w:tr>
      <w:tr w:rsidR="009F2518" w:rsidRPr="00742B86" w:rsidTr="00370CFF">
        <w:trPr>
          <w:trHeight w:val="145"/>
        </w:trPr>
        <w:tc>
          <w:tcPr>
            <w:tcW w:w="1687" w:type="dxa"/>
            <w:shd w:val="clear" w:color="auto" w:fill="auto"/>
            <w:tcMar>
              <w:left w:w="0" w:type="dxa"/>
            </w:tcMar>
          </w:tcPr>
          <w:p w:rsidR="009F2518" w:rsidRPr="00742B86" w:rsidRDefault="009F2518" w:rsidP="009F2518">
            <w:pPr>
              <w:pStyle w:val="Marginlie"/>
              <w:spacing w:after="120"/>
              <w:rPr>
                <w:lang w:val="en-GB"/>
              </w:rPr>
            </w:pPr>
            <w:r w:rsidRPr="00742B86">
              <w:rPr>
                <w:lang w:val="en-GB"/>
              </w:rPr>
              <w:lastRenderedPageBreak/>
              <w:t>Average wage fell and number of employees slumped in accommodation, food service and restaurants</w:t>
            </w:r>
          </w:p>
          <w:p w:rsidR="009F2518" w:rsidRPr="00742B86" w:rsidRDefault="009F2518" w:rsidP="009F2518">
            <w:pPr>
              <w:pStyle w:val="Marginlie"/>
              <w:spacing w:after="120"/>
              <w:rPr>
                <w:lang w:val="en-GB"/>
              </w:rPr>
            </w:pPr>
          </w:p>
          <w:p w:rsidR="004E4CBB" w:rsidRPr="00742B86" w:rsidRDefault="004E4CBB" w:rsidP="009F2518">
            <w:pPr>
              <w:pStyle w:val="Marginlie"/>
              <w:spacing w:after="120"/>
              <w:rPr>
                <w:lang w:val="en-GB"/>
              </w:rPr>
            </w:pPr>
          </w:p>
          <w:p w:rsidR="009F2518" w:rsidRPr="00742B86" w:rsidRDefault="004E4CBB" w:rsidP="009F2518">
            <w:pPr>
              <w:pStyle w:val="Marginlie"/>
              <w:spacing w:after="120"/>
              <w:rPr>
                <w:lang w:val="en-GB"/>
              </w:rPr>
            </w:pPr>
            <w:r>
              <w:rPr>
                <w:lang w:val="en-GB"/>
              </w:rPr>
              <w:t>I</w:t>
            </w:r>
            <w:r w:rsidR="009F2518" w:rsidRPr="00742B86">
              <w:rPr>
                <w:lang w:val="en-GB"/>
              </w:rPr>
              <w:t>n t</w:t>
            </w:r>
            <w:r>
              <w:rPr>
                <w:lang w:val="en-GB"/>
              </w:rPr>
              <w:t>rade, manufacturing,</w:t>
            </w:r>
            <w:r w:rsidR="009F2518" w:rsidRPr="00742B86">
              <w:rPr>
                <w:lang w:val="en-GB"/>
              </w:rPr>
              <w:t xml:space="preserve"> t</w:t>
            </w:r>
            <w:r>
              <w:rPr>
                <w:lang w:val="en-GB"/>
              </w:rPr>
              <w:t>ransportation and warehousing</w:t>
            </w:r>
            <w:r w:rsidR="009F2518" w:rsidRPr="00742B86">
              <w:rPr>
                <w:lang w:val="en-GB"/>
              </w:rPr>
              <w:t xml:space="preserve"> wages grew the least since 2013. </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A97E05" w:rsidRDefault="002C2832" w:rsidP="009F2518">
            <w:pPr>
              <w:spacing w:after="220"/>
              <w:rPr>
                <w:color w:val="0D0D0D" w:themeColor="text1" w:themeTint="F2"/>
                <w:spacing w:val="-2"/>
                <w:lang w:val="en-GB"/>
              </w:rPr>
            </w:pPr>
            <w:r w:rsidRPr="00A97E05">
              <w:rPr>
                <w:spacing w:val="-2"/>
                <w:szCs w:val="20"/>
                <w:lang w:val="en-GB"/>
              </w:rPr>
              <w:t>In the last year, the a</w:t>
            </w:r>
            <w:r w:rsidR="009F2518" w:rsidRPr="00A97E05">
              <w:rPr>
                <w:spacing w:val="-2"/>
                <w:szCs w:val="20"/>
                <w:lang w:val="en-GB"/>
              </w:rPr>
              <w:t xml:space="preserve">verage wage fell by 2.1% in the most considerably struck accommodation, food service and restaurants </w:t>
            </w:r>
            <w:r w:rsidR="009F2518" w:rsidRPr="00A97E05">
              <w:rPr>
                <w:bCs/>
                <w:spacing w:val="-2"/>
                <w:lang w:val="en-GB"/>
              </w:rPr>
              <w:t>(the most in the 20-year tim</w:t>
            </w:r>
            <w:r w:rsidR="007420B3" w:rsidRPr="00A97E05">
              <w:rPr>
                <w:bCs/>
                <w:spacing w:val="-2"/>
                <w:lang w:val="en-GB"/>
              </w:rPr>
              <w:t>e series) and its monthly level</w:t>
            </w:r>
            <w:r w:rsidR="009F2518" w:rsidRPr="00A97E05">
              <w:rPr>
                <w:bCs/>
                <w:spacing w:val="-2"/>
                <w:lang w:val="en-GB"/>
              </w:rPr>
              <w:t xml:space="preserve"> dropped below 20 thousand crowns. Fact, that th</w:t>
            </w:r>
            <w:r w:rsidR="007420B3" w:rsidRPr="00A97E05">
              <w:rPr>
                <w:bCs/>
                <w:spacing w:val="-2"/>
                <w:lang w:val="en-GB"/>
              </w:rPr>
              <w:t>is branch lost almost one seven</w:t>
            </w:r>
            <w:r w:rsidR="009F2518" w:rsidRPr="00A97E05">
              <w:rPr>
                <w:bCs/>
                <w:spacing w:val="-2"/>
                <w:lang w:val="en-GB"/>
              </w:rPr>
              <w:t xml:space="preserve">th of all employee positions </w:t>
            </w:r>
            <w:r w:rsidR="007420B3" w:rsidRPr="00A97E05">
              <w:rPr>
                <w:bCs/>
                <w:spacing w:val="-2"/>
                <w:lang w:val="en-GB"/>
              </w:rPr>
              <w:t xml:space="preserve">during year 2020 </w:t>
            </w:r>
            <w:r w:rsidR="009F2518" w:rsidRPr="00A97E05">
              <w:rPr>
                <w:bCs/>
                <w:spacing w:val="-2"/>
                <w:lang w:val="en-GB"/>
              </w:rPr>
              <w:t xml:space="preserve">illustrates its difficulties. Limitation of leisure time activities </w:t>
            </w:r>
            <w:proofErr w:type="gramStart"/>
            <w:r w:rsidR="009F2518" w:rsidRPr="00A97E05">
              <w:rPr>
                <w:bCs/>
                <w:spacing w:val="-2"/>
                <w:lang w:val="en-GB"/>
              </w:rPr>
              <w:t>was also adversely reflected</w:t>
            </w:r>
            <w:proofErr w:type="gramEnd"/>
            <w:r w:rsidR="009F2518" w:rsidRPr="00A97E05">
              <w:rPr>
                <w:bCs/>
                <w:spacing w:val="-2"/>
                <w:lang w:val="en-GB"/>
              </w:rPr>
              <w:t xml:space="preserve"> in the wages of employees in the cultural, entertainment and recreation activities (+1.6%). Manufacturing also recorded only weak growth of average earnings last year (1.4%). Its position however improved in the second half of the year</w:t>
            </w:r>
            <w:r w:rsidR="009F2518" w:rsidRPr="00A97E05">
              <w:rPr>
                <w:rStyle w:val="Znakapoznpodarou"/>
                <w:bCs/>
                <w:spacing w:val="-2"/>
                <w:lang w:val="en-GB"/>
              </w:rPr>
              <w:footnoteReference w:id="64"/>
            </w:r>
            <w:r w:rsidR="009F2518" w:rsidRPr="00A97E05">
              <w:rPr>
                <w:bCs/>
                <w:spacing w:val="-2"/>
                <w:lang w:val="en-GB"/>
              </w:rPr>
              <w:t>.  Similar revival did not occur in transportation and warehousing, where the wages grew by 1.6% for the whole year. It also concerned trade, where the wages strengthened the least in the last seven years (+1.7%). Construction, which simultan</w:t>
            </w:r>
            <w:r w:rsidR="007420B3" w:rsidRPr="00A97E05">
              <w:rPr>
                <w:bCs/>
                <w:spacing w:val="-2"/>
                <w:lang w:val="en-GB"/>
              </w:rPr>
              <w:t>eously did not lose large numbers</w:t>
            </w:r>
            <w:r w:rsidR="009F2518" w:rsidRPr="00A97E05">
              <w:rPr>
                <w:bCs/>
                <w:spacing w:val="-2"/>
                <w:lang w:val="en-GB"/>
              </w:rPr>
              <w:t xml:space="preserve"> of employees fared better (+3.1%). Earnings in professional, scientific, and technical activities grew below average last year (+3.3%), similarly to the preceding four years. The wage level here however in contrast to the all </w:t>
            </w:r>
            <w:proofErr w:type="gramStart"/>
            <w:r w:rsidR="009F2518" w:rsidRPr="00A97E05">
              <w:rPr>
                <w:bCs/>
                <w:spacing w:val="-2"/>
                <w:lang w:val="en-GB"/>
              </w:rPr>
              <w:t>above mentioned</w:t>
            </w:r>
            <w:proofErr w:type="gramEnd"/>
            <w:r w:rsidR="009F2518" w:rsidRPr="00A97E05">
              <w:rPr>
                <w:bCs/>
                <w:spacing w:val="-2"/>
                <w:lang w:val="en-GB"/>
              </w:rPr>
              <w:t xml:space="preserve"> branches still exceeded the level of the whole economy (42.1 CZK thousand).</w:t>
            </w:r>
          </w:p>
        </w:tc>
      </w:tr>
      <w:tr w:rsidR="009F2518" w:rsidRPr="00742B86" w:rsidTr="00370CFF">
        <w:trPr>
          <w:trHeight w:val="145"/>
        </w:trPr>
        <w:tc>
          <w:tcPr>
            <w:tcW w:w="1687" w:type="dxa"/>
            <w:shd w:val="clear" w:color="auto" w:fill="auto"/>
            <w:tcMar>
              <w:left w:w="0" w:type="dxa"/>
            </w:tcMar>
          </w:tcPr>
          <w:p w:rsidR="009F2518" w:rsidRPr="00742B86" w:rsidRDefault="009F2518" w:rsidP="009F2518">
            <w:pPr>
              <w:pStyle w:val="Marginlie"/>
              <w:spacing w:after="120"/>
              <w:rPr>
                <w:lang w:val="en-GB"/>
              </w:rPr>
            </w:pPr>
            <w:r w:rsidRPr="00742B86">
              <w:rPr>
                <w:lang w:val="en-GB"/>
              </w:rPr>
              <w:t xml:space="preserve">Wage growth </w:t>
            </w:r>
            <w:proofErr w:type="gramStart"/>
            <w:r w:rsidRPr="00742B86">
              <w:rPr>
                <w:lang w:val="en-GB"/>
              </w:rPr>
              <w:t>was driven</w:t>
            </w:r>
            <w:proofErr w:type="gramEnd"/>
            <w:r w:rsidRPr="00742B86">
              <w:rPr>
                <w:lang w:val="en-GB"/>
              </w:rPr>
              <w:t xml:space="preserve"> by strong dynamics in the majority of branches of the non-business sphere for the whole year.</w:t>
            </w:r>
          </w:p>
          <w:p w:rsidR="009F2518" w:rsidRPr="00742B86" w:rsidRDefault="009F2518" w:rsidP="009F2518">
            <w:pPr>
              <w:pStyle w:val="Marginlie"/>
              <w:spacing w:after="120"/>
              <w:rPr>
                <w:lang w:val="en-GB"/>
              </w:rPr>
            </w:pPr>
          </w:p>
          <w:p w:rsidR="009F2518" w:rsidRPr="00742B86" w:rsidRDefault="009F2518" w:rsidP="009F2518">
            <w:pPr>
              <w:pStyle w:val="Marginlie"/>
              <w:spacing w:after="120"/>
              <w:rPr>
                <w:lang w:val="en-GB"/>
              </w:rPr>
            </w:pPr>
          </w:p>
          <w:p w:rsidR="009F2518" w:rsidRPr="00742B86" w:rsidRDefault="009F2518" w:rsidP="009F2518">
            <w:pPr>
              <w:pStyle w:val="Marginlie"/>
              <w:spacing w:after="120"/>
              <w:rPr>
                <w:lang w:val="en-GB"/>
              </w:rPr>
            </w:pPr>
          </w:p>
          <w:p w:rsidR="009F2518" w:rsidRPr="00742B86" w:rsidRDefault="009F2518" w:rsidP="009F2518">
            <w:pPr>
              <w:pStyle w:val="Marginlie"/>
              <w:spacing w:after="120"/>
              <w:rPr>
                <w:lang w:val="en-GB"/>
              </w:rPr>
            </w:pPr>
            <w:r w:rsidRPr="00742B86">
              <w:rPr>
                <w:lang w:val="en-GB"/>
              </w:rPr>
              <w:t xml:space="preserve">Swift growth of earnings persisted in energetics and ICT area. </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9F2518" w:rsidP="009F2518">
            <w:pPr>
              <w:spacing w:after="220"/>
              <w:rPr>
                <w:bCs/>
                <w:spacing w:val="-4"/>
                <w:lang w:val="en-GB"/>
              </w:rPr>
            </w:pPr>
            <w:r w:rsidRPr="00742B86">
              <w:rPr>
                <w:spacing w:val="-4"/>
                <w:lang w:val="en-GB"/>
              </w:rPr>
              <w:t>Core of the wage growth resided in the branches of the non-business sphere for the whole year 2020. Earnings grew on average by 13.8% in health and social care (by record 31% in Q4</w:t>
            </w:r>
            <w:r w:rsidRPr="00742B86">
              <w:rPr>
                <w:rStyle w:val="Znakapoznpodarou"/>
                <w:spacing w:val="-4"/>
                <w:lang w:val="en-GB"/>
              </w:rPr>
              <w:footnoteReference w:id="65"/>
            </w:r>
            <w:r w:rsidRPr="00742B86">
              <w:rPr>
                <w:spacing w:val="-4"/>
                <w:lang w:val="en-GB"/>
              </w:rPr>
              <w:t xml:space="preserve">). Due to the increase of the wage tariffs, education also recorded a swift growth </w:t>
            </w:r>
            <w:r w:rsidRPr="00742B86">
              <w:rPr>
                <w:bCs/>
                <w:spacing w:val="-4"/>
                <w:lang w:val="en-GB"/>
              </w:rPr>
              <w:t xml:space="preserve">(+7.8%). Among branches outside the public services, the wages grew the most in administrative and support service activities (+9.5%), which was associated with large reduction of especially </w:t>
            </w:r>
            <w:proofErr w:type="gramStart"/>
            <w:r w:rsidRPr="00742B86">
              <w:rPr>
                <w:bCs/>
                <w:spacing w:val="-4"/>
                <w:lang w:val="en-GB"/>
              </w:rPr>
              <w:t>low income</w:t>
            </w:r>
            <w:proofErr w:type="gramEnd"/>
            <w:r w:rsidRPr="00742B86">
              <w:rPr>
                <w:bCs/>
                <w:spacing w:val="-4"/>
                <w:lang w:val="en-GB"/>
              </w:rPr>
              <w:t xml:space="preserve"> workers within the job agencies. </w:t>
            </w:r>
            <w:r w:rsidR="00FD5A69">
              <w:rPr>
                <w:bCs/>
                <w:spacing w:val="-4"/>
                <w:lang w:val="en-GB"/>
              </w:rPr>
              <w:t xml:space="preserve">The effect </w:t>
            </w:r>
            <w:r w:rsidRPr="00742B86">
              <w:rPr>
                <w:bCs/>
                <w:spacing w:val="-4"/>
                <w:lang w:val="en-GB"/>
              </w:rPr>
              <w:t xml:space="preserve">of the </w:t>
            </w:r>
            <w:r w:rsidR="00FD5A69">
              <w:rPr>
                <w:bCs/>
                <w:spacing w:val="-4"/>
                <w:lang w:val="en-GB"/>
              </w:rPr>
              <w:t>“</w:t>
            </w:r>
            <w:r w:rsidRPr="00742B86">
              <w:rPr>
                <w:bCs/>
                <w:spacing w:val="-4"/>
                <w:lang w:val="en-GB"/>
              </w:rPr>
              <w:t xml:space="preserve">employee structure </w:t>
            </w:r>
            <w:r w:rsidR="00FD5A69">
              <w:rPr>
                <w:bCs/>
                <w:spacing w:val="-4"/>
                <w:lang w:val="en-GB"/>
              </w:rPr>
              <w:t>shifts”</w:t>
            </w:r>
            <w:r w:rsidR="00842C2C">
              <w:rPr>
                <w:bCs/>
                <w:spacing w:val="-4"/>
                <w:lang w:val="en-GB"/>
              </w:rPr>
              <w:t xml:space="preserve"> influenced</w:t>
            </w:r>
            <w:r w:rsidRPr="00742B86">
              <w:rPr>
                <w:bCs/>
                <w:spacing w:val="-4"/>
                <w:lang w:val="en-GB"/>
              </w:rPr>
              <w:t xml:space="preserve"> the average wages </w:t>
            </w:r>
            <w:r w:rsidR="00842C2C">
              <w:rPr>
                <w:bCs/>
                <w:spacing w:val="-4"/>
                <w:lang w:val="en-GB"/>
              </w:rPr>
              <w:t xml:space="preserve">dynamics </w:t>
            </w:r>
            <w:r w:rsidRPr="00742B86">
              <w:rPr>
                <w:bCs/>
                <w:spacing w:val="-4"/>
                <w:lang w:val="en-GB"/>
              </w:rPr>
              <w:t>also in another „low income</w:t>
            </w:r>
            <w:proofErr w:type="gramStart"/>
            <w:r w:rsidRPr="00742B86">
              <w:rPr>
                <w:bCs/>
                <w:spacing w:val="-4"/>
                <w:lang w:val="en-GB"/>
              </w:rPr>
              <w:t>“ br</w:t>
            </w:r>
            <w:r w:rsidR="00842C2C">
              <w:rPr>
                <w:bCs/>
                <w:spacing w:val="-4"/>
                <w:lang w:val="en-GB"/>
              </w:rPr>
              <w:t>anch</w:t>
            </w:r>
            <w:proofErr w:type="gramEnd"/>
            <w:r w:rsidR="00842C2C">
              <w:rPr>
                <w:bCs/>
                <w:spacing w:val="-4"/>
                <w:lang w:val="en-GB"/>
              </w:rPr>
              <w:t xml:space="preserve"> – real estate </w:t>
            </w:r>
            <w:r w:rsidRPr="00742B86">
              <w:rPr>
                <w:bCs/>
                <w:spacing w:val="-4"/>
                <w:lang w:val="en-GB"/>
              </w:rPr>
              <w:t>ac</w:t>
            </w:r>
            <w:r w:rsidR="00842C2C">
              <w:rPr>
                <w:bCs/>
                <w:spacing w:val="-4"/>
                <w:lang w:val="en-GB"/>
              </w:rPr>
              <w:t>tivities</w:t>
            </w:r>
            <w:r w:rsidRPr="00742B86">
              <w:rPr>
                <w:bCs/>
                <w:spacing w:val="-4"/>
                <w:lang w:val="en-GB"/>
              </w:rPr>
              <w:t>. Long-time growing significance of information and communication, further strengthened in the pandemic period</w:t>
            </w:r>
            <w:r w:rsidRPr="00742B86">
              <w:rPr>
                <w:rStyle w:val="Znakapoznpodarou"/>
                <w:bCs/>
                <w:spacing w:val="-4"/>
                <w:lang w:val="en-GB"/>
              </w:rPr>
              <w:footnoteReference w:id="66"/>
            </w:r>
            <w:r w:rsidRPr="00742B86">
              <w:rPr>
                <w:bCs/>
                <w:spacing w:val="-4"/>
                <w:lang w:val="en-GB"/>
              </w:rPr>
              <w:t xml:space="preserve">, </w:t>
            </w:r>
            <w:proofErr w:type="gramStart"/>
            <w:r w:rsidRPr="00742B86">
              <w:rPr>
                <w:bCs/>
                <w:spacing w:val="-4"/>
                <w:lang w:val="en-GB"/>
              </w:rPr>
              <w:t>was also mirrored</w:t>
            </w:r>
            <w:proofErr w:type="gramEnd"/>
            <w:r w:rsidRPr="00742B86">
              <w:rPr>
                <w:bCs/>
                <w:spacing w:val="-4"/>
                <w:lang w:val="en-GB"/>
              </w:rPr>
              <w:t xml:space="preserve"> in </w:t>
            </w:r>
            <w:r w:rsidR="00842C2C">
              <w:rPr>
                <w:bCs/>
                <w:spacing w:val="-4"/>
                <w:lang w:val="en-GB"/>
              </w:rPr>
              <w:t xml:space="preserve">average </w:t>
            </w:r>
            <w:r w:rsidRPr="00742B86">
              <w:rPr>
                <w:bCs/>
                <w:spacing w:val="-4"/>
                <w:lang w:val="en-GB"/>
              </w:rPr>
              <w:t>wages (+5.6%). Level of average wage was the highest among the branches here (62.1 CZK thousand). It thus deviated from financial and insurance activities (59.4</w:t>
            </w:r>
            <w:r w:rsidR="00842C2C">
              <w:rPr>
                <w:bCs/>
                <w:spacing w:val="-4"/>
                <w:lang w:val="en-GB"/>
              </w:rPr>
              <w:t xml:space="preserve"> CZK thousand), where the wage</w:t>
            </w:r>
            <w:r w:rsidRPr="00742B86">
              <w:rPr>
                <w:bCs/>
                <w:spacing w:val="-4"/>
                <w:lang w:val="en-GB"/>
              </w:rPr>
              <w:t xml:space="preserve"> </w:t>
            </w:r>
            <w:r w:rsidR="00842C2C">
              <w:rPr>
                <w:bCs/>
                <w:spacing w:val="-4"/>
                <w:lang w:val="en-GB"/>
              </w:rPr>
              <w:t>dynamics remained low</w:t>
            </w:r>
            <w:r w:rsidRPr="00742B86">
              <w:rPr>
                <w:bCs/>
                <w:spacing w:val="-4"/>
                <w:lang w:val="en-GB"/>
              </w:rPr>
              <w:t xml:space="preserve"> (+0.6%). Energetics also features high wage levels (52.2 CZK thousand). Its growth moved within limits of years 2018 as well as 2019 (around 6%), despite the fact, that performance of this branch was marked by the </w:t>
            </w:r>
            <w:r>
              <w:rPr>
                <w:bCs/>
                <w:spacing w:val="-4"/>
                <w:lang w:val="en-GB"/>
              </w:rPr>
              <w:t>spring</w:t>
            </w:r>
            <w:r w:rsidRPr="00742B86">
              <w:rPr>
                <w:bCs/>
                <w:spacing w:val="-4"/>
                <w:lang w:val="en-GB"/>
              </w:rPr>
              <w:t xml:space="preserve"> freeze of the economy.</w:t>
            </w:r>
          </w:p>
        </w:tc>
      </w:tr>
      <w:tr w:rsidR="009F2518" w:rsidRPr="00742B86" w:rsidTr="00370CFF">
        <w:trPr>
          <w:trHeight w:val="145"/>
        </w:trPr>
        <w:tc>
          <w:tcPr>
            <w:tcW w:w="1687" w:type="dxa"/>
            <w:shd w:val="clear" w:color="auto" w:fill="auto"/>
            <w:tcMar>
              <w:left w:w="0" w:type="dxa"/>
            </w:tcMar>
          </w:tcPr>
          <w:p w:rsidR="009F2518" w:rsidRPr="00742B86" w:rsidRDefault="009F2518" w:rsidP="009F2518">
            <w:pPr>
              <w:pStyle w:val="Marginlie"/>
              <w:spacing w:after="120"/>
              <w:rPr>
                <w:spacing w:val="0"/>
                <w:lang w:val="en-GB"/>
              </w:rPr>
            </w:pPr>
            <w:r w:rsidRPr="00742B86">
              <w:rPr>
                <w:spacing w:val="0"/>
                <w:lang w:val="en-GB"/>
              </w:rPr>
              <w:t>Wage median grew faster for females than males last year.</w:t>
            </w:r>
          </w:p>
          <w:p w:rsidR="009F2518" w:rsidRPr="00742B86" w:rsidRDefault="009F2518" w:rsidP="009F2518">
            <w:pPr>
              <w:pStyle w:val="Marginlie"/>
              <w:spacing w:after="120"/>
              <w:rPr>
                <w:spacing w:val="0"/>
                <w:lang w:val="en-GB"/>
              </w:rPr>
            </w:pPr>
          </w:p>
          <w:p w:rsidR="009F2518" w:rsidRPr="00742B86" w:rsidRDefault="009F2518" w:rsidP="009F2518">
            <w:pPr>
              <w:pStyle w:val="Marginlie"/>
              <w:spacing w:after="120"/>
              <w:rPr>
                <w:spacing w:val="0"/>
                <w:lang w:val="en-GB"/>
              </w:rPr>
            </w:pPr>
          </w:p>
          <w:p w:rsidR="009F2518" w:rsidRPr="00742B86" w:rsidRDefault="009F2518" w:rsidP="009F2518">
            <w:pPr>
              <w:pStyle w:val="Marginlie"/>
              <w:spacing w:after="120"/>
              <w:rPr>
                <w:lang w:val="en-GB"/>
              </w:rPr>
            </w:pPr>
            <w:r w:rsidRPr="00742B86">
              <w:rPr>
                <w:spacing w:val="0"/>
                <w:lang w:val="en-GB"/>
              </w:rPr>
              <w:t xml:space="preserve">Wage differences widened </w:t>
            </w:r>
            <w:proofErr w:type="gramStart"/>
            <w:r w:rsidRPr="00742B86">
              <w:rPr>
                <w:spacing w:val="0"/>
                <w:lang w:val="en-GB"/>
              </w:rPr>
              <w:t xml:space="preserve">both in Q2 and </w:t>
            </w:r>
            <w:r w:rsidR="00A97E05">
              <w:rPr>
                <w:spacing w:val="0"/>
                <w:lang w:val="en-GB"/>
              </w:rPr>
              <w:t>Q</w:t>
            </w:r>
            <w:r w:rsidRPr="00742B86">
              <w:rPr>
                <w:spacing w:val="0"/>
                <w:lang w:val="en-GB"/>
              </w:rPr>
              <w:t>4</w:t>
            </w:r>
            <w:proofErr w:type="gramEnd"/>
            <w:r w:rsidRPr="00742B86">
              <w:rPr>
                <w:spacing w:val="0"/>
                <w:lang w:val="en-GB"/>
              </w:rPr>
              <w:t>.</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9F2518" w:rsidP="009F2518">
            <w:pPr>
              <w:spacing w:after="220"/>
              <w:rPr>
                <w:spacing w:val="-4"/>
                <w:lang w:val="en-GB"/>
              </w:rPr>
            </w:pPr>
            <w:r w:rsidRPr="00742B86">
              <w:rPr>
                <w:bCs/>
                <w:spacing w:val="-2"/>
                <w:lang w:val="en-GB"/>
              </w:rPr>
              <w:t>Wage median attained 35.1 CZK thousand for males, 30.3 CZK thousand for females in Q4</w:t>
            </w:r>
            <w:r w:rsidR="00A97E05">
              <w:rPr>
                <w:bCs/>
                <w:spacing w:val="-2"/>
                <w:lang w:val="en-GB"/>
              </w:rPr>
              <w:t xml:space="preserve"> 2020</w:t>
            </w:r>
            <w:r w:rsidRPr="00742B86">
              <w:rPr>
                <w:bCs/>
                <w:spacing w:val="-2"/>
                <w:lang w:val="en-GB"/>
              </w:rPr>
              <w:t xml:space="preserve">. Earnings of females strengthened relative more </w:t>
            </w:r>
            <w:r w:rsidR="00A97E05">
              <w:rPr>
                <w:bCs/>
                <w:spacing w:val="-2"/>
                <w:lang w:val="en-GB"/>
              </w:rPr>
              <w:t>(</w:t>
            </w:r>
            <w:r w:rsidRPr="00742B86">
              <w:rPr>
                <w:bCs/>
                <w:spacing w:val="-2"/>
                <w:lang w:val="en-GB"/>
              </w:rPr>
              <w:t xml:space="preserve">similarly to the </w:t>
            </w:r>
            <w:proofErr w:type="gramStart"/>
            <w:r w:rsidRPr="00742B86">
              <w:rPr>
                <w:bCs/>
                <w:spacing w:val="-2"/>
                <w:lang w:val="en-GB"/>
              </w:rPr>
              <w:t>whole</w:t>
            </w:r>
            <w:proofErr w:type="gramEnd"/>
            <w:r w:rsidRPr="00742B86">
              <w:rPr>
                <w:bCs/>
                <w:spacing w:val="-2"/>
                <w:lang w:val="en-GB"/>
              </w:rPr>
              <w:t xml:space="preserve"> last year</w:t>
            </w:r>
            <w:r w:rsidR="00A97E05">
              <w:rPr>
                <w:bCs/>
                <w:spacing w:val="-2"/>
                <w:lang w:val="en-GB"/>
              </w:rPr>
              <w:t>)</w:t>
            </w:r>
            <w:r w:rsidRPr="00742B86">
              <w:rPr>
                <w:bCs/>
                <w:spacing w:val="-2"/>
                <w:lang w:val="en-GB"/>
              </w:rPr>
              <w:t xml:space="preserve">. It </w:t>
            </w:r>
            <w:proofErr w:type="gramStart"/>
            <w:r w:rsidRPr="00742B86">
              <w:rPr>
                <w:bCs/>
                <w:spacing w:val="-2"/>
                <w:lang w:val="en-GB"/>
              </w:rPr>
              <w:t>was connected</w:t>
            </w:r>
            <w:proofErr w:type="gramEnd"/>
            <w:r w:rsidRPr="00742B86">
              <w:rPr>
                <w:bCs/>
                <w:spacing w:val="-2"/>
                <w:lang w:val="en-GB"/>
              </w:rPr>
              <w:t xml:space="preserve"> to the swift wage growth in the public services. The fact that females were losing jobs more frequently last year (they </w:t>
            </w:r>
            <w:proofErr w:type="gramStart"/>
            <w:r w:rsidRPr="00742B86">
              <w:rPr>
                <w:bCs/>
                <w:spacing w:val="-2"/>
                <w:lang w:val="en-GB"/>
              </w:rPr>
              <w:t>are generally more represented</w:t>
            </w:r>
            <w:proofErr w:type="gramEnd"/>
            <w:r w:rsidRPr="00742B86">
              <w:rPr>
                <w:bCs/>
                <w:spacing w:val="-2"/>
                <w:lang w:val="en-GB"/>
              </w:rPr>
              <w:t xml:space="preserve"> among workers with low wage level) could have also played a role. Four fifths of all employees received </w:t>
            </w:r>
            <w:r w:rsidR="00A97E05">
              <w:rPr>
                <w:bCs/>
                <w:spacing w:val="-2"/>
                <w:lang w:val="en-GB"/>
              </w:rPr>
              <w:t xml:space="preserve">average monthly </w:t>
            </w:r>
            <w:r w:rsidRPr="00742B86">
              <w:rPr>
                <w:bCs/>
                <w:spacing w:val="-2"/>
                <w:lang w:val="en-GB"/>
              </w:rPr>
              <w:t xml:space="preserve">wage between </w:t>
            </w:r>
            <w:r w:rsidRPr="00742B86">
              <w:rPr>
                <w:spacing w:val="-2"/>
                <w:lang w:val="en-GB"/>
              </w:rPr>
              <w:t xml:space="preserve">16.4 CZK thousand and 63.8 CZK thousand in Q4. </w:t>
            </w:r>
            <w:r w:rsidR="00A97E05">
              <w:rPr>
                <w:spacing w:val="-2"/>
                <w:lang w:val="en-GB"/>
              </w:rPr>
              <w:t xml:space="preserve">In </w:t>
            </w:r>
            <w:proofErr w:type="gramStart"/>
            <w:r w:rsidR="00A97E05">
              <w:rPr>
                <w:spacing w:val="-2"/>
                <w:lang w:val="en-GB"/>
              </w:rPr>
              <w:t>Q4</w:t>
            </w:r>
            <w:proofErr w:type="gramEnd"/>
            <w:r w:rsidR="00A97E05">
              <w:rPr>
                <w:spacing w:val="-2"/>
                <w:lang w:val="en-GB"/>
              </w:rPr>
              <w:t xml:space="preserve"> e</w:t>
            </w:r>
            <w:r w:rsidRPr="00742B86">
              <w:rPr>
                <w:spacing w:val="-2"/>
                <w:lang w:val="en-GB"/>
              </w:rPr>
              <w:t xml:space="preserve">arrings of low income workers grew slower compared to those high income </w:t>
            </w:r>
            <w:r w:rsidR="00A97E05">
              <w:rPr>
                <w:spacing w:val="-2"/>
                <w:lang w:val="en-GB"/>
              </w:rPr>
              <w:t>(</w:t>
            </w:r>
            <w:r w:rsidRPr="00742B86">
              <w:rPr>
                <w:spacing w:val="-2"/>
                <w:lang w:val="en-GB"/>
              </w:rPr>
              <w:t xml:space="preserve">similarly to </w:t>
            </w:r>
            <w:r w:rsidR="00A97E05">
              <w:rPr>
                <w:spacing w:val="-2"/>
                <w:lang w:val="en-GB"/>
              </w:rPr>
              <w:t>the Q2, affected by the anti-</w:t>
            </w:r>
            <w:r w:rsidRPr="00742B86">
              <w:rPr>
                <w:spacing w:val="-2"/>
                <w:lang w:val="en-GB"/>
              </w:rPr>
              <w:t>pandemic measures</w:t>
            </w:r>
            <w:r w:rsidR="00A97E05">
              <w:rPr>
                <w:spacing w:val="-2"/>
                <w:lang w:val="en-GB"/>
              </w:rPr>
              <w:t>)</w:t>
            </w:r>
            <w:r w:rsidRPr="00742B86">
              <w:rPr>
                <w:spacing w:val="-2"/>
                <w:lang w:val="en-GB"/>
              </w:rPr>
              <w:t>. Wage differences thus widened. In contrast, the wage range na</w:t>
            </w:r>
            <w:r w:rsidR="00A97E05">
              <w:rPr>
                <w:spacing w:val="-2"/>
                <w:lang w:val="en-GB"/>
              </w:rPr>
              <w:t>rrowed in the rest of the year (Q1, Q3).</w:t>
            </w:r>
          </w:p>
        </w:tc>
      </w:tr>
      <w:tr w:rsidR="009F2518" w:rsidRPr="00742B86" w:rsidTr="00370CFF">
        <w:trPr>
          <w:trHeight w:val="145"/>
        </w:trPr>
        <w:tc>
          <w:tcPr>
            <w:tcW w:w="1687" w:type="dxa"/>
            <w:shd w:val="clear" w:color="auto" w:fill="auto"/>
            <w:tcMar>
              <w:left w:w="0" w:type="dxa"/>
            </w:tcMar>
          </w:tcPr>
          <w:p w:rsidR="009F2518" w:rsidRPr="00742B86" w:rsidRDefault="009F2518" w:rsidP="009F2518">
            <w:pPr>
              <w:pStyle w:val="Marginlie"/>
              <w:spacing w:after="120"/>
              <w:rPr>
                <w:lang w:val="en-GB"/>
              </w:rPr>
            </w:pPr>
            <w:r w:rsidRPr="00742B86">
              <w:rPr>
                <w:lang w:val="en-GB"/>
              </w:rPr>
              <w:t xml:space="preserve">Real growth of </w:t>
            </w:r>
            <w:r w:rsidR="00A97E05">
              <w:rPr>
                <w:lang w:val="en-GB"/>
              </w:rPr>
              <w:t>average wages weakened to seven-</w:t>
            </w:r>
            <w:r w:rsidRPr="00742B86">
              <w:rPr>
                <w:lang w:val="en-GB"/>
              </w:rPr>
              <w:t xml:space="preserve">year minimum last year. </w:t>
            </w:r>
          </w:p>
        </w:tc>
        <w:tc>
          <w:tcPr>
            <w:tcW w:w="182" w:type="dxa"/>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9F2518" w:rsidP="009F2518">
            <w:pPr>
              <w:spacing w:after="220"/>
              <w:rPr>
                <w:spacing w:val="-4"/>
                <w:lang w:val="en-GB"/>
              </w:rPr>
            </w:pPr>
            <w:r w:rsidRPr="00742B86">
              <w:rPr>
                <w:spacing w:val="-4"/>
                <w:lang w:val="en-GB"/>
              </w:rPr>
              <w:t xml:space="preserve">Real year-on-year growth of average wages following a temporary decline in Q2 (first after year 2013) renewed in the second half of the last year. It </w:t>
            </w:r>
            <w:proofErr w:type="gramStart"/>
            <w:r w:rsidRPr="00742B86">
              <w:rPr>
                <w:spacing w:val="-4"/>
                <w:lang w:val="en-GB"/>
              </w:rPr>
              <w:t>was also assist</w:t>
            </w:r>
            <w:r w:rsidR="00A97E05">
              <w:rPr>
                <w:spacing w:val="-4"/>
                <w:lang w:val="en-GB"/>
              </w:rPr>
              <w:t>ed</w:t>
            </w:r>
            <w:proofErr w:type="gramEnd"/>
            <w:r w:rsidR="00A97E05">
              <w:rPr>
                <w:spacing w:val="-4"/>
                <w:lang w:val="en-GB"/>
              </w:rPr>
              <w:t xml:space="preserve"> by more significant </w:t>
            </w:r>
            <w:r w:rsidRPr="00742B86">
              <w:rPr>
                <w:spacing w:val="-4"/>
                <w:lang w:val="en-GB"/>
              </w:rPr>
              <w:t xml:space="preserve">of the rate of growth of the consumer prices in the last months of the year. Despite of this, the growth of purchasing power of average employee earnings ended on </w:t>
            </w:r>
            <w:proofErr w:type="gramStart"/>
            <w:r w:rsidRPr="00742B86">
              <w:rPr>
                <w:spacing w:val="-4"/>
                <w:lang w:val="en-GB"/>
              </w:rPr>
              <w:t>seven year</w:t>
            </w:r>
            <w:proofErr w:type="gramEnd"/>
            <w:r w:rsidRPr="00742B86">
              <w:rPr>
                <w:spacing w:val="-4"/>
                <w:lang w:val="en-GB"/>
              </w:rPr>
              <w:t xml:space="preserve"> minimum </w:t>
            </w:r>
            <w:r w:rsidR="00A97E05">
              <w:rPr>
                <w:rFonts w:cs="Arial"/>
                <w:bCs/>
                <w:spacing w:val="-4"/>
                <w:lang w:val="en-GB"/>
              </w:rPr>
              <w:t>(+1.2%) in 2020.</w:t>
            </w:r>
          </w:p>
        </w:tc>
      </w:tr>
      <w:tr w:rsidR="009F2518" w:rsidRPr="00742B86" w:rsidTr="00370CFF">
        <w:trPr>
          <w:trHeight w:val="168"/>
        </w:trPr>
        <w:tc>
          <w:tcPr>
            <w:tcW w:w="1687" w:type="dxa"/>
            <w:vMerge w:val="restart"/>
            <w:shd w:val="clear" w:color="auto" w:fill="auto"/>
            <w:tcMar>
              <w:left w:w="0" w:type="dxa"/>
            </w:tcMar>
          </w:tcPr>
          <w:p w:rsidR="009F2518" w:rsidRPr="00742B86" w:rsidRDefault="009F2518" w:rsidP="009F2518">
            <w:pPr>
              <w:pStyle w:val="Marginlie"/>
              <w:spacing w:after="120"/>
              <w:rPr>
                <w:spacing w:val="0"/>
                <w:lang w:val="en-GB"/>
              </w:rPr>
            </w:pPr>
          </w:p>
        </w:tc>
        <w:tc>
          <w:tcPr>
            <w:tcW w:w="182" w:type="dxa"/>
            <w:vMerge w:val="restart"/>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D152E7" w:rsidP="009F2518">
            <w:pPr>
              <w:spacing w:after="0"/>
              <w:rPr>
                <w:bCs/>
                <w:lang w:val="en-GB"/>
              </w:rPr>
            </w:pPr>
            <w:r>
              <w:rPr>
                <w:b/>
                <w:spacing w:val="-4"/>
                <w:lang w:val="en-GB"/>
              </w:rPr>
              <w:t xml:space="preserve">Chart </w:t>
            </w:r>
            <w:proofErr w:type="gramStart"/>
            <w:r>
              <w:rPr>
                <w:b/>
                <w:spacing w:val="-4"/>
                <w:lang w:val="en-GB"/>
              </w:rPr>
              <w:t>14</w:t>
            </w:r>
            <w:r w:rsidR="009F2518" w:rsidRPr="00742B86">
              <w:rPr>
                <w:b/>
                <w:spacing w:val="-4"/>
                <w:lang w:val="en-GB"/>
              </w:rPr>
              <w:t xml:space="preserve">  </w:t>
            </w:r>
            <w:r w:rsidR="009F2518" w:rsidRPr="00742B86">
              <w:rPr>
                <w:b/>
                <w:spacing w:val="-2"/>
                <w:lang w:val="en-GB"/>
              </w:rPr>
              <w:t>Average</w:t>
            </w:r>
            <w:proofErr w:type="gramEnd"/>
            <w:r w:rsidR="009F2518" w:rsidRPr="00742B86">
              <w:rPr>
                <w:b/>
                <w:spacing w:val="-2"/>
                <w:lang w:val="en-GB"/>
              </w:rPr>
              <w:t xml:space="preserve"> nominal and real wage and wage median </w:t>
            </w:r>
            <w:r w:rsidR="009F2518" w:rsidRPr="00742B86">
              <w:rPr>
                <w:spacing w:val="-2"/>
                <w:lang w:val="en-GB"/>
              </w:rPr>
              <w:t>(year-on-year, in %)</w:t>
            </w:r>
          </w:p>
        </w:tc>
      </w:tr>
      <w:tr w:rsidR="009F2518" w:rsidRPr="00742B86" w:rsidTr="00370CFF">
        <w:tblPrEx>
          <w:tblCellMar>
            <w:left w:w="70" w:type="dxa"/>
            <w:right w:w="70" w:type="dxa"/>
          </w:tblCellMar>
        </w:tblPrEx>
        <w:trPr>
          <w:trHeight w:val="166"/>
        </w:trPr>
        <w:tc>
          <w:tcPr>
            <w:tcW w:w="1687" w:type="dxa"/>
            <w:vMerge/>
            <w:shd w:val="clear" w:color="auto" w:fill="auto"/>
          </w:tcPr>
          <w:p w:rsidR="009F2518" w:rsidRPr="00742B86" w:rsidRDefault="009F2518" w:rsidP="009F2518">
            <w:pPr>
              <w:pStyle w:val="Marginlie"/>
              <w:spacing w:after="120"/>
              <w:rPr>
                <w:spacing w:val="0"/>
                <w:lang w:val="en-GB"/>
              </w:rPr>
            </w:pPr>
          </w:p>
        </w:tc>
        <w:tc>
          <w:tcPr>
            <w:tcW w:w="182" w:type="dxa"/>
            <w:vMerge/>
            <w:shd w:val="clear" w:color="auto" w:fill="auto"/>
          </w:tcPr>
          <w:p w:rsidR="009F2518" w:rsidRPr="00742B86" w:rsidRDefault="009F2518" w:rsidP="009F2518">
            <w:pPr>
              <w:pStyle w:val="Textpoznpodarou"/>
              <w:spacing w:after="120"/>
              <w:jc w:val="both"/>
              <w:rPr>
                <w:spacing w:val="-4"/>
                <w:lang w:val="en-GB"/>
              </w:rPr>
            </w:pPr>
          </w:p>
        </w:tc>
        <w:tc>
          <w:tcPr>
            <w:tcW w:w="7795" w:type="dxa"/>
            <w:shd w:val="clear" w:color="auto" w:fill="auto"/>
          </w:tcPr>
          <w:p w:rsidR="009F2518" w:rsidRPr="00742B86" w:rsidRDefault="009F2518" w:rsidP="009F2518">
            <w:pPr>
              <w:spacing w:after="0"/>
              <w:rPr>
                <w:bCs/>
                <w:lang w:val="en-GB"/>
              </w:rPr>
            </w:pPr>
            <w:r>
              <w:rPr>
                <w:noProof/>
              </w:rPr>
              <w:drawing>
                <wp:inline distT="0" distB="0" distL="0" distR="0" wp14:anchorId="6F5BBBEC" wp14:editId="2CA5F828">
                  <wp:extent cx="4861425" cy="3413700"/>
                  <wp:effectExtent l="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9F2518" w:rsidRPr="00742B86" w:rsidTr="00370CFF">
        <w:trPr>
          <w:trHeight w:val="166"/>
        </w:trPr>
        <w:tc>
          <w:tcPr>
            <w:tcW w:w="1687" w:type="dxa"/>
            <w:vMerge/>
            <w:shd w:val="clear" w:color="auto" w:fill="auto"/>
            <w:tcMar>
              <w:left w:w="0" w:type="dxa"/>
            </w:tcMar>
          </w:tcPr>
          <w:p w:rsidR="009F2518" w:rsidRPr="00742B86" w:rsidRDefault="009F2518" w:rsidP="009F2518">
            <w:pPr>
              <w:pStyle w:val="Marginlie"/>
              <w:spacing w:after="120"/>
              <w:rPr>
                <w:spacing w:val="0"/>
                <w:lang w:val="en-GB"/>
              </w:rPr>
            </w:pPr>
          </w:p>
        </w:tc>
        <w:tc>
          <w:tcPr>
            <w:tcW w:w="182" w:type="dxa"/>
            <w:vMerge/>
            <w:shd w:val="clear" w:color="auto" w:fill="auto"/>
            <w:tcMar>
              <w:left w:w="0" w:type="dxa"/>
            </w:tcMar>
          </w:tcPr>
          <w:p w:rsidR="009F2518" w:rsidRPr="00742B86" w:rsidRDefault="009F2518" w:rsidP="009F2518">
            <w:pPr>
              <w:pStyle w:val="Textpoznpodarou"/>
              <w:spacing w:after="120"/>
              <w:jc w:val="both"/>
              <w:rPr>
                <w:spacing w:val="-4"/>
                <w:lang w:val="en-GB"/>
              </w:rPr>
            </w:pPr>
          </w:p>
        </w:tc>
        <w:tc>
          <w:tcPr>
            <w:tcW w:w="7795" w:type="dxa"/>
            <w:shd w:val="clear" w:color="auto" w:fill="auto"/>
            <w:tcMar>
              <w:left w:w="0" w:type="dxa"/>
            </w:tcMar>
          </w:tcPr>
          <w:p w:rsidR="009F2518" w:rsidRPr="00742B86" w:rsidRDefault="009F2518" w:rsidP="009F2518">
            <w:pPr>
              <w:spacing w:after="0"/>
              <w:rPr>
                <w:spacing w:val="-3"/>
                <w:sz w:val="14"/>
                <w:szCs w:val="14"/>
                <w:lang w:val="en-GB"/>
              </w:rPr>
            </w:pPr>
            <w:r w:rsidRPr="00742B86">
              <w:rPr>
                <w:spacing w:val="-3"/>
                <w:sz w:val="14"/>
                <w:szCs w:val="14"/>
                <w:lang w:val="en-GB"/>
              </w:rPr>
              <w:t>*</w:t>
            </w:r>
            <w:r w:rsidRPr="00742B86">
              <w:rPr>
                <w:rFonts w:cs="Arial"/>
                <w:spacing w:val="-3"/>
                <w:sz w:val="14"/>
                <w:szCs w:val="14"/>
                <w:lang w:val="en-GB"/>
              </w:rPr>
              <w:t xml:space="preserve"> Includes branches: Public administration, defence, social security; Education Human health and social work activities; </w:t>
            </w:r>
          </w:p>
          <w:p w:rsidR="009F2518" w:rsidRPr="00742B86" w:rsidRDefault="009F2518" w:rsidP="009F2518">
            <w:pPr>
              <w:spacing w:after="0"/>
              <w:rPr>
                <w:rFonts w:cs="Arial"/>
                <w:sz w:val="14"/>
                <w:szCs w:val="14"/>
                <w:lang w:val="en-GB"/>
              </w:rPr>
            </w:pPr>
            <w:r w:rsidRPr="00742B86">
              <w:rPr>
                <w:spacing w:val="-3"/>
                <w:sz w:val="14"/>
                <w:szCs w:val="14"/>
                <w:lang w:val="en-GB"/>
              </w:rPr>
              <w:t>Source:</w:t>
            </w:r>
            <w:r w:rsidRPr="00742B86">
              <w:rPr>
                <w:rFonts w:cs="Arial"/>
                <w:sz w:val="14"/>
                <w:szCs w:val="14"/>
                <w:lang w:val="en-GB"/>
              </w:rPr>
              <w:t xml:space="preserve"> CZSO</w:t>
            </w:r>
          </w:p>
          <w:p w:rsidR="009F2518" w:rsidRPr="00742B86" w:rsidRDefault="009F2518" w:rsidP="009F2518">
            <w:pPr>
              <w:spacing w:after="0"/>
              <w:rPr>
                <w:b/>
                <w:bCs/>
                <w:sz w:val="16"/>
                <w:szCs w:val="16"/>
                <w:lang w:val="en-GB"/>
              </w:rPr>
            </w:pPr>
          </w:p>
        </w:tc>
      </w:tr>
    </w:tbl>
    <w:p w:rsidR="00B2450C" w:rsidRPr="00742B86" w:rsidRDefault="00B2450C" w:rsidP="00B2450C">
      <w:pPr>
        <w:spacing w:after="120"/>
        <w:jc w:val="left"/>
        <w:rPr>
          <w:b/>
          <w:color w:val="0D0D0D" w:themeColor="text1" w:themeTint="F2"/>
          <w:sz w:val="2"/>
          <w:szCs w:val="2"/>
          <w:lang w:val="en-GB"/>
        </w:rPr>
      </w:pPr>
    </w:p>
    <w:p w:rsidR="00B2450C" w:rsidRPr="00742B86" w:rsidRDefault="00B2450C">
      <w:pPr>
        <w:spacing w:after="0" w:line="240" w:lineRule="auto"/>
        <w:jc w:val="left"/>
        <w:rPr>
          <w:b/>
          <w:color w:val="0D0D0D" w:themeColor="text1" w:themeTint="F2"/>
          <w:sz w:val="2"/>
          <w:szCs w:val="2"/>
          <w:lang w:val="en-GB"/>
        </w:rPr>
      </w:pPr>
      <w:r w:rsidRPr="00742B86">
        <w:rPr>
          <w:b/>
          <w:color w:val="0D0D0D" w:themeColor="text1" w:themeTint="F2"/>
          <w:sz w:val="2"/>
          <w:szCs w:val="2"/>
          <w:lang w:val="en-GB"/>
        </w:rPr>
        <w:br w:type="page"/>
      </w:r>
    </w:p>
    <w:p w:rsidR="00791BF4" w:rsidRPr="00742B86" w:rsidRDefault="00791BF4" w:rsidP="00791BF4">
      <w:pPr>
        <w:pStyle w:val="Nadpis11"/>
        <w:rPr>
          <w:lang w:val="en-GB"/>
        </w:rPr>
      </w:pPr>
      <w:bookmarkStart w:id="24" w:name="_Toc69287530"/>
      <w:bookmarkStart w:id="25" w:name="_Toc50712132"/>
      <w:bookmarkStart w:id="26" w:name="_Toc69370725"/>
      <w:bookmarkEnd w:id="20"/>
      <w:bookmarkEnd w:id="21"/>
      <w:r w:rsidRPr="00742B86">
        <w:rPr>
          <w:lang w:val="en-GB"/>
        </w:rPr>
        <w:lastRenderedPageBreak/>
        <w:t>7. Monetary Conditions</w:t>
      </w:r>
      <w:bookmarkEnd w:id="24"/>
      <w:bookmarkEnd w:id="26"/>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791BF4" w:rsidRPr="00742B86" w:rsidTr="009C620B">
        <w:trPr>
          <w:trHeight w:val="145"/>
        </w:trPr>
        <w:tc>
          <w:tcPr>
            <w:tcW w:w="1802" w:type="dxa"/>
          </w:tcPr>
          <w:p w:rsidR="00791BF4" w:rsidRPr="00742B86" w:rsidRDefault="00791BF4" w:rsidP="009C620B">
            <w:pPr>
              <w:pStyle w:val="Marginlie"/>
              <w:rPr>
                <w:lang w:val="en-GB" w:eastAsia="en-US"/>
              </w:rPr>
            </w:pPr>
            <w:r w:rsidRPr="00742B86">
              <w:rPr>
                <w:lang w:val="en-GB" w:eastAsia="en-US"/>
              </w:rPr>
              <w:t>Repeated lowering of monetary policy-relevant rates occurred in year 2020.</w:t>
            </w:r>
          </w:p>
        </w:tc>
        <w:tc>
          <w:tcPr>
            <w:tcW w:w="229" w:type="dxa"/>
          </w:tcPr>
          <w:p w:rsidR="00791BF4" w:rsidRPr="00742B86" w:rsidRDefault="00791BF4" w:rsidP="009C620B">
            <w:pPr>
              <w:pStyle w:val="Textpoznpodarou"/>
              <w:jc w:val="both"/>
              <w:rPr>
                <w:spacing w:val="-4"/>
                <w:lang w:val="en-GB" w:eastAsia="en-US"/>
              </w:rPr>
            </w:pPr>
          </w:p>
        </w:tc>
        <w:tc>
          <w:tcPr>
            <w:tcW w:w="7610" w:type="dxa"/>
            <w:hideMark/>
          </w:tcPr>
          <w:p w:rsidR="00791BF4" w:rsidRPr="00742B86" w:rsidRDefault="00791BF4" w:rsidP="009C620B">
            <w:pPr>
              <w:rPr>
                <w:spacing w:val="-2"/>
                <w:lang w:val="en-GB" w:eastAsia="en-US"/>
              </w:rPr>
            </w:pPr>
            <w:r w:rsidRPr="00742B86">
              <w:rPr>
                <w:spacing w:val="-2"/>
                <w:lang w:val="en-GB" w:eastAsia="en-US"/>
              </w:rPr>
              <w:t>Economic development was markedly turbulent in year 2020, which also left its mark on the development of main monetary policy-relevant rates. At the beginning of the year, the rates were raised still in reaction to the inflationary pressures in the economy (maximum was 2.25 for the 2W repo rate)</w:t>
            </w:r>
            <w:r w:rsidRPr="00742B86">
              <w:rPr>
                <w:rStyle w:val="Znakapoznpodarou"/>
                <w:spacing w:val="-2"/>
                <w:lang w:val="en-GB" w:eastAsia="en-US"/>
              </w:rPr>
              <w:footnoteReference w:id="67"/>
            </w:r>
            <w:r w:rsidRPr="00742B86">
              <w:rPr>
                <w:spacing w:val="-2"/>
                <w:lang w:val="en-GB" w:eastAsia="en-US"/>
              </w:rPr>
              <w:t xml:space="preserve">. The arrival of the crisis however led to the fast easing of the monetary policy – repo rate </w:t>
            </w:r>
            <w:proofErr w:type="gramStart"/>
            <w:r w:rsidRPr="00742B86">
              <w:rPr>
                <w:spacing w:val="-2"/>
                <w:lang w:val="en-GB" w:eastAsia="en-US"/>
              </w:rPr>
              <w:t>was lowered</w:t>
            </w:r>
            <w:proofErr w:type="gramEnd"/>
            <w:r w:rsidRPr="00742B86">
              <w:rPr>
                <w:spacing w:val="-2"/>
                <w:lang w:val="en-GB" w:eastAsia="en-US"/>
              </w:rPr>
              <w:t xml:space="preserve"> to 1.00% in March and to 0.25% in May. Repo rate remained unchanged at this level until the end of the year. At the same time, the discount rate was set to 0.05% and Lombard rate to 1.0%. The economic situation also notably influenced the development of the koruna foreign exchange. Koruna sharply depreciated against both euro and dollar during March. In case of the dollar foreign exchange, the trend headed to the repeated strengthening and the koruna foreign exchange against dollar was already stronger year-on-year at the end of the year (foreign exchange reached 21.39 CZK/USD at the end of the year). Mild correction also took place in case of foreign exchange against euro; </w:t>
            </w:r>
            <w:proofErr w:type="gramStart"/>
            <w:r w:rsidRPr="00742B86">
              <w:rPr>
                <w:spacing w:val="-2"/>
                <w:lang w:val="en-GB" w:eastAsia="en-US"/>
              </w:rPr>
              <w:t>however</w:t>
            </w:r>
            <w:proofErr w:type="gramEnd"/>
            <w:r w:rsidRPr="00742B86">
              <w:rPr>
                <w:spacing w:val="-2"/>
                <w:lang w:val="en-GB" w:eastAsia="en-US"/>
              </w:rPr>
              <w:t xml:space="preserve"> the foreign exchange did not drop below the level of 26 CZK/EUR since 13</w:t>
            </w:r>
            <w:r w:rsidRPr="00742B86">
              <w:rPr>
                <w:spacing w:val="-2"/>
                <w:vertAlign w:val="superscript"/>
                <w:lang w:val="en-GB" w:eastAsia="en-US"/>
              </w:rPr>
              <w:t>th</w:t>
            </w:r>
            <w:r w:rsidRPr="00742B86">
              <w:rPr>
                <w:spacing w:val="-2"/>
                <w:lang w:val="en-GB" w:eastAsia="en-US"/>
              </w:rPr>
              <w:t xml:space="preserve"> March 2020. It resulted in pressures on the growth of prices of goods traded in euros. </w:t>
            </w:r>
          </w:p>
        </w:tc>
      </w:tr>
      <w:tr w:rsidR="00791BF4" w:rsidRPr="00742B86" w:rsidTr="009C620B">
        <w:trPr>
          <w:trHeight w:val="145"/>
        </w:trPr>
        <w:tc>
          <w:tcPr>
            <w:tcW w:w="1802" w:type="dxa"/>
            <w:hideMark/>
          </w:tcPr>
          <w:p w:rsidR="00791BF4" w:rsidRPr="00742B86" w:rsidRDefault="00791BF4" w:rsidP="009C620B">
            <w:pPr>
              <w:pStyle w:val="Marginlie"/>
              <w:rPr>
                <w:lang w:val="en-GB" w:eastAsia="en-US"/>
              </w:rPr>
            </w:pPr>
            <w:r w:rsidRPr="00742B86">
              <w:rPr>
                <w:lang w:val="en-GB" w:eastAsia="en-US"/>
              </w:rPr>
              <w:t xml:space="preserve">Government bond yields increased towards the end of year. </w:t>
            </w:r>
          </w:p>
        </w:tc>
        <w:tc>
          <w:tcPr>
            <w:tcW w:w="229" w:type="dxa"/>
          </w:tcPr>
          <w:p w:rsidR="00791BF4" w:rsidRPr="00742B86" w:rsidRDefault="00791BF4" w:rsidP="009C620B">
            <w:pPr>
              <w:pStyle w:val="Textpoznpodarou"/>
              <w:jc w:val="both"/>
              <w:rPr>
                <w:spacing w:val="-4"/>
                <w:lang w:val="en-GB" w:eastAsia="en-US"/>
              </w:rPr>
            </w:pPr>
          </w:p>
        </w:tc>
        <w:tc>
          <w:tcPr>
            <w:tcW w:w="7610" w:type="dxa"/>
          </w:tcPr>
          <w:p w:rsidR="00791BF4" w:rsidRPr="00742B86" w:rsidRDefault="00791BF4" w:rsidP="009C620B">
            <w:pPr>
              <w:rPr>
                <w:spacing w:val="-1"/>
                <w:lang w:val="en-GB" w:eastAsia="en-US"/>
              </w:rPr>
            </w:pPr>
            <w:r w:rsidRPr="00742B86">
              <w:rPr>
                <w:spacing w:val="-1"/>
                <w:lang w:val="en-GB" w:eastAsia="en-US"/>
              </w:rPr>
              <w:t xml:space="preserve">Interbank interest rate PRIBOR </w:t>
            </w:r>
            <w:proofErr w:type="gramStart"/>
            <w:r w:rsidRPr="00742B86">
              <w:rPr>
                <w:spacing w:val="-1"/>
                <w:lang w:val="en-GB" w:eastAsia="en-US"/>
              </w:rPr>
              <w:t>is closely tied</w:t>
            </w:r>
            <w:proofErr w:type="gramEnd"/>
            <w:r w:rsidRPr="00742B86">
              <w:rPr>
                <w:spacing w:val="-1"/>
                <w:lang w:val="en-GB" w:eastAsia="en-US"/>
              </w:rPr>
              <w:t xml:space="preserve"> to the monetary policy-relevant rates, and thus it practically did not change since June. Three-month PRIBOR rate was 0.36% at the end of year 2020 (it was 2.17% at the end of year 2019). The yields on domestic government bonds were comparatively strongly changing during the year. In January, the interest rate on </w:t>
            </w:r>
            <w:proofErr w:type="gramStart"/>
            <w:r w:rsidRPr="00742B86">
              <w:rPr>
                <w:spacing w:val="-1"/>
                <w:lang w:val="en-GB" w:eastAsia="en-US"/>
              </w:rPr>
              <w:t>short term</w:t>
            </w:r>
            <w:proofErr w:type="gramEnd"/>
            <w:r w:rsidRPr="00742B86">
              <w:rPr>
                <w:spacing w:val="-1"/>
                <w:lang w:val="en-GB" w:eastAsia="en-US"/>
              </w:rPr>
              <w:t xml:space="preserve"> bonds amounted to 1.55%, 1.51% on those with medium term maturity and 1.62% on long term bonds. Rates for all maturities were then falling during the year and hit the bottom in October (0%, 0.54% and 0.94% for individual maturities). Afterwards, rates relatively fast grew towards the end of the year. As of 31. 12. 2020, the average yield of short-term bonds reached 0.16%, medium term bonds 0.8% and long-term bonds 1.26%.</w:t>
            </w:r>
          </w:p>
        </w:tc>
      </w:tr>
      <w:tr w:rsidR="00791BF4" w:rsidRPr="00742B86" w:rsidTr="009C620B">
        <w:trPr>
          <w:trHeight w:val="170"/>
        </w:trPr>
        <w:tc>
          <w:tcPr>
            <w:tcW w:w="1802" w:type="dxa"/>
            <w:vMerge w:val="restart"/>
          </w:tcPr>
          <w:p w:rsidR="00791BF4" w:rsidRPr="00742B86" w:rsidRDefault="00791BF4" w:rsidP="009C620B">
            <w:pPr>
              <w:pStyle w:val="Marginlie"/>
              <w:rPr>
                <w:lang w:val="en-GB" w:eastAsia="en-US"/>
              </w:rPr>
            </w:pPr>
          </w:p>
        </w:tc>
        <w:tc>
          <w:tcPr>
            <w:tcW w:w="229" w:type="dxa"/>
            <w:vMerge w:val="restart"/>
          </w:tcPr>
          <w:p w:rsidR="00791BF4" w:rsidRPr="00742B86" w:rsidRDefault="00791BF4" w:rsidP="009C620B">
            <w:pPr>
              <w:pStyle w:val="Textpoznpodarou"/>
              <w:jc w:val="both"/>
              <w:rPr>
                <w:spacing w:val="-4"/>
                <w:lang w:val="en-GB" w:eastAsia="en-US"/>
              </w:rPr>
            </w:pPr>
          </w:p>
        </w:tc>
        <w:tc>
          <w:tcPr>
            <w:tcW w:w="7610" w:type="dxa"/>
          </w:tcPr>
          <w:p w:rsidR="00791BF4" w:rsidRPr="00742B86" w:rsidRDefault="00791BF4" w:rsidP="009C620B">
            <w:pPr>
              <w:spacing w:after="0"/>
              <w:rPr>
                <w:spacing w:val="-3"/>
                <w:lang w:val="en-GB" w:eastAsia="en-US"/>
              </w:rPr>
            </w:pPr>
            <w:r w:rsidRPr="00742B86">
              <w:rPr>
                <w:rFonts w:cs="Arial"/>
                <w:b/>
                <w:bCs/>
                <w:color w:val="000000"/>
                <w:szCs w:val="20"/>
                <w:lang w:val="en-GB" w:eastAsia="en-US"/>
              </w:rPr>
              <w:t xml:space="preserve">Chart </w:t>
            </w:r>
            <w:proofErr w:type="gramStart"/>
            <w:r w:rsidRPr="00742B86">
              <w:rPr>
                <w:rFonts w:cs="Arial"/>
                <w:b/>
                <w:bCs/>
                <w:color w:val="000000"/>
                <w:szCs w:val="20"/>
                <w:lang w:val="en-GB" w:eastAsia="en-US"/>
              </w:rPr>
              <w:t>16  Market</w:t>
            </w:r>
            <w:proofErr w:type="gramEnd"/>
            <w:r w:rsidRPr="00742B86">
              <w:rPr>
                <w:rFonts w:cs="Arial"/>
                <w:b/>
                <w:bCs/>
                <w:color w:val="000000"/>
                <w:szCs w:val="20"/>
                <w:lang w:val="en-GB" w:eastAsia="en-US"/>
              </w:rPr>
              <w:t xml:space="preserve"> interest rates </w:t>
            </w:r>
            <w:r w:rsidRPr="00742B86">
              <w:rPr>
                <w:bCs/>
                <w:spacing w:val="-4"/>
                <w:szCs w:val="20"/>
                <w:lang w:val="en-GB" w:eastAsia="en-US"/>
              </w:rPr>
              <w:t>(in %)</w:t>
            </w:r>
          </w:p>
        </w:tc>
      </w:tr>
      <w:tr w:rsidR="00791BF4" w:rsidRPr="00742B86" w:rsidTr="009C620B">
        <w:trPr>
          <w:trHeight w:val="170"/>
        </w:trPr>
        <w:tc>
          <w:tcPr>
            <w:tcW w:w="1802" w:type="dxa"/>
            <w:vMerge/>
          </w:tcPr>
          <w:p w:rsidR="00791BF4" w:rsidRPr="00742B86" w:rsidRDefault="00791BF4" w:rsidP="009C620B">
            <w:pPr>
              <w:pStyle w:val="Marginlie"/>
              <w:rPr>
                <w:lang w:val="en-GB" w:eastAsia="en-US"/>
              </w:rPr>
            </w:pPr>
          </w:p>
        </w:tc>
        <w:tc>
          <w:tcPr>
            <w:tcW w:w="229" w:type="dxa"/>
            <w:vMerge/>
          </w:tcPr>
          <w:p w:rsidR="00791BF4" w:rsidRPr="00742B86" w:rsidRDefault="00791BF4" w:rsidP="009C620B">
            <w:pPr>
              <w:pStyle w:val="Textpoznpodarou"/>
              <w:jc w:val="both"/>
              <w:rPr>
                <w:spacing w:val="-4"/>
                <w:lang w:val="en-GB" w:eastAsia="en-US"/>
              </w:rPr>
            </w:pPr>
          </w:p>
        </w:tc>
        <w:tc>
          <w:tcPr>
            <w:tcW w:w="7610" w:type="dxa"/>
          </w:tcPr>
          <w:p w:rsidR="00791BF4" w:rsidRPr="00742B86" w:rsidRDefault="00791BF4" w:rsidP="009C620B">
            <w:pPr>
              <w:spacing w:after="0"/>
              <w:rPr>
                <w:spacing w:val="-3"/>
                <w:lang w:val="en-GB" w:eastAsia="en-US"/>
              </w:rPr>
            </w:pPr>
            <w:r>
              <w:rPr>
                <w:noProof/>
              </w:rPr>
              <w:drawing>
                <wp:inline distT="0" distB="0" distL="0" distR="0" wp14:anchorId="2DD9846A" wp14:editId="0CB9A9AF">
                  <wp:extent cx="4743950" cy="3375400"/>
                  <wp:effectExtent l="0" t="0" r="0" b="0"/>
                  <wp:docPr id="40" name="Graf 4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791BF4" w:rsidRPr="00742B86" w:rsidTr="009C620B">
        <w:trPr>
          <w:trHeight w:val="170"/>
        </w:trPr>
        <w:tc>
          <w:tcPr>
            <w:tcW w:w="1802" w:type="dxa"/>
            <w:vMerge/>
          </w:tcPr>
          <w:p w:rsidR="00791BF4" w:rsidRPr="00742B86" w:rsidRDefault="00791BF4" w:rsidP="009C620B">
            <w:pPr>
              <w:pStyle w:val="Marginlie"/>
              <w:rPr>
                <w:lang w:val="en-GB" w:eastAsia="en-US"/>
              </w:rPr>
            </w:pPr>
          </w:p>
        </w:tc>
        <w:tc>
          <w:tcPr>
            <w:tcW w:w="229" w:type="dxa"/>
            <w:vMerge/>
          </w:tcPr>
          <w:p w:rsidR="00791BF4" w:rsidRPr="00742B86" w:rsidRDefault="00791BF4" w:rsidP="009C620B">
            <w:pPr>
              <w:pStyle w:val="Textpoznpodarou"/>
              <w:jc w:val="both"/>
              <w:rPr>
                <w:spacing w:val="-4"/>
                <w:lang w:val="en-GB" w:eastAsia="en-US"/>
              </w:rPr>
            </w:pPr>
          </w:p>
        </w:tc>
        <w:tc>
          <w:tcPr>
            <w:tcW w:w="7610" w:type="dxa"/>
          </w:tcPr>
          <w:p w:rsidR="00791BF4" w:rsidRPr="00742B86" w:rsidRDefault="00791BF4" w:rsidP="009C620B">
            <w:pPr>
              <w:spacing w:after="0"/>
              <w:rPr>
                <w:spacing w:val="-3"/>
                <w:lang w:val="en-GB" w:eastAsia="en-US"/>
              </w:rPr>
            </w:pPr>
            <w:r w:rsidRPr="00742B86">
              <w:rPr>
                <w:sz w:val="14"/>
                <w:szCs w:val="14"/>
                <w:lang w:val="en-GB" w:eastAsia="en-US"/>
              </w:rPr>
              <w:t>Source: CNB</w:t>
            </w:r>
          </w:p>
        </w:tc>
      </w:tr>
      <w:tr w:rsidR="00791BF4" w:rsidRPr="00742B86" w:rsidTr="009C620B">
        <w:trPr>
          <w:trHeight w:val="145"/>
        </w:trPr>
        <w:tc>
          <w:tcPr>
            <w:tcW w:w="1802" w:type="dxa"/>
            <w:hideMark/>
          </w:tcPr>
          <w:p w:rsidR="00791BF4" w:rsidRPr="00742B86" w:rsidRDefault="00791BF4" w:rsidP="009C620B">
            <w:pPr>
              <w:pStyle w:val="Marginlie"/>
              <w:rPr>
                <w:lang w:val="en-GB" w:eastAsia="en-US"/>
              </w:rPr>
            </w:pPr>
            <w:r w:rsidRPr="00742B86">
              <w:rPr>
                <w:lang w:val="en-GB" w:eastAsia="en-US"/>
              </w:rPr>
              <w:lastRenderedPageBreak/>
              <w:t xml:space="preserve">Interest rates on term deposits markedly decreased. </w:t>
            </w:r>
          </w:p>
        </w:tc>
        <w:tc>
          <w:tcPr>
            <w:tcW w:w="229" w:type="dxa"/>
          </w:tcPr>
          <w:p w:rsidR="00791BF4" w:rsidRPr="00742B86" w:rsidRDefault="00791BF4" w:rsidP="009C620B">
            <w:pPr>
              <w:pStyle w:val="Textpoznpodarou"/>
              <w:jc w:val="both"/>
              <w:rPr>
                <w:spacing w:val="-4"/>
                <w:lang w:val="en-GB" w:eastAsia="en-US"/>
              </w:rPr>
            </w:pPr>
          </w:p>
        </w:tc>
        <w:tc>
          <w:tcPr>
            <w:tcW w:w="7610" w:type="dxa"/>
          </w:tcPr>
          <w:p w:rsidR="00791BF4" w:rsidRPr="00742B86" w:rsidRDefault="00791BF4" w:rsidP="009C620B">
            <w:pPr>
              <w:rPr>
                <w:spacing w:val="-3"/>
                <w:lang w:val="en-GB" w:eastAsia="en-US"/>
              </w:rPr>
            </w:pPr>
            <w:r w:rsidRPr="00742B86">
              <w:rPr>
                <w:spacing w:val="-3"/>
                <w:lang w:val="en-GB" w:eastAsia="en-US"/>
              </w:rPr>
              <w:t xml:space="preserve">The decline did not avoid even some client interest rates, especially those on the term deposits. On the deposits of households on current accounts, the rates practically did not have further space for decline (they are below 0.1% since the beginning of year 2016 and were on average 0.02% at the end of December 2020). On the other hand, the rates on deposits with agreed maturity grew during the years 2018 and 2019. They could thus be amended very fast last year in reaction to the decrease of the main economic rates (the average interest rate on deposits with agreed maturity was 1.43% at the end of </w:t>
            </w:r>
            <w:proofErr w:type="gramStart"/>
            <w:r w:rsidRPr="00742B86">
              <w:rPr>
                <w:spacing w:val="-3"/>
                <w:lang w:val="en-GB" w:eastAsia="en-US"/>
              </w:rPr>
              <w:t>March,</w:t>
            </w:r>
            <w:proofErr w:type="gramEnd"/>
            <w:r w:rsidRPr="00742B86">
              <w:rPr>
                <w:spacing w:val="-3"/>
                <w:lang w:val="en-GB" w:eastAsia="en-US"/>
              </w:rPr>
              <w:t xml:space="preserve"> it was already 0.6% at the end of June). The average interest on these deposits arrived at 0.59% at the end of the year. Rates for deposits with maturity up to 1 year were falling the most – the banks likely assumed, that the level of interest will go up in the nearest future. Non-financial businesses could only shortly benefit from the increase of rates on current accounts – they again dived nearly to zero during the last year. At the same time, the interest rates on deposits with agreed maturity of non-financial businesses considerably fell – even more than to households (the average interest reached 0.16% at the end of December, by 1.36 p.p. less year-on-year at the end of December). The change of rate manifestly affected the volume of terms deposits – they were shrinking year-on-year from Q2. The view of the household deposits is also interesting – substantial increase of their volume in line with the increased savings rate, which </w:t>
            </w:r>
            <w:proofErr w:type="gramStart"/>
            <w:r w:rsidRPr="00742B86">
              <w:rPr>
                <w:spacing w:val="-3"/>
                <w:lang w:val="en-GB" w:eastAsia="en-US"/>
              </w:rPr>
              <w:t>is connected</w:t>
            </w:r>
            <w:proofErr w:type="gramEnd"/>
            <w:r w:rsidRPr="00742B86">
              <w:rPr>
                <w:spacing w:val="-3"/>
                <w:lang w:val="en-GB" w:eastAsia="en-US"/>
              </w:rPr>
              <w:t xml:space="preserve"> to the limited opportunity of consumption by the adopted restrictions on the operations of retail and services, can be observed since Q2.  </w:t>
            </w:r>
          </w:p>
        </w:tc>
      </w:tr>
      <w:tr w:rsidR="00791BF4" w:rsidRPr="00742B86" w:rsidTr="009C620B">
        <w:trPr>
          <w:trHeight w:val="145"/>
        </w:trPr>
        <w:tc>
          <w:tcPr>
            <w:tcW w:w="1802" w:type="dxa"/>
          </w:tcPr>
          <w:p w:rsidR="00791BF4" w:rsidRPr="00742B86" w:rsidRDefault="00791BF4" w:rsidP="009C620B">
            <w:pPr>
              <w:pStyle w:val="Marginlie"/>
              <w:rPr>
                <w:lang w:val="en-GB" w:eastAsia="en-US"/>
              </w:rPr>
            </w:pPr>
            <w:r w:rsidRPr="00742B86">
              <w:rPr>
                <w:lang w:val="en-GB" w:eastAsia="en-US"/>
              </w:rPr>
              <w:t>Credit financing for households became cheaper further.</w:t>
            </w:r>
          </w:p>
        </w:tc>
        <w:tc>
          <w:tcPr>
            <w:tcW w:w="229" w:type="dxa"/>
          </w:tcPr>
          <w:p w:rsidR="00791BF4" w:rsidRPr="00742B86" w:rsidRDefault="00791BF4" w:rsidP="009C620B">
            <w:pPr>
              <w:pStyle w:val="Textpoznpodarou"/>
              <w:jc w:val="both"/>
              <w:rPr>
                <w:spacing w:val="-4"/>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Slight decrease was also apparent on the interest rates of credit for households during the year. Cut interest on consumption credit </w:t>
            </w:r>
            <w:proofErr w:type="gramStart"/>
            <w:r w:rsidRPr="00742B86">
              <w:rPr>
                <w:lang w:val="en-GB" w:eastAsia="en-US"/>
              </w:rPr>
              <w:t>is long term and year 2020 followed</w:t>
            </w:r>
            <w:proofErr w:type="gramEnd"/>
            <w:r w:rsidRPr="00742B86">
              <w:rPr>
                <w:lang w:val="en-GB" w:eastAsia="en-US"/>
              </w:rPr>
              <w:t xml:space="preserve"> in this trend. The average rate was 7.69% at the end of December, which is by 0.59 p.p. less year-on-year. Interest on mortgages </w:t>
            </w:r>
            <w:proofErr w:type="gramStart"/>
            <w:r w:rsidRPr="00742B86">
              <w:rPr>
                <w:lang w:val="en-GB" w:eastAsia="en-US"/>
              </w:rPr>
              <w:t>were also cut</w:t>
            </w:r>
            <w:proofErr w:type="gramEnd"/>
            <w:r w:rsidRPr="00742B86">
              <w:rPr>
                <w:lang w:val="en-GB" w:eastAsia="en-US"/>
              </w:rPr>
              <w:t xml:space="preserve"> last year. At the end of the year, it was on average 2.1%, which is by 0.39 p.p. less year-on-year. Dynamics of consumer credit substantially slowed down since Q2 as expected. Combination of limited consumption as well as considerable uncertainty of households slashed the year-on-year addition to the volume of consumer credit down to 2.6% at the end of the year. On the contrary, the year-on-year pace of the growth of volume of mortgages remained relatively high (it did not drop below 7.5% during the year and accelerated to 8% in H2). As a result, the indebtedness of households grew by a similar rate of growth as in the previous years (as of 31. December, it was by 6.1% higher year-on-year). Indebtedness for consumption was thus lower by 0.1% year-on-year at the end of the year and mortgage debt by 8.0% higher.</w:t>
            </w:r>
          </w:p>
        </w:tc>
      </w:tr>
      <w:tr w:rsidR="00791BF4" w:rsidRPr="00742B86" w:rsidTr="009C620B">
        <w:trPr>
          <w:trHeight w:val="145"/>
        </w:trPr>
        <w:tc>
          <w:tcPr>
            <w:tcW w:w="1802" w:type="dxa"/>
          </w:tcPr>
          <w:p w:rsidR="00791BF4" w:rsidRPr="00742B86" w:rsidRDefault="00791BF4" w:rsidP="009C620B">
            <w:pPr>
              <w:pStyle w:val="Marginlie"/>
              <w:rPr>
                <w:lang w:val="en-GB" w:eastAsia="en-US"/>
              </w:rPr>
            </w:pPr>
            <w:r w:rsidRPr="00742B86">
              <w:rPr>
                <w:lang w:val="en-GB" w:eastAsia="en-US"/>
              </w:rPr>
              <w:t xml:space="preserve">In many branches, the credit dynamics considerably stepped on the brakes. </w:t>
            </w:r>
          </w:p>
        </w:tc>
        <w:tc>
          <w:tcPr>
            <w:tcW w:w="229" w:type="dxa"/>
          </w:tcPr>
          <w:p w:rsidR="00791BF4" w:rsidRPr="00742B86" w:rsidRDefault="00791BF4" w:rsidP="009C620B">
            <w:pPr>
              <w:pStyle w:val="Textpoznpodarou"/>
              <w:jc w:val="both"/>
              <w:rPr>
                <w:spacing w:val="-4"/>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Average interest rate of credit to non-financial businesses was falling during the year and hit the bottom in Q3. It however sharply increased at the year´s end. This development </w:t>
            </w:r>
            <w:proofErr w:type="gramStart"/>
            <w:r w:rsidRPr="00742B86">
              <w:rPr>
                <w:lang w:val="en-GB" w:eastAsia="en-US"/>
              </w:rPr>
              <w:t>was mostly influenced</w:t>
            </w:r>
            <w:proofErr w:type="gramEnd"/>
            <w:r w:rsidRPr="00742B86">
              <w:rPr>
                <w:lang w:val="en-GB" w:eastAsia="en-US"/>
              </w:rPr>
              <w:t xml:space="preserve"> by the category of credit above 30 CZK mil. Here, the interest dropped down to 1.15% in Q3, but climbed up to 1.72% by the end of December. Credits between 7.5 and 30 mil also featured similar dynamics (interest rate fell to 2.3% here by the end of September but increased again up to 2.54%). On the contrary, the interest on credit up to 7.5 CZK mil was falling during the whole year. It was 3.26% by the end of December 2020 and lowered by 0.85 p.p. year-on-year. Total volume of credit and receivables of the non-financial businesses was gauged at 1 123.0</w:t>
            </w:r>
            <w:r>
              <w:rPr>
                <w:lang w:val="en-GB" w:eastAsia="en-US"/>
              </w:rPr>
              <w:t> </w:t>
            </w:r>
            <w:r w:rsidRPr="00742B86">
              <w:rPr>
                <w:lang w:val="en-GB" w:eastAsia="en-US"/>
              </w:rPr>
              <w:t xml:space="preserve">CZK </w:t>
            </w:r>
            <w:proofErr w:type="spellStart"/>
            <w:r w:rsidRPr="00742B86">
              <w:rPr>
                <w:lang w:val="en-GB" w:eastAsia="en-US"/>
              </w:rPr>
              <w:t>bn</w:t>
            </w:r>
            <w:proofErr w:type="spellEnd"/>
            <w:r w:rsidRPr="00742B86">
              <w:rPr>
                <w:lang w:val="en-GB" w:eastAsia="en-US"/>
              </w:rPr>
              <w:t xml:space="preserve"> at the end of 2020 and went up by 2.3% year-on-year. While the volume of credit and receivables in CZK was falling year-on-year since Q2, the volume of credit in foreign currencies again substantially </w:t>
            </w:r>
            <w:proofErr w:type="gramStart"/>
            <w:r w:rsidRPr="00742B86">
              <w:rPr>
                <w:lang w:val="en-GB" w:eastAsia="en-US"/>
              </w:rPr>
              <w:t>accelerated, mainly the short term</w:t>
            </w:r>
            <w:r w:rsidRPr="00742B86">
              <w:rPr>
                <w:rStyle w:val="Znakapoznpodarou"/>
                <w:lang w:val="en-GB" w:eastAsia="en-US"/>
              </w:rPr>
              <w:footnoteReference w:id="68"/>
            </w:r>
            <w:proofErr w:type="gramEnd"/>
            <w:r w:rsidRPr="00742B86">
              <w:rPr>
                <w:lang w:val="en-GB" w:eastAsia="en-US"/>
              </w:rPr>
              <w:t xml:space="preserve"> and long-term credit. Volume of provided credit was lower year-on-year towards the end of 2020, especially in branches production and distribution of electricity, gas, heat, air, water (–20.8%), in cultural, amusement, recreational and other activities (–13.8%), </w:t>
            </w:r>
            <w:r w:rsidRPr="00742B86">
              <w:rPr>
                <w:lang w:val="en-GB" w:eastAsia="en-US"/>
              </w:rPr>
              <w:lastRenderedPageBreak/>
              <w:t xml:space="preserve">wholesale and retail, repairs and maintenance of motor vehicles (–4.5%) and information and communication (–4.3%). Growth of credit to manufacturing was markedly slowing down during the whole year (volume was by 0.9% higher year-on-year at the end of December). Pace in contrast strengthened for </w:t>
            </w:r>
            <w:proofErr w:type="gramStart"/>
            <w:r w:rsidRPr="00742B86">
              <w:rPr>
                <w:lang w:val="en-GB" w:eastAsia="en-US"/>
              </w:rPr>
              <w:t>transportation and warehousing and accommodation (up to 11.0% at the end of year) and food service</w:t>
            </w:r>
            <w:proofErr w:type="gramEnd"/>
            <w:r w:rsidRPr="00742B86">
              <w:rPr>
                <w:lang w:val="en-GB" w:eastAsia="en-US"/>
              </w:rPr>
              <w:t xml:space="preserve"> and restaurants (19.7%).</w:t>
            </w:r>
          </w:p>
        </w:tc>
      </w:tr>
    </w:tbl>
    <w:p w:rsidR="00791BF4" w:rsidRDefault="00791BF4" w:rsidP="00267C51">
      <w:pPr>
        <w:pStyle w:val="Nadpis11"/>
        <w:rPr>
          <w:szCs w:val="32"/>
          <w:lang w:val="en-GB"/>
        </w:rPr>
      </w:pPr>
    </w:p>
    <w:p w:rsidR="00791BF4" w:rsidRDefault="00791BF4">
      <w:pPr>
        <w:spacing w:after="0" w:line="240" w:lineRule="auto"/>
        <w:jc w:val="left"/>
        <w:rPr>
          <w:rFonts w:eastAsia="MS Gothic"/>
          <w:b/>
          <w:bCs/>
          <w:color w:val="71818C"/>
          <w:sz w:val="32"/>
          <w:szCs w:val="32"/>
          <w:lang w:val="en-GB"/>
        </w:rPr>
      </w:pPr>
      <w:r>
        <w:rPr>
          <w:szCs w:val="32"/>
          <w:lang w:val="en-GB"/>
        </w:rPr>
        <w:br w:type="page"/>
      </w:r>
    </w:p>
    <w:p w:rsidR="00267C51" w:rsidRPr="00742B86" w:rsidRDefault="00267C51" w:rsidP="00267C51">
      <w:pPr>
        <w:pStyle w:val="Nadpis11"/>
        <w:rPr>
          <w:lang w:val="en-GB"/>
        </w:rPr>
      </w:pPr>
      <w:bookmarkStart w:id="27" w:name="_Toc69370726"/>
      <w:r w:rsidRPr="00742B86">
        <w:rPr>
          <w:szCs w:val="32"/>
          <w:lang w:val="en-GB"/>
        </w:rPr>
        <w:lastRenderedPageBreak/>
        <w:t>8</w:t>
      </w:r>
      <w:r w:rsidRPr="00742B86">
        <w:rPr>
          <w:lang w:val="en-GB"/>
        </w:rPr>
        <w:t>. St</w:t>
      </w:r>
      <w:r w:rsidR="00F240F7" w:rsidRPr="00742B86">
        <w:rPr>
          <w:lang w:val="en-GB"/>
        </w:rPr>
        <w:t>ate Budget</w:t>
      </w:r>
      <w:bookmarkEnd w:id="27"/>
    </w:p>
    <w:tbl>
      <w:tblPr>
        <w:tblW w:w="9669" w:type="dxa"/>
        <w:tblInd w:w="-20" w:type="dxa"/>
        <w:tblCellMar>
          <w:left w:w="0" w:type="dxa"/>
          <w:right w:w="0" w:type="dxa"/>
        </w:tblCellMar>
        <w:tblLook w:val="00A0" w:firstRow="1" w:lastRow="0" w:firstColumn="1" w:lastColumn="0" w:noHBand="0" w:noVBand="0"/>
      </w:tblPr>
      <w:tblGrid>
        <w:gridCol w:w="1583"/>
        <w:gridCol w:w="176"/>
        <w:gridCol w:w="7910"/>
      </w:tblGrid>
      <w:tr w:rsidR="00267C51" w:rsidRPr="00742B86" w:rsidTr="00D70BBF">
        <w:trPr>
          <w:trHeight w:val="145"/>
        </w:trPr>
        <w:tc>
          <w:tcPr>
            <w:tcW w:w="1583" w:type="dxa"/>
            <w:shd w:val="clear" w:color="auto" w:fill="auto"/>
            <w:tcMar>
              <w:left w:w="0" w:type="dxa"/>
            </w:tcMar>
          </w:tcPr>
          <w:p w:rsidR="00267C51" w:rsidRPr="00742B86" w:rsidRDefault="00C347AE" w:rsidP="00D932B8">
            <w:pPr>
              <w:pStyle w:val="Marginlie"/>
              <w:rPr>
                <w:lang w:val="en-GB"/>
              </w:rPr>
            </w:pPr>
            <w:r w:rsidRPr="00742B86">
              <w:rPr>
                <w:lang w:val="en-GB"/>
              </w:rPr>
              <w:t xml:space="preserve">Size of last year´s state budget deficit as well as its year-on-year deepening was record in the history of the independent CR. </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C347AE" w:rsidP="00267C51">
            <w:pPr>
              <w:rPr>
                <w:spacing w:val="-4"/>
                <w:lang w:val="en-GB"/>
              </w:rPr>
            </w:pPr>
            <w:r w:rsidRPr="00742B86">
              <w:rPr>
                <w:spacing w:val="-4"/>
                <w:lang w:val="en-GB"/>
              </w:rPr>
              <w:t xml:space="preserve">In </w:t>
            </w:r>
            <w:r w:rsidR="00267C51" w:rsidRPr="00742B86">
              <w:rPr>
                <w:spacing w:val="-4"/>
                <w:lang w:val="en-GB"/>
              </w:rPr>
              <w:t>2020</w:t>
            </w:r>
            <w:r w:rsidRPr="00742B86">
              <w:rPr>
                <w:spacing w:val="-4"/>
                <w:lang w:val="en-GB"/>
              </w:rPr>
              <w:t xml:space="preserve">, </w:t>
            </w:r>
            <w:r w:rsidR="000D6894" w:rsidRPr="00742B86">
              <w:rPr>
                <w:spacing w:val="-4"/>
                <w:lang w:val="en-GB"/>
              </w:rPr>
              <w:t xml:space="preserve">the state budget </w:t>
            </w:r>
            <w:r w:rsidR="00267C51" w:rsidRPr="00742B86">
              <w:rPr>
                <w:spacing w:val="-4"/>
                <w:lang w:val="en-GB"/>
              </w:rPr>
              <w:t>(S</w:t>
            </w:r>
            <w:r w:rsidR="000D6894" w:rsidRPr="00742B86">
              <w:rPr>
                <w:spacing w:val="-4"/>
                <w:lang w:val="en-GB"/>
              </w:rPr>
              <w:t>B</w:t>
            </w:r>
            <w:r w:rsidR="00267C51" w:rsidRPr="00742B86">
              <w:rPr>
                <w:spacing w:val="-4"/>
                <w:lang w:val="en-GB"/>
              </w:rPr>
              <w:t>)</w:t>
            </w:r>
            <w:r w:rsidR="00267C51" w:rsidRPr="00742B86">
              <w:rPr>
                <w:rStyle w:val="Znakapoznpodarou"/>
                <w:spacing w:val="-4"/>
                <w:lang w:val="en-GB"/>
              </w:rPr>
              <w:footnoteReference w:id="69"/>
            </w:r>
            <w:r w:rsidR="00267C51" w:rsidRPr="00742B86">
              <w:rPr>
                <w:spacing w:val="-4"/>
                <w:lang w:val="en-GB"/>
              </w:rPr>
              <w:t xml:space="preserve"> </w:t>
            </w:r>
            <w:r w:rsidR="000D6894" w:rsidRPr="00742B86">
              <w:rPr>
                <w:spacing w:val="-4"/>
                <w:lang w:val="en-GB"/>
              </w:rPr>
              <w:t xml:space="preserve">ended in deficit </w:t>
            </w:r>
            <w:proofErr w:type="gramStart"/>
            <w:r w:rsidR="000D6894" w:rsidRPr="00742B86">
              <w:rPr>
                <w:spacing w:val="-4"/>
                <w:lang w:val="en-GB"/>
              </w:rPr>
              <w:t xml:space="preserve">in the amount of </w:t>
            </w:r>
            <w:r w:rsidR="00267C51" w:rsidRPr="00742B86">
              <w:rPr>
                <w:spacing w:val="-4"/>
                <w:lang w:val="en-GB"/>
              </w:rPr>
              <w:t>367</w:t>
            </w:r>
            <w:r w:rsidR="000D6894" w:rsidRPr="00742B86">
              <w:rPr>
                <w:spacing w:val="-4"/>
                <w:lang w:val="en-GB"/>
              </w:rPr>
              <w:t>.</w:t>
            </w:r>
            <w:r w:rsidR="00267C51" w:rsidRPr="00742B86">
              <w:rPr>
                <w:spacing w:val="-4"/>
                <w:lang w:val="en-GB"/>
              </w:rPr>
              <w:t>4</w:t>
            </w:r>
            <w:r w:rsidR="000D6894" w:rsidRPr="00742B86">
              <w:rPr>
                <w:spacing w:val="-4"/>
                <w:lang w:val="en-GB"/>
              </w:rPr>
              <w:t xml:space="preserve"> CZK</w:t>
            </w:r>
            <w:proofErr w:type="gramEnd"/>
            <w:r w:rsidR="000D6894" w:rsidRPr="00742B86">
              <w:rPr>
                <w:spacing w:val="-4"/>
                <w:lang w:val="en-GB"/>
              </w:rPr>
              <w:t xml:space="preserve"> </w:t>
            </w:r>
            <w:proofErr w:type="spellStart"/>
            <w:r w:rsidR="000D6894" w:rsidRPr="00742B86">
              <w:rPr>
                <w:spacing w:val="-4"/>
                <w:lang w:val="en-GB"/>
              </w:rPr>
              <w:t>bn</w:t>
            </w:r>
            <w:proofErr w:type="spellEnd"/>
            <w:r w:rsidR="00267C51" w:rsidRPr="00742B86">
              <w:rPr>
                <w:spacing w:val="-4"/>
                <w:lang w:val="en-GB"/>
              </w:rPr>
              <w:t>,</w:t>
            </w:r>
            <w:r w:rsidR="000D6894" w:rsidRPr="00742B86">
              <w:rPr>
                <w:spacing w:val="-4"/>
                <w:lang w:val="en-GB"/>
              </w:rPr>
              <w:t xml:space="preserve"> which was by nearly </w:t>
            </w:r>
            <w:r w:rsidR="00267C51" w:rsidRPr="00742B86">
              <w:rPr>
                <w:spacing w:val="-4"/>
                <w:lang w:val="en-GB"/>
              </w:rPr>
              <w:t>340</w:t>
            </w:r>
            <w:r w:rsidR="000D6894" w:rsidRPr="00742B86">
              <w:rPr>
                <w:spacing w:val="-4"/>
                <w:lang w:val="en-GB"/>
              </w:rPr>
              <w:t xml:space="preserve"> </w:t>
            </w:r>
            <w:proofErr w:type="spellStart"/>
            <w:r w:rsidR="000D6894" w:rsidRPr="00742B86">
              <w:rPr>
                <w:spacing w:val="-4"/>
                <w:lang w:val="en-GB"/>
              </w:rPr>
              <w:t>bn</w:t>
            </w:r>
            <w:proofErr w:type="spellEnd"/>
            <w:r w:rsidR="000D6894" w:rsidRPr="00742B86">
              <w:rPr>
                <w:spacing w:val="-4"/>
                <w:lang w:val="en-GB"/>
              </w:rPr>
              <w:t xml:space="preserve"> deeper year-on-year</w:t>
            </w:r>
            <w:r w:rsidR="00267C51" w:rsidRPr="00742B86">
              <w:rPr>
                <w:spacing w:val="-4"/>
                <w:lang w:val="en-GB"/>
              </w:rPr>
              <w:t xml:space="preserve">. </w:t>
            </w:r>
            <w:r w:rsidR="000D6894" w:rsidRPr="00742B86">
              <w:rPr>
                <w:spacing w:val="-4"/>
                <w:lang w:val="en-GB"/>
              </w:rPr>
              <w:t>Its value as well as the year-on-year increase were unprecedented i</w:t>
            </w:r>
            <w:r w:rsidR="004E0318">
              <w:rPr>
                <w:spacing w:val="-4"/>
                <w:lang w:val="en-GB"/>
              </w:rPr>
              <w:t>n the history of the modern</w:t>
            </w:r>
            <w:r w:rsidR="000D6894" w:rsidRPr="00742B86">
              <w:rPr>
                <w:spacing w:val="-4"/>
                <w:lang w:val="en-GB"/>
              </w:rPr>
              <w:t xml:space="preserve"> CR. Even though the deficit </w:t>
            </w:r>
            <w:proofErr w:type="gramStart"/>
            <w:r w:rsidR="000D6894" w:rsidRPr="00742B86">
              <w:rPr>
                <w:spacing w:val="-4"/>
                <w:lang w:val="en-GB"/>
              </w:rPr>
              <w:t>was reached</w:t>
            </w:r>
            <w:proofErr w:type="gramEnd"/>
            <w:r w:rsidR="000D6894" w:rsidRPr="00742B86">
              <w:rPr>
                <w:spacing w:val="-4"/>
                <w:lang w:val="en-GB"/>
              </w:rPr>
              <w:t xml:space="preserve"> in all last year´s months, </w:t>
            </w:r>
            <w:r w:rsidR="007859D5" w:rsidRPr="00742B86">
              <w:rPr>
                <w:spacing w:val="-4"/>
                <w:lang w:val="en-GB"/>
              </w:rPr>
              <w:t>its size was ma</w:t>
            </w:r>
            <w:r w:rsidR="004E0318">
              <w:rPr>
                <w:spacing w:val="-4"/>
                <w:lang w:val="en-GB"/>
              </w:rPr>
              <w:t>jorly determined by the anti-</w:t>
            </w:r>
            <w:r w:rsidR="007859D5" w:rsidRPr="00742B86">
              <w:rPr>
                <w:spacing w:val="-4"/>
                <w:lang w:val="en-GB"/>
              </w:rPr>
              <w:t>pandemic measures</w:t>
            </w:r>
            <w:r w:rsidR="00267C51" w:rsidRPr="00742B86">
              <w:rPr>
                <w:spacing w:val="-4"/>
                <w:lang w:val="en-GB"/>
              </w:rPr>
              <w:t xml:space="preserve">, </w:t>
            </w:r>
            <w:r w:rsidR="00EE0735" w:rsidRPr="00742B86">
              <w:rPr>
                <w:spacing w:val="-4"/>
                <w:lang w:val="en-GB"/>
              </w:rPr>
              <w:t xml:space="preserve">which radically restricted the economic activity especially in the area of market services in both </w:t>
            </w:r>
            <w:r w:rsidR="00202575">
              <w:rPr>
                <w:spacing w:val="-4"/>
                <w:lang w:val="en-GB"/>
              </w:rPr>
              <w:t>spring</w:t>
            </w:r>
            <w:r w:rsidR="00EE0735" w:rsidRPr="00742B86">
              <w:rPr>
                <w:spacing w:val="-4"/>
                <w:lang w:val="en-GB"/>
              </w:rPr>
              <w:t xml:space="preserve"> and </w:t>
            </w:r>
            <w:r w:rsidR="00202575">
              <w:rPr>
                <w:spacing w:val="-4"/>
                <w:lang w:val="en-GB"/>
              </w:rPr>
              <w:t>autumn</w:t>
            </w:r>
            <w:r w:rsidR="00EE0735" w:rsidRPr="00742B86">
              <w:rPr>
                <w:spacing w:val="-4"/>
                <w:lang w:val="en-GB"/>
              </w:rPr>
              <w:t xml:space="preserve"> wave</w:t>
            </w:r>
            <w:r w:rsidR="00267C51" w:rsidRPr="00742B86">
              <w:rPr>
                <w:rStyle w:val="Znakapoznpodarou"/>
                <w:spacing w:val="-4"/>
                <w:lang w:val="en-GB"/>
              </w:rPr>
              <w:footnoteReference w:id="70"/>
            </w:r>
            <w:r w:rsidR="00EE0735" w:rsidRPr="00742B86">
              <w:rPr>
                <w:spacing w:val="-4"/>
                <w:lang w:val="en-GB"/>
              </w:rPr>
              <w:t xml:space="preserve">. </w:t>
            </w:r>
            <w:r w:rsidR="00267C51" w:rsidRPr="00742B86">
              <w:rPr>
                <w:spacing w:val="-4"/>
                <w:lang w:val="en-GB"/>
              </w:rPr>
              <w:t>T</w:t>
            </w:r>
            <w:r w:rsidR="00763874" w:rsidRPr="00742B86">
              <w:rPr>
                <w:spacing w:val="-4"/>
                <w:lang w:val="en-GB"/>
              </w:rPr>
              <w:t xml:space="preserve">ogether with the reliefs to business entities, it led into a notable reduction of the tax collection. </w:t>
            </w:r>
            <w:r w:rsidR="000C2144" w:rsidRPr="00742B86">
              <w:rPr>
                <w:spacing w:val="-4"/>
                <w:lang w:val="en-GB"/>
              </w:rPr>
              <w:t xml:space="preserve">Simultaneously an acute need arose to </w:t>
            </w:r>
            <w:r w:rsidR="0070412F" w:rsidRPr="00742B86">
              <w:rPr>
                <w:spacing w:val="-4"/>
                <w:lang w:val="en-GB"/>
              </w:rPr>
              <w:t>strengthen</w:t>
            </w:r>
            <w:r w:rsidR="000C2144" w:rsidRPr="00742B86">
              <w:rPr>
                <w:spacing w:val="-4"/>
                <w:lang w:val="en-GB"/>
              </w:rPr>
              <w:t xml:space="preserve"> the outlay transfers for the support of the hit branch</w:t>
            </w:r>
            <w:r w:rsidR="00730D0A">
              <w:rPr>
                <w:spacing w:val="-4"/>
                <w:lang w:val="en-GB"/>
              </w:rPr>
              <w:t>es as well as workers</w:t>
            </w:r>
            <w:r w:rsidR="000C2144" w:rsidRPr="00742B86">
              <w:rPr>
                <w:spacing w:val="-4"/>
                <w:lang w:val="en-GB"/>
              </w:rPr>
              <w:t xml:space="preserve">, but also for the compensation of higher claims especially in the area of health care. </w:t>
            </w:r>
          </w:p>
        </w:tc>
      </w:tr>
      <w:tr w:rsidR="00267C51" w:rsidRPr="00742B86" w:rsidTr="00D70BBF">
        <w:trPr>
          <w:trHeight w:val="145"/>
        </w:trPr>
        <w:tc>
          <w:tcPr>
            <w:tcW w:w="1583" w:type="dxa"/>
            <w:shd w:val="clear" w:color="auto" w:fill="auto"/>
            <w:tcMar>
              <w:left w:w="0" w:type="dxa"/>
            </w:tcMar>
          </w:tcPr>
          <w:p w:rsidR="00267C51" w:rsidRPr="00742B86" w:rsidRDefault="00262489" w:rsidP="00D932B8">
            <w:pPr>
              <w:pStyle w:val="Marginlie"/>
              <w:rPr>
                <w:lang w:val="en-GB"/>
              </w:rPr>
            </w:pPr>
            <w:proofErr w:type="gramStart"/>
            <w:r w:rsidRPr="00742B86">
              <w:rPr>
                <w:lang w:val="en-GB"/>
              </w:rPr>
              <w:t>State-wide</w:t>
            </w:r>
            <w:proofErr w:type="gramEnd"/>
            <w:r w:rsidR="00EE0735" w:rsidRPr="00742B86">
              <w:rPr>
                <w:lang w:val="en-GB"/>
              </w:rPr>
              <w:t xml:space="preserve"> tax collection</w:t>
            </w:r>
            <w:r w:rsidRPr="00742B86">
              <w:rPr>
                <w:lang w:val="en-GB"/>
              </w:rPr>
              <w:t xml:space="preserve"> decreased by 5.7% for the whole last year</w:t>
            </w:r>
            <w:r w:rsidR="006B7153">
              <w:rPr>
                <w:lang w:val="en-GB"/>
              </w:rPr>
              <w:t>, mainly</w:t>
            </w:r>
            <w:r w:rsidRPr="00742B86">
              <w:rPr>
                <w:lang w:val="en-GB"/>
              </w:rPr>
              <w:t xml:space="preserve"> due to the slump in Q2. </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934FF1" w:rsidP="00267C51">
            <w:pPr>
              <w:rPr>
                <w:spacing w:val="-4"/>
                <w:lang w:val="en-GB"/>
              </w:rPr>
            </w:pPr>
            <w:r w:rsidRPr="00742B86">
              <w:rPr>
                <w:spacing w:val="-4"/>
                <w:lang w:val="en-GB"/>
              </w:rPr>
              <w:t xml:space="preserve">Following two </w:t>
            </w:r>
            <w:r w:rsidR="006B7153">
              <w:rPr>
                <w:spacing w:val="-4"/>
                <w:lang w:val="en-GB"/>
              </w:rPr>
              <w:t xml:space="preserve">preceding </w:t>
            </w:r>
            <w:r w:rsidRPr="00742B86">
              <w:rPr>
                <w:spacing w:val="-4"/>
                <w:lang w:val="en-GB"/>
              </w:rPr>
              <w:t>years of strong growth, the total SB revenues decr</w:t>
            </w:r>
            <w:r w:rsidR="006B7153">
              <w:rPr>
                <w:spacing w:val="-4"/>
                <w:lang w:val="en-GB"/>
              </w:rPr>
              <w:t>eased by 3.1% year-on-year in</w:t>
            </w:r>
            <w:r w:rsidRPr="00742B86">
              <w:rPr>
                <w:spacing w:val="-4"/>
                <w:lang w:val="en-GB"/>
              </w:rPr>
              <w:t xml:space="preserve"> </w:t>
            </w:r>
            <w:r w:rsidR="00267C51" w:rsidRPr="00742B86">
              <w:rPr>
                <w:spacing w:val="-4"/>
                <w:lang w:val="en-GB"/>
              </w:rPr>
              <w:t>2020</w:t>
            </w:r>
            <w:r w:rsidRPr="00742B86">
              <w:rPr>
                <w:spacing w:val="-4"/>
                <w:lang w:val="en-GB"/>
              </w:rPr>
              <w:t xml:space="preserve">. </w:t>
            </w:r>
            <w:r w:rsidR="0070412F" w:rsidRPr="00742B86">
              <w:rPr>
                <w:spacing w:val="-4"/>
                <w:lang w:val="en-GB"/>
              </w:rPr>
              <w:t>Substantial fallout of tax incomes (</w:t>
            </w:r>
            <w:proofErr w:type="gramStart"/>
            <w:r w:rsidR="0070412F" w:rsidRPr="00742B86">
              <w:rPr>
                <w:spacing w:val="-4"/>
                <w:lang w:val="en-GB"/>
              </w:rPr>
              <w:t xml:space="preserve">in the amount of </w:t>
            </w:r>
            <w:r w:rsidR="00267C51" w:rsidRPr="00742B86">
              <w:rPr>
                <w:spacing w:val="-4"/>
                <w:lang w:val="en-GB"/>
              </w:rPr>
              <w:t>46</w:t>
            </w:r>
            <w:r w:rsidR="0070412F" w:rsidRPr="00742B86">
              <w:rPr>
                <w:spacing w:val="-4"/>
                <w:lang w:val="en-GB"/>
              </w:rPr>
              <w:t>.</w:t>
            </w:r>
            <w:r w:rsidR="00267C51" w:rsidRPr="00742B86">
              <w:rPr>
                <w:spacing w:val="-4"/>
                <w:lang w:val="en-GB"/>
              </w:rPr>
              <w:t>5</w:t>
            </w:r>
            <w:r w:rsidR="0070412F" w:rsidRPr="00742B86">
              <w:rPr>
                <w:spacing w:val="-4"/>
                <w:lang w:val="en-GB"/>
              </w:rPr>
              <w:t xml:space="preserve"> CZK</w:t>
            </w:r>
            <w:proofErr w:type="gramEnd"/>
            <w:r w:rsidR="0070412F" w:rsidRPr="00742B86">
              <w:rPr>
                <w:spacing w:val="-4"/>
                <w:lang w:val="en-GB"/>
              </w:rPr>
              <w:t xml:space="preserve"> </w:t>
            </w:r>
            <w:proofErr w:type="spellStart"/>
            <w:r w:rsidR="0070412F" w:rsidRPr="00742B86">
              <w:rPr>
                <w:spacing w:val="-4"/>
                <w:lang w:val="en-GB"/>
              </w:rPr>
              <w:t>bn</w:t>
            </w:r>
            <w:proofErr w:type="spellEnd"/>
            <w:r w:rsidR="00267C51" w:rsidRPr="00742B86">
              <w:rPr>
                <w:spacing w:val="-4"/>
                <w:lang w:val="en-GB"/>
              </w:rPr>
              <w:t>)</w:t>
            </w:r>
            <w:r w:rsidR="0070412F" w:rsidRPr="00742B86">
              <w:rPr>
                <w:spacing w:val="-4"/>
                <w:lang w:val="en-GB"/>
              </w:rPr>
              <w:t xml:space="preserve"> as well as collection of insurance on social security </w:t>
            </w:r>
            <w:r w:rsidR="00267C51" w:rsidRPr="00742B86">
              <w:rPr>
                <w:spacing w:val="-4"/>
                <w:lang w:val="en-GB"/>
              </w:rPr>
              <w:t>(–11</w:t>
            </w:r>
            <w:r w:rsidR="0070412F" w:rsidRPr="00742B86">
              <w:rPr>
                <w:spacing w:val="-4"/>
                <w:lang w:val="en-GB"/>
              </w:rPr>
              <w:t>.</w:t>
            </w:r>
            <w:r w:rsidR="00267C51" w:rsidRPr="00742B86">
              <w:rPr>
                <w:spacing w:val="-4"/>
                <w:lang w:val="en-GB"/>
              </w:rPr>
              <w:t>3</w:t>
            </w:r>
            <w:r w:rsidR="0070412F" w:rsidRPr="00742B86">
              <w:rPr>
                <w:spacing w:val="-4"/>
                <w:lang w:val="en-GB"/>
              </w:rPr>
              <w:t xml:space="preserve"> bn</w:t>
            </w:r>
            <w:r w:rsidR="00267C51" w:rsidRPr="00742B86">
              <w:rPr>
                <w:spacing w:val="-4"/>
                <w:lang w:val="en-GB"/>
              </w:rPr>
              <w:t>.)</w:t>
            </w:r>
            <w:r w:rsidRPr="00742B86">
              <w:rPr>
                <w:spacing w:val="-4"/>
                <w:lang w:val="en-GB"/>
              </w:rPr>
              <w:t xml:space="preserve"> was evident</w:t>
            </w:r>
            <w:r w:rsidR="00267C51" w:rsidRPr="00742B86">
              <w:rPr>
                <w:spacing w:val="-4"/>
                <w:lang w:val="en-GB"/>
              </w:rPr>
              <w:t>.</w:t>
            </w:r>
            <w:r w:rsidRPr="00742B86">
              <w:rPr>
                <w:spacing w:val="-4"/>
                <w:lang w:val="en-GB"/>
              </w:rPr>
              <w:t xml:space="preserve"> Total </w:t>
            </w:r>
            <w:proofErr w:type="gramStart"/>
            <w:r w:rsidR="0070412F" w:rsidRPr="00742B86">
              <w:rPr>
                <w:spacing w:val="-4"/>
                <w:lang w:val="en-GB"/>
              </w:rPr>
              <w:t>state-wide</w:t>
            </w:r>
            <w:proofErr w:type="gramEnd"/>
            <w:r w:rsidRPr="00742B86">
              <w:rPr>
                <w:spacing w:val="-4"/>
                <w:lang w:val="en-GB"/>
              </w:rPr>
              <w:t xml:space="preserve"> collection of taxes (without insurance) </w:t>
            </w:r>
            <w:r w:rsidR="0070412F" w:rsidRPr="00742B86">
              <w:rPr>
                <w:spacing w:val="-4"/>
                <w:lang w:val="en-GB"/>
              </w:rPr>
              <w:t xml:space="preserve">at the level of all public budgets fell by </w:t>
            </w:r>
            <w:r w:rsidR="00267C51" w:rsidRPr="00742B86">
              <w:rPr>
                <w:spacing w:val="-4"/>
                <w:lang w:val="en-GB"/>
              </w:rPr>
              <w:t>5</w:t>
            </w:r>
            <w:r w:rsidR="0070412F" w:rsidRPr="00742B86">
              <w:rPr>
                <w:spacing w:val="-4"/>
                <w:lang w:val="en-GB"/>
              </w:rPr>
              <w:t>.</w:t>
            </w:r>
            <w:r w:rsidR="00267C51" w:rsidRPr="00742B86">
              <w:rPr>
                <w:spacing w:val="-4"/>
                <w:lang w:val="en-GB"/>
              </w:rPr>
              <w:t>7%</w:t>
            </w:r>
            <w:r w:rsidR="00267C51" w:rsidRPr="00742B86">
              <w:rPr>
                <w:rStyle w:val="Znakapoznpodarou"/>
                <w:spacing w:val="-4"/>
                <w:lang w:val="en-GB"/>
              </w:rPr>
              <w:footnoteReference w:id="71"/>
            </w:r>
            <w:r w:rsidR="0070412F" w:rsidRPr="00742B86">
              <w:rPr>
                <w:spacing w:val="-4"/>
                <w:lang w:val="en-GB"/>
              </w:rPr>
              <w:t xml:space="preserve"> year-on-year for the first time since 2009 last year</w:t>
            </w:r>
            <w:r w:rsidR="00267C51" w:rsidRPr="00742B86">
              <w:rPr>
                <w:spacing w:val="-4"/>
                <w:lang w:val="en-GB"/>
              </w:rPr>
              <w:t xml:space="preserve">. </w:t>
            </w:r>
            <w:r w:rsidR="0070412F" w:rsidRPr="00742B86">
              <w:rPr>
                <w:spacing w:val="-4"/>
                <w:lang w:val="en-GB"/>
              </w:rPr>
              <w:t>While in Q</w:t>
            </w:r>
            <w:r w:rsidR="00267C51" w:rsidRPr="00742B86">
              <w:rPr>
                <w:spacing w:val="-4"/>
                <w:lang w:val="en-GB"/>
              </w:rPr>
              <w:t>1</w:t>
            </w:r>
            <w:r w:rsidR="0070412F" w:rsidRPr="00742B86">
              <w:rPr>
                <w:spacing w:val="-4"/>
                <w:lang w:val="en-GB"/>
              </w:rPr>
              <w:t xml:space="preserve"> </w:t>
            </w:r>
            <w:r w:rsidR="00267C51" w:rsidRPr="00742B86">
              <w:rPr>
                <w:spacing w:val="-4"/>
                <w:lang w:val="en-GB"/>
              </w:rPr>
              <w:t>2020</w:t>
            </w:r>
            <w:r w:rsidR="0070412F" w:rsidRPr="00742B86">
              <w:rPr>
                <w:spacing w:val="-4"/>
                <w:lang w:val="en-GB"/>
              </w:rPr>
              <w:t xml:space="preserve">, this collection was still growing </w:t>
            </w:r>
            <w:r w:rsidR="00267C51" w:rsidRPr="00742B86">
              <w:rPr>
                <w:spacing w:val="-4"/>
                <w:lang w:val="en-GB"/>
              </w:rPr>
              <w:t>(+4</w:t>
            </w:r>
            <w:r w:rsidR="0070412F" w:rsidRPr="00742B86">
              <w:rPr>
                <w:spacing w:val="-4"/>
                <w:lang w:val="en-GB"/>
              </w:rPr>
              <w:t>.</w:t>
            </w:r>
            <w:r w:rsidR="00267C51" w:rsidRPr="00742B86">
              <w:rPr>
                <w:spacing w:val="-4"/>
                <w:lang w:val="en-GB"/>
              </w:rPr>
              <w:t>6%),</w:t>
            </w:r>
            <w:r w:rsidR="0070412F" w:rsidRPr="00742B86">
              <w:rPr>
                <w:spacing w:val="-4"/>
                <w:lang w:val="en-GB"/>
              </w:rPr>
              <w:t xml:space="preserve"> in Q</w:t>
            </w:r>
            <w:r w:rsidR="00267C51" w:rsidRPr="00742B86">
              <w:rPr>
                <w:spacing w:val="-4"/>
                <w:lang w:val="en-GB"/>
              </w:rPr>
              <w:t>2</w:t>
            </w:r>
            <w:r w:rsidR="0070412F" w:rsidRPr="00742B86">
              <w:rPr>
                <w:spacing w:val="-4"/>
                <w:lang w:val="en-GB"/>
              </w:rPr>
              <w:t xml:space="preserve"> the slump already occurred </w:t>
            </w:r>
            <w:r w:rsidR="00267C51" w:rsidRPr="00742B86">
              <w:rPr>
                <w:spacing w:val="-4"/>
                <w:lang w:val="en-GB"/>
              </w:rPr>
              <w:t>(–12</w:t>
            </w:r>
            <w:r w:rsidR="0070412F" w:rsidRPr="00742B86">
              <w:rPr>
                <w:spacing w:val="-4"/>
                <w:lang w:val="en-GB"/>
              </w:rPr>
              <w:t>.</w:t>
            </w:r>
            <w:r w:rsidR="00267C51" w:rsidRPr="00742B86">
              <w:rPr>
                <w:spacing w:val="-4"/>
                <w:lang w:val="en-GB"/>
              </w:rPr>
              <w:t>6%).</w:t>
            </w:r>
            <w:r w:rsidR="0070412F" w:rsidRPr="00742B86">
              <w:rPr>
                <w:spacing w:val="-4"/>
                <w:lang w:val="en-GB"/>
              </w:rPr>
              <w:t xml:space="preserve"> Certain stabilisation eventuated in the subsequent quarter </w:t>
            </w:r>
            <w:r w:rsidR="00267C51" w:rsidRPr="00742B86">
              <w:rPr>
                <w:spacing w:val="-4"/>
                <w:lang w:val="en-GB"/>
              </w:rPr>
              <w:t>(+1</w:t>
            </w:r>
            <w:r w:rsidR="0070412F" w:rsidRPr="00742B86">
              <w:rPr>
                <w:spacing w:val="-4"/>
                <w:lang w:val="en-GB"/>
              </w:rPr>
              <w:t>.</w:t>
            </w:r>
            <w:r w:rsidR="00267C51" w:rsidRPr="00742B86">
              <w:rPr>
                <w:spacing w:val="-4"/>
                <w:lang w:val="en-GB"/>
              </w:rPr>
              <w:t>3%),</w:t>
            </w:r>
            <w:r w:rsidR="0070412F" w:rsidRPr="00742B86">
              <w:rPr>
                <w:spacing w:val="-4"/>
                <w:lang w:val="en-GB"/>
              </w:rPr>
              <w:t xml:space="preserve"> which despite repeated ado</w:t>
            </w:r>
            <w:r w:rsidR="00C12FBA">
              <w:rPr>
                <w:spacing w:val="-4"/>
                <w:lang w:val="en-GB"/>
              </w:rPr>
              <w:t>ption of anti-</w:t>
            </w:r>
            <w:r w:rsidR="0070412F" w:rsidRPr="00742B86">
              <w:rPr>
                <w:spacing w:val="-4"/>
                <w:lang w:val="en-GB"/>
              </w:rPr>
              <w:t xml:space="preserve">pandemic measures continued in the remaining part of the year </w:t>
            </w:r>
            <w:r w:rsidR="00267C51" w:rsidRPr="00742B86">
              <w:rPr>
                <w:spacing w:val="-4"/>
                <w:lang w:val="en-GB"/>
              </w:rPr>
              <w:t>(+0</w:t>
            </w:r>
            <w:r w:rsidR="0070412F" w:rsidRPr="00742B86">
              <w:rPr>
                <w:spacing w:val="-4"/>
                <w:lang w:val="en-GB"/>
              </w:rPr>
              <w:t>.</w:t>
            </w:r>
            <w:r w:rsidR="00267C51" w:rsidRPr="00742B86">
              <w:rPr>
                <w:spacing w:val="-4"/>
                <w:lang w:val="en-GB"/>
              </w:rPr>
              <w:t xml:space="preserve">3%). </w:t>
            </w:r>
            <w:r w:rsidR="00B5407D" w:rsidRPr="00742B86">
              <w:rPr>
                <w:spacing w:val="-4"/>
                <w:lang w:val="en-GB"/>
              </w:rPr>
              <w:t xml:space="preserve">Increasing inflow of funds from the EU budget and transfer of funds from the </w:t>
            </w:r>
            <w:r w:rsidR="004D3D9D" w:rsidRPr="00742B86">
              <w:rPr>
                <w:spacing w:val="-4"/>
                <w:lang w:val="en-GB"/>
              </w:rPr>
              <w:t>privatization</w:t>
            </w:r>
            <w:r w:rsidR="00B5407D" w:rsidRPr="00742B86">
              <w:rPr>
                <w:spacing w:val="-4"/>
                <w:lang w:val="en-GB"/>
              </w:rPr>
              <w:t xml:space="preserve"> account</w:t>
            </w:r>
            <w:r w:rsidR="00C12FBA">
              <w:rPr>
                <w:spacing w:val="-4"/>
                <w:lang w:val="en-GB"/>
              </w:rPr>
              <w:t xml:space="preserve"> supported last year (</w:t>
            </w:r>
            <w:r w:rsidR="004D3D9D" w:rsidRPr="00742B86">
              <w:rPr>
                <w:spacing w:val="-4"/>
                <w:lang w:val="en-GB"/>
              </w:rPr>
              <w:t>similarly to year 2019</w:t>
            </w:r>
            <w:r w:rsidR="00C12FBA">
              <w:rPr>
                <w:spacing w:val="-4"/>
                <w:lang w:val="en-GB"/>
              </w:rPr>
              <w:t>)</w:t>
            </w:r>
            <w:r w:rsidR="004D3D9D" w:rsidRPr="00742B86">
              <w:rPr>
                <w:spacing w:val="-4"/>
                <w:lang w:val="en-GB"/>
              </w:rPr>
              <w:t xml:space="preserve"> the SB </w:t>
            </w:r>
            <w:r w:rsidRPr="00742B86">
              <w:rPr>
                <w:spacing w:val="-4"/>
                <w:lang w:val="en-GB"/>
              </w:rPr>
              <w:t>revenue side</w:t>
            </w:r>
            <w:r w:rsidR="004D3D9D" w:rsidRPr="00742B86">
              <w:rPr>
                <w:spacing w:val="-4"/>
                <w:lang w:val="en-GB"/>
              </w:rPr>
              <w:t xml:space="preserve">. </w:t>
            </w:r>
          </w:p>
        </w:tc>
      </w:tr>
      <w:tr w:rsidR="00267C51" w:rsidRPr="00742B86" w:rsidTr="00D70BBF">
        <w:trPr>
          <w:trHeight w:val="145"/>
        </w:trPr>
        <w:tc>
          <w:tcPr>
            <w:tcW w:w="1583" w:type="dxa"/>
            <w:shd w:val="clear" w:color="auto" w:fill="auto"/>
            <w:tcMar>
              <w:left w:w="0" w:type="dxa"/>
            </w:tcMar>
          </w:tcPr>
          <w:p w:rsidR="00267C51" w:rsidRPr="00742B86" w:rsidRDefault="00E60A9D" w:rsidP="00D932B8">
            <w:pPr>
              <w:pStyle w:val="Marginlie"/>
              <w:rPr>
                <w:lang w:val="en-GB"/>
              </w:rPr>
            </w:pPr>
            <w:proofErr w:type="gramStart"/>
            <w:r w:rsidRPr="00742B86">
              <w:rPr>
                <w:lang w:val="en-GB"/>
              </w:rPr>
              <w:t>State-wide</w:t>
            </w:r>
            <w:proofErr w:type="gramEnd"/>
            <w:r w:rsidRPr="00742B86">
              <w:rPr>
                <w:lang w:val="en-GB"/>
              </w:rPr>
              <w:t xml:space="preserve"> collection of corporate tax fell by one eight</w:t>
            </w:r>
            <w:r w:rsidR="00106EF4" w:rsidRPr="00742B86">
              <w:rPr>
                <w:lang w:val="en-GB"/>
              </w:rPr>
              <w:t>h</w:t>
            </w:r>
            <w:r w:rsidRPr="00742B86">
              <w:rPr>
                <w:lang w:val="en-GB"/>
              </w:rPr>
              <w:t xml:space="preserve"> last year, the most since year </w:t>
            </w:r>
            <w:r w:rsidR="00267C51" w:rsidRPr="00742B86">
              <w:rPr>
                <w:lang w:val="en-GB"/>
              </w:rPr>
              <w:t>2009.</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D96AFE" w:rsidP="00267C51">
            <w:pPr>
              <w:rPr>
                <w:spacing w:val="-4"/>
                <w:lang w:val="en-GB"/>
              </w:rPr>
            </w:pPr>
            <w:r w:rsidRPr="00742B86">
              <w:rPr>
                <w:spacing w:val="-4"/>
                <w:lang w:val="en-GB"/>
              </w:rPr>
              <w:t>Fallout of the collection of corporate tax</w:t>
            </w:r>
            <w:r w:rsidR="004F63BE" w:rsidRPr="00742B86">
              <w:rPr>
                <w:spacing w:val="-4"/>
                <w:lang w:val="en-GB"/>
              </w:rPr>
              <w:t xml:space="preserve"> left the largest mark on the last year´s decrease of the total SB revenues. </w:t>
            </w:r>
            <w:r w:rsidRPr="00742B86">
              <w:rPr>
                <w:spacing w:val="-4"/>
                <w:lang w:val="en-GB"/>
              </w:rPr>
              <w:t xml:space="preserve">It was lower by </w:t>
            </w:r>
            <w:r w:rsidR="00267C51" w:rsidRPr="00742B86">
              <w:rPr>
                <w:spacing w:val="-4"/>
                <w:lang w:val="en-GB"/>
              </w:rPr>
              <w:t>15</w:t>
            </w:r>
            <w:r w:rsidRPr="00742B86">
              <w:rPr>
                <w:spacing w:val="-4"/>
                <w:lang w:val="en-GB"/>
              </w:rPr>
              <w:t>.</w:t>
            </w:r>
            <w:r w:rsidR="00267C51" w:rsidRPr="00742B86">
              <w:rPr>
                <w:spacing w:val="-4"/>
                <w:lang w:val="en-GB"/>
              </w:rPr>
              <w:t>1</w:t>
            </w:r>
            <w:r w:rsidRPr="00742B86">
              <w:rPr>
                <w:spacing w:val="-4"/>
                <w:lang w:val="en-GB"/>
              </w:rPr>
              <w:t xml:space="preserve"> CZK </w:t>
            </w:r>
            <w:proofErr w:type="spellStart"/>
            <w:r w:rsidRPr="00742B86">
              <w:rPr>
                <w:spacing w:val="-4"/>
                <w:lang w:val="en-GB"/>
              </w:rPr>
              <w:t>bn</w:t>
            </w:r>
            <w:proofErr w:type="spellEnd"/>
            <w:r w:rsidRPr="00742B86">
              <w:rPr>
                <w:spacing w:val="-4"/>
                <w:lang w:val="en-GB"/>
              </w:rPr>
              <w:t xml:space="preserve"> </w:t>
            </w:r>
            <w:r w:rsidR="00267C51" w:rsidRPr="00742B86">
              <w:rPr>
                <w:spacing w:val="-4"/>
                <w:lang w:val="en-GB"/>
              </w:rPr>
              <w:t>(</w:t>
            </w:r>
            <w:r w:rsidR="00E357BF">
              <w:rPr>
                <w:spacing w:val="-4"/>
                <w:lang w:val="en-GB"/>
              </w:rPr>
              <w:t xml:space="preserve">contrary, </w:t>
            </w:r>
            <w:r w:rsidRPr="00742B86">
              <w:rPr>
                <w:spacing w:val="-4"/>
                <w:lang w:val="en-GB"/>
              </w:rPr>
              <w:t xml:space="preserve">it grew by </w:t>
            </w:r>
            <w:r w:rsidR="00267C51" w:rsidRPr="00742B86">
              <w:rPr>
                <w:spacing w:val="-4"/>
                <w:lang w:val="en-GB"/>
              </w:rPr>
              <w:t>6</w:t>
            </w:r>
            <w:r w:rsidRPr="00742B86">
              <w:rPr>
                <w:spacing w:val="-4"/>
                <w:lang w:val="en-GB"/>
              </w:rPr>
              <w:t>.</w:t>
            </w:r>
            <w:r w:rsidR="00267C51" w:rsidRPr="00742B86">
              <w:rPr>
                <w:spacing w:val="-4"/>
                <w:lang w:val="en-GB"/>
              </w:rPr>
              <w:t>0</w:t>
            </w:r>
            <w:r w:rsidRPr="00742B86">
              <w:rPr>
                <w:spacing w:val="-4"/>
                <w:lang w:val="en-GB"/>
              </w:rPr>
              <w:t xml:space="preserve"> </w:t>
            </w:r>
            <w:proofErr w:type="spellStart"/>
            <w:r w:rsidRPr="00742B86">
              <w:rPr>
                <w:spacing w:val="-4"/>
                <w:lang w:val="en-GB"/>
              </w:rPr>
              <w:t>bn</w:t>
            </w:r>
            <w:proofErr w:type="spellEnd"/>
            <w:r w:rsidRPr="00742B86">
              <w:rPr>
                <w:spacing w:val="-4"/>
                <w:lang w:val="en-GB"/>
              </w:rPr>
              <w:t xml:space="preserve"> for year 2019</w:t>
            </w:r>
            <w:r w:rsidR="00267C51" w:rsidRPr="00742B86">
              <w:rPr>
                <w:spacing w:val="-4"/>
                <w:lang w:val="en-GB"/>
              </w:rPr>
              <w:t xml:space="preserve">). </w:t>
            </w:r>
            <w:r w:rsidR="008A2EB6" w:rsidRPr="00742B86">
              <w:rPr>
                <w:spacing w:val="-4"/>
                <w:lang w:val="en-GB"/>
              </w:rPr>
              <w:t xml:space="preserve">Waiver of the July tax advance payment as well as the option of individual </w:t>
            </w:r>
            <w:r w:rsidR="007313AE" w:rsidRPr="00742B86">
              <w:rPr>
                <w:spacing w:val="-4"/>
                <w:lang w:val="en-GB"/>
              </w:rPr>
              <w:t xml:space="preserve">setting of tax advance payment mainly had an impact </w:t>
            </w:r>
            <w:r w:rsidR="00267C51" w:rsidRPr="00742B86">
              <w:rPr>
                <w:spacing w:val="-4"/>
                <w:lang w:val="en-GB"/>
              </w:rPr>
              <w:t>(</w:t>
            </w:r>
            <w:r w:rsidR="004F63BE" w:rsidRPr="00742B86">
              <w:rPr>
                <w:spacing w:val="-4"/>
                <w:lang w:val="en-GB"/>
              </w:rPr>
              <w:t xml:space="preserve">total effect </w:t>
            </w:r>
            <w:r w:rsidR="00267C51" w:rsidRPr="00742B86">
              <w:rPr>
                <w:spacing w:val="-4"/>
                <w:lang w:val="en-GB"/>
              </w:rPr>
              <w:t>–20</w:t>
            </w:r>
            <w:r w:rsidR="004F63BE" w:rsidRPr="00742B86">
              <w:rPr>
                <w:spacing w:val="-4"/>
                <w:lang w:val="en-GB"/>
              </w:rPr>
              <w:t>.</w:t>
            </w:r>
            <w:r w:rsidR="00267C51" w:rsidRPr="00742B86">
              <w:rPr>
                <w:spacing w:val="-4"/>
                <w:lang w:val="en-GB"/>
              </w:rPr>
              <w:t>3 </w:t>
            </w:r>
            <w:proofErr w:type="spellStart"/>
            <w:r w:rsidR="004F63BE" w:rsidRPr="00742B86">
              <w:rPr>
                <w:spacing w:val="-4"/>
                <w:lang w:val="en-GB"/>
              </w:rPr>
              <w:t>bn</w:t>
            </w:r>
            <w:proofErr w:type="spellEnd"/>
            <w:r w:rsidR="00267C51" w:rsidRPr="00742B86">
              <w:rPr>
                <w:spacing w:val="-4"/>
                <w:lang w:val="en-GB"/>
              </w:rPr>
              <w:t xml:space="preserve">). </w:t>
            </w:r>
            <w:r w:rsidR="004F63BE" w:rsidRPr="00742B86">
              <w:rPr>
                <w:spacing w:val="-4"/>
                <w:lang w:val="en-GB"/>
              </w:rPr>
              <w:t>State-wide</w:t>
            </w:r>
            <w:r w:rsidR="00107E91" w:rsidRPr="00742B86">
              <w:rPr>
                <w:spacing w:val="-4"/>
                <w:lang w:val="en-GB"/>
              </w:rPr>
              <w:t xml:space="preserve"> collection of the corporate tax decreased by </w:t>
            </w:r>
            <w:r w:rsidR="00267C51" w:rsidRPr="00742B86">
              <w:rPr>
                <w:spacing w:val="-4"/>
                <w:lang w:val="en-GB"/>
              </w:rPr>
              <w:t>12</w:t>
            </w:r>
            <w:r w:rsidR="00107E91" w:rsidRPr="00742B86">
              <w:rPr>
                <w:spacing w:val="-4"/>
                <w:lang w:val="en-GB"/>
              </w:rPr>
              <w:t>.</w:t>
            </w:r>
            <w:r w:rsidR="00267C51" w:rsidRPr="00742B86">
              <w:rPr>
                <w:spacing w:val="-4"/>
                <w:lang w:val="en-GB"/>
              </w:rPr>
              <w:t>2%</w:t>
            </w:r>
            <w:r w:rsidR="00107E91" w:rsidRPr="00742B86">
              <w:rPr>
                <w:spacing w:val="-4"/>
                <w:lang w:val="en-GB"/>
              </w:rPr>
              <w:t xml:space="preserve"> year-on-year</w:t>
            </w:r>
            <w:r w:rsidR="00267C51" w:rsidRPr="00742B86">
              <w:rPr>
                <w:spacing w:val="-4"/>
                <w:lang w:val="en-GB"/>
              </w:rPr>
              <w:t>,</w:t>
            </w:r>
            <w:r w:rsidR="00107E91" w:rsidRPr="00742B86">
              <w:rPr>
                <w:spacing w:val="-4"/>
                <w:lang w:val="en-GB"/>
              </w:rPr>
              <w:t xml:space="preserve"> that is more than in year </w:t>
            </w:r>
            <w:r w:rsidR="00267C51" w:rsidRPr="00742B86">
              <w:rPr>
                <w:spacing w:val="-4"/>
                <w:lang w:val="en-GB"/>
              </w:rPr>
              <w:t>2013 (–5</w:t>
            </w:r>
            <w:r w:rsidR="00107E91" w:rsidRPr="00742B86">
              <w:rPr>
                <w:spacing w:val="-4"/>
                <w:lang w:val="en-GB"/>
              </w:rPr>
              <w:t>.</w:t>
            </w:r>
            <w:r w:rsidR="00267C51" w:rsidRPr="00742B86">
              <w:rPr>
                <w:spacing w:val="-4"/>
                <w:lang w:val="en-GB"/>
              </w:rPr>
              <w:t>7%),</w:t>
            </w:r>
            <w:r w:rsidR="00107E91" w:rsidRPr="00742B86">
              <w:rPr>
                <w:spacing w:val="-4"/>
                <w:lang w:val="en-GB"/>
              </w:rPr>
              <w:t xml:space="preserve"> but at the same time much less than</w:t>
            </w:r>
            <w:r w:rsidR="00106EF4" w:rsidRPr="00742B86">
              <w:rPr>
                <w:spacing w:val="-4"/>
                <w:lang w:val="en-GB"/>
              </w:rPr>
              <w:t xml:space="preserve"> in</w:t>
            </w:r>
            <w:r w:rsidR="00107E91" w:rsidRPr="00742B86">
              <w:rPr>
                <w:spacing w:val="-4"/>
                <w:lang w:val="en-GB"/>
              </w:rPr>
              <w:t xml:space="preserve"> the crisis year </w:t>
            </w:r>
            <w:r w:rsidR="00267C51" w:rsidRPr="00742B86">
              <w:rPr>
                <w:spacing w:val="-4"/>
                <w:lang w:val="en-GB"/>
              </w:rPr>
              <w:t>2009 (–34</w:t>
            </w:r>
            <w:r w:rsidR="00107E91" w:rsidRPr="00742B86">
              <w:rPr>
                <w:spacing w:val="-4"/>
                <w:lang w:val="en-GB"/>
              </w:rPr>
              <w:t>.</w:t>
            </w:r>
            <w:r w:rsidR="00267C51" w:rsidRPr="00742B86">
              <w:rPr>
                <w:spacing w:val="-4"/>
                <w:lang w:val="en-GB"/>
              </w:rPr>
              <w:t>5%).</w:t>
            </w:r>
            <w:r w:rsidR="00107E91" w:rsidRPr="00742B86">
              <w:rPr>
                <w:spacing w:val="-4"/>
                <w:lang w:val="en-GB"/>
              </w:rPr>
              <w:t xml:space="preserve"> Positive fact was, that the collection of tax grew year-on-year in Q</w:t>
            </w:r>
            <w:r w:rsidR="00267C51" w:rsidRPr="00742B86">
              <w:rPr>
                <w:spacing w:val="-4"/>
                <w:lang w:val="en-GB"/>
              </w:rPr>
              <w:t>4</w:t>
            </w:r>
            <w:r w:rsidR="00107E91" w:rsidRPr="00742B86">
              <w:rPr>
                <w:spacing w:val="-4"/>
                <w:lang w:val="en-GB"/>
              </w:rPr>
              <w:t xml:space="preserve"> </w:t>
            </w:r>
            <w:r w:rsidR="00267C51" w:rsidRPr="00742B86">
              <w:rPr>
                <w:spacing w:val="-4"/>
                <w:lang w:val="en-GB"/>
              </w:rPr>
              <w:t>2020</w:t>
            </w:r>
            <w:r w:rsidR="00107E91" w:rsidRPr="00742B86">
              <w:rPr>
                <w:spacing w:val="-4"/>
                <w:lang w:val="en-GB"/>
              </w:rPr>
              <w:t xml:space="preserve"> itself </w:t>
            </w:r>
            <w:r w:rsidR="00267C51" w:rsidRPr="00742B86">
              <w:rPr>
                <w:spacing w:val="-4"/>
                <w:lang w:val="en-GB"/>
              </w:rPr>
              <w:t xml:space="preserve">(+16%). </w:t>
            </w:r>
            <w:r w:rsidR="004F63BE" w:rsidRPr="00742B86">
              <w:rPr>
                <w:spacing w:val="-4"/>
                <w:lang w:val="en-GB"/>
              </w:rPr>
              <w:t xml:space="preserve">It </w:t>
            </w:r>
            <w:proofErr w:type="gramStart"/>
            <w:r w:rsidR="004F63BE" w:rsidRPr="00742B86">
              <w:rPr>
                <w:spacing w:val="-4"/>
                <w:lang w:val="en-GB"/>
              </w:rPr>
              <w:t>could have been linked</w:t>
            </w:r>
            <w:proofErr w:type="gramEnd"/>
            <w:r w:rsidR="004F63BE" w:rsidRPr="00742B86">
              <w:rPr>
                <w:spacing w:val="-4"/>
                <w:lang w:val="en-GB"/>
              </w:rPr>
              <w:t xml:space="preserve"> to the recovery of industry. </w:t>
            </w:r>
            <w:r w:rsidR="00E357BF">
              <w:rPr>
                <w:spacing w:val="-4"/>
                <w:lang w:val="en-GB"/>
              </w:rPr>
              <w:t>However, a</w:t>
            </w:r>
            <w:r w:rsidR="004F63BE" w:rsidRPr="00742B86">
              <w:rPr>
                <w:spacing w:val="-4"/>
                <w:lang w:val="en-GB"/>
              </w:rPr>
              <w:t>dverse results of the budgets of businesses in the branches of servi</w:t>
            </w:r>
            <w:r w:rsidR="00E357BF">
              <w:rPr>
                <w:spacing w:val="-4"/>
                <w:lang w:val="en-GB"/>
              </w:rPr>
              <w:t>ces the most hit by the anti-</w:t>
            </w:r>
            <w:r w:rsidR="004F63BE" w:rsidRPr="00742B86">
              <w:rPr>
                <w:spacing w:val="-4"/>
                <w:lang w:val="en-GB"/>
              </w:rPr>
              <w:t xml:space="preserve">pandemic restrictions </w:t>
            </w:r>
            <w:proofErr w:type="gramStart"/>
            <w:r w:rsidR="004F63BE" w:rsidRPr="00742B86">
              <w:rPr>
                <w:spacing w:val="-4"/>
                <w:lang w:val="en-GB"/>
              </w:rPr>
              <w:t>have not been fully reflected</w:t>
            </w:r>
            <w:proofErr w:type="gramEnd"/>
            <w:r w:rsidR="004F63BE" w:rsidRPr="00742B86">
              <w:rPr>
                <w:spacing w:val="-4"/>
                <w:lang w:val="en-GB"/>
              </w:rPr>
              <w:t xml:space="preserve"> by far in the corporate tax collection</w:t>
            </w:r>
            <w:r w:rsidR="00267C51" w:rsidRPr="00742B86">
              <w:rPr>
                <w:rStyle w:val="Znakapoznpodarou"/>
                <w:spacing w:val="-4"/>
                <w:lang w:val="en-GB"/>
              </w:rPr>
              <w:footnoteReference w:id="72"/>
            </w:r>
            <w:r w:rsidR="00267C51" w:rsidRPr="00742B86">
              <w:rPr>
                <w:spacing w:val="-4"/>
                <w:lang w:val="en-GB"/>
              </w:rPr>
              <w:t>.</w:t>
            </w:r>
          </w:p>
        </w:tc>
      </w:tr>
      <w:tr w:rsidR="00267C51" w:rsidRPr="00742B86" w:rsidTr="00D70BBF">
        <w:trPr>
          <w:trHeight w:val="145"/>
        </w:trPr>
        <w:tc>
          <w:tcPr>
            <w:tcW w:w="1583" w:type="dxa"/>
            <w:shd w:val="clear" w:color="auto" w:fill="auto"/>
            <w:tcMar>
              <w:left w:w="0" w:type="dxa"/>
            </w:tcMar>
          </w:tcPr>
          <w:p w:rsidR="00267C51" w:rsidRPr="00742B86" w:rsidRDefault="009C55E4" w:rsidP="00F92102">
            <w:pPr>
              <w:pStyle w:val="Marginlie"/>
              <w:rPr>
                <w:lang w:val="en-GB"/>
              </w:rPr>
            </w:pPr>
            <w:r w:rsidRPr="00742B86">
              <w:rPr>
                <w:lang w:val="en-GB"/>
              </w:rPr>
              <w:t>Collection of income tax</w:t>
            </w:r>
            <w:r w:rsidR="00F92102">
              <w:rPr>
                <w:lang w:val="en-GB"/>
              </w:rPr>
              <w:t xml:space="preserve"> of natural persons was mainly </w:t>
            </w:r>
            <w:r w:rsidRPr="00742B86">
              <w:rPr>
                <w:lang w:val="en-GB"/>
              </w:rPr>
              <w:t>affected by the pai</w:t>
            </w:r>
            <w:r w:rsidR="00F92102">
              <w:rPr>
                <w:lang w:val="en-GB"/>
              </w:rPr>
              <w:t xml:space="preserve">d out compensation bonuses. </w:t>
            </w:r>
            <w:r w:rsidRPr="00742B86">
              <w:rPr>
                <w:lang w:val="en-GB"/>
              </w:rPr>
              <w:t>Tax collection mildly grew in H</w:t>
            </w:r>
            <w:r w:rsidR="00267C51" w:rsidRPr="00742B86">
              <w:rPr>
                <w:lang w:val="en-GB"/>
              </w:rPr>
              <w:t>2</w:t>
            </w:r>
            <w:r w:rsidRPr="00742B86">
              <w:rPr>
                <w:lang w:val="en-GB"/>
              </w:rPr>
              <w:t xml:space="preserve"> of the year. </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3F55CF" w:rsidP="00267C51">
            <w:pPr>
              <w:rPr>
                <w:spacing w:val="-4"/>
                <w:lang w:val="en-GB"/>
              </w:rPr>
            </w:pPr>
            <w:r w:rsidRPr="00742B86">
              <w:rPr>
                <w:spacing w:val="-4"/>
                <w:lang w:val="en-GB"/>
              </w:rPr>
              <w:t xml:space="preserve">SB gained by 5.3% (resp. 7.5 CZK </w:t>
            </w:r>
            <w:proofErr w:type="spellStart"/>
            <w:r w:rsidRPr="00742B86">
              <w:rPr>
                <w:spacing w:val="-4"/>
                <w:lang w:val="en-GB"/>
              </w:rPr>
              <w:t>bn</w:t>
            </w:r>
            <w:proofErr w:type="spellEnd"/>
            <w:r w:rsidRPr="00742B86">
              <w:rPr>
                <w:spacing w:val="-4"/>
                <w:lang w:val="en-GB"/>
              </w:rPr>
              <w:t xml:space="preserve">) less year-on-year on the income tax of natural persons (NO) from the taxpayers. </w:t>
            </w:r>
            <w:proofErr w:type="gramStart"/>
            <w:r w:rsidR="006F1400" w:rsidRPr="00742B86">
              <w:rPr>
                <w:spacing w:val="-4"/>
                <w:lang w:val="en-GB"/>
              </w:rPr>
              <w:t>State-wide</w:t>
            </w:r>
            <w:proofErr w:type="gramEnd"/>
            <w:r w:rsidR="006F1400" w:rsidRPr="00742B86">
              <w:rPr>
                <w:spacing w:val="-4"/>
                <w:lang w:val="en-GB"/>
              </w:rPr>
              <w:t xml:space="preserve"> collection of this tax was decreasing by a similar rate of growth and thus fell for the first time in the last eleven years</w:t>
            </w:r>
            <w:r w:rsidR="00267C51" w:rsidRPr="00742B86">
              <w:rPr>
                <w:rStyle w:val="Znakapoznpodarou"/>
                <w:spacing w:val="-4"/>
                <w:lang w:val="en-GB"/>
              </w:rPr>
              <w:footnoteReference w:id="73"/>
            </w:r>
            <w:r w:rsidR="00267C51" w:rsidRPr="00742B86">
              <w:rPr>
                <w:spacing w:val="-4"/>
                <w:lang w:val="en-GB"/>
              </w:rPr>
              <w:t xml:space="preserve">. </w:t>
            </w:r>
            <w:r w:rsidR="000A0AA7" w:rsidRPr="00742B86">
              <w:rPr>
                <w:spacing w:val="-4"/>
                <w:lang w:val="en-GB"/>
              </w:rPr>
              <w:t xml:space="preserve">Direct support in the form of paid out compensation bonuses, especially to self-employed persons (in the total amount of </w:t>
            </w:r>
            <w:r w:rsidR="00267C51" w:rsidRPr="00742B86">
              <w:rPr>
                <w:spacing w:val="-4"/>
                <w:lang w:val="en-GB"/>
              </w:rPr>
              <w:t>16</w:t>
            </w:r>
            <w:r w:rsidR="000A0AA7" w:rsidRPr="00742B86">
              <w:rPr>
                <w:spacing w:val="-4"/>
                <w:lang w:val="en-GB"/>
              </w:rPr>
              <w:t>.</w:t>
            </w:r>
            <w:r w:rsidR="00267C51" w:rsidRPr="00742B86">
              <w:rPr>
                <w:spacing w:val="-4"/>
                <w:lang w:val="en-GB"/>
              </w:rPr>
              <w:t>1</w:t>
            </w:r>
            <w:r w:rsidR="000A0AA7" w:rsidRPr="00742B86">
              <w:rPr>
                <w:spacing w:val="-4"/>
                <w:lang w:val="en-GB"/>
              </w:rPr>
              <w:t xml:space="preserve"> CZK </w:t>
            </w:r>
            <w:proofErr w:type="spellStart"/>
            <w:r w:rsidR="000A0AA7" w:rsidRPr="00742B86">
              <w:rPr>
                <w:spacing w:val="-4"/>
                <w:lang w:val="en-GB"/>
              </w:rPr>
              <w:t>bn</w:t>
            </w:r>
            <w:proofErr w:type="spellEnd"/>
            <w:r w:rsidR="00267C51" w:rsidRPr="00742B86">
              <w:rPr>
                <w:spacing w:val="-4"/>
                <w:lang w:val="en-GB"/>
              </w:rPr>
              <w:t>)</w:t>
            </w:r>
            <w:r w:rsidR="006F1400" w:rsidRPr="00742B86">
              <w:rPr>
                <w:spacing w:val="-4"/>
                <w:lang w:val="en-GB"/>
              </w:rPr>
              <w:t xml:space="preserve"> played a key </w:t>
            </w:r>
            <w:r w:rsidR="00F92102">
              <w:rPr>
                <w:spacing w:val="-4"/>
                <w:lang w:val="en-GB"/>
              </w:rPr>
              <w:t xml:space="preserve">negative </w:t>
            </w:r>
            <w:r w:rsidR="006F1400" w:rsidRPr="00742B86">
              <w:rPr>
                <w:spacing w:val="-4"/>
                <w:lang w:val="en-GB"/>
              </w:rPr>
              <w:t>role here</w:t>
            </w:r>
            <w:r w:rsidR="00F92102">
              <w:rPr>
                <w:spacing w:val="-4"/>
                <w:lang w:val="en-GB"/>
              </w:rPr>
              <w:t>. H</w:t>
            </w:r>
            <w:r w:rsidR="006F1400" w:rsidRPr="00742B86">
              <w:rPr>
                <w:spacing w:val="-4"/>
                <w:lang w:val="en-GB"/>
              </w:rPr>
              <w:t>igher number of p</w:t>
            </w:r>
            <w:r w:rsidR="000A0AA7" w:rsidRPr="00742B86">
              <w:rPr>
                <w:spacing w:val="-4"/>
                <w:lang w:val="en-GB"/>
              </w:rPr>
              <w:t>e</w:t>
            </w:r>
            <w:r w:rsidR="006F1400" w:rsidRPr="00742B86">
              <w:rPr>
                <w:spacing w:val="-4"/>
                <w:lang w:val="en-GB"/>
              </w:rPr>
              <w:t xml:space="preserve">rsons caring for a child in the period of closed schools, reduced </w:t>
            </w:r>
            <w:r w:rsidR="00F92102">
              <w:rPr>
                <w:spacing w:val="-4"/>
                <w:lang w:val="en-GB"/>
              </w:rPr>
              <w:t xml:space="preserve">total employment </w:t>
            </w:r>
            <w:r w:rsidR="006F1400" w:rsidRPr="00742B86">
              <w:rPr>
                <w:spacing w:val="-4"/>
                <w:lang w:val="en-GB"/>
              </w:rPr>
              <w:t>as well as the lower dynamics of the average wage growth in the economy</w:t>
            </w:r>
            <w:r w:rsidR="004D0EDF" w:rsidRPr="00742B86">
              <w:rPr>
                <w:spacing w:val="-4"/>
                <w:lang w:val="en-GB"/>
              </w:rPr>
              <w:t xml:space="preserve"> also had an effect</w:t>
            </w:r>
            <w:r w:rsidR="006F1400" w:rsidRPr="00742B86">
              <w:rPr>
                <w:spacing w:val="-4"/>
                <w:lang w:val="en-GB"/>
              </w:rPr>
              <w:t xml:space="preserve">. Annual collection </w:t>
            </w:r>
            <w:proofErr w:type="gramStart"/>
            <w:r w:rsidR="006F1400" w:rsidRPr="00742B86">
              <w:rPr>
                <w:spacing w:val="-4"/>
                <w:lang w:val="en-GB"/>
              </w:rPr>
              <w:t>was majorly affected</w:t>
            </w:r>
            <w:proofErr w:type="gramEnd"/>
            <w:r w:rsidR="006F1400" w:rsidRPr="00742B86">
              <w:rPr>
                <w:spacing w:val="-4"/>
                <w:lang w:val="en-GB"/>
              </w:rPr>
              <w:t xml:space="preserve"> by the slump in Q</w:t>
            </w:r>
            <w:r w:rsidR="00267C51" w:rsidRPr="00742B86">
              <w:rPr>
                <w:spacing w:val="-4"/>
                <w:lang w:val="en-GB"/>
              </w:rPr>
              <w:t>2</w:t>
            </w:r>
            <w:r w:rsidR="006F1400" w:rsidRPr="00742B86">
              <w:rPr>
                <w:spacing w:val="-4"/>
                <w:lang w:val="en-GB"/>
              </w:rPr>
              <w:t xml:space="preserve"> </w:t>
            </w:r>
            <w:r w:rsidR="00267C51" w:rsidRPr="00742B86">
              <w:rPr>
                <w:spacing w:val="-4"/>
                <w:lang w:val="en-GB"/>
              </w:rPr>
              <w:t xml:space="preserve">2020, </w:t>
            </w:r>
            <w:r w:rsidR="006F1400" w:rsidRPr="00742B86">
              <w:rPr>
                <w:spacing w:val="-4"/>
                <w:lang w:val="en-GB"/>
              </w:rPr>
              <w:t xml:space="preserve">the collection slightly increased year-on-year in the following two quarters </w:t>
            </w:r>
            <w:r w:rsidR="00267C51" w:rsidRPr="00742B86">
              <w:rPr>
                <w:spacing w:val="-4"/>
                <w:lang w:val="en-GB"/>
              </w:rPr>
              <w:t>(+4</w:t>
            </w:r>
            <w:r w:rsidR="004D0EDF" w:rsidRPr="00742B86">
              <w:rPr>
                <w:spacing w:val="-4"/>
                <w:lang w:val="en-GB"/>
              </w:rPr>
              <w:t>%</w:t>
            </w:r>
            <w:r w:rsidR="00267C51" w:rsidRPr="00742B86">
              <w:rPr>
                <w:spacing w:val="-4"/>
                <w:lang w:val="en-GB"/>
              </w:rPr>
              <w:t xml:space="preserve">). </w:t>
            </w:r>
            <w:r w:rsidR="006F1400" w:rsidRPr="00742B86">
              <w:rPr>
                <w:spacing w:val="-4"/>
                <w:lang w:val="en-GB"/>
              </w:rPr>
              <w:t>SB revenues from other taxes from NO reduced by one eight</w:t>
            </w:r>
            <w:r w:rsidR="004D0EDF" w:rsidRPr="00742B86">
              <w:rPr>
                <w:spacing w:val="-4"/>
                <w:lang w:val="en-GB"/>
              </w:rPr>
              <w:t>h</w:t>
            </w:r>
            <w:r w:rsidR="006F1400" w:rsidRPr="00742B86">
              <w:rPr>
                <w:spacing w:val="-4"/>
                <w:lang w:val="en-GB"/>
              </w:rPr>
              <w:t xml:space="preserve"> in year </w:t>
            </w:r>
            <w:r w:rsidR="00267C51" w:rsidRPr="00742B86">
              <w:rPr>
                <w:spacing w:val="-4"/>
                <w:lang w:val="en-GB"/>
              </w:rPr>
              <w:t>2020</w:t>
            </w:r>
            <w:r w:rsidR="006F1400" w:rsidRPr="00742B86">
              <w:rPr>
                <w:spacing w:val="-4"/>
                <w:lang w:val="en-GB"/>
              </w:rPr>
              <w:t xml:space="preserve">. </w:t>
            </w:r>
            <w:r w:rsidR="00F07BC3" w:rsidRPr="00742B86">
              <w:rPr>
                <w:spacing w:val="-4"/>
                <w:lang w:val="en-GB"/>
              </w:rPr>
              <w:t xml:space="preserve">Collection of taxes from tax returns (paid by taxpayers) was the lowest in the last four years </w:t>
            </w:r>
            <w:r w:rsidR="00267C51" w:rsidRPr="00742B86">
              <w:rPr>
                <w:spacing w:val="-4"/>
                <w:lang w:val="en-GB"/>
              </w:rPr>
              <w:t>(4</w:t>
            </w:r>
            <w:r w:rsidR="00F07BC3" w:rsidRPr="00742B86">
              <w:rPr>
                <w:spacing w:val="-4"/>
                <w:lang w:val="en-GB"/>
              </w:rPr>
              <w:t>.</w:t>
            </w:r>
            <w:r w:rsidR="00267C51" w:rsidRPr="00742B86">
              <w:rPr>
                <w:spacing w:val="-4"/>
                <w:lang w:val="en-GB"/>
              </w:rPr>
              <w:t>6</w:t>
            </w:r>
            <w:r w:rsidR="00F07BC3" w:rsidRPr="00742B86">
              <w:rPr>
                <w:spacing w:val="-4"/>
                <w:lang w:val="en-GB"/>
              </w:rPr>
              <w:t xml:space="preserve"> CZK </w:t>
            </w:r>
            <w:proofErr w:type="spellStart"/>
            <w:r w:rsidR="00F07BC3" w:rsidRPr="00742B86">
              <w:rPr>
                <w:spacing w:val="-4"/>
                <w:lang w:val="en-GB"/>
              </w:rPr>
              <w:t>bn</w:t>
            </w:r>
            <w:proofErr w:type="spellEnd"/>
            <w:r w:rsidR="00267C51" w:rsidRPr="00742B86">
              <w:rPr>
                <w:spacing w:val="-4"/>
                <w:lang w:val="en-GB"/>
              </w:rPr>
              <w:t>),</w:t>
            </w:r>
            <w:r w:rsidR="00F07BC3" w:rsidRPr="00742B86">
              <w:rPr>
                <w:spacing w:val="-4"/>
                <w:lang w:val="en-GB"/>
              </w:rPr>
              <w:t xml:space="preserve"> mainly due to waiving part of advance tax payments (alternatively their lowering) </w:t>
            </w:r>
            <w:proofErr w:type="gramStart"/>
            <w:r w:rsidR="00F07BC3" w:rsidRPr="00742B86">
              <w:rPr>
                <w:spacing w:val="-4"/>
                <w:lang w:val="en-GB"/>
              </w:rPr>
              <w:t>and also</w:t>
            </w:r>
            <w:proofErr w:type="gramEnd"/>
            <w:r w:rsidR="00F07BC3" w:rsidRPr="00742B86">
              <w:rPr>
                <w:spacing w:val="-4"/>
                <w:lang w:val="en-GB"/>
              </w:rPr>
              <w:t xml:space="preserve"> by the repeated increase of outlay </w:t>
            </w:r>
            <w:r w:rsidR="00F62720" w:rsidRPr="00742B86">
              <w:rPr>
                <w:spacing w:val="-4"/>
                <w:lang w:val="en-GB"/>
              </w:rPr>
              <w:t xml:space="preserve">flat rates. On the contrary, the SB acquired by 3% </w:t>
            </w:r>
            <w:r w:rsidR="00F62720" w:rsidRPr="00742B86">
              <w:rPr>
                <w:spacing w:val="-4"/>
                <w:lang w:val="en-GB"/>
              </w:rPr>
              <w:lastRenderedPageBreak/>
              <w:t>more year-on-year</w:t>
            </w:r>
            <w:r w:rsidR="00267C51" w:rsidRPr="00742B86">
              <w:rPr>
                <w:rStyle w:val="Znakapoznpodarou"/>
                <w:spacing w:val="-4"/>
                <w:lang w:val="en-GB"/>
              </w:rPr>
              <w:footnoteReference w:id="74"/>
            </w:r>
            <w:r w:rsidR="00F62720" w:rsidRPr="00742B86">
              <w:rPr>
                <w:spacing w:val="-4"/>
                <w:lang w:val="en-GB"/>
              </w:rPr>
              <w:t xml:space="preserve"> on the revenue tax of NO</w:t>
            </w:r>
            <w:r w:rsidR="00F92102">
              <w:rPr>
                <w:spacing w:val="-4"/>
                <w:lang w:val="en-GB"/>
              </w:rPr>
              <w:t xml:space="preserve"> (</w:t>
            </w:r>
            <w:r w:rsidR="00F92102" w:rsidRPr="00F92102">
              <w:rPr>
                <w:spacing w:val="-4"/>
                <w:lang w:val="en-GB"/>
              </w:rPr>
              <w:t>withholding tax</w:t>
            </w:r>
            <w:r w:rsidR="00F92102">
              <w:rPr>
                <w:spacing w:val="-4"/>
                <w:lang w:val="en-GB"/>
              </w:rPr>
              <w:t>)</w:t>
            </w:r>
            <w:r w:rsidR="00267C51" w:rsidRPr="00742B86">
              <w:rPr>
                <w:spacing w:val="-4"/>
                <w:lang w:val="en-GB"/>
              </w:rPr>
              <w:t xml:space="preserve">. </w:t>
            </w:r>
            <w:r w:rsidR="002A24F6" w:rsidRPr="00742B86">
              <w:rPr>
                <w:spacing w:val="-4"/>
                <w:lang w:val="en-GB"/>
              </w:rPr>
              <w:t>Numbe</w:t>
            </w:r>
            <w:r w:rsidR="00247447" w:rsidRPr="00742B86">
              <w:rPr>
                <w:spacing w:val="-4"/>
                <w:lang w:val="en-GB"/>
              </w:rPr>
              <w:t>r</w:t>
            </w:r>
            <w:r w:rsidR="002A24F6" w:rsidRPr="00742B86">
              <w:rPr>
                <w:spacing w:val="-4"/>
                <w:lang w:val="en-GB"/>
              </w:rPr>
              <w:t xml:space="preserve"> of part time jobs (contracts for work</w:t>
            </w:r>
            <w:r w:rsidR="00267C51" w:rsidRPr="00742B86">
              <w:rPr>
                <w:spacing w:val="-4"/>
                <w:lang w:val="en-GB"/>
              </w:rPr>
              <w:t xml:space="preserve">) </w:t>
            </w:r>
            <w:proofErr w:type="gramStart"/>
            <w:r w:rsidR="00267C51" w:rsidRPr="00742B86">
              <w:rPr>
                <w:spacing w:val="-4"/>
                <w:lang w:val="en-GB"/>
              </w:rPr>
              <w:t>a</w:t>
            </w:r>
            <w:r w:rsidR="002A24F6" w:rsidRPr="00742B86">
              <w:rPr>
                <w:spacing w:val="-4"/>
                <w:lang w:val="en-GB"/>
              </w:rPr>
              <w:t>nd also</w:t>
            </w:r>
            <w:proofErr w:type="gramEnd"/>
            <w:r w:rsidR="002A24F6" w:rsidRPr="00742B86">
              <w:rPr>
                <w:spacing w:val="-4"/>
                <w:lang w:val="en-GB"/>
              </w:rPr>
              <w:t xml:space="preserve"> the total amount of household savings and change of client interest rates had effect on the size of this tax. </w:t>
            </w:r>
          </w:p>
        </w:tc>
      </w:tr>
      <w:tr w:rsidR="00267C51" w:rsidRPr="00742B86" w:rsidTr="00D70BBF">
        <w:trPr>
          <w:trHeight w:val="145"/>
        </w:trPr>
        <w:tc>
          <w:tcPr>
            <w:tcW w:w="1583" w:type="dxa"/>
            <w:shd w:val="clear" w:color="auto" w:fill="auto"/>
            <w:tcMar>
              <w:left w:w="0" w:type="dxa"/>
            </w:tcMar>
          </w:tcPr>
          <w:p w:rsidR="00267C51" w:rsidRPr="00742B86" w:rsidRDefault="001874AB" w:rsidP="00D932B8">
            <w:pPr>
              <w:pStyle w:val="Marginlie"/>
              <w:rPr>
                <w:lang w:val="en-GB"/>
              </w:rPr>
            </w:pPr>
            <w:proofErr w:type="gramStart"/>
            <w:r w:rsidRPr="00742B86">
              <w:rPr>
                <w:lang w:val="en-GB"/>
              </w:rPr>
              <w:lastRenderedPageBreak/>
              <w:t>State wide</w:t>
            </w:r>
            <w:proofErr w:type="gramEnd"/>
            <w:r w:rsidRPr="00742B86">
              <w:rPr>
                <w:lang w:val="en-GB"/>
              </w:rPr>
              <w:t xml:space="preserve"> collection of VAT mildly fell last year, for the first time since year </w:t>
            </w:r>
            <w:r w:rsidR="00267C51" w:rsidRPr="00742B86">
              <w:rPr>
                <w:lang w:val="en-GB"/>
              </w:rPr>
              <w:t>2009.</w:t>
            </w: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9C0B29">
            <w:pPr>
              <w:pStyle w:val="Marginlie"/>
              <w:rPr>
                <w:lang w:val="en-GB"/>
              </w:rPr>
            </w:pP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1874AB" w:rsidP="009C0B29">
            <w:pPr>
              <w:spacing w:after="200"/>
              <w:rPr>
                <w:spacing w:val="-5"/>
                <w:lang w:val="en-GB"/>
              </w:rPr>
            </w:pPr>
            <w:r w:rsidRPr="00742B86">
              <w:rPr>
                <w:spacing w:val="-5"/>
                <w:lang w:val="en-GB"/>
              </w:rPr>
              <w:t xml:space="preserve">Total SB </w:t>
            </w:r>
            <w:r w:rsidR="00257B79" w:rsidRPr="00742B86">
              <w:rPr>
                <w:spacing w:val="-5"/>
                <w:lang w:val="en-GB"/>
              </w:rPr>
              <w:t>revenues</w:t>
            </w:r>
            <w:r w:rsidRPr="00742B86">
              <w:rPr>
                <w:spacing w:val="-5"/>
                <w:lang w:val="en-GB"/>
              </w:rPr>
              <w:t xml:space="preserve"> </w:t>
            </w:r>
            <w:proofErr w:type="gramStart"/>
            <w:r w:rsidRPr="00742B86">
              <w:rPr>
                <w:spacing w:val="-5"/>
                <w:lang w:val="en-GB"/>
              </w:rPr>
              <w:t>were negatively affected</w:t>
            </w:r>
            <w:proofErr w:type="gramEnd"/>
            <w:r w:rsidRPr="00742B86">
              <w:rPr>
                <w:spacing w:val="-5"/>
                <w:lang w:val="en-GB"/>
              </w:rPr>
              <w:t xml:space="preserve"> also by the slump of </w:t>
            </w:r>
            <w:r w:rsidR="00742B86" w:rsidRPr="00742B86">
              <w:rPr>
                <w:spacing w:val="-5"/>
                <w:lang w:val="en-GB"/>
              </w:rPr>
              <w:t>the property</w:t>
            </w:r>
            <w:r w:rsidR="004C7ED1" w:rsidRPr="00742B86">
              <w:rPr>
                <w:spacing w:val="-5"/>
                <w:lang w:val="en-GB"/>
              </w:rPr>
              <w:t xml:space="preserve"> tax collection </w:t>
            </w:r>
            <w:r w:rsidR="00267C51" w:rsidRPr="00742B86">
              <w:rPr>
                <w:spacing w:val="-5"/>
                <w:lang w:val="en-GB"/>
              </w:rPr>
              <w:t>(</w:t>
            </w:r>
            <w:r w:rsidR="004C7ED1" w:rsidRPr="00742B86">
              <w:rPr>
                <w:spacing w:val="-5"/>
                <w:lang w:val="en-GB"/>
              </w:rPr>
              <w:t>due to the cancelling</w:t>
            </w:r>
            <w:r w:rsidR="00742B86">
              <w:rPr>
                <w:spacing w:val="-5"/>
                <w:lang w:val="en-GB"/>
              </w:rPr>
              <w:t xml:space="preserve"> of real estate transfer tax</w:t>
            </w:r>
            <w:r w:rsidR="004C7ED1" w:rsidRPr="00742B86">
              <w:rPr>
                <w:spacing w:val="-5"/>
                <w:lang w:val="en-GB"/>
              </w:rPr>
              <w:t xml:space="preserve"> with</w:t>
            </w:r>
            <w:r w:rsidR="00742B86">
              <w:rPr>
                <w:spacing w:val="-5"/>
                <w:lang w:val="en-GB"/>
              </w:rPr>
              <w:t xml:space="preserve"> the</w:t>
            </w:r>
            <w:r w:rsidR="004C7ED1" w:rsidRPr="00742B86">
              <w:rPr>
                <w:spacing w:val="-5"/>
                <w:lang w:val="en-GB"/>
              </w:rPr>
              <w:t xml:space="preserve"> impact of </w:t>
            </w:r>
            <w:r w:rsidR="00267C51" w:rsidRPr="00742B86">
              <w:rPr>
                <w:spacing w:val="-5"/>
                <w:lang w:val="en-GB"/>
              </w:rPr>
              <w:t>–11 </w:t>
            </w:r>
            <w:r w:rsidR="004C7ED1" w:rsidRPr="00742B86">
              <w:rPr>
                <w:spacing w:val="-5"/>
                <w:lang w:val="en-GB"/>
              </w:rPr>
              <w:t xml:space="preserve">CZK </w:t>
            </w:r>
            <w:proofErr w:type="spellStart"/>
            <w:r w:rsidR="004C7ED1" w:rsidRPr="00742B86">
              <w:rPr>
                <w:spacing w:val="-5"/>
                <w:lang w:val="en-GB"/>
              </w:rPr>
              <w:t>bn</w:t>
            </w:r>
            <w:proofErr w:type="spellEnd"/>
            <w:r w:rsidR="00267C51" w:rsidRPr="00742B86">
              <w:rPr>
                <w:spacing w:val="-5"/>
                <w:lang w:val="en-GB"/>
              </w:rPr>
              <w:t>)</w:t>
            </w:r>
            <w:r w:rsidRPr="00742B86">
              <w:rPr>
                <w:spacing w:val="-5"/>
                <w:lang w:val="en-GB"/>
              </w:rPr>
              <w:t xml:space="preserve"> in year 2020</w:t>
            </w:r>
            <w:r w:rsidR="00267C51" w:rsidRPr="00742B86">
              <w:rPr>
                <w:spacing w:val="-5"/>
                <w:lang w:val="en-GB"/>
              </w:rPr>
              <w:t>.</w:t>
            </w:r>
            <w:r w:rsidRPr="00742B86">
              <w:rPr>
                <w:spacing w:val="-5"/>
                <w:lang w:val="en-GB"/>
              </w:rPr>
              <w:t xml:space="preserve"> On the contrary, the influence of indirect taxes was smaller last year. </w:t>
            </w:r>
            <w:r w:rsidR="00257B79" w:rsidRPr="00742B86">
              <w:rPr>
                <w:spacing w:val="-5"/>
                <w:lang w:val="en-GB"/>
              </w:rPr>
              <w:t xml:space="preserve">From the weight dominant tax – VAT </w:t>
            </w:r>
            <w:r w:rsidR="004D0EDF" w:rsidRPr="00742B86">
              <w:rPr>
                <w:spacing w:val="-5"/>
                <w:lang w:val="en-GB"/>
              </w:rPr>
              <w:t>–</w:t>
            </w:r>
            <w:r w:rsidR="00257B79" w:rsidRPr="00742B86">
              <w:rPr>
                <w:spacing w:val="-5"/>
                <w:lang w:val="en-GB"/>
              </w:rPr>
              <w:t xml:space="preserve"> by </w:t>
            </w:r>
            <w:r w:rsidR="00267C51" w:rsidRPr="00742B86">
              <w:rPr>
                <w:spacing w:val="-5"/>
                <w:lang w:val="en-GB"/>
              </w:rPr>
              <w:t>1</w:t>
            </w:r>
            <w:r w:rsidR="00257B79" w:rsidRPr="00742B86">
              <w:rPr>
                <w:spacing w:val="-5"/>
                <w:lang w:val="en-GB"/>
              </w:rPr>
              <w:t>.</w:t>
            </w:r>
            <w:r w:rsidR="00267C51" w:rsidRPr="00742B86">
              <w:rPr>
                <w:spacing w:val="-5"/>
                <w:lang w:val="en-GB"/>
              </w:rPr>
              <w:t>2%</w:t>
            </w:r>
            <w:r w:rsidR="00257B79" w:rsidRPr="00742B86">
              <w:rPr>
                <w:spacing w:val="-5"/>
                <w:lang w:val="en-GB"/>
              </w:rPr>
              <w:t xml:space="preserve"> less year-on-year </w:t>
            </w:r>
            <w:r w:rsidR="00267C51" w:rsidRPr="00742B86">
              <w:rPr>
                <w:spacing w:val="-5"/>
                <w:lang w:val="en-GB"/>
              </w:rPr>
              <w:t xml:space="preserve">(resp. </w:t>
            </w:r>
            <w:r w:rsidR="00257B79" w:rsidRPr="00742B86">
              <w:rPr>
                <w:spacing w:val="-5"/>
                <w:lang w:val="en-GB"/>
              </w:rPr>
              <w:t xml:space="preserve">by </w:t>
            </w:r>
            <w:r w:rsidR="00267C51" w:rsidRPr="00742B86">
              <w:rPr>
                <w:spacing w:val="-5"/>
                <w:lang w:val="en-GB"/>
              </w:rPr>
              <w:t>3</w:t>
            </w:r>
            <w:r w:rsidR="00257B79" w:rsidRPr="00742B86">
              <w:rPr>
                <w:spacing w:val="-5"/>
                <w:lang w:val="en-GB"/>
              </w:rPr>
              <w:t>.</w:t>
            </w:r>
            <w:r w:rsidR="00267C51" w:rsidRPr="00742B86">
              <w:rPr>
                <w:spacing w:val="-5"/>
                <w:lang w:val="en-GB"/>
              </w:rPr>
              <w:t>5</w:t>
            </w:r>
            <w:r w:rsidR="00257B79" w:rsidRPr="00742B86">
              <w:rPr>
                <w:spacing w:val="-5"/>
                <w:lang w:val="en-GB"/>
              </w:rPr>
              <w:t xml:space="preserve"> CZK </w:t>
            </w:r>
            <w:proofErr w:type="spellStart"/>
            <w:r w:rsidR="00257B79" w:rsidRPr="00742B86">
              <w:rPr>
                <w:spacing w:val="-5"/>
                <w:lang w:val="en-GB"/>
              </w:rPr>
              <w:t>bn</w:t>
            </w:r>
            <w:proofErr w:type="spellEnd"/>
            <w:r w:rsidR="00267C51" w:rsidRPr="00742B86">
              <w:rPr>
                <w:spacing w:val="-5"/>
                <w:lang w:val="en-GB"/>
              </w:rPr>
              <w:t>)</w:t>
            </w:r>
            <w:r w:rsidR="00257B79" w:rsidRPr="00742B86">
              <w:rPr>
                <w:spacing w:val="-5"/>
                <w:lang w:val="en-GB"/>
              </w:rPr>
              <w:t xml:space="preserve"> flew into the SB</w:t>
            </w:r>
            <w:r w:rsidR="00267C51" w:rsidRPr="00742B86">
              <w:rPr>
                <w:spacing w:val="-5"/>
                <w:lang w:val="en-GB"/>
              </w:rPr>
              <w:t xml:space="preserve">. </w:t>
            </w:r>
            <w:r w:rsidR="00863B2F" w:rsidRPr="00742B86">
              <w:rPr>
                <w:spacing w:val="-5"/>
                <w:lang w:val="en-GB"/>
              </w:rPr>
              <w:t xml:space="preserve">Annual reduction of the tax collection (at the level of all public budgets) occurred last in year </w:t>
            </w:r>
            <w:r w:rsidR="00267C51" w:rsidRPr="00742B86">
              <w:rPr>
                <w:spacing w:val="-5"/>
                <w:lang w:val="en-GB"/>
              </w:rPr>
              <w:t>2009.</w:t>
            </w:r>
            <w:r w:rsidR="00863B2F" w:rsidRPr="00742B86">
              <w:rPr>
                <w:spacing w:val="-5"/>
                <w:lang w:val="en-GB"/>
              </w:rPr>
              <w:t xml:space="preserve"> Last year´s </w:t>
            </w:r>
            <w:r w:rsidR="009C0B29">
              <w:rPr>
                <w:spacing w:val="-5"/>
                <w:lang w:val="en-GB"/>
              </w:rPr>
              <w:t xml:space="preserve">VAT </w:t>
            </w:r>
            <w:r w:rsidR="00863B2F" w:rsidRPr="00742B86">
              <w:rPr>
                <w:spacing w:val="-5"/>
                <w:lang w:val="en-GB"/>
              </w:rPr>
              <w:t>collection was apart fr</w:t>
            </w:r>
            <w:r w:rsidR="009C0B29">
              <w:rPr>
                <w:spacing w:val="-5"/>
                <w:lang w:val="en-GB"/>
              </w:rPr>
              <w:t>om the restriction of establishments</w:t>
            </w:r>
            <w:r w:rsidR="00863B2F" w:rsidRPr="00742B86">
              <w:rPr>
                <w:spacing w:val="-5"/>
                <w:lang w:val="en-GB"/>
              </w:rPr>
              <w:t xml:space="preserve"> also affected by the cut of tax rate for some services </w:t>
            </w:r>
            <w:r w:rsidR="00267C51" w:rsidRPr="00742B86">
              <w:rPr>
                <w:spacing w:val="-5"/>
                <w:lang w:val="en-GB"/>
              </w:rPr>
              <w:t>(</w:t>
            </w:r>
            <w:r w:rsidR="00863B2F" w:rsidRPr="00742B86">
              <w:rPr>
                <w:spacing w:val="-5"/>
                <w:lang w:val="en-GB"/>
              </w:rPr>
              <w:t>e.g. in food service</w:t>
            </w:r>
            <w:r w:rsidR="00267C51" w:rsidRPr="00742B86">
              <w:rPr>
                <w:spacing w:val="-5"/>
                <w:lang w:val="en-GB"/>
              </w:rPr>
              <w:t>).</w:t>
            </w:r>
            <w:r w:rsidR="00863B2F" w:rsidRPr="00742B86">
              <w:rPr>
                <w:spacing w:val="-5"/>
                <w:lang w:val="en-GB"/>
              </w:rPr>
              <w:t xml:space="preserve"> Retail sales in current prices slightly increased </w:t>
            </w:r>
            <w:r w:rsidR="00267C51" w:rsidRPr="00742B86">
              <w:rPr>
                <w:spacing w:val="-5"/>
                <w:lang w:val="en-GB"/>
              </w:rPr>
              <w:t>(+0</w:t>
            </w:r>
            <w:r w:rsidR="00863B2F" w:rsidRPr="00742B86">
              <w:rPr>
                <w:spacing w:val="-5"/>
                <w:lang w:val="en-GB"/>
              </w:rPr>
              <w:t>.</w:t>
            </w:r>
            <w:r w:rsidR="00267C51" w:rsidRPr="00742B86">
              <w:rPr>
                <w:spacing w:val="-5"/>
                <w:lang w:val="en-GB"/>
              </w:rPr>
              <w:t>3%)</w:t>
            </w:r>
            <w:r w:rsidR="00863B2F" w:rsidRPr="00742B86">
              <w:rPr>
                <w:spacing w:val="-5"/>
                <w:lang w:val="en-GB"/>
              </w:rPr>
              <w:t xml:space="preserve"> compared to year 2019</w:t>
            </w:r>
            <w:r w:rsidR="00267C51" w:rsidRPr="00742B86">
              <w:rPr>
                <w:spacing w:val="-5"/>
                <w:lang w:val="en-GB"/>
              </w:rPr>
              <w:t>.</w:t>
            </w:r>
            <w:r w:rsidR="00863B2F" w:rsidRPr="00742B86">
              <w:rPr>
                <w:spacing w:val="-5"/>
                <w:lang w:val="en-GB"/>
              </w:rPr>
              <w:t xml:space="preserve"> </w:t>
            </w:r>
          </w:p>
        </w:tc>
      </w:tr>
      <w:tr w:rsidR="009C0B29" w:rsidRPr="00742B86" w:rsidTr="00D70BBF">
        <w:trPr>
          <w:trHeight w:val="145"/>
        </w:trPr>
        <w:tc>
          <w:tcPr>
            <w:tcW w:w="1583" w:type="dxa"/>
            <w:shd w:val="clear" w:color="auto" w:fill="auto"/>
            <w:tcMar>
              <w:left w:w="0" w:type="dxa"/>
            </w:tcMar>
          </w:tcPr>
          <w:p w:rsidR="009C0B29" w:rsidRPr="00742B86" w:rsidRDefault="009C0B29" w:rsidP="009C0B29">
            <w:pPr>
              <w:pStyle w:val="Marginlie"/>
              <w:rPr>
                <w:lang w:val="en-GB"/>
              </w:rPr>
            </w:pPr>
            <w:r w:rsidRPr="00742B86">
              <w:rPr>
                <w:lang w:val="en-GB"/>
              </w:rPr>
              <w:t>Lower transport works, downturn of tourism as well as repeated closures of restaurants stood behind the decrease of the consumption tax collection.</w:t>
            </w:r>
          </w:p>
          <w:p w:rsidR="009C0B29" w:rsidRPr="00742B86" w:rsidRDefault="009C0B29" w:rsidP="00D932B8">
            <w:pPr>
              <w:pStyle w:val="Marginlie"/>
              <w:rPr>
                <w:lang w:val="en-GB"/>
              </w:rPr>
            </w:pPr>
          </w:p>
        </w:tc>
        <w:tc>
          <w:tcPr>
            <w:tcW w:w="176" w:type="dxa"/>
            <w:shd w:val="clear" w:color="auto" w:fill="auto"/>
            <w:tcMar>
              <w:left w:w="0" w:type="dxa"/>
            </w:tcMar>
          </w:tcPr>
          <w:p w:rsidR="009C0B29" w:rsidRPr="00742B86" w:rsidRDefault="009C0B29" w:rsidP="00D932B8">
            <w:pPr>
              <w:pStyle w:val="Textpoznpodarou"/>
              <w:jc w:val="both"/>
              <w:rPr>
                <w:spacing w:val="-4"/>
                <w:lang w:val="en-GB"/>
              </w:rPr>
            </w:pPr>
          </w:p>
        </w:tc>
        <w:tc>
          <w:tcPr>
            <w:tcW w:w="7910" w:type="dxa"/>
            <w:shd w:val="clear" w:color="auto" w:fill="auto"/>
            <w:tcMar>
              <w:left w:w="0" w:type="dxa"/>
            </w:tcMar>
          </w:tcPr>
          <w:p w:rsidR="009C0B29" w:rsidRPr="00742B86" w:rsidRDefault="009C0B29" w:rsidP="00E97F14">
            <w:pPr>
              <w:spacing w:after="200"/>
              <w:rPr>
                <w:spacing w:val="-5"/>
                <w:lang w:val="en-GB"/>
              </w:rPr>
            </w:pPr>
            <w:r w:rsidRPr="00742B86">
              <w:rPr>
                <w:spacing w:val="-5"/>
                <w:lang w:val="en-GB"/>
              </w:rPr>
              <w:t>Total last year SB collection from the consumption tax</w:t>
            </w:r>
            <w:r>
              <w:rPr>
                <w:spacing w:val="-5"/>
                <w:lang w:val="en-GB"/>
              </w:rPr>
              <w:t>es</w:t>
            </w:r>
            <w:r w:rsidRPr="00742B86">
              <w:rPr>
                <w:spacing w:val="-5"/>
                <w:lang w:val="en-GB"/>
              </w:rPr>
              <w:t xml:space="preserve"> shrank by </w:t>
            </w:r>
            <w:r w:rsidRPr="00742B86">
              <w:rPr>
                <w:color w:val="0D0D0D" w:themeColor="text1" w:themeTint="F2"/>
                <w:spacing w:val="-5"/>
                <w:lang w:val="en-GB"/>
              </w:rPr>
              <w:t xml:space="preserve">2.5% (resp. by 4 CZK </w:t>
            </w:r>
            <w:proofErr w:type="spellStart"/>
            <w:r w:rsidRPr="00742B86">
              <w:rPr>
                <w:color w:val="0D0D0D" w:themeColor="text1" w:themeTint="F2"/>
                <w:spacing w:val="-5"/>
                <w:lang w:val="en-GB"/>
              </w:rPr>
              <w:t>bn</w:t>
            </w:r>
            <w:proofErr w:type="spellEnd"/>
            <w:r w:rsidRPr="00742B86">
              <w:rPr>
                <w:color w:val="0D0D0D" w:themeColor="text1" w:themeTint="F2"/>
                <w:spacing w:val="-5"/>
                <w:lang w:val="en-GB"/>
              </w:rPr>
              <w:t xml:space="preserve">), due to the year-on-year fallout in both Q2 and </w:t>
            </w:r>
            <w:r>
              <w:rPr>
                <w:color w:val="0D0D0D" w:themeColor="text1" w:themeTint="F2"/>
                <w:spacing w:val="-5"/>
                <w:lang w:val="en-GB"/>
              </w:rPr>
              <w:t>Q</w:t>
            </w:r>
            <w:r w:rsidRPr="00742B86">
              <w:rPr>
                <w:color w:val="0D0D0D" w:themeColor="text1" w:themeTint="F2"/>
                <w:spacing w:val="-5"/>
                <w:lang w:val="en-GB"/>
              </w:rPr>
              <w:t xml:space="preserve">4 (by 18.3%, resp. 3.2%). Substantial reduction of the transport work (including the transit traffic) for the whole year 2020 </w:t>
            </w:r>
            <w:proofErr w:type="gramStart"/>
            <w:r w:rsidRPr="00742B86">
              <w:rPr>
                <w:color w:val="0D0D0D" w:themeColor="text1" w:themeTint="F2"/>
                <w:spacing w:val="-5"/>
                <w:lang w:val="en-GB"/>
              </w:rPr>
              <w:t>was reflected</w:t>
            </w:r>
            <w:proofErr w:type="gramEnd"/>
            <w:r w:rsidRPr="00742B86">
              <w:rPr>
                <w:color w:val="0D0D0D" w:themeColor="text1" w:themeTint="F2"/>
                <w:spacing w:val="-5"/>
                <w:lang w:val="en-GB"/>
              </w:rPr>
              <w:t xml:space="preserve"> in the </w:t>
            </w:r>
            <w:r w:rsidRPr="00742B86">
              <w:rPr>
                <w:spacing w:val="-5"/>
                <w:lang w:val="en-GB"/>
              </w:rPr>
              <w:t>8.2% slump of collection of tax on mineral oils. Decrease of this tax manifested for the first time since year 2013. Despite the increase of tax rate, the collection of tax on alcohol also fell last year (–5.7%). Repeated closures of hospitality establishments amplified by the subdued arrival tourism for the prevailing part of the year proved to be the key factor. Similar factors also had effect on the collection of tax on tobacco products, which grew (+6.4%), but still did not</w:t>
            </w:r>
            <w:r w:rsidR="002E192A">
              <w:rPr>
                <w:spacing w:val="-5"/>
                <w:lang w:val="en-GB"/>
              </w:rPr>
              <w:t xml:space="preserve"> fulfil the budget anticipation</w:t>
            </w:r>
            <w:r w:rsidRPr="00742B86">
              <w:rPr>
                <w:spacing w:val="-5"/>
                <w:lang w:val="en-GB"/>
              </w:rPr>
              <w:t xml:space="preserve"> last year.</w:t>
            </w:r>
          </w:p>
        </w:tc>
      </w:tr>
      <w:tr w:rsidR="00267C51" w:rsidRPr="00742B86" w:rsidTr="00D70BBF">
        <w:trPr>
          <w:trHeight w:val="170"/>
        </w:trPr>
        <w:tc>
          <w:tcPr>
            <w:tcW w:w="1583" w:type="dxa"/>
            <w:vMerge w:val="restart"/>
            <w:shd w:val="clear" w:color="auto" w:fill="auto"/>
            <w:tcMar>
              <w:left w:w="0" w:type="dxa"/>
            </w:tcMar>
          </w:tcPr>
          <w:p w:rsidR="00267C51" w:rsidRPr="00742B86" w:rsidRDefault="00267C51" w:rsidP="00D932B8">
            <w:pPr>
              <w:pStyle w:val="Marginlie"/>
              <w:rPr>
                <w:lang w:val="en-GB"/>
              </w:rPr>
            </w:pPr>
          </w:p>
        </w:tc>
        <w:tc>
          <w:tcPr>
            <w:tcW w:w="176" w:type="dxa"/>
            <w:vMerge w:val="restart"/>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3D5A90" w:rsidP="00D932B8">
            <w:pPr>
              <w:spacing w:after="0" w:line="240" w:lineRule="auto"/>
              <w:rPr>
                <w:rFonts w:cs="Arial"/>
                <w:bCs/>
                <w:lang w:val="en-GB"/>
              </w:rPr>
            </w:pPr>
            <w:r w:rsidRPr="00742B86">
              <w:rPr>
                <w:rFonts w:cs="Arial"/>
                <w:b/>
                <w:bCs/>
                <w:color w:val="000000"/>
                <w:szCs w:val="20"/>
                <w:lang w:val="en-GB"/>
              </w:rPr>
              <w:t xml:space="preserve">Chart </w:t>
            </w:r>
            <w:r w:rsidR="00D152E7">
              <w:rPr>
                <w:rFonts w:cs="Arial"/>
                <w:b/>
                <w:bCs/>
                <w:color w:val="000000"/>
                <w:szCs w:val="20"/>
                <w:lang w:val="en-GB"/>
              </w:rPr>
              <w:t>16</w:t>
            </w:r>
            <w:r w:rsidR="00267C51" w:rsidRPr="00742B86">
              <w:rPr>
                <w:rFonts w:cs="Arial"/>
                <w:b/>
                <w:bCs/>
                <w:color w:val="000000"/>
                <w:sz w:val="18"/>
                <w:szCs w:val="18"/>
                <w:lang w:val="en-GB"/>
              </w:rPr>
              <w:t xml:space="preserve">  </w:t>
            </w:r>
            <w:r w:rsidR="004D0EDF" w:rsidRPr="00742B86">
              <w:rPr>
                <w:rFonts w:cs="Arial"/>
                <w:b/>
                <w:bCs/>
                <w:spacing w:val="-2"/>
                <w:lang w:val="en-GB"/>
              </w:rPr>
              <w:t>State wide collection of selected tax incomes</w:t>
            </w:r>
            <w:r w:rsidR="004D0EDF" w:rsidRPr="00742B86">
              <w:rPr>
                <w:rFonts w:cs="Arial"/>
                <w:b/>
                <w:bCs/>
                <w:color w:val="000000"/>
                <w:spacing w:val="-2"/>
                <w:sz w:val="18"/>
                <w:lang w:val="en-GB"/>
              </w:rPr>
              <w:t xml:space="preserve"> </w:t>
            </w:r>
            <w:r w:rsidR="004D0EDF" w:rsidRPr="00742B86">
              <w:rPr>
                <w:rFonts w:cs="Arial"/>
                <w:bCs/>
                <w:spacing w:val="-2"/>
                <w:lang w:val="en-GB"/>
              </w:rPr>
              <w:t xml:space="preserve">(year-on-year in </w:t>
            </w:r>
            <w:r w:rsidR="004D0EDF" w:rsidRPr="00742B86">
              <w:rPr>
                <w:bCs/>
                <w:spacing w:val="-2"/>
                <w:lang w:val="en-GB"/>
              </w:rPr>
              <w:t>%)</w:t>
            </w:r>
            <w:r w:rsidR="004D0EDF" w:rsidRPr="00742B86">
              <w:rPr>
                <w:bCs/>
                <w:spacing w:val="-2"/>
                <w:lang w:val="en-GB"/>
              </w:rPr>
              <w:br/>
            </w:r>
            <w:r w:rsidR="004D0EDF" w:rsidRPr="00742B86">
              <w:rPr>
                <w:rFonts w:cs="Arial"/>
                <w:b/>
                <w:bCs/>
                <w:spacing w:val="-2"/>
                <w:lang w:val="en-GB"/>
              </w:rPr>
              <w:t xml:space="preserve">and state budget balance </w:t>
            </w:r>
            <w:r w:rsidR="004D0EDF" w:rsidRPr="00742B86">
              <w:rPr>
                <w:rFonts w:cs="Arial"/>
                <w:bCs/>
                <w:spacing w:val="-6"/>
                <w:lang w:val="en-GB"/>
              </w:rPr>
              <w:t xml:space="preserve">(in CZK </w:t>
            </w:r>
            <w:proofErr w:type="spellStart"/>
            <w:r w:rsidR="004D0EDF" w:rsidRPr="00742B86">
              <w:rPr>
                <w:rFonts w:cs="Arial"/>
                <w:bCs/>
                <w:spacing w:val="-6"/>
                <w:lang w:val="en-GB"/>
              </w:rPr>
              <w:t>bn</w:t>
            </w:r>
            <w:proofErr w:type="spellEnd"/>
            <w:r w:rsidR="004D0EDF" w:rsidRPr="00742B86">
              <w:rPr>
                <w:rFonts w:cs="Arial"/>
                <w:bCs/>
                <w:spacing w:val="-6"/>
                <w:lang w:val="en-GB"/>
              </w:rPr>
              <w:t xml:space="preserve">, right axis) </w:t>
            </w:r>
          </w:p>
        </w:tc>
      </w:tr>
      <w:tr w:rsidR="00267C51" w:rsidRPr="00742B86" w:rsidTr="00AE0C9E">
        <w:tblPrEx>
          <w:tblCellMar>
            <w:left w:w="70" w:type="dxa"/>
            <w:right w:w="70" w:type="dxa"/>
          </w:tblCellMar>
        </w:tblPrEx>
        <w:trPr>
          <w:trHeight w:val="170"/>
        </w:trPr>
        <w:tc>
          <w:tcPr>
            <w:tcW w:w="1583" w:type="dxa"/>
            <w:vMerge/>
            <w:shd w:val="clear" w:color="auto" w:fill="auto"/>
          </w:tcPr>
          <w:p w:rsidR="00267C51" w:rsidRPr="00742B86" w:rsidRDefault="00267C51" w:rsidP="00D932B8">
            <w:pPr>
              <w:pStyle w:val="Marginlie"/>
              <w:rPr>
                <w:lang w:val="en-GB"/>
              </w:rPr>
            </w:pPr>
          </w:p>
        </w:tc>
        <w:tc>
          <w:tcPr>
            <w:tcW w:w="176" w:type="dxa"/>
            <w:vMerge/>
            <w:shd w:val="clear" w:color="auto" w:fill="auto"/>
          </w:tcPr>
          <w:p w:rsidR="00267C51" w:rsidRPr="00742B86" w:rsidRDefault="00267C51" w:rsidP="00D932B8">
            <w:pPr>
              <w:pStyle w:val="Textpoznpodarou"/>
              <w:jc w:val="both"/>
              <w:rPr>
                <w:spacing w:val="-4"/>
                <w:lang w:val="en-GB"/>
              </w:rPr>
            </w:pPr>
          </w:p>
        </w:tc>
        <w:tc>
          <w:tcPr>
            <w:tcW w:w="7910" w:type="dxa"/>
            <w:shd w:val="clear" w:color="auto" w:fill="auto"/>
          </w:tcPr>
          <w:p w:rsidR="00267C51" w:rsidRPr="00742B86" w:rsidRDefault="00AE0C9E" w:rsidP="00E97F14">
            <w:pPr>
              <w:spacing w:after="0" w:line="240" w:lineRule="auto"/>
              <w:rPr>
                <w:spacing w:val="-6"/>
                <w:lang w:val="en-GB"/>
              </w:rPr>
            </w:pPr>
            <w:r>
              <w:rPr>
                <w:noProof/>
              </w:rPr>
              <w:drawing>
                <wp:inline distT="0" distB="0" distL="0" distR="0" wp14:anchorId="6F1AC58B" wp14:editId="3F9BF8C2">
                  <wp:extent cx="4888865" cy="3182815"/>
                  <wp:effectExtent l="0" t="0" r="6985"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267C51" w:rsidRPr="00742B86" w:rsidTr="00D70BBF">
        <w:trPr>
          <w:trHeight w:val="170"/>
        </w:trPr>
        <w:tc>
          <w:tcPr>
            <w:tcW w:w="1583" w:type="dxa"/>
            <w:vMerge/>
            <w:shd w:val="clear" w:color="auto" w:fill="auto"/>
            <w:tcMar>
              <w:left w:w="0" w:type="dxa"/>
            </w:tcMar>
          </w:tcPr>
          <w:p w:rsidR="00267C51" w:rsidRPr="00742B86" w:rsidRDefault="00267C51" w:rsidP="00D932B8">
            <w:pPr>
              <w:pStyle w:val="Marginlie"/>
              <w:rPr>
                <w:lang w:val="en-GB"/>
              </w:rPr>
            </w:pPr>
          </w:p>
        </w:tc>
        <w:tc>
          <w:tcPr>
            <w:tcW w:w="176" w:type="dxa"/>
            <w:vMerge/>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B4194" w:rsidRDefault="00267C51" w:rsidP="002B4194">
            <w:pPr>
              <w:spacing w:after="0" w:line="240" w:lineRule="auto"/>
              <w:jc w:val="left"/>
              <w:rPr>
                <w:spacing w:val="-2"/>
                <w:sz w:val="14"/>
                <w:szCs w:val="14"/>
                <w:lang w:val="en-GB"/>
              </w:rPr>
            </w:pPr>
            <w:r w:rsidRPr="00742B86">
              <w:rPr>
                <w:spacing w:val="-2"/>
                <w:sz w:val="14"/>
                <w:szCs w:val="14"/>
                <w:lang w:val="en-GB"/>
              </w:rPr>
              <w:t>*</w:t>
            </w:r>
            <w:r w:rsidR="001F0928" w:rsidRPr="00742B86">
              <w:rPr>
                <w:spacing w:val="-2"/>
                <w:sz w:val="14"/>
                <w:szCs w:val="14"/>
                <w:lang w:val="en-GB"/>
              </w:rPr>
              <w:t xml:space="preserve">Balance adjusted for funds on programmes and projects from the EU budget </w:t>
            </w:r>
            <w:r w:rsidRPr="00742B86">
              <w:rPr>
                <w:spacing w:val="-2"/>
                <w:sz w:val="14"/>
                <w:szCs w:val="14"/>
                <w:lang w:val="en-GB"/>
              </w:rPr>
              <w:t>(</w:t>
            </w:r>
            <w:r w:rsidR="001F0928" w:rsidRPr="00742B86">
              <w:rPr>
                <w:spacing w:val="-2"/>
                <w:sz w:val="14"/>
                <w:szCs w:val="14"/>
                <w:lang w:val="en-GB"/>
              </w:rPr>
              <w:t>including financial mechanisms), which</w:t>
            </w:r>
            <w:r w:rsidR="0016093A" w:rsidRPr="00742B86">
              <w:rPr>
                <w:spacing w:val="-2"/>
                <w:sz w:val="14"/>
                <w:szCs w:val="14"/>
                <w:lang w:val="en-GB"/>
              </w:rPr>
              <w:t xml:space="preserve"> </w:t>
            </w:r>
            <w:r w:rsidR="001F0928" w:rsidRPr="00742B86">
              <w:rPr>
                <w:spacing w:val="-2"/>
                <w:sz w:val="14"/>
                <w:szCs w:val="14"/>
                <w:lang w:val="en-GB"/>
              </w:rPr>
              <w:t xml:space="preserve">were pre-financed from the SB and are </w:t>
            </w:r>
            <w:r w:rsidR="0016093A" w:rsidRPr="00742B86">
              <w:rPr>
                <w:spacing w:val="-2"/>
                <w:sz w:val="14"/>
                <w:szCs w:val="14"/>
                <w:lang w:val="en-GB"/>
              </w:rPr>
              <w:t>subsequently</w:t>
            </w:r>
            <w:r w:rsidR="001F0928" w:rsidRPr="00742B86">
              <w:rPr>
                <w:spacing w:val="-2"/>
                <w:sz w:val="14"/>
                <w:szCs w:val="14"/>
                <w:lang w:val="en-GB"/>
              </w:rPr>
              <w:t xml:space="preserve"> </w:t>
            </w:r>
            <w:r w:rsidR="0016093A" w:rsidRPr="00742B86">
              <w:rPr>
                <w:spacing w:val="-2"/>
                <w:sz w:val="14"/>
                <w:szCs w:val="14"/>
                <w:lang w:val="en-GB"/>
              </w:rPr>
              <w:t xml:space="preserve">reimbursed </w:t>
            </w:r>
            <w:r w:rsidR="001F0928" w:rsidRPr="00742B86">
              <w:rPr>
                <w:spacing w:val="-2"/>
                <w:sz w:val="14"/>
                <w:szCs w:val="14"/>
                <w:lang w:val="en-GB"/>
              </w:rPr>
              <w:t>from t</w:t>
            </w:r>
            <w:r w:rsidR="0016093A" w:rsidRPr="00742B86">
              <w:rPr>
                <w:spacing w:val="-2"/>
                <w:sz w:val="14"/>
                <w:szCs w:val="14"/>
                <w:lang w:val="en-GB"/>
              </w:rPr>
              <w:t>he</w:t>
            </w:r>
            <w:r w:rsidR="002B4194">
              <w:rPr>
                <w:spacing w:val="-2"/>
                <w:sz w:val="14"/>
                <w:szCs w:val="14"/>
                <w:lang w:val="en-GB"/>
              </w:rPr>
              <w:t xml:space="preserve"> EU budget and </w:t>
            </w:r>
            <w:r w:rsidR="002B4194" w:rsidRPr="00742B86">
              <w:rPr>
                <w:spacing w:val="-2"/>
                <w:sz w:val="14"/>
                <w:szCs w:val="14"/>
                <w:lang w:val="en-GB"/>
              </w:rPr>
              <w:t>financial mechanisms</w:t>
            </w:r>
            <w:r w:rsidR="002B4194">
              <w:rPr>
                <w:spacing w:val="-2"/>
                <w:sz w:val="14"/>
                <w:szCs w:val="14"/>
                <w:lang w:val="en-GB"/>
              </w:rPr>
              <w:t>.</w:t>
            </w:r>
          </w:p>
          <w:p w:rsidR="002002F3" w:rsidRPr="002B4194" w:rsidRDefault="00440ECB" w:rsidP="002B4194">
            <w:pPr>
              <w:spacing w:line="240" w:lineRule="auto"/>
              <w:jc w:val="left"/>
              <w:rPr>
                <w:spacing w:val="-2"/>
                <w:sz w:val="14"/>
                <w:szCs w:val="14"/>
                <w:lang w:val="en-GB"/>
              </w:rPr>
            </w:pPr>
            <w:r w:rsidRPr="00742B86">
              <w:rPr>
                <w:spacing w:val="-2"/>
                <w:sz w:val="14"/>
                <w:szCs w:val="14"/>
                <w:lang w:val="en-GB"/>
              </w:rPr>
              <w:t>Source</w:t>
            </w:r>
            <w:r w:rsidR="00267C51" w:rsidRPr="00742B86">
              <w:rPr>
                <w:spacing w:val="-2"/>
                <w:sz w:val="14"/>
                <w:szCs w:val="14"/>
                <w:lang w:val="en-GB"/>
              </w:rPr>
              <w:t>:</w:t>
            </w:r>
            <w:r w:rsidR="00AE0C9E">
              <w:rPr>
                <w:spacing w:val="-2"/>
                <w:sz w:val="14"/>
                <w:szCs w:val="14"/>
                <w:lang w:val="en-GB"/>
              </w:rPr>
              <w:t xml:space="preserve"> MF C</w:t>
            </w:r>
            <w:r w:rsidR="002B4194">
              <w:rPr>
                <w:spacing w:val="-2"/>
                <w:sz w:val="14"/>
                <w:szCs w:val="14"/>
                <w:lang w:val="en-GB"/>
              </w:rPr>
              <w:t>R</w:t>
            </w:r>
          </w:p>
        </w:tc>
      </w:tr>
      <w:tr w:rsidR="00267C51" w:rsidRPr="00742B86" w:rsidTr="00D70BBF">
        <w:trPr>
          <w:trHeight w:val="145"/>
        </w:trPr>
        <w:tc>
          <w:tcPr>
            <w:tcW w:w="1583" w:type="dxa"/>
            <w:shd w:val="clear" w:color="auto" w:fill="auto"/>
            <w:tcMar>
              <w:left w:w="0" w:type="dxa"/>
            </w:tcMar>
          </w:tcPr>
          <w:p w:rsidR="00267C51" w:rsidRPr="00742B86" w:rsidRDefault="00206390" w:rsidP="00D932B8">
            <w:pPr>
              <w:pStyle w:val="Marginlie"/>
              <w:rPr>
                <w:lang w:val="en-GB"/>
              </w:rPr>
            </w:pPr>
            <w:r w:rsidRPr="00742B86">
              <w:rPr>
                <w:lang w:val="en-GB"/>
              </w:rPr>
              <w:t xml:space="preserve">Pace of SB outlays accelerated to record </w:t>
            </w:r>
            <w:r w:rsidR="00267C51" w:rsidRPr="00742B86">
              <w:rPr>
                <w:lang w:val="en-GB"/>
              </w:rPr>
              <w:t>18</w:t>
            </w:r>
            <w:r w:rsidRPr="00742B86">
              <w:rPr>
                <w:lang w:val="en-GB"/>
              </w:rPr>
              <w:t>.</w:t>
            </w:r>
            <w:r w:rsidR="00267C51" w:rsidRPr="00742B86">
              <w:rPr>
                <w:lang w:val="en-GB"/>
              </w:rPr>
              <w:t>8%</w:t>
            </w:r>
            <w:r w:rsidRPr="00742B86">
              <w:rPr>
                <w:lang w:val="en-GB"/>
              </w:rPr>
              <w:t xml:space="preserve"> last year</w:t>
            </w:r>
            <w:r w:rsidR="00267C51" w:rsidRPr="00742B86">
              <w:rPr>
                <w:lang w:val="en-GB"/>
              </w:rPr>
              <w:t>.</w:t>
            </w: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B4194" w:rsidRDefault="00206390" w:rsidP="00206390">
            <w:pPr>
              <w:pStyle w:val="Marginlie"/>
              <w:rPr>
                <w:lang w:val="en-GB"/>
              </w:rPr>
            </w:pPr>
            <w:r w:rsidRPr="00742B86">
              <w:rPr>
                <w:lang w:val="en-GB"/>
              </w:rPr>
              <w:lastRenderedPageBreak/>
              <w:t xml:space="preserve">More than </w:t>
            </w:r>
            <w:proofErr w:type="gramStart"/>
            <w:r w:rsidRPr="00742B86">
              <w:rPr>
                <w:lang w:val="en-GB"/>
              </w:rPr>
              <w:t>one half</w:t>
            </w:r>
            <w:proofErr w:type="gramEnd"/>
            <w:r w:rsidRPr="00742B86">
              <w:rPr>
                <w:lang w:val="en-GB"/>
              </w:rPr>
              <w:t xml:space="preserve"> of the year-on-year addition to current outlays was c</w:t>
            </w:r>
            <w:r w:rsidR="003B0ECE">
              <w:rPr>
                <w:lang w:val="en-GB"/>
              </w:rPr>
              <w:t>losely connected to the anti-</w:t>
            </w:r>
            <w:r w:rsidRPr="00742B86">
              <w:rPr>
                <w:lang w:val="en-GB"/>
              </w:rPr>
              <w:t xml:space="preserve">pandemic measures. </w:t>
            </w:r>
          </w:p>
          <w:p w:rsidR="002B4194" w:rsidRDefault="002B4194" w:rsidP="00206390">
            <w:pPr>
              <w:pStyle w:val="Marginlie"/>
              <w:rPr>
                <w:lang w:val="en-GB"/>
              </w:rPr>
            </w:pPr>
          </w:p>
          <w:p w:rsidR="002B4194" w:rsidRDefault="002B4194" w:rsidP="00206390">
            <w:pPr>
              <w:pStyle w:val="Marginlie"/>
              <w:rPr>
                <w:lang w:val="en-GB"/>
              </w:rPr>
            </w:pPr>
          </w:p>
          <w:p w:rsidR="002B4194" w:rsidRDefault="002B4194" w:rsidP="00206390">
            <w:pPr>
              <w:pStyle w:val="Marginlie"/>
              <w:rPr>
                <w:lang w:val="en-GB"/>
              </w:rPr>
            </w:pPr>
          </w:p>
          <w:p w:rsidR="00267C51" w:rsidRPr="00742B86" w:rsidRDefault="00206390" w:rsidP="00206390">
            <w:pPr>
              <w:pStyle w:val="Marginlie"/>
              <w:rPr>
                <w:lang w:val="en-GB"/>
              </w:rPr>
            </w:pPr>
            <w:r w:rsidRPr="00742B86">
              <w:rPr>
                <w:lang w:val="en-GB"/>
              </w:rPr>
              <w:t>Outlays on wages especially in the prima</w:t>
            </w:r>
            <w:r w:rsidR="002B4194">
              <w:rPr>
                <w:lang w:val="en-GB"/>
              </w:rPr>
              <w:t xml:space="preserve">ry and secondary education </w:t>
            </w:r>
            <w:r w:rsidRPr="00742B86">
              <w:rPr>
                <w:lang w:val="en-GB"/>
              </w:rPr>
              <w:t>g</w:t>
            </w:r>
            <w:r w:rsidR="002B4194">
              <w:rPr>
                <w:lang w:val="en-GB"/>
              </w:rPr>
              <w:t xml:space="preserve">rew swiftly. Their </w:t>
            </w:r>
            <w:r w:rsidRPr="00742B86">
              <w:rPr>
                <w:lang w:val="en-GB"/>
              </w:rPr>
              <w:t xml:space="preserve">strengthening in health care also had an effect. </w:t>
            </w:r>
          </w:p>
          <w:p w:rsidR="00267C51" w:rsidRPr="00742B86" w:rsidRDefault="00267C51" w:rsidP="00D932B8">
            <w:pPr>
              <w:pStyle w:val="Marginlie"/>
              <w:rPr>
                <w:lang w:val="en-GB"/>
              </w:rPr>
            </w:pP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206390" w:rsidP="00267C51">
            <w:pPr>
              <w:rPr>
                <w:spacing w:val="-5"/>
                <w:lang w:val="en-GB"/>
              </w:rPr>
            </w:pPr>
            <w:r w:rsidRPr="00742B86">
              <w:rPr>
                <w:spacing w:val="-5"/>
                <w:lang w:val="en-GB"/>
              </w:rPr>
              <w:t>Total SB outl</w:t>
            </w:r>
            <w:r w:rsidR="00010B4A" w:rsidRPr="00742B86">
              <w:rPr>
                <w:spacing w:val="-5"/>
                <w:lang w:val="en-GB"/>
              </w:rPr>
              <w:t xml:space="preserve">ays shot by </w:t>
            </w:r>
            <w:r w:rsidR="00267C51" w:rsidRPr="00742B86">
              <w:rPr>
                <w:spacing w:val="-5"/>
                <w:lang w:val="en-GB"/>
              </w:rPr>
              <w:t>18</w:t>
            </w:r>
            <w:r w:rsidR="00010B4A" w:rsidRPr="00742B86">
              <w:rPr>
                <w:spacing w:val="-5"/>
                <w:lang w:val="en-GB"/>
              </w:rPr>
              <w:t>.</w:t>
            </w:r>
            <w:r w:rsidR="00267C51" w:rsidRPr="00742B86">
              <w:rPr>
                <w:spacing w:val="-5"/>
                <w:lang w:val="en-GB"/>
              </w:rPr>
              <w:t>8%</w:t>
            </w:r>
            <w:r w:rsidR="00010B4A" w:rsidRPr="00742B86">
              <w:rPr>
                <w:spacing w:val="-5"/>
                <w:lang w:val="en-GB"/>
              </w:rPr>
              <w:t xml:space="preserve"> year-on-year</w:t>
            </w:r>
            <w:r w:rsidR="00267C51" w:rsidRPr="00742B86">
              <w:rPr>
                <w:spacing w:val="-5"/>
                <w:lang w:val="en-GB"/>
              </w:rPr>
              <w:t xml:space="preserve"> (resp. 291 </w:t>
            </w:r>
            <w:r w:rsidR="00010B4A" w:rsidRPr="00742B86">
              <w:rPr>
                <w:spacing w:val="-5"/>
                <w:lang w:val="en-GB"/>
              </w:rPr>
              <w:t xml:space="preserve">CZK </w:t>
            </w:r>
            <w:proofErr w:type="spellStart"/>
            <w:r w:rsidR="00010B4A" w:rsidRPr="00742B86">
              <w:rPr>
                <w:spacing w:val="-5"/>
                <w:lang w:val="en-GB"/>
              </w:rPr>
              <w:t>bn</w:t>
            </w:r>
            <w:proofErr w:type="spellEnd"/>
            <w:r w:rsidR="00267C51" w:rsidRPr="00742B86">
              <w:rPr>
                <w:spacing w:val="-5"/>
                <w:lang w:val="en-GB"/>
              </w:rPr>
              <w:t>),</w:t>
            </w:r>
            <w:r w:rsidR="00010B4A" w:rsidRPr="00742B86">
              <w:rPr>
                <w:spacing w:val="-5"/>
                <w:lang w:val="en-GB"/>
              </w:rPr>
              <w:t xml:space="preserve"> record rate of growth in the current millennium. Outlays exceeded the original budget anticipations by </w:t>
            </w:r>
            <w:r w:rsidR="00267C51" w:rsidRPr="00742B86">
              <w:rPr>
                <w:spacing w:val="-5"/>
                <w:lang w:val="en-GB"/>
              </w:rPr>
              <w:t>225</w:t>
            </w:r>
            <w:r w:rsidR="00010B4A" w:rsidRPr="00742B86">
              <w:rPr>
                <w:spacing w:val="-5"/>
                <w:lang w:val="en-GB"/>
              </w:rPr>
              <w:t xml:space="preserve"> </w:t>
            </w:r>
            <w:r w:rsidR="002E192A">
              <w:rPr>
                <w:spacing w:val="-5"/>
                <w:lang w:val="en-GB"/>
              </w:rPr>
              <w:t xml:space="preserve">CZK </w:t>
            </w:r>
            <w:r w:rsidR="00010B4A" w:rsidRPr="00742B86">
              <w:rPr>
                <w:spacing w:val="-5"/>
                <w:lang w:val="en-GB"/>
              </w:rPr>
              <w:t xml:space="preserve">bn. Pace of outlays strengthened by a fourth year in a row. Mainly current outlays contributed to the growth last year </w:t>
            </w:r>
            <w:r w:rsidR="00267C51" w:rsidRPr="00742B86">
              <w:rPr>
                <w:spacing w:val="-5"/>
                <w:lang w:val="en-GB"/>
              </w:rPr>
              <w:t>(+258</w:t>
            </w:r>
            <w:r w:rsidR="00010B4A" w:rsidRPr="00742B86">
              <w:rPr>
                <w:spacing w:val="-5"/>
                <w:lang w:val="en-GB"/>
              </w:rPr>
              <w:t xml:space="preserve"> </w:t>
            </w:r>
            <w:proofErr w:type="spellStart"/>
            <w:r w:rsidR="00010B4A" w:rsidRPr="00742B86">
              <w:rPr>
                <w:spacing w:val="-5"/>
                <w:lang w:val="en-GB"/>
              </w:rPr>
              <w:t>bn</w:t>
            </w:r>
            <w:proofErr w:type="spellEnd"/>
            <w:r w:rsidR="00267C51" w:rsidRPr="00742B86">
              <w:rPr>
                <w:spacing w:val="-5"/>
                <w:lang w:val="en-GB"/>
              </w:rPr>
              <w:t>).</w:t>
            </w:r>
            <w:r w:rsidR="00010B4A" w:rsidRPr="00742B86">
              <w:rPr>
                <w:spacing w:val="-5"/>
                <w:lang w:val="en-GB"/>
              </w:rPr>
              <w:t xml:space="preserve"> More than one half of their </w:t>
            </w:r>
            <w:r w:rsidR="003B0ECE">
              <w:rPr>
                <w:spacing w:val="-5"/>
                <w:lang w:val="en-GB"/>
              </w:rPr>
              <w:t xml:space="preserve">last year </w:t>
            </w:r>
            <w:r w:rsidR="00010B4A" w:rsidRPr="00742B86">
              <w:rPr>
                <w:spacing w:val="-5"/>
                <w:lang w:val="en-GB"/>
              </w:rPr>
              <w:t xml:space="preserve">addition was attributed to the </w:t>
            </w:r>
            <w:r w:rsidR="006E0C7B" w:rsidRPr="00742B86">
              <w:rPr>
                <w:spacing w:val="-5"/>
                <w:lang w:val="en-GB"/>
              </w:rPr>
              <w:t xml:space="preserve">outlays associated with the compensation measures </w:t>
            </w:r>
            <w:r w:rsidR="00267C51" w:rsidRPr="00742B86">
              <w:rPr>
                <w:spacing w:val="-5"/>
                <w:lang w:val="en-GB"/>
              </w:rPr>
              <w:t>(</w:t>
            </w:r>
            <w:r w:rsidR="006E0C7B" w:rsidRPr="00742B86">
              <w:rPr>
                <w:spacing w:val="-5"/>
                <w:lang w:val="en-GB"/>
              </w:rPr>
              <w:t xml:space="preserve">to businesses, individuals as well as </w:t>
            </w:r>
            <w:r w:rsidR="006E0C7B" w:rsidRPr="00742B86">
              <w:rPr>
                <w:spacing w:val="-5"/>
                <w:lang w:val="en-GB"/>
              </w:rPr>
              <w:lastRenderedPageBreak/>
              <w:t>municipalities</w:t>
            </w:r>
            <w:r w:rsidR="00267C51" w:rsidRPr="00742B86">
              <w:rPr>
                <w:spacing w:val="-5"/>
                <w:lang w:val="en-GB"/>
              </w:rPr>
              <w:t>)</w:t>
            </w:r>
            <w:r w:rsidR="006E0C7B" w:rsidRPr="00742B86">
              <w:rPr>
                <w:spacing w:val="-5"/>
                <w:lang w:val="en-GB"/>
              </w:rPr>
              <w:t xml:space="preserve"> or support of the burdened both health and social system</w:t>
            </w:r>
            <w:r w:rsidR="00267C51" w:rsidRPr="00742B86">
              <w:rPr>
                <w:rStyle w:val="Znakapoznpodarou"/>
                <w:spacing w:val="-5"/>
                <w:lang w:val="en-GB"/>
              </w:rPr>
              <w:footnoteReference w:id="75"/>
            </w:r>
            <w:r w:rsidR="00267C51" w:rsidRPr="00742B86">
              <w:rPr>
                <w:spacing w:val="-5"/>
                <w:lang w:val="en-GB"/>
              </w:rPr>
              <w:t xml:space="preserve">. </w:t>
            </w:r>
            <w:r w:rsidR="006E0C7B" w:rsidRPr="00742B86">
              <w:rPr>
                <w:spacing w:val="-5"/>
                <w:lang w:val="en-GB"/>
              </w:rPr>
              <w:t xml:space="preserve">Year-on-year rate of growth of the current outlays gained intensity during the year </w:t>
            </w:r>
            <w:r w:rsidR="00267C51" w:rsidRPr="00742B86">
              <w:rPr>
                <w:spacing w:val="-5"/>
                <w:lang w:val="en-GB"/>
              </w:rPr>
              <w:t xml:space="preserve">– </w:t>
            </w:r>
            <w:r w:rsidR="006E0C7B" w:rsidRPr="00742B86">
              <w:rPr>
                <w:spacing w:val="-5"/>
                <w:lang w:val="en-GB"/>
              </w:rPr>
              <w:t xml:space="preserve">from </w:t>
            </w:r>
            <w:r w:rsidR="00267C51" w:rsidRPr="00742B86">
              <w:rPr>
                <w:spacing w:val="-5"/>
                <w:lang w:val="en-GB"/>
              </w:rPr>
              <w:t>12</w:t>
            </w:r>
            <w:r w:rsidR="006E0C7B" w:rsidRPr="00742B86">
              <w:rPr>
                <w:spacing w:val="-5"/>
                <w:lang w:val="en-GB"/>
              </w:rPr>
              <w:t>.</w:t>
            </w:r>
            <w:r w:rsidR="00267C51" w:rsidRPr="00742B86">
              <w:rPr>
                <w:spacing w:val="-5"/>
                <w:lang w:val="en-GB"/>
              </w:rPr>
              <w:t>4%</w:t>
            </w:r>
            <w:r w:rsidR="006E0C7B" w:rsidRPr="00742B86">
              <w:rPr>
                <w:spacing w:val="-5"/>
                <w:lang w:val="en-GB"/>
              </w:rPr>
              <w:t xml:space="preserve"> in Q</w:t>
            </w:r>
            <w:r w:rsidR="00267C51" w:rsidRPr="00742B86">
              <w:rPr>
                <w:spacing w:val="-5"/>
                <w:lang w:val="en-GB"/>
              </w:rPr>
              <w:t>1</w:t>
            </w:r>
            <w:r w:rsidR="006E0C7B" w:rsidRPr="00742B86">
              <w:rPr>
                <w:spacing w:val="-5"/>
                <w:lang w:val="en-GB"/>
              </w:rPr>
              <w:t xml:space="preserve"> to </w:t>
            </w:r>
            <w:r w:rsidR="00267C51" w:rsidRPr="00742B86">
              <w:rPr>
                <w:spacing w:val="-5"/>
                <w:lang w:val="en-GB"/>
              </w:rPr>
              <w:t>24</w:t>
            </w:r>
            <w:r w:rsidR="006E0C7B" w:rsidRPr="00742B86">
              <w:rPr>
                <w:spacing w:val="-5"/>
                <w:lang w:val="en-GB"/>
              </w:rPr>
              <w:t>.</w:t>
            </w:r>
            <w:r w:rsidR="00267C51" w:rsidRPr="00742B86">
              <w:rPr>
                <w:spacing w:val="-5"/>
                <w:lang w:val="en-GB"/>
              </w:rPr>
              <w:t>5%</w:t>
            </w:r>
            <w:r w:rsidR="006E0C7B" w:rsidRPr="00742B86">
              <w:rPr>
                <w:spacing w:val="-5"/>
                <w:lang w:val="en-GB"/>
              </w:rPr>
              <w:t xml:space="preserve"> in the last quarter of the year. </w:t>
            </w:r>
            <w:r w:rsidR="001D62E0" w:rsidRPr="00742B86">
              <w:rPr>
                <w:spacing w:val="-5"/>
                <w:lang w:val="en-GB"/>
              </w:rPr>
              <w:t xml:space="preserve">Non-investment transfers to business entities </w:t>
            </w:r>
            <w:r w:rsidR="00267C51" w:rsidRPr="00742B86">
              <w:rPr>
                <w:color w:val="0D0D0D" w:themeColor="text1" w:themeTint="F2"/>
                <w:spacing w:val="-5"/>
                <w:lang w:val="en-GB"/>
              </w:rPr>
              <w:t>(+</w:t>
            </w:r>
            <w:r w:rsidR="00267C51" w:rsidRPr="00742B86">
              <w:rPr>
                <w:spacing w:val="-5"/>
                <w:lang w:val="en-GB"/>
              </w:rPr>
              <w:t>84%, resp. 49 </w:t>
            </w:r>
            <w:r w:rsidR="001D62E0" w:rsidRPr="00742B86">
              <w:rPr>
                <w:spacing w:val="-5"/>
                <w:lang w:val="en-GB"/>
              </w:rPr>
              <w:t xml:space="preserve">CZK </w:t>
            </w:r>
            <w:proofErr w:type="spellStart"/>
            <w:r w:rsidR="001D62E0" w:rsidRPr="00742B86">
              <w:rPr>
                <w:spacing w:val="-5"/>
                <w:lang w:val="en-GB"/>
              </w:rPr>
              <w:t>bn</w:t>
            </w:r>
            <w:proofErr w:type="spellEnd"/>
            <w:r w:rsidR="00267C51" w:rsidRPr="00742B86">
              <w:rPr>
                <w:spacing w:val="-5"/>
                <w:lang w:val="en-GB"/>
              </w:rPr>
              <w:t>),</w:t>
            </w:r>
            <w:r w:rsidR="001D62E0" w:rsidRPr="00742B86">
              <w:rPr>
                <w:spacing w:val="-5"/>
                <w:lang w:val="en-GB"/>
              </w:rPr>
              <w:t xml:space="preserve"> which concentrated </w:t>
            </w:r>
            <w:r w:rsidR="003B0ECE">
              <w:rPr>
                <w:spacing w:val="-5"/>
                <w:lang w:val="en-GB"/>
              </w:rPr>
              <w:t>significant part of the anti-</w:t>
            </w:r>
            <w:r w:rsidR="001D62E0" w:rsidRPr="00742B86">
              <w:rPr>
                <w:spacing w:val="-5"/>
                <w:lang w:val="en-GB"/>
              </w:rPr>
              <w:t xml:space="preserve">pandemic support measures </w:t>
            </w:r>
            <w:r w:rsidR="00267C51" w:rsidRPr="00742B86">
              <w:rPr>
                <w:spacing w:val="-5"/>
                <w:lang w:val="en-GB"/>
              </w:rPr>
              <w:t>(</w:t>
            </w:r>
            <w:r w:rsidR="001D62E0" w:rsidRPr="00742B86">
              <w:rPr>
                <w:spacing w:val="-5"/>
                <w:lang w:val="en-GB"/>
              </w:rPr>
              <w:t xml:space="preserve">compensation of part of the wage to employees within the Antivirus programme, support of businesses in the most hit branches, extraordinary wage growth in the private </w:t>
            </w:r>
            <w:r w:rsidR="00FA6084" w:rsidRPr="00742B86">
              <w:rPr>
                <w:spacing w:val="-5"/>
                <w:lang w:val="en-GB"/>
              </w:rPr>
              <w:t>hospitals</w:t>
            </w:r>
            <w:r w:rsidR="00267C51" w:rsidRPr="00742B86">
              <w:rPr>
                <w:spacing w:val="-5"/>
                <w:lang w:val="en-GB"/>
              </w:rPr>
              <w:t>)</w:t>
            </w:r>
            <w:r w:rsidR="001D62E0" w:rsidRPr="00742B86">
              <w:rPr>
                <w:spacing w:val="-5"/>
                <w:lang w:val="en-GB"/>
              </w:rPr>
              <w:t xml:space="preserve"> grew the most among the current outlays for the whole year 2020</w:t>
            </w:r>
            <w:r w:rsidR="00267C51" w:rsidRPr="00742B86">
              <w:rPr>
                <w:spacing w:val="-5"/>
                <w:lang w:val="en-GB"/>
              </w:rPr>
              <w:t xml:space="preserve">. </w:t>
            </w:r>
            <w:r w:rsidR="001D62E0" w:rsidRPr="00742B86">
              <w:rPr>
                <w:spacing w:val="-5"/>
                <w:lang w:val="en-GB"/>
              </w:rPr>
              <w:t xml:space="preserve">Current transfers to regional budgets also increased </w:t>
            </w:r>
            <w:r w:rsidR="00267C51" w:rsidRPr="00742B86">
              <w:rPr>
                <w:spacing w:val="-5"/>
                <w:lang w:val="en-GB"/>
              </w:rPr>
              <w:t>(+40 </w:t>
            </w:r>
            <w:proofErr w:type="spellStart"/>
            <w:r w:rsidR="001D62E0" w:rsidRPr="00742B86">
              <w:rPr>
                <w:spacing w:val="-5"/>
                <w:lang w:val="en-GB"/>
              </w:rPr>
              <w:t>bn</w:t>
            </w:r>
            <w:proofErr w:type="spellEnd"/>
            <w:r w:rsidR="00267C51" w:rsidRPr="00742B86">
              <w:rPr>
                <w:spacing w:val="-5"/>
                <w:lang w:val="en-GB"/>
              </w:rPr>
              <w:t>),</w:t>
            </w:r>
            <w:r w:rsidR="001D62E0" w:rsidRPr="00742B86">
              <w:rPr>
                <w:spacing w:val="-5"/>
                <w:lang w:val="en-GB"/>
              </w:rPr>
              <w:t xml:space="preserve"> primarily thanks to the planned </w:t>
            </w:r>
            <w:r w:rsidR="00FA6084" w:rsidRPr="00742B86">
              <w:rPr>
                <w:spacing w:val="-5"/>
                <w:lang w:val="en-GB"/>
              </w:rPr>
              <w:t xml:space="preserve">increase of the outlays on wages of primary and secondary education employees </w:t>
            </w:r>
            <w:proofErr w:type="gramStart"/>
            <w:r w:rsidR="00FA6084" w:rsidRPr="00742B86">
              <w:rPr>
                <w:spacing w:val="-5"/>
                <w:lang w:val="en-GB"/>
              </w:rPr>
              <w:t>and also</w:t>
            </w:r>
            <w:proofErr w:type="gramEnd"/>
            <w:r w:rsidR="00FA6084" w:rsidRPr="00742B86">
              <w:rPr>
                <w:spacing w:val="-5"/>
                <w:lang w:val="en-GB"/>
              </w:rPr>
              <w:t xml:space="preserve"> in the area of social care. </w:t>
            </w:r>
            <w:r w:rsidR="001978BE" w:rsidRPr="00742B86">
              <w:rPr>
                <w:spacing w:val="-5"/>
                <w:lang w:val="en-GB"/>
              </w:rPr>
              <w:t xml:space="preserve">Provision of extraordinary allowance to municipalities to mitigate the impacts of the reduced tax incomes also had an effect. By 25 </w:t>
            </w:r>
            <w:r w:rsidR="003B0ECE">
              <w:rPr>
                <w:spacing w:val="-5"/>
                <w:lang w:val="en-GB"/>
              </w:rPr>
              <w:t xml:space="preserve">CZK </w:t>
            </w:r>
            <w:proofErr w:type="spellStart"/>
            <w:proofErr w:type="gramStart"/>
            <w:r w:rsidR="001978BE" w:rsidRPr="00742B86">
              <w:rPr>
                <w:spacing w:val="-5"/>
                <w:lang w:val="en-GB"/>
              </w:rPr>
              <w:t>bn</w:t>
            </w:r>
            <w:proofErr w:type="spellEnd"/>
            <w:proofErr w:type="gramEnd"/>
            <w:r w:rsidR="001978BE" w:rsidRPr="00742B86">
              <w:rPr>
                <w:spacing w:val="-5"/>
                <w:lang w:val="en-GB"/>
              </w:rPr>
              <w:t xml:space="preserve"> more were channelled into the funds of the state and public health insurance</w:t>
            </w:r>
            <w:r w:rsidR="00267C51" w:rsidRPr="00742B86">
              <w:rPr>
                <w:spacing w:val="-5"/>
                <w:lang w:val="en-GB"/>
              </w:rPr>
              <w:t xml:space="preserve">, </w:t>
            </w:r>
            <w:r w:rsidR="001978BE" w:rsidRPr="00742B86">
              <w:rPr>
                <w:spacing w:val="-5"/>
                <w:lang w:val="en-GB"/>
              </w:rPr>
              <w:t>mainly thanks to the increased payments per so called person with state medical insurance</w:t>
            </w:r>
            <w:r w:rsidR="003B0ECE">
              <w:rPr>
                <w:spacing w:val="-5"/>
                <w:lang w:val="en-GB"/>
              </w:rPr>
              <w:t xml:space="preserve"> (e.g. children, students, old-age pensioners)</w:t>
            </w:r>
            <w:r w:rsidR="001978BE" w:rsidRPr="00742B86">
              <w:rPr>
                <w:spacing w:val="-5"/>
                <w:lang w:val="en-GB"/>
              </w:rPr>
              <w:t xml:space="preserve">. Current outlays on state funds </w:t>
            </w:r>
            <w:r w:rsidR="00267C51" w:rsidRPr="00742B86">
              <w:rPr>
                <w:spacing w:val="-5"/>
                <w:lang w:val="en-GB"/>
              </w:rPr>
              <w:t>(</w:t>
            </w:r>
            <w:r w:rsidR="001978BE" w:rsidRPr="00742B86">
              <w:rPr>
                <w:spacing w:val="-5"/>
                <w:lang w:val="en-GB"/>
              </w:rPr>
              <w:t>mainly into the transport  infrastructure and agriculture</w:t>
            </w:r>
            <w:r w:rsidR="00267C51" w:rsidRPr="00742B86">
              <w:rPr>
                <w:spacing w:val="-5"/>
                <w:lang w:val="en-GB"/>
              </w:rPr>
              <w:t xml:space="preserve">) </w:t>
            </w:r>
            <w:r w:rsidR="001978BE" w:rsidRPr="00742B86">
              <w:rPr>
                <w:spacing w:val="-5"/>
                <w:lang w:val="en-GB"/>
              </w:rPr>
              <w:t xml:space="preserve">and state funded organisations </w:t>
            </w:r>
            <w:r w:rsidR="00267C51" w:rsidRPr="00742B86">
              <w:rPr>
                <w:spacing w:val="-5"/>
                <w:lang w:val="en-GB"/>
              </w:rPr>
              <w:t>(</w:t>
            </w:r>
            <w:r w:rsidR="001978BE" w:rsidRPr="00742B86">
              <w:rPr>
                <w:spacing w:val="-5"/>
                <w:lang w:val="en-GB"/>
              </w:rPr>
              <w:t xml:space="preserve">debt relief of selected hospitals and also extraordinary increase of wage outlays in the </w:t>
            </w:r>
            <w:r w:rsidR="006B4A4F" w:rsidRPr="00742B86">
              <w:rPr>
                <w:spacing w:val="-5"/>
                <w:lang w:val="en-GB"/>
              </w:rPr>
              <w:t>inpatient hospital care)</w:t>
            </w:r>
            <w:r w:rsidR="001978BE" w:rsidRPr="00742B86">
              <w:rPr>
                <w:spacing w:val="-5"/>
                <w:lang w:val="en-GB"/>
              </w:rPr>
              <w:t xml:space="preserve"> strengthened similarly by 15 bn</w:t>
            </w:r>
            <w:r w:rsidR="00267C51" w:rsidRPr="00742B86">
              <w:rPr>
                <w:spacing w:val="-5"/>
                <w:lang w:val="en-GB"/>
              </w:rPr>
              <w:t xml:space="preserve">. </w:t>
            </w:r>
            <w:r w:rsidR="005278E5" w:rsidRPr="00742B86">
              <w:rPr>
                <w:spacing w:val="-5"/>
                <w:lang w:val="en-GB"/>
              </w:rPr>
              <w:t>Higher outlays on non-investment purchases</w:t>
            </w:r>
            <w:r w:rsidR="00FC4431">
              <w:rPr>
                <w:spacing w:val="-5"/>
                <w:lang w:val="en-GB"/>
              </w:rPr>
              <w:t xml:space="preserve"> were also linked to the anti-</w:t>
            </w:r>
            <w:r w:rsidR="005278E5" w:rsidRPr="00742B86">
              <w:rPr>
                <w:spacing w:val="-5"/>
                <w:lang w:val="en-GB"/>
              </w:rPr>
              <w:t xml:space="preserve"> pandemic measures</w:t>
            </w:r>
            <w:r w:rsidR="00267C51" w:rsidRPr="00742B86">
              <w:rPr>
                <w:rStyle w:val="Znakapoznpodarou"/>
                <w:spacing w:val="-5"/>
                <w:lang w:val="en-GB"/>
              </w:rPr>
              <w:footnoteReference w:id="76"/>
            </w:r>
            <w:r w:rsidR="00267C51" w:rsidRPr="00742B86">
              <w:rPr>
                <w:spacing w:val="-5"/>
                <w:lang w:val="en-GB"/>
              </w:rPr>
              <w:t xml:space="preserve"> (+11 </w:t>
            </w:r>
            <w:proofErr w:type="spellStart"/>
            <w:r w:rsidR="00396F82" w:rsidRPr="00742B86">
              <w:rPr>
                <w:spacing w:val="-5"/>
                <w:lang w:val="en-GB"/>
              </w:rPr>
              <w:t>bn</w:t>
            </w:r>
            <w:proofErr w:type="spellEnd"/>
            <w:r w:rsidR="00267C51" w:rsidRPr="00742B86">
              <w:rPr>
                <w:spacing w:val="-5"/>
                <w:lang w:val="en-GB"/>
              </w:rPr>
              <w:t>),</w:t>
            </w:r>
            <w:r w:rsidR="005278E5" w:rsidRPr="00742B86">
              <w:rPr>
                <w:spacing w:val="-5"/>
                <w:lang w:val="en-GB"/>
              </w:rPr>
              <w:t xml:space="preserve"> </w:t>
            </w:r>
            <w:r w:rsidR="00267C51" w:rsidRPr="00742B86">
              <w:rPr>
                <w:spacing w:val="-5"/>
                <w:lang w:val="en-GB"/>
              </w:rPr>
              <w:t>prim</w:t>
            </w:r>
            <w:r w:rsidR="005278E5" w:rsidRPr="00742B86">
              <w:rPr>
                <w:spacing w:val="-5"/>
                <w:lang w:val="en-GB"/>
              </w:rPr>
              <w:t xml:space="preserve">arily on the acquirement of protective aids. Higher outlays on the wages in the </w:t>
            </w:r>
            <w:r w:rsidR="00396F82" w:rsidRPr="00742B86">
              <w:rPr>
                <w:spacing w:val="-5"/>
                <w:lang w:val="en-GB"/>
              </w:rPr>
              <w:t xml:space="preserve">state organisation divisions </w:t>
            </w:r>
            <w:r w:rsidR="00267C51" w:rsidRPr="00742B86">
              <w:rPr>
                <w:spacing w:val="-5"/>
                <w:lang w:val="en-GB"/>
              </w:rPr>
              <w:t>(+6 </w:t>
            </w:r>
            <w:proofErr w:type="spellStart"/>
            <w:r w:rsidR="00396F82" w:rsidRPr="00742B86">
              <w:rPr>
                <w:spacing w:val="-5"/>
                <w:lang w:val="en-GB"/>
              </w:rPr>
              <w:t>bn</w:t>
            </w:r>
            <w:proofErr w:type="spellEnd"/>
            <w:r w:rsidR="00267C51" w:rsidRPr="00742B86">
              <w:rPr>
                <w:spacing w:val="-5"/>
                <w:lang w:val="en-GB"/>
              </w:rPr>
              <w:t>)</w:t>
            </w:r>
            <w:r w:rsidR="00396F82" w:rsidRPr="00742B86">
              <w:rPr>
                <w:spacing w:val="-5"/>
                <w:lang w:val="en-GB"/>
              </w:rPr>
              <w:t xml:space="preserve"> were partially associated with higher work performance in the selected areas </w:t>
            </w:r>
            <w:r w:rsidR="00267C51" w:rsidRPr="00742B86">
              <w:rPr>
                <w:spacing w:val="-5"/>
                <w:lang w:val="en-GB"/>
              </w:rPr>
              <w:t>(polic</w:t>
            </w:r>
            <w:r w:rsidR="00396F82" w:rsidRPr="00742B86">
              <w:rPr>
                <w:spacing w:val="-5"/>
                <w:lang w:val="en-GB"/>
              </w:rPr>
              <w:t>e, army, hygienic station</w:t>
            </w:r>
            <w:r w:rsidR="00FC4431">
              <w:rPr>
                <w:spacing w:val="-5"/>
                <w:lang w:val="en-GB"/>
              </w:rPr>
              <w:t>s</w:t>
            </w:r>
            <w:r w:rsidR="00267C51" w:rsidRPr="00742B86">
              <w:rPr>
                <w:spacing w:val="-5"/>
                <w:lang w:val="en-GB"/>
              </w:rPr>
              <w:t xml:space="preserve">). </w:t>
            </w:r>
            <w:r w:rsidR="00396F82" w:rsidRPr="00742B86">
              <w:rPr>
                <w:spacing w:val="-5"/>
                <w:lang w:val="en-GB"/>
              </w:rPr>
              <w:t xml:space="preserve"> Transfers of own SB resources into the EU budget grew by more than one fifth </w:t>
            </w:r>
            <w:r w:rsidR="00267C51" w:rsidRPr="00742B86">
              <w:rPr>
                <w:spacing w:val="-5"/>
                <w:lang w:val="en-GB"/>
              </w:rPr>
              <w:t>(</w:t>
            </w:r>
            <w:r w:rsidR="00396F82" w:rsidRPr="00742B86">
              <w:rPr>
                <w:spacing w:val="-5"/>
                <w:lang w:val="en-GB"/>
              </w:rPr>
              <w:t xml:space="preserve">to </w:t>
            </w:r>
            <w:r w:rsidR="00267C51" w:rsidRPr="00742B86">
              <w:rPr>
                <w:spacing w:val="-5"/>
                <w:lang w:val="en-GB"/>
              </w:rPr>
              <w:t>54</w:t>
            </w:r>
            <w:r w:rsidR="00396F82" w:rsidRPr="00742B86">
              <w:rPr>
                <w:spacing w:val="-5"/>
                <w:lang w:val="en-GB"/>
              </w:rPr>
              <w:t xml:space="preserve"> CZK </w:t>
            </w:r>
            <w:proofErr w:type="spellStart"/>
            <w:r w:rsidR="00396F82" w:rsidRPr="00742B86">
              <w:rPr>
                <w:spacing w:val="-5"/>
                <w:lang w:val="en-GB"/>
              </w:rPr>
              <w:t>bn</w:t>
            </w:r>
            <w:proofErr w:type="spellEnd"/>
            <w:r w:rsidR="00267C51" w:rsidRPr="00742B86">
              <w:rPr>
                <w:spacing w:val="-5"/>
                <w:lang w:val="en-GB"/>
              </w:rPr>
              <w:t>).</w:t>
            </w:r>
          </w:p>
        </w:tc>
      </w:tr>
      <w:tr w:rsidR="00267C51" w:rsidRPr="00742B86" w:rsidTr="00D70BBF">
        <w:trPr>
          <w:trHeight w:val="145"/>
        </w:trPr>
        <w:tc>
          <w:tcPr>
            <w:tcW w:w="1583" w:type="dxa"/>
            <w:shd w:val="clear" w:color="auto" w:fill="auto"/>
            <w:tcMar>
              <w:left w:w="0" w:type="dxa"/>
            </w:tcMar>
          </w:tcPr>
          <w:p w:rsidR="00267C51" w:rsidRPr="00742B86" w:rsidRDefault="002264F7" w:rsidP="00D932B8">
            <w:pPr>
              <w:pStyle w:val="Marginlie"/>
              <w:rPr>
                <w:lang w:val="en-GB"/>
              </w:rPr>
            </w:pPr>
            <w:r w:rsidRPr="00742B86">
              <w:rPr>
                <w:lang w:val="en-GB"/>
              </w:rPr>
              <w:lastRenderedPageBreak/>
              <w:t xml:space="preserve">Growth pace of the outlays on social benefits strengthened. Their proportion on all SB outlays however fell for the fourth year in a row. </w:t>
            </w: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67C51" w:rsidP="00D932B8">
            <w:pPr>
              <w:pStyle w:val="Marginlie"/>
              <w:rPr>
                <w:lang w:val="en-GB"/>
              </w:rPr>
            </w:pPr>
          </w:p>
          <w:p w:rsidR="00267C51" w:rsidRPr="00742B86" w:rsidRDefault="002264F7" w:rsidP="00D932B8">
            <w:pPr>
              <w:pStyle w:val="Marginlie"/>
              <w:rPr>
                <w:lang w:val="en-GB"/>
              </w:rPr>
            </w:pPr>
            <w:r w:rsidRPr="00742B86">
              <w:rPr>
                <w:lang w:val="en-GB"/>
              </w:rPr>
              <w:t xml:space="preserve">Outlays on pensions accelerated, revenues of the pension insurance in contrast fell for the first time since year </w:t>
            </w:r>
            <w:r w:rsidR="00267C51" w:rsidRPr="00742B86">
              <w:rPr>
                <w:lang w:val="en-GB"/>
              </w:rPr>
              <w:t>2009.</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1E3E5B" w:rsidP="00267C51">
            <w:pPr>
              <w:rPr>
                <w:spacing w:val="-5"/>
                <w:highlight w:val="yellow"/>
                <w:lang w:val="en-GB"/>
              </w:rPr>
            </w:pPr>
            <w:r w:rsidRPr="00742B86">
              <w:rPr>
                <w:spacing w:val="-5"/>
                <w:lang w:val="en-GB"/>
              </w:rPr>
              <w:t xml:space="preserve">Social benefits, whose volume was by </w:t>
            </w:r>
            <w:r w:rsidR="00267C51" w:rsidRPr="00742B86">
              <w:rPr>
                <w:spacing w:val="-5"/>
                <w:lang w:val="en-GB"/>
              </w:rPr>
              <w:t>14</w:t>
            </w:r>
            <w:r w:rsidRPr="00742B86">
              <w:rPr>
                <w:spacing w:val="-5"/>
                <w:lang w:val="en-GB"/>
              </w:rPr>
              <w:t>.</w:t>
            </w:r>
            <w:r w:rsidR="00267C51" w:rsidRPr="00742B86">
              <w:rPr>
                <w:spacing w:val="-5"/>
                <w:lang w:val="en-GB"/>
              </w:rPr>
              <w:t>2%</w:t>
            </w:r>
            <w:r w:rsidRPr="00742B86">
              <w:rPr>
                <w:spacing w:val="-5"/>
                <w:lang w:val="en-GB"/>
              </w:rPr>
              <w:t xml:space="preserve"> </w:t>
            </w:r>
            <w:r w:rsidR="00267C51" w:rsidRPr="00742B86">
              <w:rPr>
                <w:spacing w:val="-5"/>
                <w:lang w:val="en-GB"/>
              </w:rPr>
              <w:t>(resp. 85</w:t>
            </w:r>
            <w:r w:rsidRPr="00742B86">
              <w:rPr>
                <w:spacing w:val="-5"/>
                <w:lang w:val="en-GB"/>
              </w:rPr>
              <w:t>.</w:t>
            </w:r>
            <w:r w:rsidR="00267C51" w:rsidRPr="00742B86">
              <w:rPr>
                <w:spacing w:val="-5"/>
                <w:lang w:val="en-GB"/>
              </w:rPr>
              <w:t>2</w:t>
            </w:r>
            <w:r w:rsidRPr="00742B86">
              <w:rPr>
                <w:spacing w:val="-5"/>
                <w:lang w:val="en-GB"/>
              </w:rPr>
              <w:t xml:space="preserve"> CZK </w:t>
            </w:r>
            <w:proofErr w:type="spellStart"/>
            <w:r w:rsidRPr="00742B86">
              <w:rPr>
                <w:spacing w:val="-5"/>
                <w:lang w:val="en-GB"/>
              </w:rPr>
              <w:t>bn</w:t>
            </w:r>
            <w:proofErr w:type="spellEnd"/>
            <w:r w:rsidR="00267C51" w:rsidRPr="00742B86">
              <w:rPr>
                <w:spacing w:val="-5"/>
                <w:lang w:val="en-GB"/>
              </w:rPr>
              <w:t xml:space="preserve">) </w:t>
            </w:r>
            <w:r w:rsidRPr="00742B86">
              <w:rPr>
                <w:spacing w:val="-5"/>
                <w:lang w:val="en-GB"/>
              </w:rPr>
              <w:t>higher year-on-year, significantly contributed to the current SB outlays last year</w:t>
            </w:r>
            <w:r w:rsidR="00267C51" w:rsidRPr="00742B86">
              <w:rPr>
                <w:spacing w:val="-5"/>
                <w:lang w:val="en-GB"/>
              </w:rPr>
              <w:t xml:space="preserve">. </w:t>
            </w:r>
            <w:r w:rsidRPr="00742B86">
              <w:rPr>
                <w:spacing w:val="-5"/>
                <w:lang w:val="en-GB"/>
              </w:rPr>
              <w:t xml:space="preserve">Even though it represented a record pace in the current millennium, the proportion of social benefits on all SB outlays has been decreasing for the fourth year in a row </w:t>
            </w:r>
            <w:r w:rsidR="00267C51" w:rsidRPr="00742B86">
              <w:rPr>
                <w:spacing w:val="-5"/>
                <w:lang w:val="en-GB"/>
              </w:rPr>
              <w:t>(</w:t>
            </w:r>
            <w:r w:rsidRPr="00742B86">
              <w:rPr>
                <w:spacing w:val="-5"/>
                <w:lang w:val="en-GB"/>
              </w:rPr>
              <w:t xml:space="preserve">to </w:t>
            </w:r>
            <w:r w:rsidR="00267C51" w:rsidRPr="00742B86">
              <w:rPr>
                <w:spacing w:val="-5"/>
                <w:lang w:val="en-GB"/>
              </w:rPr>
              <w:t>37</w:t>
            </w:r>
            <w:r w:rsidRPr="00742B86">
              <w:rPr>
                <w:spacing w:val="-5"/>
                <w:lang w:val="en-GB"/>
              </w:rPr>
              <w:t>.</w:t>
            </w:r>
            <w:r w:rsidR="00267C51" w:rsidRPr="00742B86">
              <w:rPr>
                <w:spacing w:val="-5"/>
                <w:lang w:val="en-GB"/>
              </w:rPr>
              <w:t>3%).</w:t>
            </w:r>
            <w:r w:rsidRPr="00742B86">
              <w:rPr>
                <w:spacing w:val="-5"/>
                <w:lang w:val="en-GB"/>
              </w:rPr>
              <w:t xml:space="preserve"> While in both Q</w:t>
            </w:r>
            <w:r w:rsidR="00267C51" w:rsidRPr="00742B86">
              <w:rPr>
                <w:spacing w:val="-5"/>
                <w:lang w:val="en-GB"/>
              </w:rPr>
              <w:t>1</w:t>
            </w:r>
            <w:r w:rsidRPr="00742B86">
              <w:rPr>
                <w:spacing w:val="-5"/>
                <w:lang w:val="en-GB"/>
              </w:rPr>
              <w:t xml:space="preserve"> to </w:t>
            </w:r>
            <w:r w:rsidR="00FC4431">
              <w:rPr>
                <w:spacing w:val="-5"/>
                <w:lang w:val="en-GB"/>
              </w:rPr>
              <w:t>Q</w:t>
            </w:r>
            <w:r w:rsidR="00267C51" w:rsidRPr="00742B86">
              <w:rPr>
                <w:spacing w:val="-5"/>
                <w:lang w:val="en-GB"/>
              </w:rPr>
              <w:t>3</w:t>
            </w:r>
            <w:r w:rsidRPr="00742B86">
              <w:rPr>
                <w:spacing w:val="-5"/>
                <w:lang w:val="en-GB"/>
              </w:rPr>
              <w:t xml:space="preserve"> </w:t>
            </w:r>
            <w:r w:rsidR="00267C51" w:rsidRPr="00742B86">
              <w:rPr>
                <w:spacing w:val="-5"/>
                <w:lang w:val="en-GB"/>
              </w:rPr>
              <w:t>2020</w:t>
            </w:r>
            <w:r w:rsidRPr="00742B86">
              <w:rPr>
                <w:spacing w:val="-5"/>
                <w:lang w:val="en-GB"/>
              </w:rPr>
              <w:t xml:space="preserve">, their growth </w:t>
            </w:r>
            <w:proofErr w:type="gramStart"/>
            <w:r w:rsidRPr="00742B86">
              <w:rPr>
                <w:spacing w:val="-5"/>
                <w:lang w:val="en-GB"/>
              </w:rPr>
              <w:t>was driven</w:t>
            </w:r>
            <w:proofErr w:type="gramEnd"/>
            <w:r w:rsidRPr="00742B86">
              <w:rPr>
                <w:spacing w:val="-5"/>
                <w:lang w:val="en-GB"/>
              </w:rPr>
              <w:t xml:space="preserve"> by the non-pension benefits</w:t>
            </w:r>
            <w:r w:rsidR="00742B86" w:rsidRPr="00742B86">
              <w:rPr>
                <w:spacing w:val="-5"/>
                <w:lang w:val="en-GB"/>
              </w:rPr>
              <w:t>, in</w:t>
            </w:r>
            <w:r w:rsidR="00C32C4E" w:rsidRPr="00742B86">
              <w:rPr>
                <w:spacing w:val="-5"/>
                <w:lang w:val="en-GB"/>
              </w:rPr>
              <w:t xml:space="preserve"> the annual total the role of outlays on pensions proved dominant. It occurred due to the one-off benefit payment </w:t>
            </w:r>
            <w:r w:rsidR="00267C51" w:rsidRPr="00742B86">
              <w:rPr>
                <w:spacing w:val="-5"/>
                <w:lang w:val="en-GB"/>
              </w:rPr>
              <w:t>(</w:t>
            </w:r>
            <w:r w:rsidR="00C32C4E" w:rsidRPr="00742B86">
              <w:rPr>
                <w:spacing w:val="-5"/>
                <w:lang w:val="en-GB"/>
              </w:rPr>
              <w:t>paid out to pension benefits in December</w:t>
            </w:r>
            <w:r w:rsidR="00267C51" w:rsidRPr="00742B86">
              <w:rPr>
                <w:spacing w:val="-5"/>
                <w:lang w:val="en-GB"/>
              </w:rPr>
              <w:t xml:space="preserve">) </w:t>
            </w:r>
            <w:r w:rsidR="00C32C4E" w:rsidRPr="00742B86">
              <w:rPr>
                <w:spacing w:val="-5"/>
                <w:lang w:val="en-GB"/>
              </w:rPr>
              <w:t xml:space="preserve">in the amount of </w:t>
            </w:r>
            <w:r w:rsidR="00267C51" w:rsidRPr="00742B86">
              <w:rPr>
                <w:spacing w:val="-5"/>
                <w:lang w:val="en-GB"/>
              </w:rPr>
              <w:t>15</w:t>
            </w:r>
            <w:r w:rsidR="00C32C4E" w:rsidRPr="00742B86">
              <w:rPr>
                <w:spacing w:val="-5"/>
                <w:lang w:val="en-GB"/>
              </w:rPr>
              <w:t xml:space="preserve"> CZK bn</w:t>
            </w:r>
            <w:r w:rsidR="00267C51" w:rsidRPr="00742B86">
              <w:rPr>
                <w:spacing w:val="-5"/>
                <w:lang w:val="en-GB"/>
              </w:rPr>
              <w:t>.</w:t>
            </w:r>
            <w:r w:rsidR="00C32C4E" w:rsidRPr="00742B86">
              <w:rPr>
                <w:spacing w:val="-5"/>
                <w:lang w:val="en-GB"/>
              </w:rPr>
              <w:t xml:space="preserve"> Outlays on pensions thus with the view to the regular pension adjustment expanded by </w:t>
            </w:r>
            <w:r w:rsidR="00267C51" w:rsidRPr="00742B86">
              <w:rPr>
                <w:spacing w:val="-5"/>
                <w:lang w:val="en-GB"/>
              </w:rPr>
              <w:t>10</w:t>
            </w:r>
            <w:r w:rsidR="00C32C4E" w:rsidRPr="00742B86">
              <w:rPr>
                <w:spacing w:val="-5"/>
                <w:lang w:val="en-GB"/>
              </w:rPr>
              <w:t>.</w:t>
            </w:r>
            <w:r w:rsidR="00267C51" w:rsidRPr="00742B86">
              <w:rPr>
                <w:spacing w:val="-5"/>
                <w:lang w:val="en-GB"/>
              </w:rPr>
              <w:t>2%</w:t>
            </w:r>
            <w:r w:rsidR="00C32C4E" w:rsidRPr="00742B86">
              <w:rPr>
                <w:spacing w:val="-5"/>
                <w:lang w:val="en-GB"/>
              </w:rPr>
              <w:t xml:space="preserve"> last year, the most in the last fourteen years. Number of pension recipients lowered by 0.6% compared to the end of year </w:t>
            </w:r>
            <w:r w:rsidR="00267C51" w:rsidRPr="00742B86">
              <w:rPr>
                <w:spacing w:val="-5"/>
                <w:lang w:val="en-GB"/>
              </w:rPr>
              <w:t>2019</w:t>
            </w:r>
            <w:r w:rsidR="00C32C4E" w:rsidRPr="00742B86">
              <w:rPr>
                <w:spacing w:val="-5"/>
                <w:lang w:val="en-GB"/>
              </w:rPr>
              <w:t xml:space="preserve">, partially presumably </w:t>
            </w:r>
            <w:proofErr w:type="gramStart"/>
            <w:r w:rsidR="00C32C4E" w:rsidRPr="00742B86">
              <w:rPr>
                <w:spacing w:val="-5"/>
                <w:lang w:val="en-GB"/>
              </w:rPr>
              <w:t>as a consequence</w:t>
            </w:r>
            <w:proofErr w:type="gramEnd"/>
            <w:r w:rsidR="00C32C4E" w:rsidRPr="00742B86">
              <w:rPr>
                <w:spacing w:val="-5"/>
                <w:lang w:val="en-GB"/>
              </w:rPr>
              <w:t xml:space="preserve"> of heightened mortality. </w:t>
            </w:r>
            <w:r w:rsidR="00046559" w:rsidRPr="00742B86">
              <w:rPr>
                <w:spacing w:val="-5"/>
                <w:lang w:val="en-GB"/>
              </w:rPr>
              <w:t xml:space="preserve">The revenues of the pension insurance decreased last year </w:t>
            </w:r>
            <w:r w:rsidR="00267C51" w:rsidRPr="00742B86">
              <w:rPr>
                <w:rFonts w:cs="Arial"/>
                <w:color w:val="0D0D0D" w:themeColor="text1" w:themeTint="F2"/>
                <w:spacing w:val="-5"/>
                <w:lang w:val="en-GB"/>
              </w:rPr>
              <w:t>(</w:t>
            </w:r>
            <w:r w:rsidR="00046559" w:rsidRPr="00742B86">
              <w:rPr>
                <w:rFonts w:cs="Arial"/>
                <w:color w:val="0D0D0D" w:themeColor="text1" w:themeTint="F2"/>
                <w:spacing w:val="-5"/>
                <w:lang w:val="en-GB"/>
              </w:rPr>
              <w:t xml:space="preserve">by </w:t>
            </w:r>
            <w:r w:rsidR="00267C51" w:rsidRPr="00742B86">
              <w:rPr>
                <w:rFonts w:cs="Arial"/>
                <w:color w:val="0D0D0D" w:themeColor="text1" w:themeTint="F2"/>
                <w:spacing w:val="-5"/>
                <w:lang w:val="en-GB"/>
              </w:rPr>
              <w:t>2</w:t>
            </w:r>
            <w:r w:rsidR="00046559" w:rsidRPr="00742B86">
              <w:rPr>
                <w:rFonts w:cs="Arial"/>
                <w:color w:val="0D0D0D" w:themeColor="text1" w:themeTint="F2"/>
                <w:spacing w:val="-5"/>
                <w:lang w:val="en-GB"/>
              </w:rPr>
              <w:t>.</w:t>
            </w:r>
            <w:r w:rsidR="00267C51" w:rsidRPr="00742B86">
              <w:rPr>
                <w:rFonts w:cs="Arial"/>
                <w:color w:val="0D0D0D" w:themeColor="text1" w:themeTint="F2"/>
                <w:spacing w:val="-5"/>
                <w:lang w:val="en-GB"/>
              </w:rPr>
              <w:t xml:space="preserve">1%) – </w:t>
            </w:r>
            <w:r w:rsidR="00046559" w:rsidRPr="00742B86">
              <w:rPr>
                <w:rFonts w:cs="Arial"/>
                <w:color w:val="0D0D0D" w:themeColor="text1" w:themeTint="F2"/>
                <w:spacing w:val="-5"/>
                <w:lang w:val="en-GB"/>
              </w:rPr>
              <w:t xml:space="preserve">for the first time since year </w:t>
            </w:r>
            <w:r w:rsidR="00267C51" w:rsidRPr="00742B86">
              <w:rPr>
                <w:rFonts w:cs="Arial"/>
                <w:color w:val="0D0D0D" w:themeColor="text1" w:themeTint="F2"/>
                <w:spacing w:val="-5"/>
                <w:lang w:val="en-GB"/>
              </w:rPr>
              <w:t xml:space="preserve">2009, </w:t>
            </w:r>
            <w:r w:rsidR="00046559" w:rsidRPr="00742B86">
              <w:rPr>
                <w:rFonts w:cs="Arial"/>
                <w:color w:val="0D0D0D" w:themeColor="text1" w:themeTint="F2"/>
                <w:spacing w:val="-5"/>
                <w:lang w:val="en-GB"/>
              </w:rPr>
              <w:t xml:space="preserve">when the decrease amounted even to </w:t>
            </w:r>
            <w:r w:rsidR="00267C51" w:rsidRPr="00742B86">
              <w:rPr>
                <w:rFonts w:cs="Arial"/>
                <w:color w:val="0D0D0D" w:themeColor="text1" w:themeTint="F2"/>
                <w:spacing w:val="-5"/>
                <w:lang w:val="en-GB"/>
              </w:rPr>
              <w:t>3</w:t>
            </w:r>
            <w:r w:rsidR="00046559" w:rsidRPr="00742B86">
              <w:rPr>
                <w:rFonts w:cs="Arial"/>
                <w:color w:val="0D0D0D" w:themeColor="text1" w:themeTint="F2"/>
                <w:spacing w:val="-5"/>
                <w:lang w:val="en-GB"/>
              </w:rPr>
              <w:t>.</w:t>
            </w:r>
            <w:r w:rsidR="00267C51" w:rsidRPr="00742B86">
              <w:rPr>
                <w:rFonts w:cs="Arial"/>
                <w:color w:val="0D0D0D" w:themeColor="text1" w:themeTint="F2"/>
                <w:spacing w:val="-5"/>
                <w:lang w:val="en-GB"/>
              </w:rPr>
              <w:t>0%.</w:t>
            </w:r>
            <w:r w:rsidR="00046559" w:rsidRPr="00742B86">
              <w:rPr>
                <w:rFonts w:cs="Arial"/>
                <w:color w:val="0D0D0D" w:themeColor="text1" w:themeTint="F2"/>
                <w:spacing w:val="-5"/>
                <w:lang w:val="en-GB"/>
              </w:rPr>
              <w:t xml:space="preserve"> </w:t>
            </w:r>
            <w:r w:rsidR="00267C51" w:rsidRPr="00742B86">
              <w:rPr>
                <w:rFonts w:cs="Arial"/>
                <w:color w:val="0D0D0D" w:themeColor="text1" w:themeTint="F2"/>
                <w:spacing w:val="-5"/>
                <w:lang w:val="en-GB"/>
              </w:rPr>
              <w:t xml:space="preserve"> </w:t>
            </w:r>
            <w:r w:rsidR="007B00A4" w:rsidRPr="00742B86">
              <w:rPr>
                <w:rFonts w:cs="Arial"/>
                <w:color w:val="0D0D0D" w:themeColor="text1" w:themeTint="F2"/>
                <w:spacing w:val="-5"/>
                <w:lang w:val="en-GB"/>
              </w:rPr>
              <w:t>Measures to support the small entrepreneurs as well as employers played a major role here</w:t>
            </w:r>
            <w:r w:rsidR="00267C51" w:rsidRPr="00742B86">
              <w:rPr>
                <w:rStyle w:val="Znakapoznpodarou"/>
                <w:color w:val="0D0D0D" w:themeColor="text1" w:themeTint="F2"/>
                <w:spacing w:val="-5"/>
                <w:lang w:val="en-GB"/>
              </w:rPr>
              <w:footnoteReference w:id="77"/>
            </w:r>
            <w:r w:rsidR="00267C51" w:rsidRPr="00742B86">
              <w:rPr>
                <w:rFonts w:cs="Arial"/>
                <w:color w:val="0D0D0D" w:themeColor="text1" w:themeTint="F2"/>
                <w:spacing w:val="-5"/>
                <w:lang w:val="en-GB"/>
              </w:rPr>
              <w:t xml:space="preserve">. </w:t>
            </w:r>
            <w:r w:rsidR="00046559" w:rsidRPr="00742B86">
              <w:rPr>
                <w:rFonts w:cs="Arial"/>
                <w:color w:val="0D0D0D" w:themeColor="text1" w:themeTint="F2"/>
                <w:spacing w:val="-5"/>
                <w:lang w:val="en-GB"/>
              </w:rPr>
              <w:t>Deteriorated situation on the labour market</w:t>
            </w:r>
            <w:r w:rsidR="007B00A4" w:rsidRPr="00742B86">
              <w:rPr>
                <w:rFonts w:cs="Arial"/>
                <w:color w:val="0D0D0D" w:themeColor="text1" w:themeTint="F2"/>
                <w:spacing w:val="-5"/>
                <w:lang w:val="en-GB"/>
              </w:rPr>
              <w:t xml:space="preserve"> (employment reduction, slowdown of the average wage growth</w:t>
            </w:r>
            <w:r w:rsidR="00267C51" w:rsidRPr="00742B86">
              <w:rPr>
                <w:rFonts w:cs="Arial"/>
                <w:color w:val="0D0D0D" w:themeColor="text1" w:themeTint="F2"/>
                <w:spacing w:val="-5"/>
                <w:lang w:val="en-GB"/>
              </w:rPr>
              <w:t>)</w:t>
            </w:r>
            <w:r w:rsidR="00046559" w:rsidRPr="00742B86">
              <w:rPr>
                <w:rFonts w:cs="Arial"/>
                <w:color w:val="0D0D0D" w:themeColor="text1" w:themeTint="F2"/>
                <w:spacing w:val="-5"/>
                <w:lang w:val="en-GB"/>
              </w:rPr>
              <w:t xml:space="preserve"> also played a role</w:t>
            </w:r>
            <w:r w:rsidR="00267C51" w:rsidRPr="00742B86">
              <w:rPr>
                <w:rFonts w:cs="Arial"/>
                <w:color w:val="0D0D0D" w:themeColor="text1" w:themeTint="F2"/>
                <w:spacing w:val="-5"/>
                <w:lang w:val="en-GB"/>
              </w:rPr>
              <w:t>.</w:t>
            </w:r>
            <w:r w:rsidR="00046559" w:rsidRPr="00742B86">
              <w:rPr>
                <w:rFonts w:cs="Arial"/>
                <w:color w:val="0D0D0D" w:themeColor="text1" w:themeTint="F2"/>
                <w:spacing w:val="-5"/>
                <w:lang w:val="en-GB"/>
              </w:rPr>
              <w:t xml:space="preserve"> Pension account balance</w:t>
            </w:r>
            <w:r w:rsidR="00267C51" w:rsidRPr="00742B86">
              <w:rPr>
                <w:rStyle w:val="Znakapoznpodarou"/>
                <w:color w:val="0D0D0D" w:themeColor="text1" w:themeTint="F2"/>
                <w:spacing w:val="-5"/>
                <w:lang w:val="en-GB"/>
              </w:rPr>
              <w:footnoteReference w:id="78"/>
            </w:r>
            <w:r w:rsidR="00046559" w:rsidRPr="00742B86">
              <w:rPr>
                <w:rFonts w:cs="Arial"/>
                <w:color w:val="0D0D0D" w:themeColor="text1" w:themeTint="F2"/>
                <w:spacing w:val="-5"/>
                <w:lang w:val="en-GB"/>
              </w:rPr>
              <w:t xml:space="preserve"> thus following the three surplus </w:t>
            </w:r>
            <w:r w:rsidR="00822F67">
              <w:rPr>
                <w:rFonts w:cs="Arial"/>
                <w:color w:val="0D0D0D" w:themeColor="text1" w:themeTint="F2"/>
                <w:spacing w:val="-5"/>
                <w:lang w:val="en-GB"/>
              </w:rPr>
              <w:t xml:space="preserve">preceding </w:t>
            </w:r>
            <w:r w:rsidR="00046559" w:rsidRPr="00742B86">
              <w:rPr>
                <w:rFonts w:cs="Arial"/>
                <w:color w:val="0D0D0D" w:themeColor="text1" w:themeTint="F2"/>
                <w:spacing w:val="-5"/>
                <w:lang w:val="en-GB"/>
              </w:rPr>
              <w:t xml:space="preserve">years returned to deficit </w:t>
            </w:r>
            <w:r w:rsidR="00267C51" w:rsidRPr="00742B86">
              <w:rPr>
                <w:rFonts w:cs="Arial"/>
                <w:color w:val="0D0D0D" w:themeColor="text1" w:themeTint="F2"/>
                <w:spacing w:val="-5"/>
                <w:lang w:val="en-GB"/>
              </w:rPr>
              <w:t>(35</w:t>
            </w:r>
            <w:r w:rsidR="00046559" w:rsidRPr="00742B86">
              <w:rPr>
                <w:rFonts w:cs="Arial"/>
                <w:color w:val="0D0D0D" w:themeColor="text1" w:themeTint="F2"/>
                <w:spacing w:val="-5"/>
                <w:lang w:val="en-GB"/>
              </w:rPr>
              <w:t>.</w:t>
            </w:r>
            <w:r w:rsidR="00267C51" w:rsidRPr="00742B86">
              <w:rPr>
                <w:rFonts w:cs="Arial"/>
                <w:color w:val="0D0D0D" w:themeColor="text1" w:themeTint="F2"/>
                <w:spacing w:val="-5"/>
                <w:lang w:val="en-GB"/>
              </w:rPr>
              <w:t>9</w:t>
            </w:r>
            <w:r w:rsidR="00046559" w:rsidRPr="00742B86">
              <w:rPr>
                <w:rFonts w:cs="Arial"/>
                <w:color w:val="0D0D0D" w:themeColor="text1" w:themeTint="F2"/>
                <w:spacing w:val="-5"/>
                <w:lang w:val="en-GB"/>
              </w:rPr>
              <w:t xml:space="preserve"> CZK </w:t>
            </w:r>
            <w:proofErr w:type="spellStart"/>
            <w:r w:rsidR="00046559" w:rsidRPr="00742B86">
              <w:rPr>
                <w:rFonts w:cs="Arial"/>
                <w:color w:val="0D0D0D" w:themeColor="text1" w:themeTint="F2"/>
                <w:spacing w:val="-5"/>
                <w:lang w:val="en-GB"/>
              </w:rPr>
              <w:t>bn</w:t>
            </w:r>
            <w:proofErr w:type="spellEnd"/>
            <w:r w:rsidR="00267C51" w:rsidRPr="00742B86">
              <w:rPr>
                <w:rFonts w:cs="Arial"/>
                <w:color w:val="0D0D0D" w:themeColor="text1" w:themeTint="F2"/>
                <w:spacing w:val="-5"/>
                <w:lang w:val="en-GB"/>
              </w:rPr>
              <w:t xml:space="preserve">), </w:t>
            </w:r>
            <w:r w:rsidRPr="00742B86">
              <w:rPr>
                <w:rFonts w:cs="Arial"/>
                <w:color w:val="0D0D0D" w:themeColor="text1" w:themeTint="F2"/>
                <w:spacing w:val="-5"/>
                <w:lang w:val="en-GB"/>
              </w:rPr>
              <w:t xml:space="preserve">the highest in the last six years. </w:t>
            </w:r>
          </w:p>
        </w:tc>
      </w:tr>
      <w:tr w:rsidR="00267C51" w:rsidRPr="00742B86" w:rsidTr="00F757FC">
        <w:trPr>
          <w:trHeight w:val="145"/>
        </w:trPr>
        <w:tc>
          <w:tcPr>
            <w:tcW w:w="1583" w:type="dxa"/>
            <w:shd w:val="clear" w:color="auto" w:fill="auto"/>
            <w:tcMar>
              <w:left w:w="0" w:type="dxa"/>
            </w:tcMar>
          </w:tcPr>
          <w:p w:rsidR="00267C51" w:rsidRPr="00742B86" w:rsidRDefault="00DC0138" w:rsidP="00D932B8">
            <w:pPr>
              <w:pStyle w:val="Marginlie"/>
              <w:rPr>
                <w:spacing w:val="0"/>
                <w:lang w:val="en-GB"/>
              </w:rPr>
            </w:pPr>
            <w:r w:rsidRPr="00742B86">
              <w:rPr>
                <w:spacing w:val="0"/>
                <w:lang w:val="en-GB"/>
              </w:rPr>
              <w:t>Payment of care benefits, increase of sickness and raised parental allowance contributed</w:t>
            </w:r>
            <w:r w:rsidR="00CE0FE9">
              <w:rPr>
                <w:spacing w:val="0"/>
                <w:lang w:val="en-GB"/>
              </w:rPr>
              <w:t xml:space="preserve"> the most to the growth of </w:t>
            </w:r>
            <w:r w:rsidR="00A428B2">
              <w:rPr>
                <w:spacing w:val="0"/>
                <w:lang w:val="en-GB"/>
              </w:rPr>
              <w:t>“</w:t>
            </w:r>
            <w:r w:rsidR="00CE0FE9">
              <w:rPr>
                <w:spacing w:val="0"/>
                <w:lang w:val="en-GB"/>
              </w:rPr>
              <w:t>non-</w:t>
            </w:r>
            <w:r w:rsidR="00CE0FE9">
              <w:rPr>
                <w:spacing w:val="0"/>
                <w:lang w:val="en-GB"/>
              </w:rPr>
              <w:lastRenderedPageBreak/>
              <w:t>pension</w:t>
            </w:r>
            <w:r w:rsidR="00A428B2">
              <w:rPr>
                <w:spacing w:val="0"/>
                <w:lang w:val="en-GB"/>
              </w:rPr>
              <w:t>”</w:t>
            </w:r>
            <w:r w:rsidRPr="00742B86">
              <w:rPr>
                <w:spacing w:val="0"/>
                <w:lang w:val="en-GB"/>
              </w:rPr>
              <w:t xml:space="preserve"> social benefits.</w:t>
            </w: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267C51" w:rsidP="00267C51">
            <w:pPr>
              <w:rPr>
                <w:spacing w:val="-4"/>
                <w:lang w:val="en-GB"/>
              </w:rPr>
            </w:pPr>
            <w:r w:rsidRPr="00742B86">
              <w:rPr>
                <w:spacing w:val="-4"/>
                <w:lang w:val="en-GB"/>
              </w:rPr>
              <w:t>S</w:t>
            </w:r>
            <w:r w:rsidR="0065392C" w:rsidRPr="00742B86">
              <w:rPr>
                <w:spacing w:val="-4"/>
                <w:lang w:val="en-GB"/>
              </w:rPr>
              <w:t>B also expended more</w:t>
            </w:r>
            <w:r w:rsidR="00CE0FE9">
              <w:rPr>
                <w:spacing w:val="-4"/>
                <w:lang w:val="en-GB"/>
              </w:rPr>
              <w:t xml:space="preserve"> on almost </w:t>
            </w:r>
            <w:r w:rsidR="00DC0138" w:rsidRPr="00742B86">
              <w:rPr>
                <w:spacing w:val="-4"/>
                <w:lang w:val="en-GB"/>
              </w:rPr>
              <w:t xml:space="preserve">all other more significant types of social benefits </w:t>
            </w:r>
            <w:r w:rsidR="0065392C" w:rsidRPr="00742B86">
              <w:rPr>
                <w:spacing w:val="-4"/>
                <w:lang w:val="en-GB"/>
              </w:rPr>
              <w:t>compared to year 2019 last year</w:t>
            </w:r>
            <w:r w:rsidRPr="00742B86">
              <w:rPr>
                <w:spacing w:val="-4"/>
                <w:lang w:val="en-GB"/>
              </w:rPr>
              <w:t>.</w:t>
            </w:r>
            <w:r w:rsidR="0065392C" w:rsidRPr="00742B86">
              <w:rPr>
                <w:spacing w:val="-4"/>
                <w:lang w:val="en-GB"/>
              </w:rPr>
              <w:t xml:space="preserve"> Sickness benefits accelerated </w:t>
            </w:r>
            <w:r w:rsidRPr="00742B86">
              <w:rPr>
                <w:spacing w:val="-4"/>
                <w:lang w:val="en-GB"/>
              </w:rPr>
              <w:t>(+42%, resp. 55</w:t>
            </w:r>
            <w:r w:rsidR="0065392C" w:rsidRPr="00742B86">
              <w:rPr>
                <w:spacing w:val="-4"/>
                <w:lang w:val="en-GB"/>
              </w:rPr>
              <w:t>.</w:t>
            </w:r>
            <w:r w:rsidRPr="00742B86">
              <w:rPr>
                <w:spacing w:val="-4"/>
                <w:lang w:val="en-GB"/>
              </w:rPr>
              <w:t>4</w:t>
            </w:r>
            <w:r w:rsidR="0065392C" w:rsidRPr="00742B86">
              <w:rPr>
                <w:spacing w:val="-4"/>
                <w:lang w:val="en-GB"/>
              </w:rPr>
              <w:t xml:space="preserve"> CZK </w:t>
            </w:r>
            <w:proofErr w:type="spellStart"/>
            <w:r w:rsidR="0065392C" w:rsidRPr="00742B86">
              <w:rPr>
                <w:spacing w:val="-4"/>
                <w:lang w:val="en-GB"/>
              </w:rPr>
              <w:t>bn</w:t>
            </w:r>
            <w:proofErr w:type="spellEnd"/>
            <w:r w:rsidRPr="00742B86">
              <w:rPr>
                <w:spacing w:val="-4"/>
                <w:lang w:val="en-GB"/>
              </w:rPr>
              <w:t>),</w:t>
            </w:r>
            <w:r w:rsidR="0065392C" w:rsidRPr="00742B86">
              <w:rPr>
                <w:spacing w:val="-4"/>
                <w:lang w:val="en-GB"/>
              </w:rPr>
              <w:t xml:space="preserve"> primarily due to the payment of the care benefits provided for the reasons of closure of schools and other </w:t>
            </w:r>
            <w:r w:rsidR="000C242B" w:rsidRPr="00742B86">
              <w:rPr>
                <w:spacing w:val="-4"/>
                <w:lang w:val="en-GB"/>
              </w:rPr>
              <w:t>establishments</w:t>
            </w:r>
            <w:r w:rsidR="0065392C" w:rsidRPr="00742B86">
              <w:rPr>
                <w:spacing w:val="-4"/>
                <w:lang w:val="en-GB"/>
              </w:rPr>
              <w:t>.</w:t>
            </w:r>
            <w:r w:rsidR="00193A1D" w:rsidRPr="00742B86">
              <w:rPr>
                <w:spacing w:val="-4"/>
                <w:lang w:val="en-GB"/>
              </w:rPr>
              <w:t xml:space="preserve"> Growth of the total sickness</w:t>
            </w:r>
            <w:r w:rsidRPr="00742B86">
              <w:rPr>
                <w:rStyle w:val="Znakapoznpodarou"/>
                <w:spacing w:val="-4"/>
                <w:lang w:val="en-GB"/>
              </w:rPr>
              <w:footnoteReference w:id="79"/>
            </w:r>
            <w:r w:rsidR="00193A1D" w:rsidRPr="00742B86">
              <w:rPr>
                <w:spacing w:val="-4"/>
                <w:lang w:val="en-GB"/>
              </w:rPr>
              <w:t xml:space="preserve"> as well as higher number of reimbur</w:t>
            </w:r>
            <w:r w:rsidR="00233E81" w:rsidRPr="00742B86">
              <w:rPr>
                <w:spacing w:val="-4"/>
                <w:lang w:val="en-GB"/>
              </w:rPr>
              <w:t>s</w:t>
            </w:r>
            <w:r w:rsidR="00193A1D" w:rsidRPr="00742B86">
              <w:rPr>
                <w:spacing w:val="-4"/>
                <w:lang w:val="en-GB"/>
              </w:rPr>
              <w:t xml:space="preserve">ed days due to the cancelled </w:t>
            </w:r>
            <w:r w:rsidR="00476990">
              <w:rPr>
                <w:spacing w:val="-4"/>
                <w:lang w:val="en-GB"/>
              </w:rPr>
              <w:t>“</w:t>
            </w:r>
            <w:r w:rsidR="00233E81" w:rsidRPr="00742B86">
              <w:rPr>
                <w:spacing w:val="-4"/>
                <w:lang w:val="en-GB"/>
              </w:rPr>
              <w:t>waiting period</w:t>
            </w:r>
            <w:r w:rsidR="00476990">
              <w:rPr>
                <w:spacing w:val="-4"/>
                <w:lang w:val="en-GB"/>
              </w:rPr>
              <w:t>”</w:t>
            </w:r>
            <w:r w:rsidR="00233E81" w:rsidRPr="00742B86">
              <w:rPr>
                <w:spacing w:val="-4"/>
                <w:lang w:val="en-GB"/>
              </w:rPr>
              <w:t xml:space="preserve"> </w:t>
            </w:r>
            <w:r w:rsidR="00193A1D" w:rsidRPr="00742B86">
              <w:rPr>
                <w:spacing w:val="-4"/>
                <w:lang w:val="en-GB"/>
              </w:rPr>
              <w:t>were also evident</w:t>
            </w:r>
            <w:r w:rsidRPr="00742B86">
              <w:rPr>
                <w:spacing w:val="-4"/>
                <w:lang w:val="en-GB"/>
              </w:rPr>
              <w:t>.</w:t>
            </w:r>
            <w:r w:rsidR="00E844D4" w:rsidRPr="00742B86">
              <w:rPr>
                <w:spacing w:val="-4"/>
                <w:lang w:val="en-GB"/>
              </w:rPr>
              <w:t xml:space="preserve"> Volume significant outlays on state </w:t>
            </w:r>
            <w:r w:rsidR="00E844D4" w:rsidRPr="00742B86">
              <w:rPr>
                <w:spacing w:val="-4"/>
                <w:lang w:val="en-GB"/>
              </w:rPr>
              <w:lastRenderedPageBreak/>
              <w:t xml:space="preserve">social support </w:t>
            </w:r>
            <w:r w:rsidRPr="00742B86">
              <w:rPr>
                <w:spacing w:val="-4"/>
                <w:lang w:val="en-GB"/>
              </w:rPr>
              <w:t>(+36</w:t>
            </w:r>
            <w:r w:rsidR="00E844D4" w:rsidRPr="00742B86">
              <w:rPr>
                <w:spacing w:val="-4"/>
                <w:lang w:val="en-GB"/>
              </w:rPr>
              <w:t>.</w:t>
            </w:r>
            <w:r w:rsidRPr="00742B86">
              <w:rPr>
                <w:spacing w:val="-4"/>
                <w:lang w:val="en-GB"/>
              </w:rPr>
              <w:t>5%)</w:t>
            </w:r>
            <w:r w:rsidR="00E844D4" w:rsidRPr="00742B86">
              <w:rPr>
                <w:spacing w:val="-4"/>
                <w:lang w:val="en-GB"/>
              </w:rPr>
              <w:t xml:space="preserve"> also expanded</w:t>
            </w:r>
            <w:r w:rsidRPr="00742B86">
              <w:rPr>
                <w:spacing w:val="-4"/>
                <w:lang w:val="en-GB"/>
              </w:rPr>
              <w:t>,</w:t>
            </w:r>
            <w:r w:rsidR="00E844D4" w:rsidRPr="00742B86">
              <w:rPr>
                <w:spacing w:val="-4"/>
                <w:lang w:val="en-GB"/>
              </w:rPr>
              <w:t xml:space="preserve"> nearly exclusively due to the regulator</w:t>
            </w:r>
            <w:r w:rsidR="007017D3" w:rsidRPr="00742B86">
              <w:rPr>
                <w:spacing w:val="-4"/>
                <w:lang w:val="en-GB"/>
              </w:rPr>
              <w:t>y</w:t>
            </w:r>
            <w:r w:rsidR="00E844D4" w:rsidRPr="00742B86">
              <w:rPr>
                <w:spacing w:val="-4"/>
                <w:lang w:val="en-GB"/>
              </w:rPr>
              <w:t xml:space="preserve"> increase of the parental allowance, since the drawing of </w:t>
            </w:r>
            <w:proofErr w:type="gramStart"/>
            <w:r w:rsidR="00E844D4" w:rsidRPr="00742B86">
              <w:rPr>
                <w:spacing w:val="-4"/>
                <w:lang w:val="en-GB"/>
              </w:rPr>
              <w:t>income tested</w:t>
            </w:r>
            <w:proofErr w:type="gramEnd"/>
            <w:r w:rsidR="00E844D4" w:rsidRPr="00742B86">
              <w:rPr>
                <w:spacing w:val="-4"/>
                <w:lang w:val="en-GB"/>
              </w:rPr>
              <w:t xml:space="preserve"> benefits </w:t>
            </w:r>
            <w:r w:rsidRPr="00742B86">
              <w:rPr>
                <w:spacing w:val="-4"/>
                <w:lang w:val="en-GB"/>
              </w:rPr>
              <w:t>(</w:t>
            </w:r>
            <w:r w:rsidR="00E844D4" w:rsidRPr="00742B86">
              <w:rPr>
                <w:spacing w:val="-4"/>
                <w:lang w:val="en-GB"/>
              </w:rPr>
              <w:t>child allowance, housing allowance</w:t>
            </w:r>
            <w:r w:rsidRPr="00742B86">
              <w:rPr>
                <w:spacing w:val="-4"/>
                <w:lang w:val="en-GB"/>
              </w:rPr>
              <w:t>)</w:t>
            </w:r>
            <w:r w:rsidR="00E844D4" w:rsidRPr="00742B86">
              <w:rPr>
                <w:spacing w:val="-4"/>
                <w:lang w:val="en-GB"/>
              </w:rPr>
              <w:t xml:space="preserve"> fell further</w:t>
            </w:r>
            <w:r w:rsidRPr="00742B86">
              <w:rPr>
                <w:spacing w:val="-4"/>
                <w:lang w:val="en-GB"/>
              </w:rPr>
              <w:t xml:space="preserve">. </w:t>
            </w:r>
            <w:proofErr w:type="gramStart"/>
            <w:r w:rsidR="00E844D4" w:rsidRPr="00742B86">
              <w:rPr>
                <w:spacing w:val="-4"/>
                <w:lang w:val="en-GB"/>
              </w:rPr>
              <w:t>Long term</w:t>
            </w:r>
            <w:proofErr w:type="gramEnd"/>
            <w:r w:rsidR="00E844D4" w:rsidRPr="00742B86">
              <w:rPr>
                <w:spacing w:val="-4"/>
                <w:lang w:val="en-GB"/>
              </w:rPr>
              <w:t xml:space="preserve"> growing social care benefits also strengthened by one tenth last year, for the first time since year </w:t>
            </w:r>
            <w:r w:rsidRPr="00742B86">
              <w:rPr>
                <w:spacing w:val="-4"/>
                <w:lang w:val="en-GB"/>
              </w:rPr>
              <w:t>2014</w:t>
            </w:r>
            <w:r w:rsidR="00E844D4" w:rsidRPr="00742B86">
              <w:rPr>
                <w:spacing w:val="-4"/>
                <w:lang w:val="en-GB"/>
              </w:rPr>
              <w:t xml:space="preserve"> also due to the higher volume of paid out materiality deprivation benefits </w:t>
            </w:r>
            <w:r w:rsidRPr="00742B86">
              <w:rPr>
                <w:spacing w:val="-4"/>
                <w:lang w:val="en-GB"/>
              </w:rPr>
              <w:t>(+8</w:t>
            </w:r>
            <w:r w:rsidR="00E844D4" w:rsidRPr="00742B86">
              <w:rPr>
                <w:spacing w:val="-4"/>
                <w:lang w:val="en-GB"/>
              </w:rPr>
              <w:t>.</w:t>
            </w:r>
            <w:r w:rsidRPr="00742B86">
              <w:rPr>
                <w:spacing w:val="-4"/>
                <w:lang w:val="en-GB"/>
              </w:rPr>
              <w:t>6%).</w:t>
            </w:r>
            <w:r w:rsidR="00E844D4" w:rsidRPr="00742B86">
              <w:rPr>
                <w:spacing w:val="-4"/>
                <w:lang w:val="en-GB"/>
              </w:rPr>
              <w:t xml:space="preserve"> State expended more on the unemployment benefits already second year in a row </w:t>
            </w:r>
            <w:r w:rsidRPr="00742B86">
              <w:rPr>
                <w:spacing w:val="-4"/>
                <w:lang w:val="en-GB"/>
              </w:rPr>
              <w:t>(</w:t>
            </w:r>
            <w:r w:rsidR="00E844D4" w:rsidRPr="00742B86">
              <w:rPr>
                <w:spacing w:val="-4"/>
                <w:lang w:val="en-GB"/>
              </w:rPr>
              <w:t xml:space="preserve">in total by </w:t>
            </w:r>
            <w:r w:rsidRPr="00742B86">
              <w:rPr>
                <w:spacing w:val="-4"/>
                <w:lang w:val="en-GB"/>
              </w:rPr>
              <w:t>2</w:t>
            </w:r>
            <w:r w:rsidR="00E844D4" w:rsidRPr="00742B86">
              <w:rPr>
                <w:spacing w:val="-4"/>
                <w:lang w:val="en-GB"/>
              </w:rPr>
              <w:t>.</w:t>
            </w:r>
            <w:r w:rsidRPr="00742B86">
              <w:rPr>
                <w:spacing w:val="-4"/>
                <w:lang w:val="en-GB"/>
              </w:rPr>
              <w:t>4</w:t>
            </w:r>
            <w:r w:rsidR="00E844D4" w:rsidRPr="00742B86">
              <w:rPr>
                <w:spacing w:val="-4"/>
                <w:lang w:val="en-GB"/>
              </w:rPr>
              <w:t xml:space="preserve"> CZK </w:t>
            </w:r>
            <w:proofErr w:type="spellStart"/>
            <w:r w:rsidR="00E844D4" w:rsidRPr="00742B86">
              <w:rPr>
                <w:spacing w:val="-4"/>
                <w:lang w:val="en-GB"/>
              </w:rPr>
              <w:t>bn</w:t>
            </w:r>
            <w:proofErr w:type="spellEnd"/>
            <w:r w:rsidRPr="00742B86">
              <w:rPr>
                <w:spacing w:val="-4"/>
                <w:lang w:val="en-GB"/>
              </w:rPr>
              <w:t>).</w:t>
            </w:r>
          </w:p>
        </w:tc>
      </w:tr>
      <w:tr w:rsidR="00267C51" w:rsidRPr="00742B86" w:rsidTr="00F757FC">
        <w:trPr>
          <w:trHeight w:val="145"/>
        </w:trPr>
        <w:tc>
          <w:tcPr>
            <w:tcW w:w="1583" w:type="dxa"/>
            <w:shd w:val="clear" w:color="auto" w:fill="auto"/>
            <w:tcMar>
              <w:left w:w="0" w:type="dxa"/>
            </w:tcMar>
          </w:tcPr>
          <w:p w:rsidR="00267C51" w:rsidRPr="00742B86" w:rsidRDefault="002171C1" w:rsidP="00233E81">
            <w:pPr>
              <w:pStyle w:val="Marginlie"/>
              <w:rPr>
                <w:lang w:val="en-GB"/>
              </w:rPr>
            </w:pPr>
            <w:r>
              <w:rPr>
                <w:spacing w:val="-5"/>
                <w:lang w:val="en-GB"/>
              </w:rPr>
              <w:lastRenderedPageBreak/>
              <w:t xml:space="preserve">Higher </w:t>
            </w:r>
            <w:r w:rsidRPr="00742B86">
              <w:rPr>
                <w:spacing w:val="-5"/>
                <w:lang w:val="en-GB"/>
              </w:rPr>
              <w:t>investment from national resources</w:t>
            </w:r>
            <w:r>
              <w:rPr>
                <w:spacing w:val="-5"/>
                <w:lang w:val="en-GB"/>
              </w:rPr>
              <w:t xml:space="preserve"> stood mainly behind last year SB capital outlays growth.</w:t>
            </w:r>
          </w:p>
          <w:p w:rsidR="00267C51" w:rsidRPr="00742B86" w:rsidRDefault="00267C51" w:rsidP="00D932B8">
            <w:pPr>
              <w:pStyle w:val="Marginlie"/>
              <w:rPr>
                <w:lang w:val="en-GB"/>
              </w:rPr>
            </w:pPr>
          </w:p>
        </w:tc>
        <w:tc>
          <w:tcPr>
            <w:tcW w:w="176" w:type="dxa"/>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171C1" w:rsidRPr="00742B86" w:rsidRDefault="000D151D" w:rsidP="00E97F14">
            <w:pPr>
              <w:spacing w:after="0"/>
              <w:rPr>
                <w:spacing w:val="-5"/>
                <w:lang w:val="en-GB"/>
              </w:rPr>
            </w:pPr>
            <w:r w:rsidRPr="00742B86">
              <w:rPr>
                <w:spacing w:val="-5"/>
                <w:lang w:val="en-GB"/>
              </w:rPr>
              <w:t xml:space="preserve">SB capital outlays grew by nearly </w:t>
            </w:r>
            <w:proofErr w:type="gramStart"/>
            <w:r w:rsidRPr="00742B86">
              <w:rPr>
                <w:spacing w:val="-5"/>
                <w:lang w:val="en-GB"/>
              </w:rPr>
              <w:t>one quarter</w:t>
            </w:r>
            <w:proofErr w:type="gramEnd"/>
            <w:r w:rsidRPr="00742B86">
              <w:rPr>
                <w:spacing w:val="-5"/>
                <w:lang w:val="en-GB"/>
              </w:rPr>
              <w:t xml:space="preserve"> year-on-year. </w:t>
            </w:r>
            <w:r w:rsidR="008E54EB" w:rsidRPr="00742B86">
              <w:rPr>
                <w:spacing w:val="-5"/>
                <w:lang w:val="en-GB"/>
              </w:rPr>
              <w:t xml:space="preserve">They amounted to </w:t>
            </w:r>
            <w:r w:rsidR="00267C51" w:rsidRPr="00742B86">
              <w:rPr>
                <w:spacing w:val="-5"/>
                <w:lang w:val="en-GB"/>
              </w:rPr>
              <w:t>172</w:t>
            </w:r>
            <w:r w:rsidR="008E54EB" w:rsidRPr="00742B86">
              <w:rPr>
                <w:spacing w:val="-5"/>
                <w:lang w:val="en-GB"/>
              </w:rPr>
              <w:t>.</w:t>
            </w:r>
            <w:r w:rsidR="00267C51" w:rsidRPr="00742B86">
              <w:rPr>
                <w:spacing w:val="-5"/>
                <w:lang w:val="en-GB"/>
              </w:rPr>
              <w:t>7</w:t>
            </w:r>
            <w:r w:rsidR="008E54EB" w:rsidRPr="00742B86">
              <w:rPr>
                <w:spacing w:val="-5"/>
                <w:lang w:val="en-GB"/>
              </w:rPr>
              <w:t xml:space="preserve"> CZK </w:t>
            </w:r>
            <w:proofErr w:type="spellStart"/>
            <w:r w:rsidR="008E54EB" w:rsidRPr="00742B86">
              <w:rPr>
                <w:spacing w:val="-5"/>
                <w:lang w:val="en-GB"/>
              </w:rPr>
              <w:t>bn</w:t>
            </w:r>
            <w:proofErr w:type="spellEnd"/>
            <w:r w:rsidR="008E54EB" w:rsidRPr="00742B86">
              <w:rPr>
                <w:spacing w:val="-5"/>
                <w:lang w:val="en-GB"/>
              </w:rPr>
              <w:t xml:space="preserve"> and nearly matched the record size from year </w:t>
            </w:r>
            <w:r w:rsidR="00267C51" w:rsidRPr="00742B86">
              <w:rPr>
                <w:spacing w:val="-5"/>
                <w:lang w:val="en-GB"/>
              </w:rPr>
              <w:t>2015,</w:t>
            </w:r>
            <w:r w:rsidR="008E54EB" w:rsidRPr="00742B86">
              <w:rPr>
                <w:spacing w:val="-5"/>
                <w:lang w:val="en-GB"/>
              </w:rPr>
              <w:t xml:space="preserve"> when the drawing </w:t>
            </w:r>
            <w:r w:rsidR="001D0F1C">
              <w:rPr>
                <w:spacing w:val="-5"/>
                <w:lang w:val="en-GB"/>
              </w:rPr>
              <w:t>(</w:t>
            </w:r>
            <w:r w:rsidR="008E54EB" w:rsidRPr="00742B86">
              <w:rPr>
                <w:spacing w:val="-5"/>
                <w:lang w:val="en-GB"/>
              </w:rPr>
              <w:t>at the end of the EU programme period</w:t>
            </w:r>
            <w:r w:rsidR="001D0F1C">
              <w:rPr>
                <w:spacing w:val="-5"/>
                <w:lang w:val="en-GB"/>
              </w:rPr>
              <w:t>)</w:t>
            </w:r>
            <w:r w:rsidR="001D0F1C" w:rsidRPr="00742B86">
              <w:rPr>
                <w:spacing w:val="-5"/>
                <w:lang w:val="en-GB"/>
              </w:rPr>
              <w:t xml:space="preserve"> culminated</w:t>
            </w:r>
            <w:r w:rsidR="008E54EB" w:rsidRPr="00742B86">
              <w:rPr>
                <w:spacing w:val="-5"/>
                <w:lang w:val="en-GB"/>
              </w:rPr>
              <w:t xml:space="preserve">. </w:t>
            </w:r>
            <w:r w:rsidR="00941C4A" w:rsidRPr="00742B86">
              <w:rPr>
                <w:spacing w:val="-5"/>
                <w:lang w:val="en-GB"/>
              </w:rPr>
              <w:t xml:space="preserve">Strengthening investment from national resources </w:t>
            </w:r>
            <w:r w:rsidR="00480906" w:rsidRPr="00742B86">
              <w:rPr>
                <w:spacing w:val="-5"/>
                <w:lang w:val="en-GB"/>
              </w:rPr>
              <w:t xml:space="preserve">(to 101 CZK </w:t>
            </w:r>
            <w:proofErr w:type="spellStart"/>
            <w:r w:rsidR="00480906" w:rsidRPr="00742B86">
              <w:rPr>
                <w:spacing w:val="-5"/>
                <w:lang w:val="en-GB"/>
              </w:rPr>
              <w:t>bn</w:t>
            </w:r>
            <w:proofErr w:type="spellEnd"/>
            <w:r w:rsidR="00480906">
              <w:rPr>
                <w:spacing w:val="-5"/>
                <w:lang w:val="en-GB"/>
              </w:rPr>
              <w:t>)</w:t>
            </w:r>
            <w:r w:rsidR="00480906" w:rsidRPr="00742B86">
              <w:rPr>
                <w:spacing w:val="-5"/>
                <w:lang w:val="en-GB"/>
              </w:rPr>
              <w:t xml:space="preserve"> </w:t>
            </w:r>
            <w:r w:rsidR="00941C4A" w:rsidRPr="00742B86">
              <w:rPr>
                <w:spacing w:val="-5"/>
                <w:lang w:val="en-GB"/>
              </w:rPr>
              <w:t>contributed from ne</w:t>
            </w:r>
            <w:r w:rsidR="00965424" w:rsidRPr="00742B86">
              <w:rPr>
                <w:spacing w:val="-5"/>
                <w:lang w:val="en-GB"/>
              </w:rPr>
              <w:t>a</w:t>
            </w:r>
            <w:r w:rsidR="00941C4A" w:rsidRPr="00742B86">
              <w:rPr>
                <w:spacing w:val="-5"/>
                <w:lang w:val="en-GB"/>
              </w:rPr>
              <w:t xml:space="preserve">rly three quarters to the </w:t>
            </w:r>
            <w:r w:rsidR="00480906">
              <w:rPr>
                <w:spacing w:val="-5"/>
                <w:lang w:val="en-GB"/>
              </w:rPr>
              <w:t xml:space="preserve">total </w:t>
            </w:r>
            <w:r w:rsidR="00941C4A" w:rsidRPr="00742B86">
              <w:rPr>
                <w:spacing w:val="-5"/>
                <w:lang w:val="en-GB"/>
              </w:rPr>
              <w:t>last year´s growth</w:t>
            </w:r>
            <w:r w:rsidR="00480906">
              <w:rPr>
                <w:spacing w:val="-5"/>
                <w:lang w:val="en-GB"/>
              </w:rPr>
              <w:t>.</w:t>
            </w:r>
            <w:r w:rsidR="00941C4A" w:rsidRPr="00742B86">
              <w:rPr>
                <w:spacing w:val="-5"/>
                <w:lang w:val="en-GB"/>
              </w:rPr>
              <w:t xml:space="preserve"> </w:t>
            </w:r>
            <w:r w:rsidR="00480906">
              <w:rPr>
                <w:spacing w:val="-5"/>
                <w:lang w:val="en-GB"/>
              </w:rPr>
              <w:t>Higher outlays aimed at the</w:t>
            </w:r>
            <w:r w:rsidR="00B27948" w:rsidRPr="00742B86">
              <w:rPr>
                <w:spacing w:val="-5"/>
                <w:lang w:val="en-GB"/>
              </w:rPr>
              <w:t xml:space="preserve"> transport infrastructure </w:t>
            </w:r>
            <w:r w:rsidR="00267C51" w:rsidRPr="00742B86">
              <w:rPr>
                <w:spacing w:val="-5"/>
                <w:lang w:val="en-GB"/>
              </w:rPr>
              <w:t>(+18</w:t>
            </w:r>
            <w:r w:rsidR="007F41AD" w:rsidRPr="00742B86">
              <w:rPr>
                <w:spacing w:val="-5"/>
                <w:lang w:val="en-GB"/>
              </w:rPr>
              <w:t xml:space="preserve"> </w:t>
            </w:r>
            <w:proofErr w:type="spellStart"/>
            <w:r w:rsidR="007F41AD" w:rsidRPr="00742B86">
              <w:rPr>
                <w:spacing w:val="-5"/>
                <w:lang w:val="en-GB"/>
              </w:rPr>
              <w:t>bn</w:t>
            </w:r>
            <w:proofErr w:type="spellEnd"/>
            <w:r w:rsidR="00267C51" w:rsidRPr="00742B86">
              <w:rPr>
                <w:spacing w:val="-5"/>
                <w:lang w:val="en-GB"/>
              </w:rPr>
              <w:t>)</w:t>
            </w:r>
            <w:r w:rsidR="00B27948" w:rsidRPr="00742B86">
              <w:rPr>
                <w:spacing w:val="-5"/>
                <w:lang w:val="en-GB"/>
              </w:rPr>
              <w:t xml:space="preserve"> held a key role</w:t>
            </w:r>
            <w:r w:rsidR="00267C51" w:rsidRPr="00742B86">
              <w:rPr>
                <w:spacing w:val="-5"/>
                <w:lang w:val="en-GB"/>
              </w:rPr>
              <w:t>.</w:t>
            </w:r>
            <w:r w:rsidR="00B27948" w:rsidRPr="00742B86">
              <w:rPr>
                <w:spacing w:val="-5"/>
                <w:lang w:val="en-GB"/>
              </w:rPr>
              <w:t xml:space="preserve"> </w:t>
            </w:r>
          </w:p>
          <w:p w:rsidR="00233E81" w:rsidRPr="00742B86" w:rsidRDefault="00233E81" w:rsidP="00E97F14">
            <w:pPr>
              <w:spacing w:after="0"/>
              <w:rPr>
                <w:spacing w:val="-5"/>
                <w:lang w:val="en-GB"/>
              </w:rPr>
            </w:pPr>
          </w:p>
        </w:tc>
      </w:tr>
      <w:tr w:rsidR="002171C1" w:rsidRPr="00742B86" w:rsidTr="00F757FC">
        <w:trPr>
          <w:trHeight w:val="145"/>
        </w:trPr>
        <w:tc>
          <w:tcPr>
            <w:tcW w:w="1583" w:type="dxa"/>
            <w:shd w:val="clear" w:color="auto" w:fill="auto"/>
            <w:tcMar>
              <w:left w:w="0" w:type="dxa"/>
            </w:tcMar>
          </w:tcPr>
          <w:p w:rsidR="002171C1" w:rsidRPr="00742B86" w:rsidRDefault="002171C1" w:rsidP="002171C1">
            <w:pPr>
              <w:pStyle w:val="Marginlie"/>
              <w:rPr>
                <w:lang w:val="en-GB"/>
              </w:rPr>
            </w:pPr>
            <w:r w:rsidRPr="00742B86">
              <w:rPr>
                <w:lang w:val="en-GB"/>
              </w:rPr>
              <w:t xml:space="preserve">Net position of the CR towards the EU budget increased to 86 CZK </w:t>
            </w:r>
            <w:proofErr w:type="spellStart"/>
            <w:r w:rsidRPr="00742B86">
              <w:rPr>
                <w:lang w:val="en-GB"/>
              </w:rPr>
              <w:t>bn</w:t>
            </w:r>
            <w:proofErr w:type="spellEnd"/>
            <w:r w:rsidRPr="00742B86">
              <w:rPr>
                <w:lang w:val="en-GB"/>
              </w:rPr>
              <w:t xml:space="preserve"> last year</w:t>
            </w:r>
            <w:r w:rsidR="00F757FC">
              <w:rPr>
                <w:lang w:val="en-GB"/>
              </w:rPr>
              <w:t>.</w:t>
            </w:r>
          </w:p>
        </w:tc>
        <w:tc>
          <w:tcPr>
            <w:tcW w:w="176" w:type="dxa"/>
            <w:shd w:val="clear" w:color="auto" w:fill="auto"/>
            <w:tcMar>
              <w:left w:w="0" w:type="dxa"/>
            </w:tcMar>
          </w:tcPr>
          <w:p w:rsidR="002171C1" w:rsidRPr="00742B86" w:rsidRDefault="002171C1" w:rsidP="00D932B8">
            <w:pPr>
              <w:pStyle w:val="Textpoznpodarou"/>
              <w:jc w:val="both"/>
              <w:rPr>
                <w:spacing w:val="-4"/>
                <w:lang w:val="en-GB"/>
              </w:rPr>
            </w:pPr>
          </w:p>
        </w:tc>
        <w:tc>
          <w:tcPr>
            <w:tcW w:w="7910" w:type="dxa"/>
            <w:shd w:val="clear" w:color="auto" w:fill="auto"/>
            <w:tcMar>
              <w:left w:w="0" w:type="dxa"/>
            </w:tcMar>
          </w:tcPr>
          <w:p w:rsidR="002171C1" w:rsidRPr="00742B86" w:rsidRDefault="002171C1" w:rsidP="00E97F14">
            <w:pPr>
              <w:spacing w:after="0"/>
              <w:rPr>
                <w:spacing w:val="-5"/>
                <w:lang w:val="en-GB"/>
              </w:rPr>
            </w:pPr>
            <w:r w:rsidRPr="00742B86">
              <w:rPr>
                <w:spacing w:val="-5"/>
                <w:lang w:val="en-GB"/>
              </w:rPr>
              <w:t xml:space="preserve">Share of </w:t>
            </w:r>
            <w:r>
              <w:rPr>
                <w:spacing w:val="-5"/>
                <w:lang w:val="en-GB"/>
              </w:rPr>
              <w:t xml:space="preserve">total </w:t>
            </w:r>
            <w:r w:rsidRPr="00742B86">
              <w:rPr>
                <w:spacing w:val="-5"/>
                <w:lang w:val="en-GB"/>
              </w:rPr>
              <w:t>investment on all SB outlays increased for the third year in a row and attained 9.4%. It is also connected to the approaching end of the drawing on „European</w:t>
            </w:r>
            <w:proofErr w:type="gramStart"/>
            <w:r w:rsidRPr="00742B86">
              <w:rPr>
                <w:spacing w:val="-5"/>
                <w:lang w:val="en-GB"/>
              </w:rPr>
              <w:t>“ investment</w:t>
            </w:r>
            <w:proofErr w:type="gramEnd"/>
            <w:r w:rsidRPr="00742B86">
              <w:rPr>
                <w:spacing w:val="-5"/>
                <w:lang w:val="en-GB"/>
              </w:rPr>
              <w:t xml:space="preserve"> in the current programme period. Total SB revenues from the EU reached 145.9 CZK </w:t>
            </w:r>
            <w:proofErr w:type="spellStart"/>
            <w:r w:rsidRPr="00742B86">
              <w:rPr>
                <w:spacing w:val="-5"/>
                <w:lang w:val="en-GB"/>
              </w:rPr>
              <w:t>bn</w:t>
            </w:r>
            <w:proofErr w:type="spellEnd"/>
            <w:r w:rsidRPr="00742B86">
              <w:rPr>
                <w:spacing w:val="-5"/>
                <w:lang w:val="en-GB"/>
              </w:rPr>
              <w:t xml:space="preserve"> last year and strengthened by one fifth year-on-year. </w:t>
            </w:r>
            <w:r w:rsidR="00F757FC">
              <w:rPr>
                <w:spacing w:val="-5"/>
                <w:lang w:val="en-GB"/>
              </w:rPr>
              <w:t>Higher allocation into the S</w:t>
            </w:r>
            <w:r w:rsidRPr="00742B86">
              <w:rPr>
                <w:spacing w:val="-5"/>
                <w:lang w:val="en-GB"/>
              </w:rPr>
              <w:t xml:space="preserve">tructural funds (+13 </w:t>
            </w:r>
            <w:proofErr w:type="spellStart"/>
            <w:r w:rsidRPr="00742B86">
              <w:rPr>
                <w:spacing w:val="-5"/>
                <w:lang w:val="en-GB"/>
              </w:rPr>
              <w:t>bn</w:t>
            </w:r>
            <w:proofErr w:type="spellEnd"/>
            <w:r w:rsidRPr="00742B86">
              <w:rPr>
                <w:spacing w:val="-5"/>
                <w:lang w:val="en-GB"/>
              </w:rPr>
              <w:t>)</w:t>
            </w:r>
            <w:r w:rsidR="00F757FC">
              <w:rPr>
                <w:spacing w:val="-5"/>
                <w:lang w:val="en-GB"/>
              </w:rPr>
              <w:t xml:space="preserve"> and also the C</w:t>
            </w:r>
            <w:r w:rsidRPr="00742B86">
              <w:rPr>
                <w:spacing w:val="-5"/>
                <w:lang w:val="en-GB"/>
              </w:rPr>
              <w:t xml:space="preserve">ohesion fund (+10 </w:t>
            </w:r>
            <w:proofErr w:type="spellStart"/>
            <w:r w:rsidRPr="00742B86">
              <w:rPr>
                <w:spacing w:val="-5"/>
                <w:lang w:val="en-GB"/>
              </w:rPr>
              <w:t>bn</w:t>
            </w:r>
            <w:proofErr w:type="spellEnd"/>
            <w:r w:rsidRPr="00742B86">
              <w:rPr>
                <w:spacing w:val="-5"/>
                <w:lang w:val="en-GB"/>
              </w:rPr>
              <w:t xml:space="preserve">) stood behind it. Despite significant increase of payments into the Union budget, the total positive balance of the CR with the EU budget increased to 85.7 CZK </w:t>
            </w:r>
            <w:proofErr w:type="spellStart"/>
            <w:r w:rsidRPr="00742B86">
              <w:rPr>
                <w:spacing w:val="-5"/>
                <w:lang w:val="en-GB"/>
              </w:rPr>
              <w:t>bn</w:t>
            </w:r>
            <w:proofErr w:type="spellEnd"/>
            <w:r w:rsidRPr="00742B86">
              <w:rPr>
                <w:spacing w:val="-5"/>
                <w:lang w:val="en-GB"/>
              </w:rPr>
              <w:t>, i.e. the highest value in the last four years.</w:t>
            </w:r>
          </w:p>
        </w:tc>
      </w:tr>
      <w:tr w:rsidR="002171C1" w:rsidRPr="00742B86" w:rsidTr="00F757FC">
        <w:trPr>
          <w:trHeight w:val="145"/>
        </w:trPr>
        <w:tc>
          <w:tcPr>
            <w:tcW w:w="1583" w:type="dxa"/>
            <w:shd w:val="clear" w:color="auto" w:fill="auto"/>
            <w:tcMar>
              <w:left w:w="0" w:type="dxa"/>
            </w:tcMar>
          </w:tcPr>
          <w:p w:rsidR="002171C1" w:rsidRPr="00742B86" w:rsidRDefault="002171C1" w:rsidP="00233E81">
            <w:pPr>
              <w:pStyle w:val="Marginlie"/>
              <w:rPr>
                <w:lang w:val="en-GB"/>
              </w:rPr>
            </w:pPr>
          </w:p>
        </w:tc>
        <w:tc>
          <w:tcPr>
            <w:tcW w:w="176" w:type="dxa"/>
            <w:shd w:val="clear" w:color="auto" w:fill="auto"/>
            <w:tcMar>
              <w:left w:w="0" w:type="dxa"/>
            </w:tcMar>
          </w:tcPr>
          <w:p w:rsidR="002171C1" w:rsidRPr="00742B86" w:rsidRDefault="002171C1" w:rsidP="00D932B8">
            <w:pPr>
              <w:pStyle w:val="Textpoznpodarou"/>
              <w:jc w:val="both"/>
              <w:rPr>
                <w:spacing w:val="-4"/>
                <w:lang w:val="en-GB"/>
              </w:rPr>
            </w:pPr>
          </w:p>
        </w:tc>
        <w:tc>
          <w:tcPr>
            <w:tcW w:w="7910" w:type="dxa"/>
            <w:shd w:val="clear" w:color="auto" w:fill="auto"/>
            <w:tcMar>
              <w:left w:w="0" w:type="dxa"/>
            </w:tcMar>
          </w:tcPr>
          <w:p w:rsidR="002171C1" w:rsidRPr="00742B86" w:rsidRDefault="002171C1" w:rsidP="00E97F14">
            <w:pPr>
              <w:spacing w:after="0"/>
              <w:rPr>
                <w:spacing w:val="-5"/>
                <w:lang w:val="en-GB"/>
              </w:rPr>
            </w:pPr>
          </w:p>
        </w:tc>
      </w:tr>
      <w:tr w:rsidR="00267C51" w:rsidRPr="00742B86" w:rsidTr="00D70BBF">
        <w:trPr>
          <w:trHeight w:val="170"/>
        </w:trPr>
        <w:tc>
          <w:tcPr>
            <w:tcW w:w="1583" w:type="dxa"/>
            <w:vMerge w:val="restart"/>
            <w:shd w:val="clear" w:color="auto" w:fill="auto"/>
            <w:tcMar>
              <w:left w:w="0" w:type="dxa"/>
            </w:tcMar>
          </w:tcPr>
          <w:p w:rsidR="00267C51" w:rsidRPr="00742B86" w:rsidRDefault="00267C51" w:rsidP="00D932B8">
            <w:pPr>
              <w:pStyle w:val="Marginlie"/>
              <w:rPr>
                <w:lang w:val="en-GB"/>
              </w:rPr>
            </w:pPr>
          </w:p>
        </w:tc>
        <w:tc>
          <w:tcPr>
            <w:tcW w:w="176" w:type="dxa"/>
            <w:vMerge w:val="restart"/>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267C51" w:rsidRPr="00742B86" w:rsidRDefault="00F07BC3" w:rsidP="00D932B8">
            <w:pPr>
              <w:spacing w:after="20" w:line="240" w:lineRule="auto"/>
              <w:jc w:val="left"/>
              <w:rPr>
                <w:rFonts w:cs="Arial"/>
                <w:bCs/>
                <w:lang w:val="en-GB"/>
              </w:rPr>
            </w:pPr>
            <w:r w:rsidRPr="00742B86">
              <w:rPr>
                <w:b/>
                <w:lang w:val="en-GB"/>
              </w:rPr>
              <w:t xml:space="preserve">Chart </w:t>
            </w:r>
            <w:r w:rsidR="00D152E7">
              <w:rPr>
                <w:b/>
                <w:lang w:val="en-GB"/>
              </w:rPr>
              <w:t>17</w:t>
            </w:r>
            <w:r w:rsidR="00267C51" w:rsidRPr="00742B86">
              <w:rPr>
                <w:b/>
                <w:lang w:val="en-GB"/>
              </w:rPr>
              <w:t xml:space="preserve">  </w:t>
            </w:r>
            <w:r w:rsidR="00E3518F" w:rsidRPr="00742B86">
              <w:rPr>
                <w:rFonts w:cs="Arial"/>
                <w:b/>
                <w:bCs/>
                <w:spacing w:val="-6"/>
                <w:lang w:val="en-GB"/>
              </w:rPr>
              <w:t xml:space="preserve">Selected expenditures of the state budget </w:t>
            </w:r>
            <w:r w:rsidR="00E3518F" w:rsidRPr="00742B86">
              <w:rPr>
                <w:rFonts w:cs="Arial"/>
                <w:bCs/>
                <w:spacing w:val="-6"/>
                <w:lang w:val="en-GB"/>
              </w:rPr>
              <w:t xml:space="preserve">(in CZK </w:t>
            </w:r>
            <w:proofErr w:type="spellStart"/>
            <w:r w:rsidR="00E3518F" w:rsidRPr="00742B86">
              <w:rPr>
                <w:rFonts w:cs="Arial"/>
                <w:bCs/>
                <w:spacing w:val="-6"/>
                <w:lang w:val="en-GB"/>
              </w:rPr>
              <w:t>bn</w:t>
            </w:r>
            <w:proofErr w:type="spellEnd"/>
            <w:r w:rsidR="00E3518F" w:rsidRPr="00742B86">
              <w:rPr>
                <w:rFonts w:cs="Arial"/>
                <w:bCs/>
                <w:spacing w:val="-6"/>
                <w:lang w:val="en-GB"/>
              </w:rPr>
              <w:t xml:space="preserve">) </w:t>
            </w:r>
          </w:p>
        </w:tc>
      </w:tr>
      <w:tr w:rsidR="00267C51" w:rsidRPr="00742B86" w:rsidTr="00D70BBF">
        <w:tblPrEx>
          <w:tblCellMar>
            <w:left w:w="70" w:type="dxa"/>
            <w:right w:w="70" w:type="dxa"/>
          </w:tblCellMar>
        </w:tblPrEx>
        <w:trPr>
          <w:trHeight w:val="170"/>
        </w:trPr>
        <w:tc>
          <w:tcPr>
            <w:tcW w:w="1583" w:type="dxa"/>
            <w:vMerge/>
            <w:shd w:val="clear" w:color="auto" w:fill="auto"/>
          </w:tcPr>
          <w:p w:rsidR="00267C51" w:rsidRPr="00742B86" w:rsidRDefault="00267C51" w:rsidP="00D932B8">
            <w:pPr>
              <w:pStyle w:val="Marginlie"/>
              <w:rPr>
                <w:lang w:val="en-GB"/>
              </w:rPr>
            </w:pPr>
          </w:p>
        </w:tc>
        <w:tc>
          <w:tcPr>
            <w:tcW w:w="176" w:type="dxa"/>
            <w:vMerge/>
            <w:shd w:val="clear" w:color="auto" w:fill="auto"/>
          </w:tcPr>
          <w:p w:rsidR="00267C51" w:rsidRPr="00742B86" w:rsidRDefault="00267C51" w:rsidP="00D932B8">
            <w:pPr>
              <w:pStyle w:val="Textpoznpodarou"/>
              <w:jc w:val="both"/>
              <w:rPr>
                <w:spacing w:val="-4"/>
                <w:lang w:val="en-GB"/>
              </w:rPr>
            </w:pPr>
          </w:p>
        </w:tc>
        <w:tc>
          <w:tcPr>
            <w:tcW w:w="7910" w:type="dxa"/>
            <w:shd w:val="clear" w:color="auto" w:fill="auto"/>
          </w:tcPr>
          <w:p w:rsidR="00267C51" w:rsidRPr="00742B86" w:rsidRDefault="00D70BBF" w:rsidP="00D932B8">
            <w:pPr>
              <w:spacing w:after="0"/>
              <w:rPr>
                <w:spacing w:val="-6"/>
                <w:lang w:val="en-GB"/>
              </w:rPr>
            </w:pPr>
            <w:r>
              <w:rPr>
                <w:noProof/>
              </w:rPr>
              <w:drawing>
                <wp:inline distT="0" distB="0" distL="0" distR="0" wp14:anchorId="1A953C67" wp14:editId="7D580B19">
                  <wp:extent cx="4933101" cy="3334569"/>
                  <wp:effectExtent l="0" t="0" r="127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267C51" w:rsidRPr="00742B86" w:rsidTr="00D70BBF">
        <w:trPr>
          <w:trHeight w:val="170"/>
        </w:trPr>
        <w:tc>
          <w:tcPr>
            <w:tcW w:w="1583" w:type="dxa"/>
            <w:vMerge/>
            <w:shd w:val="clear" w:color="auto" w:fill="auto"/>
            <w:tcMar>
              <w:left w:w="0" w:type="dxa"/>
            </w:tcMar>
          </w:tcPr>
          <w:p w:rsidR="00267C51" w:rsidRPr="00742B86" w:rsidRDefault="00267C51" w:rsidP="00D932B8">
            <w:pPr>
              <w:pStyle w:val="Marginlie"/>
              <w:rPr>
                <w:lang w:val="en-GB"/>
              </w:rPr>
            </w:pPr>
          </w:p>
        </w:tc>
        <w:tc>
          <w:tcPr>
            <w:tcW w:w="176" w:type="dxa"/>
            <w:vMerge/>
            <w:shd w:val="clear" w:color="auto" w:fill="auto"/>
            <w:tcMar>
              <w:left w:w="0" w:type="dxa"/>
            </w:tcMar>
          </w:tcPr>
          <w:p w:rsidR="00267C51" w:rsidRPr="00742B86" w:rsidRDefault="00267C51" w:rsidP="00D932B8">
            <w:pPr>
              <w:pStyle w:val="Textpoznpodarou"/>
              <w:jc w:val="both"/>
              <w:rPr>
                <w:spacing w:val="-4"/>
                <w:lang w:val="en-GB"/>
              </w:rPr>
            </w:pPr>
          </w:p>
        </w:tc>
        <w:tc>
          <w:tcPr>
            <w:tcW w:w="7910" w:type="dxa"/>
            <w:shd w:val="clear" w:color="auto" w:fill="auto"/>
            <w:tcMar>
              <w:left w:w="0" w:type="dxa"/>
            </w:tcMar>
          </w:tcPr>
          <w:p w:rsidR="00E3518F" w:rsidRPr="00F757FC" w:rsidRDefault="00E3518F" w:rsidP="00D932B8">
            <w:pPr>
              <w:pStyle w:val="Textpoznpodarou"/>
              <w:rPr>
                <w:sz w:val="14"/>
                <w:szCs w:val="14"/>
                <w:lang w:val="en-GB"/>
              </w:rPr>
            </w:pPr>
            <w:r w:rsidRPr="00F757FC">
              <w:rPr>
                <w:sz w:val="14"/>
                <w:szCs w:val="14"/>
                <w:lang w:val="en-GB"/>
              </w:rPr>
              <w:t>*Covers expenditures on salaries in central government institutions. Does not include e.g. wage costs of regional education.</w:t>
            </w:r>
          </w:p>
          <w:p w:rsidR="00D70BBF" w:rsidRPr="00F757FC" w:rsidRDefault="00E3518F" w:rsidP="00E3518F">
            <w:pPr>
              <w:pStyle w:val="Textpoznpodarou"/>
              <w:rPr>
                <w:sz w:val="14"/>
                <w:szCs w:val="14"/>
                <w:lang w:val="en-GB"/>
              </w:rPr>
            </w:pPr>
            <w:r w:rsidRPr="00F757FC">
              <w:rPr>
                <w:sz w:val="14"/>
                <w:szCs w:val="14"/>
                <w:lang w:val="en-GB"/>
              </w:rPr>
              <w:t>**Also includes the foster care benefits.</w:t>
            </w:r>
          </w:p>
          <w:p w:rsidR="00E3518F" w:rsidRPr="00F757FC" w:rsidRDefault="00E3518F" w:rsidP="00E3518F">
            <w:pPr>
              <w:pStyle w:val="Textpoznpodarou"/>
              <w:rPr>
                <w:sz w:val="14"/>
                <w:szCs w:val="14"/>
                <w:lang w:val="en-GB"/>
              </w:rPr>
            </w:pPr>
            <w:r w:rsidRPr="00F757FC">
              <w:rPr>
                <w:sz w:val="14"/>
                <w:szCs w:val="14"/>
                <w:lang w:val="en-GB"/>
              </w:rPr>
              <w:t xml:space="preserve">***Includes </w:t>
            </w:r>
            <w:proofErr w:type="gramStart"/>
            <w:r w:rsidRPr="00F757FC">
              <w:rPr>
                <w:sz w:val="14"/>
                <w:szCs w:val="14"/>
                <w:lang w:val="en-GB"/>
              </w:rPr>
              <w:t>Material deprivation assistance benefits</w:t>
            </w:r>
            <w:proofErr w:type="gramEnd"/>
            <w:r w:rsidRPr="00F757FC">
              <w:rPr>
                <w:sz w:val="14"/>
                <w:szCs w:val="14"/>
                <w:lang w:val="en-GB"/>
              </w:rPr>
              <w:t>, Benefits for people with disabilities, Care benefits based on Act on State Social Support.</w:t>
            </w:r>
          </w:p>
          <w:p w:rsidR="00D70BBF" w:rsidRPr="00F757FC" w:rsidRDefault="00E3518F" w:rsidP="00E3518F">
            <w:pPr>
              <w:pStyle w:val="Textpoznpodarou"/>
              <w:rPr>
                <w:sz w:val="14"/>
                <w:szCs w:val="14"/>
                <w:lang w:val="en-GB"/>
              </w:rPr>
            </w:pPr>
            <w:r w:rsidRPr="00F757FC">
              <w:rPr>
                <w:sz w:val="14"/>
                <w:szCs w:val="14"/>
                <w:lang w:val="en-GB"/>
              </w:rPr>
              <w:t>****Contains mainly expenditures on purchase of services, materials, energies or other services (e.g. expenditu</w:t>
            </w:r>
            <w:r w:rsidR="00D70BBF" w:rsidRPr="00F757FC">
              <w:rPr>
                <w:sz w:val="14"/>
                <w:szCs w:val="14"/>
                <w:lang w:val="en-GB"/>
              </w:rPr>
              <w:t>res on repairs and maintenance)</w:t>
            </w:r>
          </w:p>
          <w:p w:rsidR="00E3518F" w:rsidRPr="00F757FC" w:rsidRDefault="00E3518F" w:rsidP="00E3518F">
            <w:pPr>
              <w:pStyle w:val="Textpoznpodarou"/>
              <w:rPr>
                <w:sz w:val="14"/>
                <w:szCs w:val="14"/>
                <w:lang w:val="en-GB"/>
              </w:rPr>
            </w:pPr>
            <w:r w:rsidRPr="00F757FC">
              <w:rPr>
                <w:sz w:val="14"/>
                <w:szCs w:val="14"/>
                <w:lang w:val="en-GB"/>
              </w:rPr>
              <w:t xml:space="preserve"> </w:t>
            </w:r>
            <w:r w:rsidR="00B10594" w:rsidRPr="00F757FC">
              <w:rPr>
                <w:sz w:val="14"/>
                <w:szCs w:val="14"/>
                <w:lang w:val="en-GB"/>
              </w:rPr>
              <w:t>*****Expresses</w:t>
            </w:r>
            <w:r w:rsidRPr="00F757FC">
              <w:rPr>
                <w:sz w:val="14"/>
                <w:szCs w:val="14"/>
                <w:lang w:val="en-GB"/>
              </w:rPr>
              <w:t xml:space="preserve"> the balance of the </w:t>
            </w:r>
            <w:proofErr w:type="gramStart"/>
            <w:r w:rsidRPr="00F757FC">
              <w:rPr>
                <w:sz w:val="14"/>
                <w:szCs w:val="14"/>
                <w:lang w:val="en-GB"/>
              </w:rPr>
              <w:t>budget chapter State debt</w:t>
            </w:r>
            <w:proofErr w:type="gramEnd"/>
            <w:r w:rsidRPr="00F757FC">
              <w:rPr>
                <w:sz w:val="14"/>
                <w:szCs w:val="14"/>
                <w:lang w:val="en-GB"/>
              </w:rPr>
              <w:t xml:space="preserve">. </w:t>
            </w:r>
            <w:r w:rsidR="00D0686E" w:rsidRPr="00F757FC">
              <w:rPr>
                <w:sz w:val="14"/>
                <w:szCs w:val="14"/>
                <w:lang w:val="en-GB"/>
              </w:rPr>
              <w:t xml:space="preserve">Consists of net interest outlays </w:t>
            </w:r>
            <w:proofErr w:type="gramStart"/>
            <w:r w:rsidR="00D0686E" w:rsidRPr="00F757FC">
              <w:rPr>
                <w:sz w:val="14"/>
                <w:szCs w:val="14"/>
                <w:lang w:val="en-GB"/>
              </w:rPr>
              <w:t>and also</w:t>
            </w:r>
            <w:proofErr w:type="gramEnd"/>
            <w:r w:rsidR="00D0686E" w:rsidRPr="00F757FC">
              <w:rPr>
                <w:sz w:val="14"/>
                <w:szCs w:val="14"/>
                <w:lang w:val="en-GB"/>
              </w:rPr>
              <w:t xml:space="preserve"> fees.</w:t>
            </w:r>
          </w:p>
          <w:p w:rsidR="00E3518F" w:rsidRPr="00D70BBF" w:rsidRDefault="00D70BBF" w:rsidP="00D70BBF">
            <w:pPr>
              <w:spacing w:after="220" w:line="240" w:lineRule="auto"/>
              <w:rPr>
                <w:spacing w:val="-6"/>
                <w:sz w:val="14"/>
                <w:szCs w:val="14"/>
                <w:lang w:val="en-GB"/>
              </w:rPr>
            </w:pPr>
            <w:r w:rsidRPr="00F757FC">
              <w:rPr>
                <w:sz w:val="14"/>
                <w:szCs w:val="14"/>
                <w:lang w:val="en-GB"/>
              </w:rPr>
              <w:t>Source: MF CR, MLSA</w:t>
            </w:r>
          </w:p>
        </w:tc>
      </w:tr>
      <w:tr w:rsidR="00267C51" w:rsidRPr="00742B86" w:rsidTr="00D70BBF">
        <w:trPr>
          <w:trHeight w:val="170"/>
        </w:trPr>
        <w:tc>
          <w:tcPr>
            <w:tcW w:w="1583" w:type="dxa"/>
            <w:shd w:val="clear" w:color="auto" w:fill="auto"/>
            <w:tcMar>
              <w:left w:w="0" w:type="dxa"/>
            </w:tcMar>
          </w:tcPr>
          <w:p w:rsidR="00267C51" w:rsidRPr="00742B86" w:rsidRDefault="00267C51" w:rsidP="00267C51">
            <w:pPr>
              <w:pStyle w:val="Marginlie"/>
              <w:spacing w:after="240"/>
              <w:rPr>
                <w:lang w:val="en-GB"/>
              </w:rPr>
            </w:pPr>
            <w:r w:rsidRPr="00742B86">
              <w:rPr>
                <w:lang w:val="en-GB"/>
              </w:rPr>
              <w:t>St</w:t>
            </w:r>
            <w:r w:rsidR="000E2DA8" w:rsidRPr="00742B86">
              <w:rPr>
                <w:lang w:val="en-GB"/>
              </w:rPr>
              <w:t xml:space="preserve">ate debt increased by one quarter last year, i.e. more than in years </w:t>
            </w:r>
            <w:r w:rsidRPr="00742B86">
              <w:rPr>
                <w:lang w:val="en-GB"/>
              </w:rPr>
              <w:t>2009</w:t>
            </w:r>
            <w:r w:rsidR="000E2DA8" w:rsidRPr="00742B86">
              <w:rPr>
                <w:lang w:val="en-GB"/>
              </w:rPr>
              <w:t xml:space="preserve"> and </w:t>
            </w:r>
            <w:r w:rsidRPr="00742B86">
              <w:rPr>
                <w:lang w:val="en-GB"/>
              </w:rPr>
              <w:t>2010.</w:t>
            </w:r>
          </w:p>
          <w:p w:rsidR="00267C51" w:rsidRPr="00742B86" w:rsidRDefault="00F87619" w:rsidP="00267C51">
            <w:pPr>
              <w:pStyle w:val="Marginlie"/>
              <w:spacing w:after="240"/>
              <w:rPr>
                <w:lang w:val="en-GB"/>
              </w:rPr>
            </w:pPr>
            <w:r w:rsidRPr="00742B86">
              <w:rPr>
                <w:lang w:val="en-GB"/>
              </w:rPr>
              <w:lastRenderedPageBreak/>
              <w:t xml:space="preserve">Interest outlays on state debt stagnated in the last years. </w:t>
            </w:r>
          </w:p>
        </w:tc>
        <w:tc>
          <w:tcPr>
            <w:tcW w:w="176" w:type="dxa"/>
            <w:shd w:val="clear" w:color="auto" w:fill="auto"/>
            <w:tcMar>
              <w:left w:w="0" w:type="dxa"/>
            </w:tcMar>
          </w:tcPr>
          <w:p w:rsidR="00267C51" w:rsidRPr="00742B86" w:rsidRDefault="00267C51" w:rsidP="00267C51">
            <w:pPr>
              <w:pStyle w:val="Textpoznpodarou"/>
              <w:spacing w:after="240"/>
              <w:jc w:val="both"/>
              <w:rPr>
                <w:spacing w:val="-4"/>
                <w:lang w:val="en-GB"/>
              </w:rPr>
            </w:pPr>
          </w:p>
        </w:tc>
        <w:tc>
          <w:tcPr>
            <w:tcW w:w="7910" w:type="dxa"/>
            <w:shd w:val="clear" w:color="auto" w:fill="auto"/>
            <w:tcMar>
              <w:left w:w="0" w:type="dxa"/>
            </w:tcMar>
          </w:tcPr>
          <w:p w:rsidR="00267C51" w:rsidRPr="00742B86" w:rsidRDefault="00267C51" w:rsidP="00E97F14">
            <w:pPr>
              <w:spacing w:after="220"/>
              <w:rPr>
                <w:spacing w:val="-4"/>
                <w:lang w:val="en-GB"/>
              </w:rPr>
            </w:pPr>
            <w:r w:rsidRPr="00742B86">
              <w:rPr>
                <w:spacing w:val="-4"/>
                <w:lang w:val="en-GB"/>
              </w:rPr>
              <w:t>S</w:t>
            </w:r>
            <w:r w:rsidR="00F87619" w:rsidRPr="00742B86">
              <w:rPr>
                <w:spacing w:val="-4"/>
                <w:lang w:val="en-GB"/>
              </w:rPr>
              <w:t>trongly growing needed for financing linked to the necessity to cover the crisis SB deficit led to the acceleration of the amount of the state debt. It amounted to</w:t>
            </w:r>
            <w:r w:rsidR="00734FAF" w:rsidRPr="00742B86">
              <w:rPr>
                <w:spacing w:val="-4"/>
                <w:lang w:val="en-GB"/>
              </w:rPr>
              <w:t xml:space="preserve"> </w:t>
            </w:r>
            <w:r w:rsidRPr="00742B86">
              <w:rPr>
                <w:spacing w:val="-4"/>
                <w:lang w:val="en-GB"/>
              </w:rPr>
              <w:t>2</w:t>
            </w:r>
            <w:r w:rsidR="00734FAF" w:rsidRPr="00742B86">
              <w:rPr>
                <w:spacing w:val="-4"/>
                <w:lang w:val="en-GB"/>
              </w:rPr>
              <w:t> </w:t>
            </w:r>
            <w:r w:rsidRPr="00742B86">
              <w:rPr>
                <w:spacing w:val="-4"/>
                <w:lang w:val="en-GB"/>
              </w:rPr>
              <w:t>050</w:t>
            </w:r>
            <w:r w:rsidR="00734FAF" w:rsidRPr="00742B86">
              <w:rPr>
                <w:spacing w:val="-4"/>
                <w:lang w:val="en-GB"/>
              </w:rPr>
              <w:t xml:space="preserve"> CZK </w:t>
            </w:r>
            <w:proofErr w:type="spellStart"/>
            <w:r w:rsidR="00734FAF" w:rsidRPr="00742B86">
              <w:rPr>
                <w:spacing w:val="-4"/>
                <w:lang w:val="en-GB"/>
              </w:rPr>
              <w:t>bn</w:t>
            </w:r>
            <w:proofErr w:type="spellEnd"/>
            <w:r w:rsidR="00734FAF" w:rsidRPr="00742B86">
              <w:rPr>
                <w:spacing w:val="-4"/>
                <w:lang w:val="en-GB"/>
              </w:rPr>
              <w:t xml:space="preserve"> a</w:t>
            </w:r>
            <w:r w:rsidR="00F87619" w:rsidRPr="00742B86">
              <w:rPr>
                <w:spacing w:val="-4"/>
                <w:lang w:val="en-GB"/>
              </w:rPr>
              <w:t>t the end of the last year</w:t>
            </w:r>
            <w:r w:rsidRPr="00742B86">
              <w:rPr>
                <w:spacing w:val="-4"/>
                <w:lang w:val="en-GB"/>
              </w:rPr>
              <w:t>,</w:t>
            </w:r>
            <w:r w:rsidR="00F87619" w:rsidRPr="00742B86">
              <w:rPr>
                <w:spacing w:val="-4"/>
                <w:lang w:val="en-GB"/>
              </w:rPr>
              <w:t xml:space="preserve"> grew by one quarter year-on-year</w:t>
            </w:r>
            <w:r w:rsidRPr="00742B86">
              <w:rPr>
                <w:rStyle w:val="Znakapoznpodarou"/>
                <w:spacing w:val="-4"/>
                <w:lang w:val="en-GB"/>
              </w:rPr>
              <w:footnoteReference w:id="80"/>
            </w:r>
            <w:r w:rsidRPr="00742B86">
              <w:rPr>
                <w:spacing w:val="-4"/>
                <w:lang w:val="en-GB"/>
              </w:rPr>
              <w:t xml:space="preserve">. </w:t>
            </w:r>
            <w:r w:rsidR="00734FAF" w:rsidRPr="00742B86">
              <w:rPr>
                <w:spacing w:val="-4"/>
                <w:lang w:val="en-GB"/>
              </w:rPr>
              <w:t xml:space="preserve">Traditionally issued </w:t>
            </w:r>
            <w:r w:rsidR="0003090A" w:rsidRPr="00742B86">
              <w:rPr>
                <w:spacing w:val="-4"/>
                <w:lang w:val="en-GB"/>
              </w:rPr>
              <w:t xml:space="preserve">medium and long-term state bonds </w:t>
            </w:r>
            <w:r w:rsidR="00734FAF" w:rsidRPr="00742B86">
              <w:rPr>
                <w:spacing w:val="-4"/>
                <w:lang w:val="en-GB"/>
              </w:rPr>
              <w:t>were the key debt instruments</w:t>
            </w:r>
            <w:r w:rsidRPr="00742B86">
              <w:rPr>
                <w:spacing w:val="-4"/>
                <w:lang w:val="en-GB"/>
              </w:rPr>
              <w:t>,</w:t>
            </w:r>
            <w:r w:rsidR="00734FAF" w:rsidRPr="00742B86">
              <w:rPr>
                <w:spacing w:val="-4"/>
                <w:lang w:val="en-GB"/>
              </w:rPr>
              <w:t xml:space="preserve"> last year attained record </w:t>
            </w:r>
            <w:r w:rsidRPr="00742B86">
              <w:rPr>
                <w:spacing w:val="-4"/>
                <w:lang w:val="en-GB"/>
              </w:rPr>
              <w:t>600</w:t>
            </w:r>
            <w:r w:rsidR="00734FAF" w:rsidRPr="00742B86">
              <w:rPr>
                <w:spacing w:val="-4"/>
                <w:lang w:val="en-GB"/>
              </w:rPr>
              <w:t xml:space="preserve"> CZK bn</w:t>
            </w:r>
            <w:r w:rsidRPr="00742B86">
              <w:rPr>
                <w:spacing w:val="-4"/>
                <w:lang w:val="en-GB"/>
              </w:rPr>
              <w:t>.</w:t>
            </w:r>
            <w:r w:rsidR="00734FAF" w:rsidRPr="00742B86">
              <w:rPr>
                <w:spacing w:val="-4"/>
                <w:lang w:val="en-GB"/>
              </w:rPr>
              <w:t xml:space="preserve"> More than </w:t>
            </w:r>
            <w:r w:rsidR="00734FAF" w:rsidRPr="00742B86">
              <w:rPr>
                <w:spacing w:val="-4"/>
                <w:lang w:val="en-GB"/>
              </w:rPr>
              <w:lastRenderedPageBreak/>
              <w:t xml:space="preserve">three quarters of this issue </w:t>
            </w:r>
            <w:proofErr w:type="gramStart"/>
            <w:r w:rsidR="0003090A" w:rsidRPr="00742B86">
              <w:rPr>
                <w:spacing w:val="-4"/>
                <w:lang w:val="en-GB"/>
              </w:rPr>
              <w:t>were allotted</w:t>
            </w:r>
            <w:proofErr w:type="gramEnd"/>
            <w:r w:rsidR="0003090A" w:rsidRPr="00742B86">
              <w:rPr>
                <w:spacing w:val="-4"/>
                <w:lang w:val="en-GB"/>
              </w:rPr>
              <w:t xml:space="preserve"> only to H</w:t>
            </w:r>
            <w:r w:rsidRPr="00742B86">
              <w:rPr>
                <w:spacing w:val="-4"/>
                <w:lang w:val="en-GB"/>
              </w:rPr>
              <w:t>1</w:t>
            </w:r>
            <w:r w:rsidR="0003090A" w:rsidRPr="00742B86">
              <w:rPr>
                <w:spacing w:val="-4"/>
                <w:lang w:val="en-GB"/>
              </w:rPr>
              <w:t xml:space="preserve"> </w:t>
            </w:r>
            <w:r w:rsidRPr="00742B86">
              <w:rPr>
                <w:spacing w:val="-4"/>
                <w:lang w:val="en-GB"/>
              </w:rPr>
              <w:t xml:space="preserve">2020. </w:t>
            </w:r>
            <w:r w:rsidR="0003090A" w:rsidRPr="00742B86">
              <w:rPr>
                <w:spacing w:val="-4"/>
                <w:lang w:val="en-GB"/>
              </w:rPr>
              <w:t xml:space="preserve">Especially the domestic financial institutions created the demand for the bonds, and thus held already nearly two thirds of the total domestic state bonds at the end of the year. </w:t>
            </w:r>
            <w:r w:rsidR="00F757FC">
              <w:rPr>
                <w:spacing w:val="-4"/>
                <w:lang w:val="en-GB"/>
              </w:rPr>
              <w:t xml:space="preserve">Almost </w:t>
            </w:r>
            <w:r w:rsidRPr="00742B86">
              <w:rPr>
                <w:spacing w:val="-4"/>
                <w:lang w:val="en-GB"/>
              </w:rPr>
              <w:t>31%</w:t>
            </w:r>
            <w:r w:rsidR="0003090A" w:rsidRPr="00742B86">
              <w:rPr>
                <w:spacing w:val="-4"/>
                <w:lang w:val="en-GB"/>
              </w:rPr>
              <w:t xml:space="preserve"> </w:t>
            </w:r>
            <w:proofErr w:type="gramStart"/>
            <w:r w:rsidR="0003090A" w:rsidRPr="00742B86">
              <w:rPr>
                <w:spacing w:val="-4"/>
                <w:lang w:val="en-GB"/>
              </w:rPr>
              <w:t>was attributed</w:t>
            </w:r>
            <w:proofErr w:type="gramEnd"/>
            <w:r w:rsidR="0003090A" w:rsidRPr="00742B86">
              <w:rPr>
                <w:spacing w:val="-4"/>
                <w:lang w:val="en-GB"/>
              </w:rPr>
              <w:t xml:space="preserve"> to non-residents</w:t>
            </w:r>
            <w:r w:rsidRPr="00742B86">
              <w:rPr>
                <w:spacing w:val="-4"/>
                <w:lang w:val="en-GB"/>
              </w:rPr>
              <w:t>,</w:t>
            </w:r>
            <w:r w:rsidR="0003090A" w:rsidRPr="00742B86">
              <w:rPr>
                <w:spacing w:val="-4"/>
                <w:lang w:val="en-GB"/>
              </w:rPr>
              <w:t xml:space="preserve"> the least in the last four years</w:t>
            </w:r>
            <w:r w:rsidRPr="00742B86">
              <w:rPr>
                <w:spacing w:val="-4"/>
                <w:lang w:val="en-GB"/>
              </w:rPr>
              <w:t xml:space="preserve">. </w:t>
            </w:r>
            <w:r w:rsidR="0003090A" w:rsidRPr="00742B86">
              <w:rPr>
                <w:spacing w:val="-4"/>
                <w:lang w:val="en-GB"/>
              </w:rPr>
              <w:t>Borr</w:t>
            </w:r>
            <w:r w:rsidR="00F757FC">
              <w:rPr>
                <w:spacing w:val="-4"/>
                <w:lang w:val="en-GB"/>
              </w:rPr>
              <w:t xml:space="preserve">owing need of the state </w:t>
            </w:r>
            <w:proofErr w:type="gramStart"/>
            <w:r w:rsidR="00F757FC">
              <w:rPr>
                <w:spacing w:val="-4"/>
                <w:lang w:val="en-GB"/>
              </w:rPr>
              <w:t>was</w:t>
            </w:r>
            <w:r w:rsidR="0003090A" w:rsidRPr="00742B86">
              <w:rPr>
                <w:spacing w:val="-4"/>
                <w:lang w:val="en-GB"/>
              </w:rPr>
              <w:t xml:space="preserve"> nearly exclusively focused</w:t>
            </w:r>
            <w:proofErr w:type="gramEnd"/>
            <w:r w:rsidR="0003090A" w:rsidRPr="00742B86">
              <w:rPr>
                <w:spacing w:val="-4"/>
                <w:lang w:val="en-GB"/>
              </w:rPr>
              <w:t xml:space="preserve"> o</w:t>
            </w:r>
            <w:r w:rsidR="00545073" w:rsidRPr="00742B86">
              <w:rPr>
                <w:spacing w:val="-4"/>
                <w:lang w:val="en-GB"/>
              </w:rPr>
              <w:t>n</w:t>
            </w:r>
            <w:r w:rsidR="0003090A" w:rsidRPr="00742B86">
              <w:rPr>
                <w:spacing w:val="-4"/>
                <w:lang w:val="en-GB"/>
              </w:rPr>
              <w:t xml:space="preserve"> the domestic market last year. </w:t>
            </w:r>
            <w:r w:rsidRPr="00742B86">
              <w:rPr>
                <w:spacing w:val="-4"/>
                <w:lang w:val="en-GB"/>
              </w:rPr>
              <w:t>Korun</w:t>
            </w:r>
            <w:r w:rsidR="00882ACE" w:rsidRPr="00742B86">
              <w:rPr>
                <w:spacing w:val="-4"/>
                <w:lang w:val="en-GB"/>
              </w:rPr>
              <w:t xml:space="preserve">a value of the external debt thus shrank already seventh year in a row </w:t>
            </w:r>
            <w:r w:rsidRPr="00742B86">
              <w:rPr>
                <w:spacing w:val="-4"/>
                <w:lang w:val="en-GB"/>
              </w:rPr>
              <w:t>(</w:t>
            </w:r>
            <w:r w:rsidR="00882ACE" w:rsidRPr="00742B86">
              <w:rPr>
                <w:spacing w:val="-4"/>
                <w:lang w:val="en-GB"/>
              </w:rPr>
              <w:t xml:space="preserve">by </w:t>
            </w:r>
            <w:r w:rsidRPr="00742B86">
              <w:rPr>
                <w:spacing w:val="-4"/>
                <w:lang w:val="en-GB"/>
              </w:rPr>
              <w:t>6%</w:t>
            </w:r>
            <w:r w:rsidR="00882ACE" w:rsidRPr="00742B86">
              <w:rPr>
                <w:spacing w:val="-4"/>
                <w:lang w:val="en-GB"/>
              </w:rPr>
              <w:t xml:space="preserve"> last year</w:t>
            </w:r>
            <w:r w:rsidRPr="00742B86">
              <w:rPr>
                <w:spacing w:val="-4"/>
                <w:lang w:val="en-GB"/>
              </w:rPr>
              <w:t>).</w:t>
            </w:r>
            <w:r w:rsidR="00882ACE" w:rsidRPr="00742B86">
              <w:rPr>
                <w:spacing w:val="-4"/>
                <w:lang w:val="en-GB"/>
              </w:rPr>
              <w:t xml:space="preserve"> External debt comprised only </w:t>
            </w:r>
            <w:r w:rsidRPr="00742B86">
              <w:rPr>
                <w:rFonts w:cs="Arial"/>
                <w:color w:val="0D0D0D" w:themeColor="text1" w:themeTint="F2"/>
                <w:spacing w:val="-4"/>
                <w:lang w:val="en-GB"/>
              </w:rPr>
              <w:t>8</w:t>
            </w:r>
            <w:r w:rsidR="00460C42" w:rsidRPr="00742B86">
              <w:rPr>
                <w:rFonts w:cs="Arial"/>
                <w:color w:val="0D0D0D" w:themeColor="text1" w:themeTint="F2"/>
                <w:spacing w:val="-4"/>
                <w:lang w:val="en-GB"/>
              </w:rPr>
              <w:t>.</w:t>
            </w:r>
            <w:r w:rsidRPr="00742B86">
              <w:rPr>
                <w:rFonts w:cs="Arial"/>
                <w:color w:val="0D0D0D" w:themeColor="text1" w:themeTint="F2"/>
                <w:spacing w:val="-4"/>
                <w:lang w:val="en-GB"/>
              </w:rPr>
              <w:t>2%</w:t>
            </w:r>
            <w:r w:rsidR="00460C42" w:rsidRPr="00742B86">
              <w:rPr>
                <w:rFonts w:cs="Arial"/>
                <w:color w:val="0D0D0D" w:themeColor="text1" w:themeTint="F2"/>
                <w:spacing w:val="-4"/>
                <w:lang w:val="en-GB"/>
              </w:rPr>
              <w:t xml:space="preserve"> of the total state debt </w:t>
            </w:r>
            <w:r w:rsidR="00882ACE" w:rsidRPr="00742B86">
              <w:rPr>
                <w:rFonts w:cs="Arial"/>
                <w:color w:val="0D0D0D" w:themeColor="text1" w:themeTint="F2"/>
                <w:spacing w:val="-4"/>
                <w:lang w:val="en-GB"/>
              </w:rPr>
              <w:t>at the end of Q4 2020</w:t>
            </w:r>
            <w:r w:rsidRPr="00742B86">
              <w:rPr>
                <w:rFonts w:cs="Arial"/>
                <w:color w:val="0D0D0D" w:themeColor="text1" w:themeTint="F2"/>
                <w:spacing w:val="-4"/>
                <w:lang w:val="en-GB"/>
              </w:rPr>
              <w:t xml:space="preserve">. </w:t>
            </w:r>
            <w:r w:rsidR="00416968">
              <w:rPr>
                <w:rFonts w:cs="Arial"/>
                <w:color w:val="0D0D0D" w:themeColor="text1" w:themeTint="F2"/>
                <w:spacing w:val="-4"/>
                <w:lang w:val="en-GB"/>
              </w:rPr>
              <w:t xml:space="preserve">Net SB outlays to </w:t>
            </w:r>
            <w:r w:rsidR="00882ACE" w:rsidRPr="00742B86">
              <w:rPr>
                <w:rFonts w:cs="Arial"/>
                <w:color w:val="0D0D0D" w:themeColor="text1" w:themeTint="F2"/>
                <w:spacing w:val="-4"/>
                <w:lang w:val="en-GB"/>
              </w:rPr>
              <w:t xml:space="preserve">the state debt </w:t>
            </w:r>
            <w:r w:rsidR="00416968">
              <w:rPr>
                <w:rFonts w:cs="Arial"/>
                <w:color w:val="0D0D0D" w:themeColor="text1" w:themeTint="F2"/>
                <w:spacing w:val="-4"/>
                <w:lang w:val="en-GB"/>
              </w:rPr>
              <w:t xml:space="preserve">service </w:t>
            </w:r>
            <w:r w:rsidR="00882ACE" w:rsidRPr="00742B86">
              <w:rPr>
                <w:rFonts w:cs="Arial"/>
                <w:color w:val="0D0D0D" w:themeColor="text1" w:themeTint="F2"/>
                <w:spacing w:val="-4"/>
                <w:lang w:val="en-GB"/>
              </w:rPr>
              <w:t xml:space="preserve">amounted to </w:t>
            </w:r>
            <w:r w:rsidRPr="00742B86">
              <w:rPr>
                <w:rFonts w:cs="Arial"/>
                <w:color w:val="0D0D0D" w:themeColor="text1" w:themeTint="F2"/>
                <w:spacing w:val="-4"/>
                <w:lang w:val="en-GB"/>
              </w:rPr>
              <w:t>40</w:t>
            </w:r>
            <w:r w:rsidR="00882ACE" w:rsidRPr="00742B86">
              <w:rPr>
                <w:rFonts w:cs="Arial"/>
                <w:color w:val="0D0D0D" w:themeColor="text1" w:themeTint="F2"/>
                <w:spacing w:val="-4"/>
                <w:lang w:val="en-GB"/>
              </w:rPr>
              <w:t>.</w:t>
            </w:r>
            <w:r w:rsidRPr="00742B86">
              <w:rPr>
                <w:rFonts w:cs="Arial"/>
                <w:color w:val="0D0D0D" w:themeColor="text1" w:themeTint="F2"/>
                <w:spacing w:val="-4"/>
                <w:lang w:val="en-GB"/>
              </w:rPr>
              <w:t>1</w:t>
            </w:r>
            <w:r w:rsidR="00882ACE" w:rsidRPr="00742B86">
              <w:rPr>
                <w:rFonts w:cs="Arial"/>
                <w:color w:val="0D0D0D" w:themeColor="text1" w:themeTint="F2"/>
                <w:spacing w:val="-4"/>
                <w:lang w:val="en-GB"/>
              </w:rPr>
              <w:t xml:space="preserve"> CZK </w:t>
            </w:r>
            <w:proofErr w:type="spellStart"/>
            <w:r w:rsidR="00882ACE" w:rsidRPr="00742B86">
              <w:rPr>
                <w:rFonts w:cs="Arial"/>
                <w:color w:val="0D0D0D" w:themeColor="text1" w:themeTint="F2"/>
                <w:spacing w:val="-4"/>
                <w:lang w:val="en-GB"/>
              </w:rPr>
              <w:t>bn</w:t>
            </w:r>
            <w:proofErr w:type="spellEnd"/>
            <w:r w:rsidR="00882ACE" w:rsidRPr="00742B86">
              <w:rPr>
                <w:rFonts w:cs="Arial"/>
                <w:color w:val="0D0D0D" w:themeColor="text1" w:themeTint="F2"/>
                <w:spacing w:val="-4"/>
                <w:lang w:val="en-GB"/>
              </w:rPr>
              <w:t xml:space="preserve"> last year and stagnated year-on-year </w:t>
            </w:r>
            <w:r w:rsidRPr="00742B86">
              <w:rPr>
                <w:rFonts w:cs="Arial"/>
                <w:color w:val="0D0D0D" w:themeColor="text1" w:themeTint="F2"/>
                <w:spacing w:val="-4"/>
                <w:lang w:val="en-GB"/>
              </w:rPr>
              <w:t>(</w:t>
            </w:r>
            <w:r w:rsidR="00882ACE" w:rsidRPr="00742B86">
              <w:rPr>
                <w:rFonts w:cs="Arial"/>
                <w:color w:val="0D0D0D" w:themeColor="text1" w:themeTint="F2"/>
                <w:spacing w:val="-4"/>
                <w:lang w:val="en-GB"/>
              </w:rPr>
              <w:t>already for the fourth time in a row</w:t>
            </w:r>
            <w:r w:rsidRPr="00742B86">
              <w:rPr>
                <w:rFonts w:cs="Arial"/>
                <w:color w:val="0D0D0D" w:themeColor="text1" w:themeTint="F2"/>
                <w:spacing w:val="-4"/>
                <w:lang w:val="en-GB"/>
              </w:rPr>
              <w:t>).</w:t>
            </w:r>
            <w:r w:rsidR="00882ACE" w:rsidRPr="00742B86">
              <w:rPr>
                <w:rFonts w:cs="Arial"/>
                <w:color w:val="0D0D0D" w:themeColor="text1" w:themeTint="F2"/>
                <w:spacing w:val="-4"/>
                <w:lang w:val="en-GB"/>
              </w:rPr>
              <w:t xml:space="preserve"> </w:t>
            </w:r>
            <w:r w:rsidR="00460C42" w:rsidRPr="00742B86">
              <w:rPr>
                <w:rFonts w:cs="Arial"/>
                <w:color w:val="0D0D0D" w:themeColor="text1" w:themeTint="F2"/>
                <w:spacing w:val="-4"/>
                <w:lang w:val="en-GB"/>
              </w:rPr>
              <w:t xml:space="preserve">The decline of the bond yields as well as lowering of the interest rates on the part of CNB also had an effect. </w:t>
            </w:r>
          </w:p>
        </w:tc>
      </w:tr>
      <w:tr w:rsidR="00267C51" w:rsidRPr="00742B86" w:rsidTr="00D70BBF">
        <w:trPr>
          <w:trHeight w:val="170"/>
        </w:trPr>
        <w:tc>
          <w:tcPr>
            <w:tcW w:w="1583" w:type="dxa"/>
            <w:shd w:val="clear" w:color="auto" w:fill="auto"/>
            <w:tcMar>
              <w:left w:w="0" w:type="dxa"/>
            </w:tcMar>
          </w:tcPr>
          <w:p w:rsidR="00267C51" w:rsidRPr="00742B86" w:rsidRDefault="00811875" w:rsidP="00267C51">
            <w:pPr>
              <w:pStyle w:val="Marginlie"/>
              <w:spacing w:after="240"/>
              <w:rPr>
                <w:lang w:val="en-GB"/>
              </w:rPr>
            </w:pPr>
            <w:r>
              <w:rPr>
                <w:lang w:val="en-GB"/>
              </w:rPr>
              <w:lastRenderedPageBreak/>
              <w:t>C</w:t>
            </w:r>
            <w:r w:rsidR="00F94E96">
              <w:rPr>
                <w:lang w:val="en-GB"/>
              </w:rPr>
              <w:t>entral government institutions</w:t>
            </w:r>
            <w:r w:rsidR="00FC529C" w:rsidRPr="00742B86">
              <w:rPr>
                <w:lang w:val="en-GB"/>
              </w:rPr>
              <w:t xml:space="preserve"> </w:t>
            </w:r>
            <w:r>
              <w:rPr>
                <w:lang w:val="en-GB"/>
              </w:rPr>
              <w:t xml:space="preserve">deficit </w:t>
            </w:r>
            <w:r w:rsidR="00FC529C" w:rsidRPr="00742B86">
              <w:rPr>
                <w:lang w:val="en-GB"/>
              </w:rPr>
              <w:t>substantially deepened. Regional go</w:t>
            </w:r>
            <w:r>
              <w:rPr>
                <w:lang w:val="en-GB"/>
              </w:rPr>
              <w:t>vernment institutions and</w:t>
            </w:r>
            <w:r w:rsidR="00FC529C" w:rsidRPr="00742B86">
              <w:rPr>
                <w:lang w:val="en-GB"/>
              </w:rPr>
              <w:t xml:space="preserve"> health insurance companies preserved a surplus. </w:t>
            </w:r>
          </w:p>
        </w:tc>
        <w:tc>
          <w:tcPr>
            <w:tcW w:w="176" w:type="dxa"/>
            <w:shd w:val="clear" w:color="auto" w:fill="auto"/>
            <w:tcMar>
              <w:left w:w="0" w:type="dxa"/>
            </w:tcMar>
          </w:tcPr>
          <w:p w:rsidR="00267C51" w:rsidRPr="00742B86" w:rsidRDefault="00267C51" w:rsidP="00267C51">
            <w:pPr>
              <w:pStyle w:val="Textpoznpodarou"/>
              <w:spacing w:after="240"/>
              <w:jc w:val="both"/>
              <w:rPr>
                <w:spacing w:val="-4"/>
                <w:lang w:val="en-GB"/>
              </w:rPr>
            </w:pPr>
          </w:p>
        </w:tc>
        <w:tc>
          <w:tcPr>
            <w:tcW w:w="7910" w:type="dxa"/>
            <w:shd w:val="clear" w:color="auto" w:fill="auto"/>
            <w:tcMar>
              <w:left w:w="0" w:type="dxa"/>
            </w:tcMar>
          </w:tcPr>
          <w:p w:rsidR="00267C51" w:rsidRPr="00742B86" w:rsidRDefault="00267C51" w:rsidP="00811875">
            <w:pPr>
              <w:pStyle w:val="Textpoznpodarou"/>
              <w:spacing w:after="240" w:line="276" w:lineRule="auto"/>
              <w:jc w:val="both"/>
              <w:rPr>
                <w:rFonts w:cs="Arial"/>
                <w:color w:val="0D0D0D" w:themeColor="text1" w:themeTint="F2"/>
                <w:spacing w:val="-6"/>
                <w:lang w:val="en-GB"/>
              </w:rPr>
            </w:pPr>
            <w:r w:rsidRPr="00742B86">
              <w:rPr>
                <w:rFonts w:cs="Arial"/>
                <w:color w:val="0D0D0D" w:themeColor="text1" w:themeTint="F2"/>
                <w:spacing w:val="-6"/>
                <w:lang w:val="en-GB"/>
              </w:rPr>
              <w:t>S</w:t>
            </w:r>
            <w:r w:rsidR="00781FC6" w:rsidRPr="00742B86">
              <w:rPr>
                <w:rFonts w:cs="Arial"/>
                <w:color w:val="0D0D0D" w:themeColor="text1" w:themeTint="F2"/>
                <w:spacing w:val="-6"/>
                <w:lang w:val="en-GB"/>
              </w:rPr>
              <w:t xml:space="preserve">ector of government institutions </w:t>
            </w:r>
            <w:r w:rsidRPr="00742B86">
              <w:rPr>
                <w:rFonts w:cs="Arial"/>
                <w:color w:val="0D0D0D" w:themeColor="text1" w:themeTint="F2"/>
                <w:spacing w:val="-6"/>
                <w:lang w:val="en-GB"/>
              </w:rPr>
              <w:t>(VI)</w:t>
            </w:r>
            <w:r w:rsidR="00233364">
              <w:rPr>
                <w:rFonts w:cs="Arial"/>
                <w:color w:val="0D0D0D" w:themeColor="text1" w:themeTint="F2"/>
                <w:spacing w:val="-6"/>
                <w:lang w:val="en-GB"/>
              </w:rPr>
              <w:t xml:space="preserve"> recorded</w:t>
            </w:r>
            <w:r w:rsidR="00781FC6" w:rsidRPr="00742B86">
              <w:rPr>
                <w:rFonts w:cs="Arial"/>
                <w:color w:val="0D0D0D" w:themeColor="text1" w:themeTint="F2"/>
                <w:spacing w:val="-6"/>
                <w:lang w:val="en-GB"/>
              </w:rPr>
              <w:t xml:space="preserve"> a deficit of </w:t>
            </w:r>
            <w:r w:rsidRPr="00742B86">
              <w:rPr>
                <w:rFonts w:cs="Arial"/>
                <w:color w:val="0D0D0D" w:themeColor="text1" w:themeTint="F2"/>
                <w:spacing w:val="-6"/>
                <w:lang w:val="en-GB"/>
              </w:rPr>
              <w:t>195</w:t>
            </w:r>
            <w:r w:rsidR="00781FC6" w:rsidRPr="00742B86">
              <w:rPr>
                <w:rFonts w:cs="Arial"/>
                <w:color w:val="0D0D0D" w:themeColor="text1" w:themeTint="F2"/>
                <w:spacing w:val="-6"/>
                <w:lang w:val="en-GB"/>
              </w:rPr>
              <w:t xml:space="preserve"> CZK </w:t>
            </w:r>
            <w:proofErr w:type="spellStart"/>
            <w:r w:rsidR="00781FC6" w:rsidRPr="00742B86">
              <w:rPr>
                <w:rFonts w:cs="Arial"/>
                <w:color w:val="0D0D0D" w:themeColor="text1" w:themeTint="F2"/>
                <w:spacing w:val="-6"/>
                <w:lang w:val="en-GB"/>
              </w:rPr>
              <w:t>bn</w:t>
            </w:r>
            <w:proofErr w:type="spellEnd"/>
            <w:r w:rsidR="00781FC6" w:rsidRPr="00742B86">
              <w:rPr>
                <w:rFonts w:cs="Arial"/>
                <w:color w:val="0D0D0D" w:themeColor="text1" w:themeTint="F2"/>
                <w:spacing w:val="-6"/>
                <w:lang w:val="en-GB"/>
              </w:rPr>
              <w:t xml:space="preserve"> in the CR during Q1 to Q3 2020. </w:t>
            </w:r>
            <w:r w:rsidR="00FC529C" w:rsidRPr="00742B86">
              <w:rPr>
                <w:rFonts w:cs="Arial"/>
                <w:color w:val="0D0D0D" w:themeColor="text1" w:themeTint="F2"/>
                <w:spacing w:val="-6"/>
                <w:lang w:val="en-GB"/>
              </w:rPr>
              <w:t xml:space="preserve">Revenues </w:t>
            </w:r>
            <w:r w:rsidRPr="00742B86">
              <w:rPr>
                <w:rFonts w:cs="Arial"/>
                <w:color w:val="0D0D0D" w:themeColor="text1" w:themeTint="F2"/>
                <w:spacing w:val="-6"/>
                <w:lang w:val="en-GB"/>
              </w:rPr>
              <w:t>VI</w:t>
            </w:r>
            <w:r w:rsidR="00FC529C" w:rsidRPr="00742B86">
              <w:rPr>
                <w:rFonts w:cs="Arial"/>
                <w:color w:val="0D0D0D" w:themeColor="text1" w:themeTint="F2"/>
                <w:spacing w:val="-6"/>
                <w:lang w:val="en-GB"/>
              </w:rPr>
              <w:t xml:space="preserve"> reduced by </w:t>
            </w:r>
            <w:r w:rsidRPr="00742B86">
              <w:rPr>
                <w:rFonts w:cs="Arial"/>
                <w:color w:val="0D0D0D" w:themeColor="text1" w:themeTint="F2"/>
                <w:spacing w:val="-6"/>
                <w:lang w:val="en-GB"/>
              </w:rPr>
              <w:t>2</w:t>
            </w:r>
            <w:r w:rsidR="00FC529C" w:rsidRPr="00742B86">
              <w:rPr>
                <w:rFonts w:cs="Arial"/>
                <w:color w:val="0D0D0D" w:themeColor="text1" w:themeTint="F2"/>
                <w:spacing w:val="-6"/>
                <w:lang w:val="en-GB"/>
              </w:rPr>
              <w:t>.</w:t>
            </w:r>
            <w:r w:rsidRPr="00742B86">
              <w:rPr>
                <w:rFonts w:cs="Arial"/>
                <w:color w:val="0D0D0D" w:themeColor="text1" w:themeTint="F2"/>
                <w:spacing w:val="-6"/>
                <w:lang w:val="en-GB"/>
              </w:rPr>
              <w:t>8%</w:t>
            </w:r>
            <w:r w:rsidR="00FC529C" w:rsidRPr="00742B86">
              <w:rPr>
                <w:rFonts w:cs="Arial"/>
                <w:color w:val="0D0D0D" w:themeColor="text1" w:themeTint="F2"/>
                <w:spacing w:val="-6"/>
                <w:lang w:val="en-GB"/>
              </w:rPr>
              <w:t xml:space="preserve"> year-on-year</w:t>
            </w:r>
            <w:r w:rsidR="00FC35DD" w:rsidRPr="00742B86">
              <w:rPr>
                <w:rFonts w:cs="Arial"/>
                <w:color w:val="0D0D0D" w:themeColor="text1" w:themeTint="F2"/>
                <w:spacing w:val="-6"/>
                <w:lang w:val="en-GB"/>
              </w:rPr>
              <w:t>,</w:t>
            </w:r>
            <w:r w:rsidRPr="00742B86">
              <w:rPr>
                <w:rFonts w:cs="Arial"/>
                <w:color w:val="0D0D0D" w:themeColor="text1" w:themeTint="F2"/>
                <w:spacing w:val="-6"/>
                <w:lang w:val="en-GB"/>
              </w:rPr>
              <w:t xml:space="preserve"> </w:t>
            </w:r>
            <w:r w:rsidR="00FC529C" w:rsidRPr="00742B86">
              <w:rPr>
                <w:rFonts w:cs="Arial"/>
                <w:color w:val="0D0D0D" w:themeColor="text1" w:themeTint="F2"/>
                <w:spacing w:val="-6"/>
                <w:lang w:val="en-GB"/>
              </w:rPr>
              <w:t xml:space="preserve">growth of outlays hiked up to </w:t>
            </w:r>
            <w:r w:rsidRPr="00742B86">
              <w:rPr>
                <w:rFonts w:cs="Arial"/>
                <w:color w:val="0D0D0D" w:themeColor="text1" w:themeTint="F2"/>
                <w:spacing w:val="-6"/>
                <w:lang w:val="en-GB"/>
              </w:rPr>
              <w:t>10</w:t>
            </w:r>
            <w:r w:rsidR="00FC529C" w:rsidRPr="00742B86">
              <w:rPr>
                <w:rFonts w:cs="Arial"/>
                <w:color w:val="0D0D0D" w:themeColor="text1" w:themeTint="F2"/>
                <w:spacing w:val="-6"/>
                <w:lang w:val="en-GB"/>
              </w:rPr>
              <w:t>.</w:t>
            </w:r>
            <w:r w:rsidRPr="00742B86">
              <w:rPr>
                <w:rFonts w:cs="Arial"/>
                <w:color w:val="0D0D0D" w:themeColor="text1" w:themeTint="F2"/>
                <w:spacing w:val="-6"/>
                <w:lang w:val="en-GB"/>
              </w:rPr>
              <w:t>7% (</w:t>
            </w:r>
            <w:r w:rsidR="00FC529C" w:rsidRPr="00742B86">
              <w:rPr>
                <w:rFonts w:cs="Arial"/>
                <w:color w:val="0D0D0D" w:themeColor="text1" w:themeTint="F2"/>
                <w:spacing w:val="-6"/>
                <w:lang w:val="en-GB"/>
              </w:rPr>
              <w:t>in both cases it presented a record paces for the last decade</w:t>
            </w:r>
            <w:r w:rsidRPr="00742B86">
              <w:rPr>
                <w:rFonts w:cs="Arial"/>
                <w:color w:val="0D0D0D" w:themeColor="text1" w:themeTint="F2"/>
                <w:spacing w:val="-6"/>
                <w:lang w:val="en-GB"/>
              </w:rPr>
              <w:t>).</w:t>
            </w:r>
            <w:r w:rsidR="00FC529C" w:rsidRPr="00742B86">
              <w:rPr>
                <w:rFonts w:cs="Arial"/>
                <w:color w:val="0D0D0D" w:themeColor="text1" w:themeTint="F2"/>
                <w:spacing w:val="-6"/>
                <w:lang w:val="en-GB"/>
              </w:rPr>
              <w:t xml:space="preserve"> Budget balance worsened</w:t>
            </w:r>
            <w:r w:rsidR="00C74874" w:rsidRPr="00742B86">
              <w:rPr>
                <w:rFonts w:cs="Arial"/>
                <w:color w:val="0D0D0D" w:themeColor="text1" w:themeTint="F2"/>
                <w:spacing w:val="-6"/>
                <w:lang w:val="en-GB"/>
              </w:rPr>
              <w:t xml:space="preserve"> year-on-year in all subsectors </w:t>
            </w:r>
            <w:r w:rsidRPr="00742B86">
              <w:rPr>
                <w:rFonts w:cs="Arial"/>
                <w:color w:val="0D0D0D" w:themeColor="text1" w:themeTint="F2"/>
                <w:spacing w:val="-6"/>
                <w:lang w:val="en-GB"/>
              </w:rPr>
              <w:t>VI,</w:t>
            </w:r>
            <w:r w:rsidR="00C74874" w:rsidRPr="00742B86">
              <w:rPr>
                <w:rFonts w:cs="Arial"/>
                <w:color w:val="0D0D0D" w:themeColor="text1" w:themeTint="F2"/>
                <w:spacing w:val="-6"/>
                <w:lang w:val="en-GB"/>
              </w:rPr>
              <w:t xml:space="preserve"> the most however in central institutions </w:t>
            </w:r>
            <w:r w:rsidRPr="00742B86">
              <w:rPr>
                <w:rFonts w:cs="Arial"/>
                <w:color w:val="0D0D0D" w:themeColor="text1" w:themeTint="F2"/>
                <w:spacing w:val="-6"/>
                <w:lang w:val="en-GB"/>
              </w:rPr>
              <w:t>VI,</w:t>
            </w:r>
            <w:r w:rsidR="00811875">
              <w:rPr>
                <w:rFonts w:cs="Arial"/>
                <w:color w:val="0D0D0D" w:themeColor="text1" w:themeTint="F2"/>
                <w:spacing w:val="-6"/>
                <w:lang w:val="en-GB"/>
              </w:rPr>
              <w:t xml:space="preserve"> which bore the decisive part of the costs of anti-</w:t>
            </w:r>
            <w:r w:rsidR="00C74874" w:rsidRPr="00742B86">
              <w:rPr>
                <w:rFonts w:cs="Arial"/>
                <w:color w:val="0D0D0D" w:themeColor="text1" w:themeTint="F2"/>
                <w:spacing w:val="-6"/>
                <w:lang w:val="en-GB"/>
              </w:rPr>
              <w:t xml:space="preserve">pandemic measures. Health insurance companies as well as local institutions </w:t>
            </w:r>
            <w:r w:rsidRPr="00742B86">
              <w:rPr>
                <w:rFonts w:cs="Arial"/>
                <w:color w:val="0D0D0D" w:themeColor="text1" w:themeTint="F2"/>
                <w:spacing w:val="-6"/>
                <w:lang w:val="en-GB"/>
              </w:rPr>
              <w:t xml:space="preserve">VI </w:t>
            </w:r>
            <w:r w:rsidR="00C74874" w:rsidRPr="00742B86">
              <w:rPr>
                <w:rFonts w:cs="Arial"/>
                <w:color w:val="0D0D0D" w:themeColor="text1" w:themeTint="F2"/>
                <w:spacing w:val="-6"/>
                <w:lang w:val="en-GB"/>
              </w:rPr>
              <w:t xml:space="preserve">preserved a surplus budget, partially thanks to lower investment activity. Seasonally adjusted balance of sector VI budget plunged to </w:t>
            </w:r>
            <w:r w:rsidRPr="00742B86">
              <w:rPr>
                <w:spacing w:val="-6"/>
                <w:lang w:val="en-GB"/>
              </w:rPr>
              <w:t>–</w:t>
            </w:r>
            <w:r w:rsidRPr="00742B86">
              <w:rPr>
                <w:rFonts w:cs="Arial"/>
                <w:color w:val="0D0D0D" w:themeColor="text1" w:themeTint="F2"/>
                <w:spacing w:val="-6"/>
                <w:lang w:val="en-GB"/>
              </w:rPr>
              <w:t>4</w:t>
            </w:r>
            <w:r w:rsidR="00C74874" w:rsidRPr="00742B86">
              <w:rPr>
                <w:rFonts w:cs="Arial"/>
                <w:color w:val="0D0D0D" w:themeColor="text1" w:themeTint="F2"/>
                <w:spacing w:val="-6"/>
                <w:lang w:val="en-GB"/>
              </w:rPr>
              <w:t>.</w:t>
            </w:r>
            <w:r w:rsidRPr="00742B86">
              <w:rPr>
                <w:rFonts w:cs="Arial"/>
                <w:color w:val="0D0D0D" w:themeColor="text1" w:themeTint="F2"/>
                <w:spacing w:val="-6"/>
                <w:lang w:val="en-GB"/>
              </w:rPr>
              <w:t>5% HDP</w:t>
            </w:r>
            <w:r w:rsidR="00811875">
              <w:rPr>
                <w:rFonts w:cs="Arial"/>
                <w:color w:val="0D0D0D" w:themeColor="text1" w:themeTint="F2"/>
                <w:spacing w:val="-6"/>
                <w:lang w:val="en-GB"/>
              </w:rPr>
              <w:t xml:space="preserve"> in period Q1 to Q3.</w:t>
            </w:r>
            <w:r w:rsidRPr="00742B86">
              <w:rPr>
                <w:rFonts w:cs="Arial"/>
                <w:color w:val="0D0D0D" w:themeColor="text1" w:themeTint="F2"/>
                <w:spacing w:val="-6"/>
                <w:lang w:val="en-GB"/>
              </w:rPr>
              <w:t xml:space="preserve"> </w:t>
            </w:r>
            <w:r w:rsidR="00C74874" w:rsidRPr="00742B86">
              <w:rPr>
                <w:rFonts w:cs="Arial"/>
                <w:color w:val="0D0D0D" w:themeColor="text1" w:themeTint="F2"/>
                <w:spacing w:val="-6"/>
                <w:lang w:val="en-GB"/>
              </w:rPr>
              <w:t xml:space="preserve">It thus recorded a first deficit after five years and at the same time the worst result since year </w:t>
            </w:r>
            <w:r w:rsidRPr="00742B86">
              <w:rPr>
                <w:rFonts w:cs="Arial"/>
                <w:color w:val="0D0D0D" w:themeColor="text1" w:themeTint="F2"/>
                <w:spacing w:val="-6"/>
                <w:lang w:val="en-GB"/>
              </w:rPr>
              <w:t>2009 (</w:t>
            </w:r>
            <w:r w:rsidRPr="00742B86">
              <w:rPr>
                <w:spacing w:val="-6"/>
                <w:lang w:val="en-GB"/>
              </w:rPr>
              <w:t>–</w:t>
            </w:r>
            <w:r w:rsidRPr="00742B86">
              <w:rPr>
                <w:rFonts w:cs="Arial"/>
                <w:color w:val="0D0D0D" w:themeColor="text1" w:themeTint="F2"/>
                <w:spacing w:val="-6"/>
                <w:lang w:val="en-GB"/>
              </w:rPr>
              <w:t>5</w:t>
            </w:r>
            <w:r w:rsidR="00C74874" w:rsidRPr="00742B86">
              <w:rPr>
                <w:rFonts w:cs="Arial"/>
                <w:color w:val="0D0D0D" w:themeColor="text1" w:themeTint="F2"/>
                <w:spacing w:val="-6"/>
                <w:lang w:val="en-GB"/>
              </w:rPr>
              <w:t>.</w:t>
            </w:r>
            <w:r w:rsidR="00F35211">
              <w:rPr>
                <w:rFonts w:cs="Arial"/>
                <w:color w:val="0D0D0D" w:themeColor="text1" w:themeTint="F2"/>
                <w:spacing w:val="-6"/>
                <w:lang w:val="en-GB"/>
              </w:rPr>
              <w:t>5%</w:t>
            </w:r>
            <w:r w:rsidRPr="00742B86">
              <w:rPr>
                <w:rFonts w:cs="Arial"/>
                <w:color w:val="0D0D0D" w:themeColor="text1" w:themeTint="F2"/>
                <w:spacing w:val="-6"/>
                <w:lang w:val="en-GB"/>
              </w:rPr>
              <w:t xml:space="preserve">). </w:t>
            </w:r>
          </w:p>
        </w:tc>
      </w:tr>
      <w:tr w:rsidR="00811875" w:rsidRPr="00742B86" w:rsidTr="00D70BBF">
        <w:trPr>
          <w:trHeight w:val="170"/>
        </w:trPr>
        <w:tc>
          <w:tcPr>
            <w:tcW w:w="1583" w:type="dxa"/>
            <w:shd w:val="clear" w:color="auto" w:fill="auto"/>
            <w:tcMar>
              <w:left w:w="0" w:type="dxa"/>
            </w:tcMar>
          </w:tcPr>
          <w:p w:rsidR="00811875" w:rsidRPr="00742B86" w:rsidRDefault="00811875" w:rsidP="00267C51">
            <w:pPr>
              <w:pStyle w:val="Marginlie"/>
              <w:spacing w:after="240"/>
              <w:rPr>
                <w:lang w:val="en-GB"/>
              </w:rPr>
            </w:pPr>
            <w:r w:rsidRPr="00742B86">
              <w:rPr>
                <w:lang w:val="en-GB"/>
              </w:rPr>
              <w:t>Both budget deficit and increase of indebtedness of the CR were among the smaller in the EU countries.</w:t>
            </w:r>
          </w:p>
        </w:tc>
        <w:tc>
          <w:tcPr>
            <w:tcW w:w="176" w:type="dxa"/>
            <w:shd w:val="clear" w:color="auto" w:fill="auto"/>
            <w:tcMar>
              <w:left w:w="0" w:type="dxa"/>
            </w:tcMar>
          </w:tcPr>
          <w:p w:rsidR="00811875" w:rsidRPr="00742B86" w:rsidRDefault="00811875" w:rsidP="00267C51">
            <w:pPr>
              <w:pStyle w:val="Textpoznpodarou"/>
              <w:spacing w:after="240"/>
              <w:jc w:val="both"/>
              <w:rPr>
                <w:spacing w:val="-4"/>
                <w:lang w:val="en-GB"/>
              </w:rPr>
            </w:pPr>
          </w:p>
        </w:tc>
        <w:tc>
          <w:tcPr>
            <w:tcW w:w="7910" w:type="dxa"/>
            <w:shd w:val="clear" w:color="auto" w:fill="auto"/>
            <w:tcMar>
              <w:left w:w="0" w:type="dxa"/>
            </w:tcMar>
          </w:tcPr>
          <w:p w:rsidR="00811875" w:rsidRPr="00742B86" w:rsidRDefault="00811875" w:rsidP="00E97F14">
            <w:pPr>
              <w:pStyle w:val="Textpoznpodarou"/>
              <w:spacing w:line="276" w:lineRule="auto"/>
              <w:jc w:val="both"/>
              <w:rPr>
                <w:rFonts w:cs="Arial"/>
                <w:color w:val="0D0D0D" w:themeColor="text1" w:themeTint="F2"/>
                <w:spacing w:val="-6"/>
                <w:lang w:val="en-GB"/>
              </w:rPr>
            </w:pPr>
            <w:r w:rsidRPr="00742B86">
              <w:rPr>
                <w:rFonts w:cs="Arial"/>
                <w:color w:val="0D0D0D" w:themeColor="text1" w:themeTint="F2"/>
                <w:spacing w:val="-6"/>
                <w:lang w:val="en-GB"/>
              </w:rPr>
              <w:t>Still, it represented more positive value than in the EU (</w:t>
            </w:r>
            <w:r w:rsidRPr="00742B86">
              <w:rPr>
                <w:spacing w:val="-6"/>
                <w:lang w:val="en-GB"/>
              </w:rPr>
              <w:t>–</w:t>
            </w:r>
            <w:r w:rsidRPr="00742B86">
              <w:rPr>
                <w:rFonts w:cs="Arial"/>
                <w:color w:val="0D0D0D" w:themeColor="text1" w:themeTint="F2"/>
                <w:spacing w:val="-6"/>
                <w:lang w:val="en-GB"/>
              </w:rPr>
              <w:t xml:space="preserve">6.6%) or all central European states (e.g. Germany </w:t>
            </w:r>
            <w:r w:rsidRPr="00742B86">
              <w:rPr>
                <w:spacing w:val="-6"/>
                <w:lang w:val="en-GB"/>
              </w:rPr>
              <w:t>–</w:t>
            </w:r>
            <w:r w:rsidRPr="00742B86">
              <w:rPr>
                <w:rFonts w:cs="Arial"/>
                <w:color w:val="0D0D0D" w:themeColor="text1" w:themeTint="F2"/>
                <w:spacing w:val="-6"/>
                <w:lang w:val="en-GB"/>
              </w:rPr>
              <w:t xml:space="preserve">4.6%, Poland </w:t>
            </w:r>
            <w:r w:rsidRPr="00742B86">
              <w:rPr>
                <w:spacing w:val="-6"/>
                <w:lang w:val="en-GB"/>
              </w:rPr>
              <w:t>–</w:t>
            </w:r>
            <w:r w:rsidRPr="00742B86">
              <w:rPr>
                <w:rFonts w:cs="Arial"/>
                <w:color w:val="0D0D0D" w:themeColor="text1" w:themeTint="F2"/>
                <w:spacing w:val="-6"/>
                <w:lang w:val="en-GB"/>
              </w:rPr>
              <w:t xml:space="preserve">8.5%). This deep budget </w:t>
            </w:r>
            <w:proofErr w:type="gramStart"/>
            <w:r w:rsidRPr="00742B86">
              <w:rPr>
                <w:rFonts w:cs="Arial"/>
                <w:color w:val="0D0D0D" w:themeColor="text1" w:themeTint="F2"/>
                <w:spacing w:val="-6"/>
                <w:lang w:val="en-GB"/>
              </w:rPr>
              <w:t>must have been reflected</w:t>
            </w:r>
            <w:proofErr w:type="gramEnd"/>
            <w:r w:rsidRPr="00742B86">
              <w:rPr>
                <w:rFonts w:cs="Arial"/>
                <w:color w:val="0D0D0D" w:themeColor="text1" w:themeTint="F2"/>
                <w:spacing w:val="-6"/>
                <w:lang w:val="en-GB"/>
              </w:rPr>
              <w:t xml:space="preserve"> in the debt acceleration. The indebtedness rate overtook the record level from year 2014 in the EU, at the end of Q3 </w:t>
            </w:r>
            <w:proofErr w:type="gramStart"/>
            <w:r w:rsidRPr="00742B86">
              <w:rPr>
                <w:rFonts w:cs="Arial"/>
                <w:color w:val="0D0D0D" w:themeColor="text1" w:themeTint="F2"/>
                <w:spacing w:val="-6"/>
                <w:lang w:val="en-GB"/>
              </w:rPr>
              <w:t>2020</w:t>
            </w:r>
            <w:r>
              <w:rPr>
                <w:rFonts w:cs="Arial"/>
                <w:color w:val="0D0D0D" w:themeColor="text1" w:themeTint="F2"/>
                <w:spacing w:val="-6"/>
                <w:lang w:val="en-GB"/>
              </w:rPr>
              <w:t>,</w:t>
            </w:r>
            <w:proofErr w:type="gramEnd"/>
            <w:r w:rsidRPr="00742B86">
              <w:rPr>
                <w:rFonts w:cs="Arial"/>
                <w:color w:val="0D0D0D" w:themeColor="text1" w:themeTint="F2"/>
                <w:spacing w:val="-6"/>
                <w:lang w:val="en-GB"/>
              </w:rPr>
              <w:t xml:space="preserve"> it closely approached the value of 90% of GDP. It increased in all Union countries year-on-year – by more than 15 p.p. in Cyprus, Italy, Greece, Spain and France. Growth in the CR (+6.9 p.p., to 38.4% of GDP) was weaker compared to the whole EU (+10.6 p.p.). Also thanks to this, the CR still belonged among the four less indebted countries of the EU.</w:t>
            </w:r>
          </w:p>
        </w:tc>
      </w:tr>
      <w:bookmarkEnd w:id="25"/>
    </w:tbl>
    <w:p w:rsidR="000663F0" w:rsidRPr="00742B86" w:rsidRDefault="000663F0" w:rsidP="00E97F14">
      <w:pPr>
        <w:pStyle w:val="Nadpis11"/>
        <w:spacing w:after="0"/>
        <w:rPr>
          <w:b w:val="0"/>
          <w:sz w:val="2"/>
          <w:szCs w:val="2"/>
          <w:lang w:val="en-GB"/>
        </w:rPr>
      </w:pPr>
    </w:p>
    <w:sectPr w:rsidR="000663F0" w:rsidRPr="00742B86" w:rsidSect="00A03B10">
      <w:headerReference w:type="even" r:id="rId30"/>
      <w:headerReference w:type="default" r:id="rId31"/>
      <w:footerReference w:type="even" r:id="rId32"/>
      <w:footerReference w:type="default" r:id="rId33"/>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C8" w:rsidRDefault="003F15C8" w:rsidP="00E71A58">
      <w:r>
        <w:separator/>
      </w:r>
    </w:p>
  </w:endnote>
  <w:endnote w:type="continuationSeparator" w:id="0">
    <w:p w:rsidR="003F15C8" w:rsidRDefault="003F15C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F4" w:rsidRPr="00932443" w:rsidRDefault="00791BF4" w:rsidP="00A418BC">
    <w:pPr>
      <w:pStyle w:val="Zpat"/>
      <w:rPr>
        <w:szCs w:val="16"/>
      </w:rPr>
    </w:pPr>
    <w:r>
      <w:rPr>
        <w:szCs w:val="16"/>
        <w:lang w:eastAsia="cs-CZ"/>
      </w:rPr>
      <w:drawing>
        <wp:anchor distT="0" distB="0" distL="114300" distR="114300" simplePos="0" relativeHeight="251673088" behindDoc="0" locked="0" layoutInCell="1" allowOverlap="1" wp14:anchorId="01C1D201" wp14:editId="03A2281D">
          <wp:simplePos x="0" y="0"/>
          <wp:positionH relativeFrom="column">
            <wp:align>right</wp:align>
          </wp:positionH>
          <wp:positionV relativeFrom="paragraph">
            <wp:posOffset>-64770</wp:posOffset>
          </wp:positionV>
          <wp:extent cx="428625" cy="201295"/>
          <wp:effectExtent l="0" t="0" r="3175" b="1905"/>
          <wp:wrapNone/>
          <wp:docPr id="38"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14F5C">
      <w:rPr>
        <w:szCs w:val="16"/>
      </w:rPr>
      <w:t>6</w:t>
    </w:r>
    <w:r w:rsidRPr="00932443">
      <w:rPr>
        <w:szCs w:val="16"/>
      </w:rPr>
      <w:fldChar w:fldCharType="end"/>
    </w:r>
    <w:r w:rsidRPr="00932443">
      <w:rPr>
        <w:szCs w:val="16"/>
      </w:rPr>
      <w:tab/>
    </w:r>
    <w:r w:rsidRPr="006B1E91">
      <w:rPr>
        <w:szCs w:val="16"/>
        <w:lang w:val="en-GB"/>
      </w:rPr>
      <w:t xml:space="preserve">year </w:t>
    </w:r>
    <w:r>
      <w:rPr>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F4" w:rsidRPr="00932443" w:rsidRDefault="00791BF4" w:rsidP="00FA6CB6">
    <w:pPr>
      <w:pStyle w:val="Zpat"/>
      <w:rPr>
        <w:szCs w:val="16"/>
      </w:rPr>
    </w:pPr>
    <w:r w:rsidRPr="00FA6CB6">
      <w:rPr>
        <w:szCs w:val="16"/>
      </w:rPr>
      <w:tab/>
    </w:r>
    <w:r w:rsidRPr="00443A47">
      <w:rPr>
        <w:szCs w:val="16"/>
        <w:lang w:val="en-GB"/>
      </w:rPr>
      <w:t>year</w:t>
    </w:r>
    <w:r>
      <w:rPr>
        <w:szCs w:val="16"/>
      </w:rPr>
      <w:t xml:space="preserve"> </w:t>
    </w:r>
    <w:r>
      <w:rPr>
        <w:szCs w:val="16"/>
        <w:lang w:eastAsia="cs-CZ"/>
      </w:rPr>
      <w:drawing>
        <wp:anchor distT="0" distB="0" distL="114300" distR="114300" simplePos="0" relativeHeight="251672064" behindDoc="0" locked="0" layoutInCell="1" allowOverlap="1" wp14:anchorId="7EE99968" wp14:editId="62AF1671">
          <wp:simplePos x="0" y="0"/>
          <wp:positionH relativeFrom="column">
            <wp:align>left</wp:align>
          </wp:positionH>
          <wp:positionV relativeFrom="paragraph">
            <wp:posOffset>-122555</wp:posOffset>
          </wp:positionV>
          <wp:extent cx="510540" cy="272415"/>
          <wp:effectExtent l="0" t="0" r="0" b="6985"/>
          <wp:wrapNone/>
          <wp:docPr id="39"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14F5C">
      <w:rPr>
        <w:rStyle w:val="ZpatChar"/>
        <w:szCs w:val="16"/>
      </w:rPr>
      <w:t>5</w:t>
    </w:r>
    <w:r w:rsidRPr="00932443">
      <w:rPr>
        <w:rStyle w:val="ZpatCha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932443" w:rsidRDefault="003F15C8"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14F5C">
      <w:rPr>
        <w:szCs w:val="16"/>
      </w:rPr>
      <w:t>40</w:t>
    </w:r>
    <w:r w:rsidRPr="00932443">
      <w:rPr>
        <w:szCs w:val="16"/>
      </w:rPr>
      <w:fldChar w:fldCharType="end"/>
    </w:r>
    <w:r w:rsidRPr="00932443">
      <w:rPr>
        <w:szCs w:val="16"/>
      </w:rPr>
      <w:tab/>
    </w:r>
    <w:r w:rsidRPr="006B1E91">
      <w:rPr>
        <w:szCs w:val="16"/>
        <w:lang w:val="en-GB"/>
      </w:rPr>
      <w:t xml:space="preserve">year </w:t>
    </w:r>
    <w:r>
      <w:rPr>
        <w:szCs w:val="16"/>
      </w:rPr>
      <w:t>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932443" w:rsidRDefault="003F15C8" w:rsidP="00FA6CB6">
    <w:pPr>
      <w:pStyle w:val="Zpat"/>
      <w:rPr>
        <w:szCs w:val="16"/>
      </w:rPr>
    </w:pPr>
    <w:r w:rsidRPr="009743B9">
      <w:rPr>
        <w:lang w:eastAsia="cs-CZ"/>
      </w:rPr>
      <w:drawing>
        <wp:anchor distT="0" distB="0" distL="114300" distR="114300" simplePos="0" relativeHeight="251670016" behindDoc="0" locked="0" layoutInCell="1" allowOverlap="1" wp14:anchorId="191D17F9" wp14:editId="22DEAB6E">
          <wp:simplePos x="0" y="0"/>
          <wp:positionH relativeFrom="margin">
            <wp:align>left</wp:align>
          </wp:positionH>
          <wp:positionV relativeFrom="paragraph">
            <wp:posOffset>-47625</wp:posOffset>
          </wp:positionV>
          <wp:extent cx="690633" cy="204716"/>
          <wp:effectExtent l="0" t="0" r="0" b="508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Pr="00FA6CB6">
      <w:rPr>
        <w:szCs w:val="16"/>
      </w:rPr>
      <w:tab/>
    </w:r>
    <w:r w:rsidRPr="00443A47">
      <w:rPr>
        <w:szCs w:val="16"/>
        <w:lang w:val="en-GB"/>
      </w:rPr>
      <w:t>year</w:t>
    </w:r>
    <w:r>
      <w:rPr>
        <w:szCs w:val="16"/>
      </w:rPr>
      <w:t xml:space="preserve"> 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14F5C">
      <w:rPr>
        <w:rStyle w:val="ZpatChar"/>
        <w:szCs w:val="16"/>
      </w:rPr>
      <w:t>39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C8" w:rsidRDefault="003F15C8" w:rsidP="00A21B4D">
      <w:pPr>
        <w:spacing w:after="0"/>
      </w:pPr>
      <w:r>
        <w:separator/>
      </w:r>
    </w:p>
  </w:footnote>
  <w:footnote w:type="continuationSeparator" w:id="0">
    <w:p w:rsidR="003F15C8" w:rsidRDefault="003F15C8" w:rsidP="00E71A58">
      <w:r>
        <w:continuationSeparator/>
      </w:r>
    </w:p>
  </w:footnote>
  <w:footnote w:id="1">
    <w:p w:rsidR="003F15C8" w:rsidRPr="00FF710A" w:rsidRDefault="003F15C8" w:rsidP="00FF710A">
      <w:pPr>
        <w:pStyle w:val="Textpoznpodarou"/>
        <w:jc w:val="both"/>
        <w:rPr>
          <w:spacing w:val="-2"/>
          <w:sz w:val="16"/>
          <w:szCs w:val="16"/>
          <w:lang w:val="en-GB"/>
        </w:rPr>
      </w:pPr>
      <w:r w:rsidRPr="00957140">
        <w:rPr>
          <w:rStyle w:val="Znakapoznpodarou"/>
          <w:spacing w:val="-2"/>
          <w:sz w:val="16"/>
          <w:szCs w:val="16"/>
        </w:rPr>
        <w:footnoteRef/>
      </w:r>
      <w:r w:rsidRPr="00957140">
        <w:rPr>
          <w:spacing w:val="-2"/>
          <w:sz w:val="16"/>
          <w:szCs w:val="16"/>
        </w:rPr>
        <w:t xml:space="preserve"> </w:t>
      </w:r>
      <w:r w:rsidRPr="00FF710A">
        <w:rPr>
          <w:spacing w:val="-2"/>
          <w:sz w:val="16"/>
          <w:szCs w:val="16"/>
          <w:lang w:val="en-GB"/>
        </w:rPr>
        <w:t xml:space="preserve">Data regarding the GDP, gross value added and their components are expressed in constant prices and adjusted for seasonal and calendar effects.  </w:t>
      </w:r>
    </w:p>
  </w:footnote>
  <w:footnote w:id="2">
    <w:p w:rsidR="003F15C8" w:rsidRPr="00FF710A" w:rsidRDefault="003F15C8" w:rsidP="00FF710A">
      <w:pPr>
        <w:pStyle w:val="Textpoznpodarou"/>
        <w:jc w:val="both"/>
        <w:rPr>
          <w:sz w:val="16"/>
          <w:szCs w:val="16"/>
          <w:lang w:val="en-GB"/>
        </w:rPr>
      </w:pPr>
      <w:r w:rsidRPr="00FF710A">
        <w:rPr>
          <w:rStyle w:val="Znakapoznpodarou"/>
          <w:sz w:val="16"/>
          <w:szCs w:val="16"/>
          <w:lang w:val="en-GB"/>
        </w:rPr>
        <w:footnoteRef/>
      </w:r>
      <w:r w:rsidRPr="00FF710A">
        <w:rPr>
          <w:sz w:val="16"/>
          <w:szCs w:val="16"/>
          <w:lang w:val="en-GB"/>
        </w:rPr>
        <w:t xml:space="preserve"> </w:t>
      </w:r>
      <w:r w:rsidRPr="003A00E3">
        <w:rPr>
          <w:sz w:val="16"/>
          <w:szCs w:val="16"/>
          <w:lang w:val="en-GB"/>
        </w:rPr>
        <w:t>According to the methodology of quarterly national accounts (export and import in FOB/FOB prices).</w:t>
      </w:r>
    </w:p>
  </w:footnote>
  <w:footnote w:id="3">
    <w:p w:rsidR="003F15C8" w:rsidRPr="00FF710A" w:rsidRDefault="003F15C8" w:rsidP="00FF710A">
      <w:pPr>
        <w:pStyle w:val="Textpoznpodarou"/>
        <w:jc w:val="both"/>
        <w:rPr>
          <w:sz w:val="16"/>
          <w:szCs w:val="16"/>
          <w:lang w:val="en-GB"/>
        </w:rPr>
      </w:pPr>
      <w:r w:rsidRPr="00FF710A">
        <w:rPr>
          <w:rStyle w:val="Znakapoznpodarou"/>
          <w:spacing w:val="-2"/>
          <w:sz w:val="16"/>
          <w:szCs w:val="16"/>
          <w:lang w:val="en-GB"/>
        </w:rPr>
        <w:footnoteRef/>
      </w:r>
      <w:r w:rsidRPr="00FF710A">
        <w:rPr>
          <w:spacing w:val="-2"/>
          <w:sz w:val="16"/>
          <w:szCs w:val="16"/>
          <w:lang w:val="en-GB"/>
        </w:rPr>
        <w:t xml:space="preserve"> Employment data are in the national accounts conception</w:t>
      </w:r>
      <w:r>
        <w:rPr>
          <w:spacing w:val="-2"/>
          <w:sz w:val="16"/>
          <w:szCs w:val="16"/>
          <w:lang w:val="en-GB"/>
        </w:rPr>
        <w:t xml:space="preserve">. They </w:t>
      </w:r>
      <w:proofErr w:type="gramStart"/>
      <w:r>
        <w:rPr>
          <w:spacing w:val="-2"/>
          <w:sz w:val="16"/>
          <w:szCs w:val="16"/>
          <w:lang w:val="en-GB"/>
        </w:rPr>
        <w:t>are</w:t>
      </w:r>
      <w:r w:rsidRPr="00FF710A">
        <w:rPr>
          <w:spacing w:val="-2"/>
          <w:sz w:val="16"/>
          <w:szCs w:val="16"/>
          <w:lang w:val="en-GB"/>
        </w:rPr>
        <w:t xml:space="preserve"> adjusted</w:t>
      </w:r>
      <w:proofErr w:type="gramEnd"/>
      <w:r w:rsidRPr="00FF710A">
        <w:rPr>
          <w:spacing w:val="-2"/>
          <w:sz w:val="16"/>
          <w:szCs w:val="16"/>
          <w:lang w:val="en-GB"/>
        </w:rPr>
        <w:t xml:space="preserve"> for seasonal effects.</w:t>
      </w:r>
      <w:r>
        <w:rPr>
          <w:spacing w:val="-2"/>
          <w:sz w:val="16"/>
          <w:szCs w:val="16"/>
          <w:lang w:val="en-GB"/>
        </w:rPr>
        <w:t xml:space="preserve"> </w:t>
      </w:r>
    </w:p>
  </w:footnote>
  <w:footnote w:id="4">
    <w:p w:rsidR="00791BF4" w:rsidRPr="006853B9" w:rsidRDefault="00791BF4" w:rsidP="00791BF4">
      <w:pPr>
        <w:pStyle w:val="Textpoznpodarou"/>
        <w:jc w:val="both"/>
        <w:rPr>
          <w:sz w:val="16"/>
          <w:szCs w:val="16"/>
          <w:lang w:val="en-GB"/>
        </w:rPr>
      </w:pPr>
      <w:r w:rsidRPr="000348AF">
        <w:rPr>
          <w:rStyle w:val="Znakapoznpodarou"/>
          <w:sz w:val="16"/>
          <w:szCs w:val="16"/>
        </w:rPr>
        <w:footnoteRef/>
      </w:r>
      <w:r w:rsidRPr="000348AF">
        <w:rPr>
          <w:sz w:val="16"/>
          <w:szCs w:val="16"/>
        </w:rPr>
        <w:t xml:space="preserve"> </w:t>
      </w:r>
      <w:r w:rsidRPr="006853B9">
        <w:rPr>
          <w:sz w:val="16"/>
          <w:szCs w:val="16"/>
          <w:lang w:val="en-GB"/>
        </w:rPr>
        <w:t>The development of the GDP, gross value added and their components is expressed with the help of the volume indices (i.e. adjusted for changes in prices) and adjusted for seasonal and calendar effects. Data are valid as of 2</w:t>
      </w:r>
      <w:r w:rsidRPr="006853B9">
        <w:rPr>
          <w:sz w:val="16"/>
          <w:szCs w:val="16"/>
          <w:vertAlign w:val="superscript"/>
          <w:lang w:val="en-GB"/>
        </w:rPr>
        <w:t>nd</w:t>
      </w:r>
      <w:r w:rsidRPr="006853B9">
        <w:rPr>
          <w:sz w:val="16"/>
          <w:szCs w:val="16"/>
          <w:lang w:val="en-GB"/>
        </w:rPr>
        <w:t xml:space="preserve"> March 202. </w:t>
      </w:r>
    </w:p>
  </w:footnote>
  <w:footnote w:id="5">
    <w:p w:rsidR="00791BF4" w:rsidRPr="006853B9" w:rsidRDefault="00791BF4" w:rsidP="00791BF4">
      <w:pPr>
        <w:pStyle w:val="Textpoznpodarou"/>
        <w:jc w:val="both"/>
        <w:rPr>
          <w:sz w:val="16"/>
          <w:szCs w:val="16"/>
          <w:lang w:val="en-GB"/>
        </w:rPr>
      </w:pPr>
      <w:r w:rsidRPr="006853B9">
        <w:rPr>
          <w:rStyle w:val="Znakapoznpodarou"/>
          <w:sz w:val="16"/>
          <w:szCs w:val="16"/>
          <w:lang w:val="en-GB"/>
        </w:rPr>
        <w:footnoteRef/>
      </w:r>
      <w:r w:rsidRPr="006853B9">
        <w:rPr>
          <w:sz w:val="16"/>
          <w:szCs w:val="16"/>
          <w:lang w:val="en-GB"/>
        </w:rPr>
        <w:t xml:space="preserve"> </w:t>
      </w:r>
      <w:r>
        <w:rPr>
          <w:sz w:val="16"/>
          <w:szCs w:val="16"/>
          <w:lang w:val="en-GB"/>
        </w:rPr>
        <w:t xml:space="preserve">Fresh data for Bulgaria, Ireland, Malta, Portugal, and Greece unavailable. </w:t>
      </w:r>
      <w:r w:rsidRPr="006853B9">
        <w:rPr>
          <w:sz w:val="16"/>
          <w:szCs w:val="16"/>
          <w:lang w:val="en-GB"/>
        </w:rPr>
        <w:t xml:space="preserve"> </w:t>
      </w:r>
    </w:p>
  </w:footnote>
  <w:footnote w:id="6">
    <w:p w:rsidR="00791BF4" w:rsidRPr="000F0CCB" w:rsidRDefault="00791BF4" w:rsidP="00791BF4">
      <w:pPr>
        <w:pStyle w:val="Textpoznpodarou"/>
        <w:jc w:val="both"/>
        <w:rPr>
          <w:sz w:val="16"/>
          <w:szCs w:val="16"/>
          <w:lang w:val="en-GB"/>
        </w:rPr>
      </w:pPr>
      <w:r w:rsidRPr="000348AF">
        <w:rPr>
          <w:rStyle w:val="Znakapoznpodarou"/>
          <w:sz w:val="16"/>
          <w:szCs w:val="16"/>
        </w:rPr>
        <w:footnoteRef/>
      </w:r>
      <w:r w:rsidRPr="000348AF">
        <w:rPr>
          <w:sz w:val="16"/>
          <w:szCs w:val="16"/>
        </w:rPr>
        <w:t xml:space="preserve"> </w:t>
      </w:r>
      <w:r w:rsidRPr="000F0CCB">
        <w:rPr>
          <w:sz w:val="16"/>
          <w:szCs w:val="16"/>
          <w:lang w:val="en-GB"/>
        </w:rPr>
        <w:t>Even though the resu</w:t>
      </w:r>
      <w:r>
        <w:rPr>
          <w:sz w:val="16"/>
          <w:szCs w:val="16"/>
          <w:lang w:val="en-GB"/>
        </w:rPr>
        <w:t>lt</w:t>
      </w:r>
      <w:r w:rsidRPr="000F0CCB">
        <w:rPr>
          <w:sz w:val="16"/>
          <w:szCs w:val="16"/>
          <w:lang w:val="en-GB"/>
        </w:rPr>
        <w:t xml:space="preserve"> was not available at the time of publication, </w:t>
      </w:r>
      <w:r>
        <w:rPr>
          <w:sz w:val="16"/>
          <w:szCs w:val="16"/>
          <w:lang w:val="en-GB"/>
        </w:rPr>
        <w:t xml:space="preserve">Ireland most likely also maintained the year-on-year addition in </w:t>
      </w:r>
      <w:r w:rsidRPr="000F0CCB">
        <w:rPr>
          <w:sz w:val="16"/>
          <w:szCs w:val="16"/>
          <w:lang w:val="en-GB"/>
        </w:rPr>
        <w:t>Q4. Here, the GDP in Q3 grew by 11.1% quarter-on-quarter and by 8.1% year-on-year.</w:t>
      </w:r>
    </w:p>
  </w:footnote>
  <w:footnote w:id="7">
    <w:p w:rsidR="00791BF4" w:rsidRPr="000F0CCB" w:rsidRDefault="00791BF4" w:rsidP="00791BF4">
      <w:pPr>
        <w:pStyle w:val="Textpoznpodarou"/>
        <w:jc w:val="both"/>
        <w:rPr>
          <w:lang w:val="en-GB"/>
        </w:rPr>
      </w:pPr>
      <w:r w:rsidRPr="000F0CCB">
        <w:rPr>
          <w:rStyle w:val="Znakapoznpodarou"/>
          <w:sz w:val="16"/>
          <w:szCs w:val="16"/>
          <w:lang w:val="en-GB"/>
        </w:rPr>
        <w:footnoteRef/>
      </w:r>
      <w:r w:rsidRPr="000F0CCB">
        <w:rPr>
          <w:sz w:val="16"/>
          <w:szCs w:val="16"/>
          <w:lang w:val="en-GB"/>
        </w:rPr>
        <w:t xml:space="preserve"> Employment in the national accounts conception (persons), data adjusted for seasonal effects.</w:t>
      </w:r>
    </w:p>
  </w:footnote>
  <w:footnote w:id="8">
    <w:p w:rsidR="00791BF4" w:rsidRPr="000B0B1D" w:rsidRDefault="00791BF4" w:rsidP="00791BF4">
      <w:pPr>
        <w:pStyle w:val="Textpoznpodarou"/>
        <w:jc w:val="both"/>
        <w:rPr>
          <w:sz w:val="16"/>
          <w:szCs w:val="16"/>
          <w:lang w:val="en-GB"/>
        </w:rPr>
      </w:pPr>
      <w:r w:rsidRPr="000F0CCB">
        <w:rPr>
          <w:rStyle w:val="Znakapoznpodarou"/>
          <w:sz w:val="16"/>
          <w:szCs w:val="16"/>
          <w:lang w:val="en-GB"/>
        </w:rPr>
        <w:footnoteRef/>
      </w:r>
      <w:r w:rsidRPr="000F0CCB">
        <w:rPr>
          <w:sz w:val="16"/>
          <w:szCs w:val="16"/>
          <w:lang w:val="en-GB"/>
        </w:rPr>
        <w:t xml:space="preserve"> Converted into the real expression using the deflator of</w:t>
      </w:r>
      <w:r w:rsidRPr="00DF4E3C">
        <w:rPr>
          <w:sz w:val="16"/>
          <w:szCs w:val="16"/>
          <w:lang w:val="en-GB"/>
        </w:rPr>
        <w:t xml:space="preserve"> final consumption expenditure of households.</w:t>
      </w:r>
    </w:p>
  </w:footnote>
  <w:footnote w:id="9">
    <w:p w:rsidR="00791BF4" w:rsidRPr="000B0B1D" w:rsidRDefault="00791BF4" w:rsidP="00791BF4">
      <w:pPr>
        <w:pStyle w:val="Textpoznpodarou"/>
        <w:jc w:val="both"/>
        <w:rPr>
          <w:sz w:val="16"/>
          <w:szCs w:val="16"/>
          <w:lang w:val="en-GB"/>
        </w:rPr>
      </w:pPr>
      <w:r w:rsidRPr="000B0B1D">
        <w:rPr>
          <w:rStyle w:val="Znakapoznpodarou"/>
          <w:sz w:val="16"/>
          <w:szCs w:val="16"/>
          <w:lang w:val="en-GB"/>
        </w:rPr>
        <w:footnoteRef/>
      </w:r>
      <w:r w:rsidRPr="000B0B1D">
        <w:rPr>
          <w:sz w:val="16"/>
          <w:szCs w:val="16"/>
          <w:lang w:val="en-GB"/>
        </w:rPr>
        <w:t xml:space="preserve"> </w:t>
      </w:r>
      <w:r w:rsidRPr="00DF4E3C">
        <w:rPr>
          <w:sz w:val="16"/>
          <w:szCs w:val="16"/>
          <w:lang w:val="en-GB"/>
        </w:rPr>
        <w:t xml:space="preserve">Public administration, education, health, and social work. </w:t>
      </w:r>
    </w:p>
  </w:footnote>
  <w:footnote w:id="10">
    <w:p w:rsidR="00791BF4" w:rsidRPr="009C6EA8" w:rsidRDefault="00791BF4" w:rsidP="00791BF4">
      <w:pPr>
        <w:pStyle w:val="Textpoznpodarou"/>
        <w:jc w:val="both"/>
        <w:rPr>
          <w:sz w:val="16"/>
          <w:szCs w:val="16"/>
        </w:rPr>
      </w:pPr>
      <w:r w:rsidRPr="009C6EA8">
        <w:rPr>
          <w:rStyle w:val="Znakapoznpodarou"/>
          <w:sz w:val="16"/>
          <w:szCs w:val="16"/>
        </w:rPr>
        <w:footnoteRef/>
      </w:r>
      <w:r w:rsidRPr="009C6EA8">
        <w:rPr>
          <w:sz w:val="16"/>
          <w:szCs w:val="16"/>
        </w:rPr>
        <w:t xml:space="preserve"> </w:t>
      </w:r>
      <w:r w:rsidRPr="003E68E3">
        <w:rPr>
          <w:sz w:val="16"/>
          <w:szCs w:val="16"/>
          <w:lang w:val="en-GB"/>
        </w:rPr>
        <w:t>Additions to the GDP change after exclusion of imports for final use.</w:t>
      </w:r>
    </w:p>
  </w:footnote>
  <w:footnote w:id="11">
    <w:p w:rsidR="00791BF4" w:rsidRPr="00954992" w:rsidRDefault="00791BF4" w:rsidP="00791BF4">
      <w:pPr>
        <w:pStyle w:val="Textpoznpodarou"/>
        <w:jc w:val="both"/>
        <w:rPr>
          <w:sz w:val="16"/>
          <w:szCs w:val="16"/>
        </w:rPr>
      </w:pPr>
      <w:r w:rsidRPr="00954992">
        <w:rPr>
          <w:rStyle w:val="Znakapoznpodarou"/>
          <w:sz w:val="16"/>
          <w:szCs w:val="16"/>
        </w:rPr>
        <w:footnoteRef/>
      </w:r>
      <w:r w:rsidRPr="00954992">
        <w:rPr>
          <w:sz w:val="16"/>
          <w:szCs w:val="16"/>
        </w:rPr>
        <w:t xml:space="preserve"> </w:t>
      </w:r>
      <w:r w:rsidRPr="004816C8">
        <w:rPr>
          <w:sz w:val="16"/>
          <w:szCs w:val="16"/>
          <w:lang w:val="en-GB"/>
        </w:rPr>
        <w:t xml:space="preserve">Data regarding consumption based on durability are in domestic conception and not seasonally adjusted. </w:t>
      </w:r>
    </w:p>
  </w:footnote>
  <w:footnote w:id="12">
    <w:p w:rsidR="00791BF4" w:rsidRPr="000F110B" w:rsidRDefault="00791BF4" w:rsidP="00791BF4">
      <w:pPr>
        <w:pStyle w:val="Textpoznpodarou"/>
        <w:jc w:val="both"/>
        <w:rPr>
          <w:sz w:val="16"/>
          <w:szCs w:val="16"/>
          <w:lang w:val="en-GB"/>
        </w:rPr>
      </w:pPr>
      <w:r w:rsidRPr="0021552C">
        <w:rPr>
          <w:rStyle w:val="Znakapoznpodarou"/>
          <w:sz w:val="16"/>
          <w:szCs w:val="16"/>
        </w:rPr>
        <w:footnoteRef/>
      </w:r>
      <w:r w:rsidRPr="0021552C">
        <w:rPr>
          <w:sz w:val="16"/>
          <w:szCs w:val="16"/>
        </w:rPr>
        <w:t xml:space="preserve"> </w:t>
      </w:r>
      <w:r w:rsidRPr="000F110B">
        <w:rPr>
          <w:rFonts w:cs="Arial"/>
          <w:sz w:val="16"/>
          <w:szCs w:val="16"/>
          <w:lang w:val="en-GB"/>
        </w:rPr>
        <w:t xml:space="preserve">Data regarding the type classification of gross fixed capital formation </w:t>
      </w:r>
      <w:proofErr w:type="gramStart"/>
      <w:r w:rsidRPr="000F110B">
        <w:rPr>
          <w:rFonts w:cs="Arial"/>
          <w:sz w:val="16"/>
          <w:szCs w:val="16"/>
          <w:lang w:val="en-GB"/>
        </w:rPr>
        <w:t>are not seasonally adjusted</w:t>
      </w:r>
      <w:proofErr w:type="gramEnd"/>
      <w:r w:rsidRPr="000F110B">
        <w:rPr>
          <w:rFonts w:cs="Arial"/>
          <w:sz w:val="16"/>
          <w:szCs w:val="16"/>
          <w:lang w:val="en-GB"/>
        </w:rPr>
        <w:t>.</w:t>
      </w:r>
    </w:p>
  </w:footnote>
  <w:footnote w:id="13">
    <w:p w:rsidR="00791BF4" w:rsidRPr="000F110B" w:rsidRDefault="00791BF4" w:rsidP="00791BF4">
      <w:pPr>
        <w:pStyle w:val="Textpoznpodarou"/>
        <w:jc w:val="both"/>
        <w:rPr>
          <w:sz w:val="16"/>
          <w:szCs w:val="16"/>
          <w:lang w:val="en-GB"/>
        </w:rPr>
      </w:pPr>
      <w:r w:rsidRPr="000F110B">
        <w:rPr>
          <w:rStyle w:val="Znakapoznpodarou"/>
          <w:sz w:val="16"/>
          <w:szCs w:val="16"/>
          <w:lang w:val="en-GB"/>
        </w:rPr>
        <w:footnoteRef/>
      </w:r>
      <w:r w:rsidRPr="000F110B">
        <w:rPr>
          <w:sz w:val="16"/>
          <w:szCs w:val="16"/>
          <w:lang w:val="en-GB"/>
        </w:rPr>
        <w:t xml:space="preserve"> </w:t>
      </w:r>
      <w:r w:rsidRPr="00715E3C">
        <w:rPr>
          <w:sz w:val="16"/>
          <w:szCs w:val="16"/>
          <w:lang w:val="en-GB"/>
        </w:rPr>
        <w:t>According to the methodology of quarterly national accounts (export and import in FOB/FOB prices).</w:t>
      </w:r>
    </w:p>
  </w:footnote>
  <w:footnote w:id="14">
    <w:p w:rsidR="003F15C8" w:rsidRPr="00EB7243" w:rsidRDefault="003F15C8" w:rsidP="00EB7243">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w:t>
      </w:r>
      <w:r w:rsidRPr="00EB7243">
        <w:rPr>
          <w:rFonts w:cs="Arial"/>
          <w:color w:val="0D0D0D" w:themeColor="text1" w:themeTint="F2"/>
          <w:spacing w:val="-2"/>
          <w:sz w:val="16"/>
          <w:szCs w:val="16"/>
          <w:lang w:val="en-GB"/>
        </w:rPr>
        <w:t>Data regarding the GVA are expressed in constant prices and adjusted for seasonal and calendar effects.</w:t>
      </w:r>
    </w:p>
  </w:footnote>
  <w:footnote w:id="15">
    <w:p w:rsidR="003F15C8" w:rsidRPr="00C32073" w:rsidRDefault="003F15C8" w:rsidP="00EB7243">
      <w:pPr>
        <w:pStyle w:val="Textpoznpodarou"/>
        <w:jc w:val="both"/>
        <w:rPr>
          <w:spacing w:val="-4"/>
          <w:sz w:val="16"/>
          <w:szCs w:val="16"/>
          <w:lang w:val="en-GB"/>
        </w:rPr>
      </w:pPr>
      <w:r w:rsidRPr="00C32073">
        <w:rPr>
          <w:rStyle w:val="Znakapoznpodarou"/>
          <w:spacing w:val="-4"/>
          <w:sz w:val="16"/>
          <w:szCs w:val="16"/>
          <w:lang w:val="en-GB"/>
        </w:rPr>
        <w:footnoteRef/>
      </w:r>
      <w:r w:rsidRPr="00C32073">
        <w:rPr>
          <w:spacing w:val="-4"/>
          <w:sz w:val="16"/>
          <w:szCs w:val="16"/>
          <w:lang w:val="en-GB"/>
        </w:rPr>
        <w:t xml:space="preserve"> Not only the both spring and autumn closure of the significant part of retail shops had a negative effect here, but also the persisting deep plunge of arrival tourism. Final consumption expenditures of non-residents in the CR slumped by </w:t>
      </w:r>
      <w:r w:rsidRPr="00C32073">
        <w:rPr>
          <w:rFonts w:cs="Arial"/>
          <w:color w:val="0D0D0D" w:themeColor="text1" w:themeTint="F2"/>
          <w:spacing w:val="-4"/>
          <w:sz w:val="16"/>
          <w:szCs w:val="16"/>
          <w:lang w:val="en-GB"/>
        </w:rPr>
        <w:t xml:space="preserve">51% year-on-year last year, in that even by unprecedented 64% in Q2 </w:t>
      </w:r>
      <w:proofErr w:type="gramStart"/>
      <w:r w:rsidRPr="00C32073">
        <w:rPr>
          <w:rFonts w:cs="Arial"/>
          <w:color w:val="0D0D0D" w:themeColor="text1" w:themeTint="F2"/>
          <w:spacing w:val="-4"/>
          <w:sz w:val="16"/>
          <w:szCs w:val="16"/>
          <w:lang w:val="en-GB"/>
        </w:rPr>
        <w:t>till</w:t>
      </w:r>
      <w:proofErr w:type="gramEnd"/>
      <w:r w:rsidRPr="00C32073">
        <w:rPr>
          <w:rFonts w:cs="Arial"/>
          <w:color w:val="0D0D0D" w:themeColor="text1" w:themeTint="F2"/>
          <w:spacing w:val="-4"/>
          <w:sz w:val="16"/>
          <w:szCs w:val="16"/>
          <w:lang w:val="en-GB"/>
        </w:rPr>
        <w:t xml:space="preserve"> Q4. Non-residents participated on the total household final consumption expenditures in the CR approximately 6%.</w:t>
      </w:r>
    </w:p>
  </w:footnote>
  <w:footnote w:id="16">
    <w:p w:rsidR="003F15C8" w:rsidRPr="00EB7243" w:rsidRDefault="003F15C8" w:rsidP="00CE2383">
      <w:pPr>
        <w:pStyle w:val="Textpoznpodarou"/>
        <w:jc w:val="both"/>
        <w:rPr>
          <w:sz w:val="16"/>
          <w:szCs w:val="16"/>
          <w:lang w:val="en-GB"/>
        </w:rPr>
      </w:pPr>
      <w:r w:rsidRPr="00EB7243">
        <w:rPr>
          <w:rStyle w:val="Znakapoznpodarou"/>
          <w:sz w:val="16"/>
          <w:szCs w:val="16"/>
          <w:lang w:val="en-GB"/>
        </w:rPr>
        <w:footnoteRef/>
      </w:r>
      <w:r w:rsidRPr="00EB7243">
        <w:rPr>
          <w:sz w:val="16"/>
          <w:szCs w:val="16"/>
          <w:lang w:val="en-GB"/>
        </w:rPr>
        <w:t xml:space="preserve"> </w:t>
      </w:r>
      <w:r>
        <w:rPr>
          <w:rFonts w:cs="Arial"/>
          <w:color w:val="0D0D0D" w:themeColor="text1" w:themeTint="F2"/>
          <w:spacing w:val="-2"/>
          <w:sz w:val="16"/>
          <w:szCs w:val="16"/>
          <w:lang w:val="en-GB"/>
        </w:rPr>
        <w:t xml:space="preserve">Includes cultural, entertainment and recreation activities and further especially provision of personal services </w:t>
      </w:r>
      <w:r w:rsidRPr="00851B1C">
        <w:rPr>
          <w:rFonts w:cs="Arial"/>
          <w:color w:val="0D0D0D" w:themeColor="text1" w:themeTint="F2"/>
          <w:spacing w:val="-2"/>
          <w:sz w:val="16"/>
          <w:szCs w:val="16"/>
          <w:lang w:val="en-GB"/>
        </w:rPr>
        <w:t>(</w:t>
      </w:r>
      <w:r>
        <w:rPr>
          <w:rFonts w:cs="Arial"/>
          <w:color w:val="0D0D0D" w:themeColor="text1" w:themeTint="F2"/>
          <w:spacing w:val="-2"/>
          <w:sz w:val="16"/>
          <w:szCs w:val="16"/>
          <w:lang w:val="en-GB"/>
        </w:rPr>
        <w:t>e.g. hairdressing, beauty treatment services, cleaning services or repairs of products for personal need – predominantly for households</w:t>
      </w:r>
      <w:r w:rsidRPr="00851B1C">
        <w:rPr>
          <w:rFonts w:cs="Arial"/>
          <w:color w:val="0D0D0D" w:themeColor="text1" w:themeTint="F2"/>
          <w:spacing w:val="-2"/>
          <w:sz w:val="16"/>
          <w:szCs w:val="16"/>
          <w:lang w:val="en-GB"/>
        </w:rPr>
        <w:t>).</w:t>
      </w:r>
    </w:p>
  </w:footnote>
  <w:footnote w:id="17">
    <w:p w:rsidR="003F15C8" w:rsidRPr="00EB7243" w:rsidRDefault="003F15C8" w:rsidP="00EB7243">
      <w:pPr>
        <w:pStyle w:val="Textpoznpodarou"/>
        <w:jc w:val="both"/>
        <w:rPr>
          <w:sz w:val="16"/>
          <w:szCs w:val="16"/>
          <w:lang w:val="en-GB"/>
        </w:rPr>
      </w:pPr>
      <w:r w:rsidRPr="00EB7243">
        <w:rPr>
          <w:rStyle w:val="Znakapoznpodarou"/>
          <w:sz w:val="16"/>
          <w:szCs w:val="16"/>
          <w:lang w:val="en-GB"/>
        </w:rPr>
        <w:footnoteRef/>
      </w:r>
      <w:r w:rsidRPr="00EB7243">
        <w:rPr>
          <w:sz w:val="16"/>
          <w:szCs w:val="16"/>
          <w:lang w:val="en-GB"/>
        </w:rPr>
        <w:t xml:space="preserve"> </w:t>
      </w:r>
      <w:r>
        <w:rPr>
          <w:sz w:val="16"/>
          <w:szCs w:val="16"/>
          <w:lang w:val="en-GB"/>
        </w:rPr>
        <w:t xml:space="preserve">Hours worked increased by 0.9% year-on-year in the whole grouping </w:t>
      </w:r>
      <w:r w:rsidRPr="00CE2383">
        <w:rPr>
          <w:sz w:val="16"/>
          <w:szCs w:val="16"/>
          <w:lang w:val="en-GB"/>
        </w:rPr>
        <w:t>Public administration, education, health, and social work</w:t>
      </w:r>
      <w:r>
        <w:rPr>
          <w:sz w:val="16"/>
          <w:szCs w:val="16"/>
          <w:lang w:val="en-GB"/>
        </w:rPr>
        <w:t xml:space="preserve"> in H2 last year. Among the main branches, information and communication recorded the highest growth </w:t>
      </w:r>
      <w:r w:rsidRPr="00EB7243">
        <w:rPr>
          <w:sz w:val="16"/>
          <w:szCs w:val="16"/>
          <w:lang w:val="en-GB"/>
        </w:rPr>
        <w:t>(+3</w:t>
      </w:r>
      <w:r>
        <w:rPr>
          <w:sz w:val="16"/>
          <w:szCs w:val="16"/>
          <w:lang w:val="en-GB"/>
        </w:rPr>
        <w:t>.</w:t>
      </w:r>
      <w:r w:rsidRPr="00EB7243">
        <w:rPr>
          <w:sz w:val="16"/>
          <w:szCs w:val="16"/>
          <w:lang w:val="en-GB"/>
        </w:rPr>
        <w:t>6%).</w:t>
      </w:r>
    </w:p>
  </w:footnote>
  <w:footnote w:id="18">
    <w:p w:rsidR="003F15C8" w:rsidRPr="00614245" w:rsidRDefault="003F15C8" w:rsidP="00B301DB">
      <w:pPr>
        <w:pStyle w:val="Textpoznpodarou"/>
        <w:jc w:val="both"/>
        <w:rPr>
          <w:sz w:val="16"/>
          <w:szCs w:val="16"/>
          <w:lang w:val="en-GB"/>
        </w:rPr>
      </w:pPr>
      <w:r w:rsidRPr="00614245">
        <w:rPr>
          <w:rStyle w:val="Znakapoznpodarou"/>
          <w:sz w:val="16"/>
          <w:szCs w:val="16"/>
        </w:rPr>
        <w:footnoteRef/>
      </w:r>
      <w:r w:rsidRPr="00614245">
        <w:rPr>
          <w:sz w:val="16"/>
          <w:szCs w:val="16"/>
        </w:rPr>
        <w:t xml:space="preserve"> </w:t>
      </w:r>
      <w:r w:rsidRPr="00614245">
        <w:rPr>
          <w:sz w:val="16"/>
          <w:szCs w:val="16"/>
          <w:lang w:val="en-GB"/>
        </w:rPr>
        <w:t xml:space="preserve">Relatively weaker growth could have been related to the deep last year´s downturn of the motion picture and music industry, to a lesser </w:t>
      </w:r>
      <w:proofErr w:type="gramStart"/>
      <w:r w:rsidRPr="00614245">
        <w:rPr>
          <w:sz w:val="16"/>
          <w:szCs w:val="16"/>
          <w:lang w:val="en-GB"/>
        </w:rPr>
        <w:t>extent also</w:t>
      </w:r>
      <w:proofErr w:type="gramEnd"/>
      <w:r w:rsidRPr="00614245">
        <w:rPr>
          <w:sz w:val="16"/>
          <w:szCs w:val="16"/>
          <w:lang w:val="en-GB"/>
        </w:rPr>
        <w:t xml:space="preserve"> to the development in the </w:t>
      </w:r>
      <w:proofErr w:type="spellStart"/>
      <w:r w:rsidRPr="00614245">
        <w:rPr>
          <w:sz w:val="16"/>
          <w:szCs w:val="16"/>
          <w:lang w:val="en-GB"/>
        </w:rPr>
        <w:t>subbranch</w:t>
      </w:r>
      <w:proofErr w:type="spellEnd"/>
      <w:r w:rsidRPr="00614245">
        <w:rPr>
          <w:sz w:val="16"/>
          <w:szCs w:val="16"/>
          <w:lang w:val="en-GB"/>
        </w:rPr>
        <w:t xml:space="preserve"> of publishing activities. </w:t>
      </w:r>
    </w:p>
  </w:footnote>
  <w:footnote w:id="19">
    <w:p w:rsidR="003F15C8" w:rsidRPr="00614245" w:rsidRDefault="003F15C8" w:rsidP="00B301DB">
      <w:pPr>
        <w:pStyle w:val="Textpoznpodarou"/>
        <w:jc w:val="both"/>
        <w:rPr>
          <w:spacing w:val="-2"/>
          <w:sz w:val="16"/>
          <w:szCs w:val="16"/>
          <w:lang w:val="en-GB"/>
        </w:rPr>
      </w:pPr>
      <w:r w:rsidRPr="00614245">
        <w:rPr>
          <w:rStyle w:val="Znakapoznpodarou"/>
          <w:spacing w:val="-2"/>
          <w:sz w:val="16"/>
          <w:szCs w:val="16"/>
          <w:lang w:val="en-GB"/>
        </w:rPr>
        <w:footnoteRef/>
      </w:r>
      <w:r w:rsidRPr="00614245">
        <w:rPr>
          <w:spacing w:val="-2"/>
          <w:sz w:val="16"/>
          <w:szCs w:val="16"/>
          <w:lang w:val="en-GB"/>
        </w:rPr>
        <w:t xml:space="preserve"> According to the preliminary data </w:t>
      </w:r>
      <w:r>
        <w:rPr>
          <w:spacing w:val="-2"/>
          <w:sz w:val="16"/>
          <w:szCs w:val="16"/>
          <w:lang w:val="en-GB"/>
        </w:rPr>
        <w:t xml:space="preserve">as </w:t>
      </w:r>
      <w:r w:rsidRPr="00614245">
        <w:rPr>
          <w:spacing w:val="-2"/>
          <w:sz w:val="16"/>
          <w:szCs w:val="16"/>
          <w:lang w:val="en-GB"/>
        </w:rPr>
        <w:t>of 15</w:t>
      </w:r>
      <w:r w:rsidRPr="00614245">
        <w:rPr>
          <w:spacing w:val="-2"/>
          <w:sz w:val="16"/>
          <w:szCs w:val="16"/>
          <w:vertAlign w:val="superscript"/>
          <w:lang w:val="en-GB"/>
        </w:rPr>
        <w:t>th</w:t>
      </w:r>
      <w:r w:rsidRPr="00614245">
        <w:rPr>
          <w:spacing w:val="-2"/>
          <w:sz w:val="16"/>
          <w:szCs w:val="16"/>
          <w:lang w:val="en-GB"/>
        </w:rPr>
        <w:t xml:space="preserve"> September 2020, total last year´s harvest is estimated in the size of 7.98 mil tons. It is the strongest in the last four years </w:t>
      </w:r>
      <w:r>
        <w:rPr>
          <w:spacing w:val="-2"/>
          <w:sz w:val="16"/>
          <w:szCs w:val="16"/>
          <w:lang w:val="en-GB"/>
        </w:rPr>
        <w:t>and by 4.0% higher than the ten-</w:t>
      </w:r>
      <w:r w:rsidRPr="00614245">
        <w:rPr>
          <w:spacing w:val="-2"/>
          <w:sz w:val="16"/>
          <w:szCs w:val="16"/>
          <w:lang w:val="en-GB"/>
        </w:rPr>
        <w:t>year average.</w:t>
      </w:r>
      <w:r>
        <w:rPr>
          <w:spacing w:val="-2"/>
          <w:sz w:val="16"/>
          <w:szCs w:val="16"/>
          <w:lang w:val="en-GB"/>
        </w:rPr>
        <w:t xml:space="preserve"> Harvest was also higher for wine, legumes, potatoes, vegetables, rape and green maize and silage year-on-year</w:t>
      </w:r>
      <w:r w:rsidRPr="00614245">
        <w:rPr>
          <w:spacing w:val="-2"/>
          <w:sz w:val="16"/>
          <w:szCs w:val="16"/>
          <w:lang w:val="en-GB"/>
        </w:rPr>
        <w:t xml:space="preserve">. </w:t>
      </w:r>
      <w:r>
        <w:rPr>
          <w:spacing w:val="-2"/>
          <w:sz w:val="16"/>
          <w:szCs w:val="16"/>
          <w:lang w:val="en-GB"/>
        </w:rPr>
        <w:t>Contrary, the harvest of hops and sugar beet was lower</w:t>
      </w:r>
      <w:r w:rsidRPr="00614245">
        <w:rPr>
          <w:spacing w:val="-2"/>
          <w:sz w:val="16"/>
          <w:szCs w:val="16"/>
          <w:lang w:val="en-GB"/>
        </w:rPr>
        <w:t>.</w:t>
      </w:r>
      <w:r>
        <w:rPr>
          <w:spacing w:val="-2"/>
          <w:sz w:val="16"/>
          <w:szCs w:val="16"/>
          <w:lang w:val="en-GB"/>
        </w:rPr>
        <w:t xml:space="preserve"> Preliminary results of the total agricultural account </w:t>
      </w:r>
      <w:proofErr w:type="gramStart"/>
      <w:r>
        <w:rPr>
          <w:spacing w:val="-2"/>
          <w:sz w:val="16"/>
          <w:szCs w:val="16"/>
          <w:lang w:val="en-GB"/>
        </w:rPr>
        <w:t>imply</w:t>
      </w:r>
      <w:r w:rsidRPr="00614245">
        <w:rPr>
          <w:spacing w:val="-2"/>
          <w:sz w:val="16"/>
          <w:szCs w:val="16"/>
          <w:lang w:val="en-GB"/>
        </w:rPr>
        <w:t>,</w:t>
      </w:r>
      <w:proofErr w:type="gramEnd"/>
      <w:r w:rsidRPr="00614245">
        <w:rPr>
          <w:spacing w:val="-2"/>
          <w:sz w:val="16"/>
          <w:szCs w:val="16"/>
          <w:lang w:val="en-GB"/>
        </w:rPr>
        <w:t xml:space="preserve"> </w:t>
      </w:r>
      <w:r>
        <w:rPr>
          <w:spacing w:val="-2"/>
          <w:sz w:val="16"/>
          <w:szCs w:val="16"/>
          <w:lang w:val="en-GB"/>
        </w:rPr>
        <w:t xml:space="preserve">that the output of the agricultural branch increased in real terms by even </w:t>
      </w:r>
      <w:r w:rsidRPr="00614245">
        <w:rPr>
          <w:spacing w:val="-2"/>
          <w:sz w:val="16"/>
          <w:szCs w:val="16"/>
          <w:lang w:val="en-GB"/>
        </w:rPr>
        <w:t>4%</w:t>
      </w:r>
      <w:r>
        <w:rPr>
          <w:spacing w:val="-2"/>
          <w:sz w:val="16"/>
          <w:szCs w:val="16"/>
          <w:lang w:val="en-GB"/>
        </w:rPr>
        <w:t xml:space="preserve"> during year 2020</w:t>
      </w:r>
      <w:r w:rsidRPr="00614245">
        <w:rPr>
          <w:spacing w:val="-2"/>
          <w:sz w:val="16"/>
          <w:szCs w:val="16"/>
          <w:lang w:val="en-GB"/>
        </w:rPr>
        <w:t xml:space="preserve">. </w:t>
      </w:r>
      <w:r>
        <w:rPr>
          <w:spacing w:val="-2"/>
          <w:sz w:val="16"/>
          <w:szCs w:val="16"/>
          <w:lang w:val="en-GB"/>
        </w:rPr>
        <w:t xml:space="preserve">Higher plant production contributed the most </w:t>
      </w:r>
      <w:r w:rsidRPr="00614245">
        <w:rPr>
          <w:spacing w:val="-2"/>
          <w:sz w:val="16"/>
          <w:szCs w:val="16"/>
          <w:lang w:val="en-GB"/>
        </w:rPr>
        <w:t>(+6</w:t>
      </w:r>
      <w:r>
        <w:rPr>
          <w:spacing w:val="-2"/>
          <w:sz w:val="16"/>
          <w:szCs w:val="16"/>
          <w:lang w:val="en-GB"/>
        </w:rPr>
        <w:t>.</w:t>
      </w:r>
      <w:r w:rsidRPr="00614245">
        <w:rPr>
          <w:spacing w:val="-2"/>
          <w:sz w:val="16"/>
          <w:szCs w:val="16"/>
          <w:lang w:val="en-GB"/>
        </w:rPr>
        <w:t xml:space="preserve">0%), </w:t>
      </w:r>
      <w:r>
        <w:rPr>
          <w:spacing w:val="-2"/>
          <w:sz w:val="16"/>
          <w:szCs w:val="16"/>
          <w:lang w:val="en-GB"/>
        </w:rPr>
        <w:t xml:space="preserve">supported mainly by the favourable development for forage, rape and </w:t>
      </w:r>
      <w:proofErr w:type="spellStart"/>
      <w:r>
        <w:rPr>
          <w:spacing w:val="-2"/>
          <w:sz w:val="16"/>
          <w:szCs w:val="16"/>
          <w:lang w:val="en-GB"/>
        </w:rPr>
        <w:t>graine</w:t>
      </w:r>
      <w:proofErr w:type="spellEnd"/>
      <w:r>
        <w:rPr>
          <w:spacing w:val="-2"/>
          <w:sz w:val="16"/>
          <w:szCs w:val="16"/>
          <w:lang w:val="en-GB"/>
        </w:rPr>
        <w:t xml:space="preserve"> maize</w:t>
      </w:r>
      <w:r w:rsidRPr="00614245">
        <w:rPr>
          <w:spacing w:val="-2"/>
          <w:sz w:val="16"/>
          <w:szCs w:val="16"/>
          <w:lang w:val="en-GB"/>
        </w:rPr>
        <w:t>.</w:t>
      </w:r>
      <w:r>
        <w:rPr>
          <w:spacing w:val="-2"/>
          <w:sz w:val="16"/>
          <w:szCs w:val="16"/>
          <w:lang w:val="en-GB"/>
        </w:rPr>
        <w:t xml:space="preserve"> Higher animal output also had a favourable effect </w:t>
      </w:r>
      <w:r w:rsidRPr="00614245">
        <w:rPr>
          <w:spacing w:val="-2"/>
          <w:sz w:val="16"/>
          <w:szCs w:val="16"/>
          <w:lang w:val="en-GB"/>
        </w:rPr>
        <w:t>(+1</w:t>
      </w:r>
      <w:r>
        <w:rPr>
          <w:spacing w:val="-2"/>
          <w:sz w:val="16"/>
          <w:szCs w:val="16"/>
          <w:lang w:val="en-GB"/>
        </w:rPr>
        <w:t>.</w:t>
      </w:r>
      <w:r w:rsidRPr="00614245">
        <w:rPr>
          <w:spacing w:val="-2"/>
          <w:sz w:val="16"/>
          <w:szCs w:val="16"/>
          <w:lang w:val="en-GB"/>
        </w:rPr>
        <w:t>7%),</w:t>
      </w:r>
      <w:r>
        <w:rPr>
          <w:spacing w:val="-2"/>
          <w:sz w:val="16"/>
          <w:szCs w:val="16"/>
          <w:lang w:val="en-GB"/>
        </w:rPr>
        <w:t xml:space="preserve"> </w:t>
      </w:r>
      <w:r w:rsidRPr="00614245">
        <w:rPr>
          <w:spacing w:val="-2"/>
          <w:sz w:val="16"/>
          <w:szCs w:val="16"/>
          <w:lang w:val="en-GB"/>
        </w:rPr>
        <w:t>fed</w:t>
      </w:r>
      <w:r>
        <w:rPr>
          <w:spacing w:val="-2"/>
          <w:sz w:val="16"/>
          <w:szCs w:val="16"/>
          <w:lang w:val="en-GB"/>
        </w:rPr>
        <w:t xml:space="preserve"> for the major part by higher value of the output of milk, with a distance then also pigs. </w:t>
      </w:r>
    </w:p>
  </w:footnote>
  <w:footnote w:id="20">
    <w:p w:rsidR="003F15C8" w:rsidRPr="00614245" w:rsidRDefault="003F15C8" w:rsidP="00B301DB">
      <w:pPr>
        <w:pStyle w:val="Textpoznpodarou"/>
        <w:jc w:val="both"/>
        <w:rPr>
          <w:sz w:val="16"/>
          <w:szCs w:val="16"/>
          <w:lang w:val="en-GB"/>
        </w:rPr>
      </w:pPr>
      <w:r w:rsidRPr="00614245">
        <w:rPr>
          <w:rStyle w:val="Znakapoznpodarou"/>
          <w:sz w:val="16"/>
          <w:szCs w:val="16"/>
          <w:lang w:val="en-GB"/>
        </w:rPr>
        <w:footnoteRef/>
      </w:r>
      <w:r w:rsidRPr="00614245">
        <w:rPr>
          <w:sz w:val="16"/>
          <w:szCs w:val="16"/>
          <w:lang w:val="en-GB"/>
        </w:rPr>
        <w:t xml:space="preserve"> </w:t>
      </w:r>
      <w:proofErr w:type="gramStart"/>
      <w:r>
        <w:rPr>
          <w:sz w:val="16"/>
          <w:szCs w:val="16"/>
          <w:lang w:val="en-GB"/>
        </w:rPr>
        <w:t>More favourable development in the public services and in the branch agriculture, forestry and fishing</w:t>
      </w:r>
      <w:proofErr w:type="gramEnd"/>
      <w:r>
        <w:rPr>
          <w:sz w:val="16"/>
          <w:szCs w:val="16"/>
          <w:lang w:val="en-GB"/>
        </w:rPr>
        <w:t xml:space="preserve"> stood behind the milder decrease of GVA in the CR. </w:t>
      </w:r>
      <w:proofErr w:type="gramStart"/>
      <w:r>
        <w:rPr>
          <w:sz w:val="16"/>
          <w:szCs w:val="16"/>
          <w:lang w:val="en-GB"/>
        </w:rPr>
        <w:t>Also</w:t>
      </w:r>
      <w:proofErr w:type="gramEnd"/>
      <w:r>
        <w:rPr>
          <w:sz w:val="16"/>
          <w:szCs w:val="16"/>
          <w:lang w:val="en-GB"/>
        </w:rPr>
        <w:t xml:space="preserve"> the downswing of performance in the branch other services </w:t>
      </w:r>
      <w:r w:rsidRPr="00614245">
        <w:rPr>
          <w:sz w:val="16"/>
          <w:szCs w:val="16"/>
          <w:lang w:val="en-GB"/>
        </w:rPr>
        <w:t>(</w:t>
      </w:r>
      <w:r>
        <w:rPr>
          <w:sz w:val="16"/>
          <w:szCs w:val="16"/>
          <w:lang w:val="en-GB"/>
        </w:rPr>
        <w:t xml:space="preserve">NACE </w:t>
      </w:r>
      <w:r w:rsidRPr="00614245">
        <w:rPr>
          <w:sz w:val="16"/>
          <w:szCs w:val="16"/>
          <w:lang w:val="en-GB"/>
        </w:rPr>
        <w:t>se</w:t>
      </w:r>
      <w:r>
        <w:rPr>
          <w:sz w:val="16"/>
          <w:szCs w:val="16"/>
          <w:lang w:val="en-GB"/>
        </w:rPr>
        <w:t xml:space="preserve">ctions </w:t>
      </w:r>
      <w:r w:rsidRPr="00614245">
        <w:rPr>
          <w:sz w:val="16"/>
          <w:szCs w:val="16"/>
          <w:lang w:val="en-GB"/>
        </w:rPr>
        <w:t>R</w:t>
      </w:r>
      <w:r>
        <w:rPr>
          <w:sz w:val="16"/>
          <w:szCs w:val="16"/>
          <w:lang w:val="en-GB"/>
        </w:rPr>
        <w:t xml:space="preserve"> to </w:t>
      </w:r>
      <w:r w:rsidRPr="00614245">
        <w:rPr>
          <w:sz w:val="16"/>
          <w:szCs w:val="16"/>
          <w:lang w:val="en-GB"/>
        </w:rPr>
        <w:t>T)</w:t>
      </w:r>
      <w:r>
        <w:rPr>
          <w:sz w:val="16"/>
          <w:szCs w:val="16"/>
          <w:lang w:val="en-GB"/>
        </w:rPr>
        <w:t xml:space="preserve"> was weaker locally </w:t>
      </w:r>
      <w:r w:rsidRPr="00614245">
        <w:rPr>
          <w:sz w:val="16"/>
          <w:szCs w:val="16"/>
          <w:lang w:val="en-GB"/>
        </w:rPr>
        <w:t>(</w:t>
      </w:r>
      <w:r w:rsidRPr="00614245">
        <w:rPr>
          <w:spacing w:val="-4"/>
          <w:sz w:val="16"/>
          <w:szCs w:val="16"/>
          <w:lang w:val="en-GB"/>
        </w:rPr>
        <w:t>–12%)</w:t>
      </w:r>
      <w:r>
        <w:rPr>
          <w:spacing w:val="-4"/>
          <w:sz w:val="16"/>
          <w:szCs w:val="16"/>
          <w:lang w:val="en-GB"/>
        </w:rPr>
        <w:t xml:space="preserve"> compared to the EU </w:t>
      </w:r>
      <w:r w:rsidRPr="00614245">
        <w:rPr>
          <w:sz w:val="16"/>
          <w:szCs w:val="16"/>
          <w:lang w:val="en-GB"/>
        </w:rPr>
        <w:t>(</w:t>
      </w:r>
      <w:r w:rsidRPr="00614245">
        <w:rPr>
          <w:spacing w:val="-4"/>
          <w:sz w:val="16"/>
          <w:szCs w:val="16"/>
          <w:lang w:val="en-GB"/>
        </w:rPr>
        <w:t>–18%).</w:t>
      </w:r>
    </w:p>
  </w:footnote>
  <w:footnote w:id="21">
    <w:p w:rsidR="003F15C8" w:rsidRPr="00614245" w:rsidRDefault="003F15C8" w:rsidP="00B301DB">
      <w:pPr>
        <w:pStyle w:val="Textpoznpodarou"/>
        <w:jc w:val="both"/>
        <w:rPr>
          <w:rFonts w:cs="Arial"/>
          <w:color w:val="0D0D0D" w:themeColor="text1" w:themeTint="F2"/>
          <w:spacing w:val="-2"/>
          <w:sz w:val="16"/>
          <w:szCs w:val="16"/>
          <w:lang w:val="en-GB"/>
        </w:rPr>
      </w:pPr>
      <w:r w:rsidRPr="00614245">
        <w:rPr>
          <w:rStyle w:val="Znakapoznpodarou"/>
          <w:rFonts w:cs="Arial"/>
          <w:color w:val="0D0D0D" w:themeColor="text1" w:themeTint="F2"/>
          <w:spacing w:val="-2"/>
          <w:sz w:val="16"/>
          <w:szCs w:val="16"/>
          <w:lang w:val="en-GB"/>
        </w:rPr>
        <w:footnoteRef/>
      </w:r>
      <w:r w:rsidRPr="00614245">
        <w:rPr>
          <w:rFonts w:cs="Arial"/>
          <w:color w:val="0D0D0D" w:themeColor="text1" w:themeTint="F2"/>
          <w:spacing w:val="-2"/>
          <w:sz w:val="16"/>
          <w:szCs w:val="16"/>
          <w:lang w:val="en-GB"/>
        </w:rPr>
        <w:t xml:space="preserve"> Includes branches of mining and quarrying, manufacturing </w:t>
      </w:r>
      <w:proofErr w:type="gramStart"/>
      <w:r w:rsidRPr="00614245">
        <w:rPr>
          <w:rFonts w:cs="Arial"/>
          <w:color w:val="0D0D0D" w:themeColor="text1" w:themeTint="F2"/>
          <w:spacing w:val="-2"/>
          <w:sz w:val="16"/>
          <w:szCs w:val="16"/>
          <w:lang w:val="en-GB"/>
        </w:rPr>
        <w:t>and also</w:t>
      </w:r>
      <w:proofErr w:type="gramEnd"/>
      <w:r w:rsidRPr="00614245">
        <w:rPr>
          <w:rFonts w:cs="Arial"/>
          <w:color w:val="0D0D0D" w:themeColor="text1" w:themeTint="F2"/>
          <w:spacing w:val="-2"/>
          <w:sz w:val="16"/>
          <w:szCs w:val="16"/>
          <w:lang w:val="en-GB"/>
        </w:rPr>
        <w:t xml:space="preserve"> energetics (here as activities of production and distribution of electricity, gas, heat and air conditioning supply). All year-on-year rates of growth of output (at the level of branch sections as well as divisions) are adjusted for calendar effects, both quarter-on-quarter and month-on-month rates </w:t>
      </w:r>
      <w:proofErr w:type="gramStart"/>
      <w:r w:rsidRPr="00614245">
        <w:rPr>
          <w:rFonts w:cs="Arial"/>
          <w:color w:val="0D0D0D" w:themeColor="text1" w:themeTint="F2"/>
          <w:spacing w:val="-2"/>
          <w:sz w:val="16"/>
          <w:szCs w:val="16"/>
          <w:lang w:val="en-GB"/>
        </w:rPr>
        <w:t>then also</w:t>
      </w:r>
      <w:proofErr w:type="gramEnd"/>
      <w:r w:rsidRPr="00614245">
        <w:rPr>
          <w:rFonts w:cs="Arial"/>
          <w:color w:val="0D0D0D" w:themeColor="text1" w:themeTint="F2"/>
          <w:spacing w:val="-2"/>
          <w:sz w:val="16"/>
          <w:szCs w:val="16"/>
          <w:lang w:val="en-GB"/>
        </w:rPr>
        <w:t xml:space="preserve"> for seasonal effects.</w:t>
      </w:r>
    </w:p>
  </w:footnote>
  <w:footnote w:id="22">
    <w:p w:rsidR="003F15C8" w:rsidRPr="00614245" w:rsidRDefault="003F15C8" w:rsidP="00B301DB">
      <w:pPr>
        <w:pStyle w:val="Textpoznpodarou"/>
        <w:jc w:val="both"/>
        <w:rPr>
          <w:spacing w:val="-2"/>
          <w:sz w:val="16"/>
          <w:szCs w:val="16"/>
          <w:lang w:val="en-GB"/>
        </w:rPr>
      </w:pPr>
      <w:r w:rsidRPr="00614245">
        <w:rPr>
          <w:rStyle w:val="Znakapoznpodarou"/>
          <w:spacing w:val="-2"/>
          <w:sz w:val="16"/>
          <w:szCs w:val="16"/>
          <w:lang w:val="en-GB"/>
        </w:rPr>
        <w:footnoteRef/>
      </w:r>
      <w:r w:rsidRPr="00614245">
        <w:rPr>
          <w:spacing w:val="-2"/>
          <w:sz w:val="16"/>
          <w:szCs w:val="16"/>
          <w:lang w:val="en-GB"/>
        </w:rPr>
        <w:t xml:space="preserve"> Industrial output fell by 11.3% month-on-month in March 2020, in April the plunge deepened to record 24.1%.</w:t>
      </w:r>
    </w:p>
  </w:footnote>
  <w:footnote w:id="23">
    <w:p w:rsidR="003F15C8" w:rsidRPr="00614245" w:rsidRDefault="003F15C8" w:rsidP="00B301DB">
      <w:pPr>
        <w:pStyle w:val="Textpoznpodarou"/>
        <w:jc w:val="both"/>
        <w:rPr>
          <w:sz w:val="16"/>
          <w:szCs w:val="16"/>
          <w:lang w:val="en-GB"/>
        </w:rPr>
      </w:pPr>
      <w:r w:rsidRPr="00614245">
        <w:rPr>
          <w:rStyle w:val="Znakapoznpodarou"/>
          <w:spacing w:val="-2"/>
          <w:sz w:val="16"/>
          <w:szCs w:val="16"/>
          <w:lang w:val="en-GB"/>
        </w:rPr>
        <w:footnoteRef/>
      </w:r>
      <w:r w:rsidRPr="00614245">
        <w:rPr>
          <w:spacing w:val="-2"/>
          <w:sz w:val="16"/>
          <w:szCs w:val="16"/>
          <w:lang w:val="en-GB"/>
        </w:rPr>
        <w:t xml:space="preserve"> This maximum </w:t>
      </w:r>
      <w:proofErr w:type="gramStart"/>
      <w:r w:rsidRPr="00614245">
        <w:rPr>
          <w:spacing w:val="-2"/>
          <w:sz w:val="16"/>
          <w:szCs w:val="16"/>
          <w:lang w:val="en-GB"/>
        </w:rPr>
        <w:t>was placed</w:t>
      </w:r>
      <w:proofErr w:type="gramEnd"/>
      <w:r w:rsidRPr="00614245">
        <w:rPr>
          <w:spacing w:val="-2"/>
          <w:sz w:val="16"/>
          <w:szCs w:val="16"/>
          <w:lang w:val="en-GB"/>
        </w:rPr>
        <w:t xml:space="preserve"> in May 2019 due to the cyclical downturn, which the domestic industry went through a</w:t>
      </w:r>
      <w:r>
        <w:rPr>
          <w:spacing w:val="-2"/>
          <w:sz w:val="16"/>
          <w:szCs w:val="16"/>
          <w:lang w:val="en-GB"/>
        </w:rPr>
        <w:t>lready during H2 2019</w:t>
      </w:r>
      <w:r w:rsidRPr="00614245">
        <w:rPr>
          <w:spacing w:val="-2"/>
          <w:sz w:val="16"/>
          <w:szCs w:val="16"/>
          <w:lang w:val="en-GB"/>
        </w:rPr>
        <w:t xml:space="preserve">. Production in December 2020 was by 3.2% lower compared to this level. </w:t>
      </w:r>
    </w:p>
  </w:footnote>
  <w:footnote w:id="24">
    <w:p w:rsidR="003F15C8" w:rsidRPr="00614245" w:rsidRDefault="003F15C8" w:rsidP="00B301DB">
      <w:pPr>
        <w:pStyle w:val="Textpoznpodarou"/>
        <w:jc w:val="both"/>
        <w:rPr>
          <w:spacing w:val="-4"/>
          <w:sz w:val="16"/>
          <w:szCs w:val="16"/>
          <w:lang w:val="en-GB"/>
        </w:rPr>
      </w:pPr>
      <w:r w:rsidRPr="00614245">
        <w:rPr>
          <w:rStyle w:val="Znakapoznpodarou"/>
          <w:spacing w:val="-4"/>
          <w:sz w:val="16"/>
          <w:szCs w:val="16"/>
          <w:lang w:val="en-GB"/>
        </w:rPr>
        <w:footnoteRef/>
      </w:r>
      <w:r w:rsidRPr="00614245">
        <w:rPr>
          <w:spacing w:val="-4"/>
          <w:sz w:val="16"/>
          <w:szCs w:val="16"/>
          <w:lang w:val="en-GB"/>
        </w:rPr>
        <w:t xml:space="preserve"> During the global financial as well as economic crisis in year 2009, the output of the domestic industry fell however by nearly doubled rate of growth (by 13.0%).</w:t>
      </w:r>
    </w:p>
  </w:footnote>
  <w:footnote w:id="25">
    <w:p w:rsidR="003F15C8" w:rsidRPr="007E2CDD" w:rsidRDefault="003F15C8" w:rsidP="007E2CDD">
      <w:pPr>
        <w:pStyle w:val="Textpoznpodarou"/>
        <w:jc w:val="both"/>
        <w:rPr>
          <w:spacing w:val="-2"/>
          <w:sz w:val="16"/>
          <w:szCs w:val="16"/>
          <w:lang w:val="en-GB"/>
        </w:rPr>
      </w:pPr>
      <w:r w:rsidRPr="00CE71E4">
        <w:rPr>
          <w:rStyle w:val="Znakapoznpodarou"/>
          <w:spacing w:val="-2"/>
          <w:sz w:val="16"/>
          <w:szCs w:val="16"/>
        </w:rPr>
        <w:footnoteRef/>
      </w:r>
      <w:r w:rsidRPr="00CE71E4">
        <w:rPr>
          <w:spacing w:val="-2"/>
          <w:sz w:val="16"/>
          <w:szCs w:val="16"/>
        </w:rPr>
        <w:t xml:space="preserve"> </w:t>
      </w:r>
      <w:r w:rsidRPr="007E2CDD">
        <w:rPr>
          <w:spacing w:val="-2"/>
          <w:sz w:val="16"/>
          <w:szCs w:val="16"/>
          <w:lang w:val="en-GB"/>
        </w:rPr>
        <w:t xml:space="preserve">Data regarding the physical production also prove it. </w:t>
      </w:r>
      <w:r w:rsidRPr="007E2CDD">
        <w:rPr>
          <w:rFonts w:cs="Arial"/>
          <w:color w:val="0D0D0D" w:themeColor="text1" w:themeTint="F2"/>
          <w:sz w:val="16"/>
          <w:szCs w:val="16"/>
          <w:lang w:val="en-GB"/>
        </w:rPr>
        <w:t xml:space="preserve">Based on the Automotive Industry Association, there was manufactured only less than 15 thousand motor vehicles during the last year´s April in the CR </w:t>
      </w:r>
      <w:r w:rsidRPr="007E2CDD">
        <w:rPr>
          <w:spacing w:val="-2"/>
          <w:sz w:val="16"/>
          <w:szCs w:val="16"/>
          <w:lang w:val="en-GB"/>
        </w:rPr>
        <w:t>(</w:t>
      </w:r>
      <w:r>
        <w:rPr>
          <w:spacing w:val="-2"/>
          <w:sz w:val="16"/>
          <w:szCs w:val="16"/>
          <w:lang w:val="en-GB"/>
        </w:rPr>
        <w:t>by 113 thousand less compared to April 20</w:t>
      </w:r>
      <w:r w:rsidRPr="007E2CDD">
        <w:rPr>
          <w:spacing w:val="-2"/>
          <w:sz w:val="16"/>
          <w:szCs w:val="16"/>
          <w:lang w:val="en-GB"/>
        </w:rPr>
        <w:t>19</w:t>
      </w:r>
      <w:r>
        <w:rPr>
          <w:spacing w:val="-2"/>
          <w:sz w:val="16"/>
          <w:szCs w:val="16"/>
          <w:lang w:val="en-GB"/>
        </w:rPr>
        <w:t>)</w:t>
      </w:r>
      <w:r w:rsidRPr="007E2CDD">
        <w:rPr>
          <w:spacing w:val="-2"/>
          <w:sz w:val="16"/>
          <w:szCs w:val="16"/>
          <w:lang w:val="en-GB"/>
        </w:rPr>
        <w:t>.</w:t>
      </w:r>
      <w:r>
        <w:rPr>
          <w:spacing w:val="-2"/>
          <w:sz w:val="16"/>
          <w:szCs w:val="16"/>
          <w:lang w:val="en-GB"/>
        </w:rPr>
        <w:t xml:space="preserve"> Year-on-year, the production of motor vehicles grew only the first two months of the year 2020 </w:t>
      </w:r>
      <w:proofErr w:type="gramStart"/>
      <w:r>
        <w:rPr>
          <w:spacing w:val="-2"/>
          <w:sz w:val="16"/>
          <w:szCs w:val="16"/>
          <w:lang w:val="en-GB"/>
        </w:rPr>
        <w:t>and also</w:t>
      </w:r>
      <w:proofErr w:type="gramEnd"/>
      <w:r>
        <w:rPr>
          <w:spacing w:val="-2"/>
          <w:sz w:val="16"/>
          <w:szCs w:val="16"/>
          <w:lang w:val="en-GB"/>
        </w:rPr>
        <w:t xml:space="preserve"> in October and December. Output of motor vehicle manufacturing was </w:t>
      </w:r>
      <w:proofErr w:type="gramStart"/>
      <w:r w:rsidRPr="007E2CDD">
        <w:rPr>
          <w:spacing w:val="-2"/>
          <w:sz w:val="16"/>
          <w:szCs w:val="16"/>
          <w:lang w:val="en-GB"/>
        </w:rPr>
        <w:t>1</w:t>
      </w:r>
      <w:proofErr w:type="gramEnd"/>
      <w:r w:rsidRPr="007E2CDD">
        <w:rPr>
          <w:spacing w:val="-2"/>
          <w:sz w:val="16"/>
          <w:szCs w:val="16"/>
          <w:lang w:val="en-GB"/>
        </w:rPr>
        <w:t> 160 t</w:t>
      </w:r>
      <w:r>
        <w:rPr>
          <w:spacing w:val="-2"/>
          <w:sz w:val="16"/>
          <w:szCs w:val="16"/>
          <w:lang w:val="en-GB"/>
        </w:rPr>
        <w:t>housand vehicles for the whole year</w:t>
      </w:r>
      <w:r w:rsidRPr="007E2CDD">
        <w:rPr>
          <w:spacing w:val="-2"/>
          <w:sz w:val="16"/>
          <w:szCs w:val="16"/>
          <w:lang w:val="en-GB"/>
        </w:rPr>
        <w:t xml:space="preserve">, </w:t>
      </w:r>
      <w:r>
        <w:rPr>
          <w:spacing w:val="-2"/>
          <w:sz w:val="16"/>
          <w:szCs w:val="16"/>
          <w:lang w:val="en-GB"/>
        </w:rPr>
        <w:t xml:space="preserve">which was by </w:t>
      </w:r>
      <w:r w:rsidRPr="007E2CDD">
        <w:rPr>
          <w:spacing w:val="-2"/>
          <w:sz w:val="16"/>
          <w:szCs w:val="16"/>
          <w:lang w:val="en-GB"/>
        </w:rPr>
        <w:t>19%</w:t>
      </w:r>
      <w:r>
        <w:rPr>
          <w:spacing w:val="-2"/>
          <w:sz w:val="16"/>
          <w:szCs w:val="16"/>
          <w:lang w:val="en-GB"/>
        </w:rPr>
        <w:t xml:space="preserve"> less year-on-year </w:t>
      </w:r>
      <w:r w:rsidRPr="007E2CDD">
        <w:rPr>
          <w:spacing w:val="-2"/>
          <w:sz w:val="16"/>
          <w:szCs w:val="16"/>
          <w:lang w:val="en-GB"/>
        </w:rPr>
        <w:t xml:space="preserve">(resp. </w:t>
      </w:r>
      <w:r>
        <w:rPr>
          <w:spacing w:val="-2"/>
          <w:sz w:val="16"/>
          <w:szCs w:val="16"/>
          <w:lang w:val="en-GB"/>
        </w:rPr>
        <w:t xml:space="preserve">by </w:t>
      </w:r>
      <w:r w:rsidRPr="007E2CDD">
        <w:rPr>
          <w:spacing w:val="-2"/>
          <w:sz w:val="16"/>
          <w:szCs w:val="16"/>
          <w:lang w:val="en-GB"/>
        </w:rPr>
        <w:t>275 t</w:t>
      </w:r>
      <w:r>
        <w:rPr>
          <w:spacing w:val="-2"/>
          <w:sz w:val="16"/>
          <w:szCs w:val="16"/>
          <w:lang w:val="en-GB"/>
        </w:rPr>
        <w:t>housand</w:t>
      </w:r>
      <w:r w:rsidRPr="007E2CDD">
        <w:rPr>
          <w:spacing w:val="-2"/>
          <w:sz w:val="16"/>
          <w:szCs w:val="16"/>
          <w:lang w:val="en-GB"/>
        </w:rPr>
        <w:t xml:space="preserve">). </w:t>
      </w:r>
      <w:r>
        <w:rPr>
          <w:spacing w:val="-2"/>
          <w:sz w:val="16"/>
          <w:szCs w:val="16"/>
          <w:lang w:val="en-GB"/>
        </w:rPr>
        <w:t xml:space="preserve"> Annual decrease affected both the manufacturing of passenger cars </w:t>
      </w:r>
      <w:proofErr w:type="gramStart"/>
      <w:r>
        <w:rPr>
          <w:spacing w:val="-2"/>
          <w:sz w:val="16"/>
          <w:szCs w:val="16"/>
          <w:lang w:val="en-GB"/>
        </w:rPr>
        <w:t>and also</w:t>
      </w:r>
      <w:proofErr w:type="gramEnd"/>
      <w:r>
        <w:rPr>
          <w:spacing w:val="-2"/>
          <w:sz w:val="16"/>
          <w:szCs w:val="16"/>
          <w:lang w:val="en-GB"/>
        </w:rPr>
        <w:t xml:space="preserve"> other categories of motor vehicles. </w:t>
      </w:r>
    </w:p>
  </w:footnote>
  <w:footnote w:id="26">
    <w:p w:rsidR="003F15C8" w:rsidRPr="007E2CDD" w:rsidRDefault="003F15C8" w:rsidP="00EA156C">
      <w:pPr>
        <w:pStyle w:val="Textpoznpodarou"/>
        <w:jc w:val="both"/>
        <w:rPr>
          <w:spacing w:val="-4"/>
          <w:sz w:val="16"/>
          <w:szCs w:val="16"/>
          <w:lang w:val="en-GB"/>
        </w:rPr>
      </w:pPr>
      <w:r w:rsidRPr="007E2CDD">
        <w:rPr>
          <w:rStyle w:val="Znakapoznpodarou"/>
          <w:spacing w:val="-4"/>
          <w:sz w:val="16"/>
          <w:szCs w:val="16"/>
          <w:lang w:val="en-GB"/>
        </w:rPr>
        <w:footnoteRef/>
      </w:r>
      <w:r w:rsidRPr="007E2CDD">
        <w:rPr>
          <w:spacing w:val="-4"/>
          <w:sz w:val="16"/>
          <w:szCs w:val="16"/>
          <w:lang w:val="en-GB"/>
        </w:rPr>
        <w:t xml:space="preserve"> </w:t>
      </w:r>
      <w:r>
        <w:rPr>
          <w:rFonts w:cs="Arial"/>
          <w:color w:val="0D0D0D" w:themeColor="text1" w:themeTint="F2"/>
          <w:spacing w:val="-2"/>
          <w:sz w:val="16"/>
          <w:szCs w:val="16"/>
          <w:lang w:val="en-GB"/>
        </w:rPr>
        <w:t xml:space="preserve">According to the data of the Energy Regulatory Office, the total gross electricity production reached 81.4 </w:t>
      </w:r>
      <w:proofErr w:type="spellStart"/>
      <w:r>
        <w:rPr>
          <w:rFonts w:cs="Arial"/>
          <w:color w:val="0D0D0D" w:themeColor="text1" w:themeTint="F2"/>
          <w:spacing w:val="-2"/>
          <w:sz w:val="16"/>
          <w:szCs w:val="16"/>
          <w:lang w:val="en-GB"/>
        </w:rPr>
        <w:t>TWh</w:t>
      </w:r>
      <w:proofErr w:type="spellEnd"/>
      <w:r>
        <w:rPr>
          <w:rFonts w:cs="Arial"/>
          <w:color w:val="0D0D0D" w:themeColor="text1" w:themeTint="F2"/>
          <w:spacing w:val="-2"/>
          <w:sz w:val="16"/>
          <w:szCs w:val="16"/>
          <w:lang w:val="en-GB"/>
        </w:rPr>
        <w:t xml:space="preserve"> in the CR last year (the least since year 2002). It reduced by 6.4% year-on-year. G</w:t>
      </w:r>
      <w:r w:rsidRPr="007E2CDD">
        <w:rPr>
          <w:spacing w:val="-4"/>
          <w:sz w:val="16"/>
          <w:szCs w:val="16"/>
          <w:lang w:val="en-GB"/>
        </w:rPr>
        <w:t>r</w:t>
      </w:r>
      <w:r>
        <w:rPr>
          <w:spacing w:val="-4"/>
          <w:sz w:val="16"/>
          <w:szCs w:val="16"/>
          <w:lang w:val="en-GB"/>
        </w:rPr>
        <w:t xml:space="preserve">oss electricity consumption dropped by </w:t>
      </w:r>
      <w:r w:rsidRPr="007E2CDD">
        <w:rPr>
          <w:spacing w:val="-4"/>
          <w:sz w:val="16"/>
          <w:szCs w:val="16"/>
          <w:lang w:val="en-GB"/>
        </w:rPr>
        <w:t>3</w:t>
      </w:r>
      <w:r>
        <w:rPr>
          <w:spacing w:val="-4"/>
          <w:sz w:val="16"/>
          <w:szCs w:val="16"/>
          <w:lang w:val="en-GB"/>
        </w:rPr>
        <w:t>.</w:t>
      </w:r>
      <w:r w:rsidRPr="007E2CDD">
        <w:rPr>
          <w:spacing w:val="-4"/>
          <w:sz w:val="16"/>
          <w:szCs w:val="16"/>
          <w:lang w:val="en-GB"/>
        </w:rPr>
        <w:t>5%</w:t>
      </w:r>
      <w:r>
        <w:rPr>
          <w:spacing w:val="-4"/>
          <w:sz w:val="16"/>
          <w:szCs w:val="16"/>
          <w:lang w:val="en-GB"/>
        </w:rPr>
        <w:t xml:space="preserve"> to </w:t>
      </w:r>
      <w:r w:rsidRPr="007E2CDD">
        <w:rPr>
          <w:spacing w:val="-4"/>
          <w:sz w:val="16"/>
          <w:szCs w:val="16"/>
          <w:lang w:val="en-GB"/>
        </w:rPr>
        <w:t>71</w:t>
      </w:r>
      <w:r>
        <w:rPr>
          <w:spacing w:val="-4"/>
          <w:sz w:val="16"/>
          <w:szCs w:val="16"/>
          <w:lang w:val="en-GB"/>
        </w:rPr>
        <w:t>.</w:t>
      </w:r>
      <w:r w:rsidRPr="007E2CDD">
        <w:rPr>
          <w:spacing w:val="-4"/>
          <w:sz w:val="16"/>
          <w:szCs w:val="16"/>
          <w:lang w:val="en-GB"/>
        </w:rPr>
        <w:t>4 </w:t>
      </w:r>
      <w:proofErr w:type="spellStart"/>
      <w:r w:rsidRPr="007E2CDD">
        <w:rPr>
          <w:spacing w:val="-4"/>
          <w:sz w:val="16"/>
          <w:szCs w:val="16"/>
          <w:lang w:val="en-GB"/>
        </w:rPr>
        <w:t>TWh</w:t>
      </w:r>
      <w:proofErr w:type="spellEnd"/>
      <w:r w:rsidRPr="007E2CDD">
        <w:rPr>
          <w:spacing w:val="-4"/>
          <w:sz w:val="16"/>
          <w:szCs w:val="16"/>
          <w:lang w:val="en-GB"/>
        </w:rPr>
        <w:t xml:space="preserve"> (</w:t>
      </w:r>
      <w:proofErr w:type="gramStart"/>
      <w:r>
        <w:rPr>
          <w:spacing w:val="-4"/>
          <w:sz w:val="16"/>
          <w:szCs w:val="16"/>
          <w:lang w:val="en-GB"/>
        </w:rPr>
        <w:t>five year</w:t>
      </w:r>
      <w:proofErr w:type="gramEnd"/>
      <w:r>
        <w:rPr>
          <w:spacing w:val="-4"/>
          <w:sz w:val="16"/>
          <w:szCs w:val="16"/>
          <w:lang w:val="en-GB"/>
        </w:rPr>
        <w:t xml:space="preserve"> minimum</w:t>
      </w:r>
      <w:r w:rsidRPr="007E2CDD">
        <w:rPr>
          <w:spacing w:val="-4"/>
          <w:sz w:val="16"/>
          <w:szCs w:val="16"/>
          <w:lang w:val="en-GB"/>
        </w:rPr>
        <w:t xml:space="preserve">). </w:t>
      </w:r>
      <w:r>
        <w:rPr>
          <w:spacing w:val="-4"/>
          <w:sz w:val="16"/>
          <w:szCs w:val="16"/>
          <w:lang w:val="en-GB"/>
        </w:rPr>
        <w:t xml:space="preserve">Entrepreneurs consumed at low voltage levels by </w:t>
      </w:r>
      <w:r w:rsidRPr="007E2CDD">
        <w:rPr>
          <w:rFonts w:eastAsia="Times New Roman" w:cs="Arial"/>
          <w:color w:val="1F1F1F"/>
          <w:spacing w:val="-4"/>
          <w:sz w:val="16"/>
          <w:szCs w:val="16"/>
          <w:lang w:val="en-GB"/>
        </w:rPr>
        <w:t>2</w:t>
      </w:r>
      <w:r>
        <w:rPr>
          <w:rFonts w:eastAsia="Times New Roman" w:cs="Arial"/>
          <w:color w:val="1F1F1F"/>
          <w:spacing w:val="-4"/>
          <w:sz w:val="16"/>
          <w:szCs w:val="16"/>
          <w:lang w:val="en-GB"/>
        </w:rPr>
        <w:t>.</w:t>
      </w:r>
      <w:r w:rsidRPr="007E2CDD">
        <w:rPr>
          <w:rFonts w:eastAsia="Times New Roman" w:cs="Arial"/>
          <w:color w:val="1F1F1F"/>
          <w:spacing w:val="-4"/>
          <w:sz w:val="16"/>
          <w:szCs w:val="16"/>
          <w:lang w:val="en-GB"/>
        </w:rPr>
        <w:t>9%</w:t>
      </w:r>
      <w:r>
        <w:rPr>
          <w:rFonts w:eastAsia="Times New Roman" w:cs="Arial"/>
          <w:color w:val="1F1F1F"/>
          <w:spacing w:val="-4"/>
          <w:sz w:val="16"/>
          <w:szCs w:val="16"/>
          <w:lang w:val="en-GB"/>
        </w:rPr>
        <w:t xml:space="preserve"> less year-on-year</w:t>
      </w:r>
      <w:r w:rsidRPr="007E2CDD">
        <w:rPr>
          <w:rFonts w:eastAsia="Times New Roman" w:cs="Arial"/>
          <w:color w:val="1F1F1F"/>
          <w:spacing w:val="-4"/>
          <w:sz w:val="16"/>
          <w:szCs w:val="16"/>
          <w:lang w:val="en-GB"/>
        </w:rPr>
        <w:t xml:space="preserve">, </w:t>
      </w:r>
      <w:r>
        <w:rPr>
          <w:rFonts w:eastAsia="Times New Roman" w:cs="Arial"/>
          <w:color w:val="1F1F1F"/>
          <w:spacing w:val="-4"/>
          <w:sz w:val="16"/>
          <w:szCs w:val="16"/>
          <w:lang w:val="en-GB"/>
        </w:rPr>
        <w:t xml:space="preserve">the largest businesses then by </w:t>
      </w:r>
      <w:r w:rsidRPr="007E2CDD">
        <w:rPr>
          <w:rFonts w:eastAsia="Times New Roman" w:cs="Arial"/>
          <w:color w:val="1F1F1F"/>
          <w:spacing w:val="-4"/>
          <w:sz w:val="16"/>
          <w:szCs w:val="16"/>
          <w:lang w:val="en-GB"/>
        </w:rPr>
        <w:t>6</w:t>
      </w:r>
      <w:r>
        <w:rPr>
          <w:rFonts w:eastAsia="Times New Roman" w:cs="Arial"/>
          <w:color w:val="1F1F1F"/>
          <w:spacing w:val="-4"/>
          <w:sz w:val="16"/>
          <w:szCs w:val="16"/>
          <w:lang w:val="en-GB"/>
        </w:rPr>
        <w:t>.</w:t>
      </w:r>
      <w:r w:rsidRPr="007E2CDD">
        <w:rPr>
          <w:rFonts w:eastAsia="Times New Roman" w:cs="Arial"/>
          <w:color w:val="1F1F1F"/>
          <w:spacing w:val="-4"/>
          <w:sz w:val="16"/>
          <w:szCs w:val="16"/>
          <w:lang w:val="en-GB"/>
        </w:rPr>
        <w:t>6%</w:t>
      </w:r>
      <w:r>
        <w:rPr>
          <w:rFonts w:eastAsia="Times New Roman" w:cs="Arial"/>
          <w:color w:val="1F1F1F"/>
          <w:spacing w:val="-4"/>
          <w:sz w:val="16"/>
          <w:szCs w:val="16"/>
          <w:lang w:val="en-GB"/>
        </w:rPr>
        <w:t xml:space="preserve"> less. Mobility restrictions of the population, extended home office work as well as distance learning led to the accelerated growth pace of the electricity consumption in households </w:t>
      </w:r>
      <w:r w:rsidRPr="007E2CDD">
        <w:rPr>
          <w:rFonts w:eastAsia="Times New Roman" w:cs="Arial"/>
          <w:color w:val="1F1F1F"/>
          <w:spacing w:val="-6"/>
          <w:sz w:val="16"/>
          <w:szCs w:val="16"/>
          <w:lang w:val="en-GB"/>
        </w:rPr>
        <w:t>(</w:t>
      </w:r>
      <w:r>
        <w:rPr>
          <w:rFonts w:eastAsia="Times New Roman" w:cs="Arial"/>
          <w:color w:val="1F1F1F"/>
          <w:spacing w:val="-6"/>
          <w:sz w:val="16"/>
          <w:szCs w:val="16"/>
          <w:lang w:val="en-GB"/>
        </w:rPr>
        <w:t xml:space="preserve">to </w:t>
      </w:r>
      <w:r w:rsidRPr="007E2CDD">
        <w:rPr>
          <w:rFonts w:eastAsia="Times New Roman" w:cs="Arial"/>
          <w:color w:val="1F1F1F"/>
          <w:spacing w:val="-6"/>
          <w:sz w:val="16"/>
          <w:szCs w:val="16"/>
          <w:lang w:val="en-GB"/>
        </w:rPr>
        <w:t>+4</w:t>
      </w:r>
      <w:r>
        <w:rPr>
          <w:rFonts w:eastAsia="Times New Roman" w:cs="Arial"/>
          <w:color w:val="1F1F1F"/>
          <w:spacing w:val="-6"/>
          <w:sz w:val="16"/>
          <w:szCs w:val="16"/>
          <w:lang w:val="en-GB"/>
        </w:rPr>
        <w:t>.</w:t>
      </w:r>
      <w:r w:rsidRPr="007E2CDD">
        <w:rPr>
          <w:rFonts w:eastAsia="Times New Roman" w:cs="Arial"/>
          <w:color w:val="1F1F1F"/>
          <w:spacing w:val="-6"/>
          <w:sz w:val="16"/>
          <w:szCs w:val="16"/>
          <w:lang w:val="en-GB"/>
        </w:rPr>
        <w:t>7%)</w:t>
      </w:r>
      <w:r>
        <w:rPr>
          <w:rFonts w:eastAsia="Times New Roman" w:cs="Arial"/>
          <w:color w:val="1F1F1F"/>
          <w:spacing w:val="-6"/>
          <w:sz w:val="16"/>
          <w:szCs w:val="16"/>
          <w:lang w:val="en-GB"/>
        </w:rPr>
        <w:t xml:space="preserve"> last year</w:t>
      </w:r>
      <w:r w:rsidRPr="007E2CDD">
        <w:rPr>
          <w:rFonts w:eastAsia="Times New Roman" w:cs="Arial"/>
          <w:color w:val="1F1F1F"/>
          <w:spacing w:val="-6"/>
          <w:sz w:val="16"/>
          <w:szCs w:val="16"/>
          <w:lang w:val="en-GB"/>
        </w:rPr>
        <w:t>. T</w:t>
      </w:r>
      <w:r>
        <w:rPr>
          <w:rFonts w:eastAsia="Times New Roman" w:cs="Arial"/>
          <w:color w:val="1F1F1F"/>
          <w:spacing w:val="-6"/>
          <w:sz w:val="16"/>
          <w:szCs w:val="16"/>
          <w:lang w:val="en-GB"/>
        </w:rPr>
        <w:t xml:space="preserve">heir electricity consumption was the highest since the year </w:t>
      </w:r>
      <w:r w:rsidRPr="007E2CDD">
        <w:rPr>
          <w:rFonts w:eastAsia="Times New Roman" w:cs="Arial"/>
          <w:color w:val="1F1F1F"/>
          <w:spacing w:val="-6"/>
          <w:sz w:val="16"/>
          <w:szCs w:val="16"/>
          <w:lang w:val="en-GB"/>
        </w:rPr>
        <w:t>1996.</w:t>
      </w:r>
    </w:p>
  </w:footnote>
  <w:footnote w:id="27">
    <w:p w:rsidR="003F15C8" w:rsidRPr="00B31693" w:rsidRDefault="003F15C8" w:rsidP="00B31693">
      <w:pPr>
        <w:pStyle w:val="Textpoznpodarou"/>
        <w:jc w:val="both"/>
        <w:rPr>
          <w:sz w:val="16"/>
          <w:szCs w:val="16"/>
          <w:lang w:val="en-GB"/>
        </w:rPr>
      </w:pPr>
      <w:r w:rsidRPr="004670E0">
        <w:rPr>
          <w:rStyle w:val="Znakapoznpodarou"/>
          <w:sz w:val="16"/>
          <w:szCs w:val="16"/>
        </w:rPr>
        <w:footnoteRef/>
      </w:r>
      <w:r w:rsidRPr="004670E0">
        <w:rPr>
          <w:sz w:val="16"/>
          <w:szCs w:val="16"/>
        </w:rPr>
        <w:t xml:space="preserve"> </w:t>
      </w:r>
      <w:r w:rsidRPr="00B31693">
        <w:rPr>
          <w:sz w:val="16"/>
          <w:szCs w:val="16"/>
          <w:lang w:val="en-GB"/>
        </w:rPr>
        <w:t xml:space="preserve">In Q4 2020 however the sales of businesses from </w:t>
      </w:r>
      <w:r>
        <w:rPr>
          <w:sz w:val="16"/>
          <w:szCs w:val="16"/>
          <w:lang w:val="en-GB"/>
        </w:rPr>
        <w:t>industrial activity recorded a growth (+</w:t>
      </w:r>
      <w:r w:rsidRPr="00B31693">
        <w:rPr>
          <w:sz w:val="16"/>
          <w:szCs w:val="16"/>
          <w:lang w:val="en-GB"/>
        </w:rPr>
        <w:t>4.2%</w:t>
      </w:r>
      <w:r>
        <w:rPr>
          <w:sz w:val="16"/>
          <w:szCs w:val="16"/>
          <w:lang w:val="en-GB"/>
        </w:rPr>
        <w:t>)</w:t>
      </w:r>
      <w:r w:rsidRPr="00B31693">
        <w:rPr>
          <w:sz w:val="16"/>
          <w:szCs w:val="16"/>
          <w:lang w:val="en-GB"/>
        </w:rPr>
        <w:t xml:space="preserve"> year-on-year, exclusively thanks to higher foreign demand. </w:t>
      </w:r>
    </w:p>
  </w:footnote>
  <w:footnote w:id="28">
    <w:p w:rsidR="003F15C8" w:rsidRPr="00BA7AF6" w:rsidRDefault="003F15C8" w:rsidP="00D91620">
      <w:pPr>
        <w:pStyle w:val="Textpoznpodarou"/>
        <w:jc w:val="both"/>
        <w:rPr>
          <w:rFonts w:cs="Arial"/>
          <w:color w:val="0D0D0D" w:themeColor="text1" w:themeTint="F2"/>
          <w:spacing w:val="-2"/>
          <w:sz w:val="16"/>
          <w:szCs w:val="16"/>
          <w:lang w:val="en-GB"/>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AE4E7F">
        <w:rPr>
          <w:rFonts w:cs="Arial"/>
          <w:color w:val="0D0D0D" w:themeColor="text1" w:themeTint="F2"/>
          <w:spacing w:val="-2"/>
          <w:sz w:val="16"/>
          <w:szCs w:val="16"/>
          <w:lang w:val="en-GB"/>
        </w:rPr>
        <w:t xml:space="preserve">Surveying of orders is ongoing only in </w:t>
      </w:r>
      <w:r>
        <w:rPr>
          <w:rFonts w:cs="Arial"/>
          <w:color w:val="0D0D0D" w:themeColor="text1" w:themeTint="F2"/>
          <w:spacing w:val="-2"/>
          <w:sz w:val="16"/>
          <w:szCs w:val="16"/>
          <w:lang w:val="en-GB"/>
        </w:rPr>
        <w:t>twelve manufacturing branches, w</w:t>
      </w:r>
      <w:r w:rsidRPr="00AE4E7F">
        <w:rPr>
          <w:rFonts w:cs="Arial"/>
          <w:color w:val="0D0D0D" w:themeColor="text1" w:themeTint="F2"/>
          <w:sz w:val="16"/>
          <w:szCs w:val="16"/>
          <w:lang w:val="en-GB"/>
        </w:rPr>
        <w:t>hich manufacture</w:t>
      </w:r>
      <w:r>
        <w:rPr>
          <w:rFonts w:cs="Arial"/>
          <w:color w:val="0D0D0D" w:themeColor="text1" w:themeTint="F2"/>
          <w:sz w:val="16"/>
          <w:szCs w:val="16"/>
          <w:lang w:val="en-GB"/>
        </w:rPr>
        <w:t xml:space="preserve"> mostly custom-made products, with longer production cycle and larger stocks of orders. </w:t>
      </w:r>
    </w:p>
  </w:footnote>
  <w:footnote w:id="29">
    <w:p w:rsidR="003F15C8" w:rsidRPr="00BA7AF6" w:rsidRDefault="003F15C8" w:rsidP="00D91620">
      <w:pPr>
        <w:pStyle w:val="Textpoznpodarou"/>
        <w:jc w:val="both"/>
        <w:rPr>
          <w:sz w:val="16"/>
          <w:szCs w:val="16"/>
          <w:lang w:val="en-GB"/>
        </w:rPr>
      </w:pPr>
      <w:r w:rsidRPr="00BA7AF6">
        <w:rPr>
          <w:rStyle w:val="Znakapoznpodarou"/>
          <w:sz w:val="16"/>
          <w:szCs w:val="16"/>
          <w:lang w:val="en-GB"/>
        </w:rPr>
        <w:footnoteRef/>
      </w:r>
      <w:r w:rsidRPr="00BA7AF6">
        <w:rPr>
          <w:sz w:val="16"/>
          <w:szCs w:val="16"/>
          <w:lang w:val="en-GB"/>
        </w:rPr>
        <w:t xml:space="preserve"> </w:t>
      </w:r>
      <w:r>
        <w:rPr>
          <w:sz w:val="16"/>
          <w:szCs w:val="16"/>
          <w:lang w:val="en-GB"/>
        </w:rPr>
        <w:t xml:space="preserve">Growth </w:t>
      </w:r>
      <w:proofErr w:type="gramStart"/>
      <w:r>
        <w:rPr>
          <w:sz w:val="16"/>
          <w:szCs w:val="16"/>
          <w:lang w:val="en-GB"/>
        </w:rPr>
        <w:t>is partially affected</w:t>
      </w:r>
      <w:proofErr w:type="gramEnd"/>
      <w:r>
        <w:rPr>
          <w:sz w:val="16"/>
          <w:szCs w:val="16"/>
          <w:lang w:val="en-GB"/>
        </w:rPr>
        <w:t xml:space="preserve"> by lower comparative basis since the industry was in the phase of mild cyclical downturn at the end of year </w:t>
      </w:r>
      <w:r w:rsidRPr="00BA7AF6">
        <w:rPr>
          <w:sz w:val="16"/>
          <w:szCs w:val="16"/>
          <w:lang w:val="en-GB"/>
        </w:rPr>
        <w:t>2019</w:t>
      </w:r>
      <w:r>
        <w:rPr>
          <w:sz w:val="16"/>
          <w:szCs w:val="16"/>
          <w:lang w:val="en-GB"/>
        </w:rPr>
        <w:t xml:space="preserve">. </w:t>
      </w:r>
    </w:p>
  </w:footnote>
  <w:footnote w:id="30">
    <w:p w:rsidR="003F15C8" w:rsidRPr="00BA7AF6" w:rsidRDefault="003F15C8" w:rsidP="00D91620">
      <w:pPr>
        <w:pStyle w:val="Textpoznpodarou"/>
        <w:jc w:val="both"/>
        <w:rPr>
          <w:sz w:val="16"/>
          <w:szCs w:val="16"/>
          <w:lang w:val="en-GB"/>
        </w:rPr>
      </w:pPr>
      <w:r w:rsidRPr="00BA7AF6">
        <w:rPr>
          <w:rStyle w:val="Znakapoznpodarou"/>
          <w:sz w:val="16"/>
          <w:szCs w:val="16"/>
          <w:lang w:val="en-GB"/>
        </w:rPr>
        <w:footnoteRef/>
      </w:r>
      <w:r w:rsidRPr="00BA7AF6">
        <w:rPr>
          <w:sz w:val="16"/>
          <w:szCs w:val="16"/>
          <w:lang w:val="en-GB"/>
        </w:rPr>
        <w:t xml:space="preserve"> </w:t>
      </w:r>
      <w:r>
        <w:rPr>
          <w:sz w:val="16"/>
          <w:szCs w:val="16"/>
          <w:lang w:val="en-GB"/>
        </w:rPr>
        <w:t xml:space="preserve">Capacities were most utilised in the wood industry </w:t>
      </w:r>
      <w:r w:rsidRPr="00BA7AF6">
        <w:rPr>
          <w:sz w:val="16"/>
          <w:szCs w:val="16"/>
          <w:lang w:val="en-GB"/>
        </w:rPr>
        <w:t>(93%).</w:t>
      </w:r>
      <w:r>
        <w:rPr>
          <w:sz w:val="16"/>
          <w:szCs w:val="16"/>
          <w:lang w:val="en-GB"/>
        </w:rPr>
        <w:t xml:space="preserve"> Motor vehicle, rubber, plastics, chemical and paper industry </w:t>
      </w:r>
      <w:proofErr w:type="gramStart"/>
      <w:r>
        <w:rPr>
          <w:sz w:val="16"/>
          <w:szCs w:val="16"/>
          <w:lang w:val="en-GB"/>
        </w:rPr>
        <w:t>and also</w:t>
      </w:r>
      <w:proofErr w:type="gramEnd"/>
      <w:r>
        <w:rPr>
          <w:sz w:val="16"/>
          <w:szCs w:val="16"/>
          <w:lang w:val="en-GB"/>
        </w:rPr>
        <w:t xml:space="preserve"> repairs of machinery and equipment moved close to the 90% level</w:t>
      </w:r>
      <w:r w:rsidRPr="00BA7AF6">
        <w:rPr>
          <w:sz w:val="16"/>
          <w:szCs w:val="16"/>
          <w:lang w:val="en-GB"/>
        </w:rPr>
        <w:t xml:space="preserve">. </w:t>
      </w:r>
      <w:r>
        <w:rPr>
          <w:sz w:val="16"/>
          <w:szCs w:val="16"/>
          <w:lang w:val="en-GB"/>
        </w:rPr>
        <w:t xml:space="preserve">On the contrary, level deep below their </w:t>
      </w:r>
      <w:proofErr w:type="gramStart"/>
      <w:r>
        <w:rPr>
          <w:sz w:val="16"/>
          <w:szCs w:val="16"/>
          <w:lang w:val="en-GB"/>
        </w:rPr>
        <w:t>long term</w:t>
      </w:r>
      <w:proofErr w:type="gramEnd"/>
      <w:r>
        <w:rPr>
          <w:sz w:val="16"/>
          <w:szCs w:val="16"/>
          <w:lang w:val="en-GB"/>
        </w:rPr>
        <w:t xml:space="preserve"> average and utilisation only around </w:t>
      </w:r>
      <w:r w:rsidRPr="00BA7AF6">
        <w:rPr>
          <w:sz w:val="16"/>
          <w:szCs w:val="16"/>
          <w:lang w:val="en-GB"/>
        </w:rPr>
        <w:t>70%</w:t>
      </w:r>
      <w:r>
        <w:rPr>
          <w:sz w:val="16"/>
          <w:szCs w:val="16"/>
          <w:lang w:val="en-GB"/>
        </w:rPr>
        <w:t xml:space="preserve"> registered some smaller branches </w:t>
      </w:r>
      <w:r w:rsidRPr="00BA7AF6">
        <w:rPr>
          <w:sz w:val="16"/>
          <w:szCs w:val="16"/>
          <w:lang w:val="en-GB"/>
        </w:rPr>
        <w:t>(</w:t>
      </w:r>
      <w:r>
        <w:rPr>
          <w:sz w:val="16"/>
          <w:szCs w:val="16"/>
          <w:lang w:val="en-GB"/>
        </w:rPr>
        <w:t>beverage, footwear, leather, printing as well as petrochemical industry</w:t>
      </w:r>
      <w:r w:rsidRPr="00BA7AF6">
        <w:rPr>
          <w:sz w:val="16"/>
          <w:szCs w:val="16"/>
          <w:lang w:val="en-GB"/>
        </w:rPr>
        <w:t>).</w:t>
      </w:r>
    </w:p>
  </w:footnote>
  <w:footnote w:id="31">
    <w:p w:rsidR="003F15C8" w:rsidRPr="00BA7AF6" w:rsidRDefault="003F15C8" w:rsidP="00D91620">
      <w:pPr>
        <w:pStyle w:val="Textpoznpodarou"/>
        <w:jc w:val="both"/>
        <w:rPr>
          <w:sz w:val="16"/>
          <w:szCs w:val="16"/>
          <w:lang w:val="en-GB"/>
        </w:rPr>
      </w:pPr>
      <w:r w:rsidRPr="00BA7AF6">
        <w:rPr>
          <w:rStyle w:val="Znakapoznpodarou"/>
          <w:sz w:val="16"/>
          <w:szCs w:val="16"/>
          <w:lang w:val="en-GB"/>
        </w:rPr>
        <w:footnoteRef/>
      </w:r>
      <w:r w:rsidRPr="00BA7AF6">
        <w:rPr>
          <w:sz w:val="16"/>
          <w:szCs w:val="16"/>
          <w:lang w:val="en-GB"/>
        </w:rPr>
        <w:t xml:space="preserve"> Businesses could have stated more barriers simultaneously. </w:t>
      </w:r>
    </w:p>
  </w:footnote>
  <w:footnote w:id="32">
    <w:p w:rsidR="003F15C8" w:rsidRPr="00C20376" w:rsidRDefault="003F15C8" w:rsidP="00FD5F69">
      <w:pPr>
        <w:pStyle w:val="Textpoznpodarou"/>
        <w:jc w:val="both"/>
        <w:rPr>
          <w:spacing w:val="-2"/>
          <w:sz w:val="16"/>
          <w:szCs w:val="16"/>
          <w:lang w:val="en-GB"/>
        </w:rPr>
      </w:pPr>
      <w:r w:rsidRPr="00C94BE8">
        <w:rPr>
          <w:rStyle w:val="Znakapoznpodarou"/>
          <w:rFonts w:cs="Arial"/>
          <w:color w:val="0D0D0D" w:themeColor="text1" w:themeTint="F2"/>
          <w:spacing w:val="-2"/>
          <w:sz w:val="16"/>
          <w:szCs w:val="16"/>
        </w:rPr>
        <w:footnoteRef/>
      </w:r>
      <w:r w:rsidRPr="00C94BE8">
        <w:rPr>
          <w:rFonts w:cs="Arial"/>
          <w:color w:val="0D0D0D" w:themeColor="text1" w:themeTint="F2"/>
          <w:spacing w:val="-2"/>
          <w:sz w:val="16"/>
          <w:szCs w:val="16"/>
        </w:rPr>
        <w:t xml:space="preserve"> </w:t>
      </w:r>
      <w:r w:rsidRPr="00CB5F3F">
        <w:rPr>
          <w:rFonts w:cs="Arial"/>
          <w:color w:val="0D0D0D" w:themeColor="text1" w:themeTint="F2"/>
          <w:spacing w:val="-2"/>
          <w:sz w:val="16"/>
          <w:szCs w:val="16"/>
          <w:lang w:val="en-GB"/>
        </w:rPr>
        <w:t xml:space="preserve">All year-on-year data regarding the construction output are adjusted for calendar effects, </w:t>
      </w:r>
      <w:r>
        <w:rPr>
          <w:rFonts w:cs="Arial"/>
          <w:color w:val="0D0D0D" w:themeColor="text1" w:themeTint="F2"/>
          <w:spacing w:val="-2"/>
          <w:sz w:val="16"/>
          <w:szCs w:val="16"/>
          <w:lang w:val="en-GB"/>
        </w:rPr>
        <w:t xml:space="preserve">both </w:t>
      </w:r>
      <w:r w:rsidRPr="00CB5F3F">
        <w:rPr>
          <w:rFonts w:cs="Arial"/>
          <w:color w:val="0D0D0D" w:themeColor="text1" w:themeTint="F2"/>
          <w:spacing w:val="-2"/>
          <w:sz w:val="16"/>
          <w:szCs w:val="16"/>
          <w:lang w:val="en-GB"/>
        </w:rPr>
        <w:t>quarter-on-quarter</w:t>
      </w:r>
      <w:r>
        <w:rPr>
          <w:rFonts w:cs="Arial"/>
          <w:color w:val="0D0D0D" w:themeColor="text1" w:themeTint="F2"/>
          <w:spacing w:val="-2"/>
          <w:sz w:val="16"/>
          <w:szCs w:val="16"/>
          <w:lang w:val="en-GB"/>
        </w:rPr>
        <w:t xml:space="preserve"> and month-on-month</w:t>
      </w:r>
      <w:r w:rsidRPr="00CB5F3F">
        <w:rPr>
          <w:rFonts w:cs="Arial"/>
          <w:color w:val="0D0D0D" w:themeColor="text1" w:themeTint="F2"/>
          <w:spacing w:val="-2"/>
          <w:sz w:val="16"/>
          <w:szCs w:val="16"/>
          <w:lang w:val="en-GB"/>
        </w:rPr>
        <w:t xml:space="preserve"> rates of </w:t>
      </w:r>
      <w:proofErr w:type="gramStart"/>
      <w:r w:rsidRPr="00CB5F3F">
        <w:rPr>
          <w:rFonts w:cs="Arial"/>
          <w:color w:val="0D0D0D" w:themeColor="text1" w:themeTint="F2"/>
          <w:spacing w:val="-2"/>
          <w:sz w:val="16"/>
          <w:szCs w:val="16"/>
          <w:lang w:val="en-GB"/>
        </w:rPr>
        <w:t>growth also</w:t>
      </w:r>
      <w:proofErr w:type="gramEnd"/>
      <w:r w:rsidRPr="00CB5F3F">
        <w:rPr>
          <w:rFonts w:cs="Arial"/>
          <w:color w:val="0D0D0D" w:themeColor="text1" w:themeTint="F2"/>
          <w:spacing w:val="-2"/>
          <w:sz w:val="16"/>
          <w:szCs w:val="16"/>
          <w:lang w:val="en-GB"/>
        </w:rPr>
        <w:t xml:space="preserve"> for the seasonality effect.</w:t>
      </w:r>
    </w:p>
  </w:footnote>
  <w:footnote w:id="33">
    <w:p w:rsidR="003F15C8" w:rsidRPr="00C20376" w:rsidRDefault="003F15C8" w:rsidP="00FD5F69">
      <w:pPr>
        <w:pStyle w:val="Textpoznpodarou"/>
        <w:jc w:val="both"/>
        <w:rPr>
          <w:spacing w:val="-2"/>
          <w:sz w:val="16"/>
          <w:szCs w:val="16"/>
          <w:lang w:val="en-GB"/>
        </w:rPr>
      </w:pPr>
      <w:r w:rsidRPr="00C20376">
        <w:rPr>
          <w:rStyle w:val="Znakapoznpodarou"/>
          <w:spacing w:val="-2"/>
          <w:sz w:val="16"/>
          <w:szCs w:val="16"/>
          <w:lang w:val="en-GB"/>
        </w:rPr>
        <w:footnoteRef/>
      </w:r>
      <w:r w:rsidRPr="00C20376">
        <w:rPr>
          <w:spacing w:val="-2"/>
          <w:sz w:val="16"/>
          <w:szCs w:val="16"/>
          <w:lang w:val="en-GB"/>
        </w:rPr>
        <w:t xml:space="preserve"> </w:t>
      </w:r>
      <w:r>
        <w:rPr>
          <w:spacing w:val="-2"/>
          <w:sz w:val="16"/>
          <w:szCs w:val="16"/>
          <w:lang w:val="en-GB"/>
        </w:rPr>
        <w:t xml:space="preserve">Comparable downturn </w:t>
      </w:r>
      <w:proofErr w:type="gramStart"/>
      <w:r>
        <w:rPr>
          <w:spacing w:val="-2"/>
          <w:sz w:val="16"/>
          <w:szCs w:val="16"/>
          <w:lang w:val="en-GB"/>
        </w:rPr>
        <w:t>was also recorded</w:t>
      </w:r>
      <w:proofErr w:type="gramEnd"/>
      <w:r>
        <w:rPr>
          <w:spacing w:val="-2"/>
          <w:sz w:val="16"/>
          <w:szCs w:val="16"/>
          <w:lang w:val="en-GB"/>
        </w:rPr>
        <w:t xml:space="preserve"> in year </w:t>
      </w:r>
      <w:r w:rsidRPr="00C20376">
        <w:rPr>
          <w:spacing w:val="-2"/>
          <w:sz w:val="16"/>
          <w:szCs w:val="16"/>
          <w:lang w:val="en-GB"/>
        </w:rPr>
        <w:t>2016.</w:t>
      </w:r>
      <w:r>
        <w:rPr>
          <w:spacing w:val="-2"/>
          <w:sz w:val="16"/>
          <w:szCs w:val="16"/>
          <w:lang w:val="en-GB"/>
        </w:rPr>
        <w:t xml:space="preserve"> However, </w:t>
      </w:r>
      <w:proofErr w:type="gramStart"/>
      <w:r>
        <w:rPr>
          <w:spacing w:val="-2"/>
          <w:sz w:val="16"/>
          <w:szCs w:val="16"/>
          <w:lang w:val="en-GB"/>
        </w:rPr>
        <w:t>short term</w:t>
      </w:r>
      <w:proofErr w:type="gramEnd"/>
      <w:r>
        <w:rPr>
          <w:spacing w:val="-2"/>
          <w:sz w:val="16"/>
          <w:szCs w:val="16"/>
          <w:lang w:val="en-GB"/>
        </w:rPr>
        <w:t xml:space="preserve"> fallout of public infrastructure investments associated with the transfer to new EU programme period, stood in its background at that time.</w:t>
      </w:r>
    </w:p>
  </w:footnote>
  <w:footnote w:id="34">
    <w:p w:rsidR="003F15C8" w:rsidRPr="00C20376" w:rsidRDefault="003F15C8" w:rsidP="00FD5F69">
      <w:pPr>
        <w:pStyle w:val="Textpoznpodarou"/>
        <w:jc w:val="both"/>
        <w:rPr>
          <w:spacing w:val="-2"/>
          <w:sz w:val="16"/>
          <w:szCs w:val="16"/>
          <w:lang w:val="en-GB"/>
        </w:rPr>
      </w:pPr>
      <w:r w:rsidRPr="00C20376">
        <w:rPr>
          <w:rStyle w:val="Znakapoznpodarou"/>
          <w:spacing w:val="-2"/>
          <w:sz w:val="16"/>
          <w:szCs w:val="16"/>
          <w:lang w:val="en-GB"/>
        </w:rPr>
        <w:footnoteRef/>
      </w:r>
      <w:r w:rsidRPr="00C20376">
        <w:rPr>
          <w:spacing w:val="-2"/>
          <w:sz w:val="16"/>
          <w:szCs w:val="16"/>
          <w:lang w:val="en-GB"/>
        </w:rPr>
        <w:t xml:space="preserve"> Invest</w:t>
      </w:r>
      <w:r>
        <w:rPr>
          <w:spacing w:val="-2"/>
          <w:sz w:val="16"/>
          <w:szCs w:val="16"/>
          <w:lang w:val="en-GB"/>
        </w:rPr>
        <w:t xml:space="preserve">ment transfers to the </w:t>
      </w:r>
      <w:r w:rsidRPr="00635D28">
        <w:rPr>
          <w:spacing w:val="-2"/>
          <w:sz w:val="16"/>
          <w:szCs w:val="16"/>
          <w:lang w:val="en-GB"/>
        </w:rPr>
        <w:t xml:space="preserve">State </w:t>
      </w:r>
      <w:r>
        <w:rPr>
          <w:spacing w:val="-2"/>
          <w:sz w:val="16"/>
          <w:szCs w:val="16"/>
          <w:lang w:val="en-GB"/>
        </w:rPr>
        <w:t>F</w:t>
      </w:r>
      <w:r w:rsidRPr="00635D28">
        <w:rPr>
          <w:spacing w:val="-2"/>
          <w:sz w:val="16"/>
          <w:szCs w:val="16"/>
          <w:lang w:val="en-GB"/>
        </w:rPr>
        <w:t xml:space="preserve">und </w:t>
      </w:r>
      <w:r>
        <w:rPr>
          <w:spacing w:val="-2"/>
          <w:sz w:val="16"/>
          <w:szCs w:val="16"/>
          <w:lang w:val="en-GB"/>
        </w:rPr>
        <w:t>f</w:t>
      </w:r>
      <w:r w:rsidRPr="00635D28">
        <w:rPr>
          <w:spacing w:val="-2"/>
          <w:sz w:val="16"/>
          <w:szCs w:val="16"/>
          <w:lang w:val="en-GB"/>
        </w:rPr>
        <w:t xml:space="preserve">or </w:t>
      </w:r>
      <w:r>
        <w:rPr>
          <w:spacing w:val="-2"/>
          <w:sz w:val="16"/>
          <w:szCs w:val="16"/>
          <w:lang w:val="en-GB"/>
        </w:rPr>
        <w:t>T</w:t>
      </w:r>
      <w:r w:rsidRPr="00635D28">
        <w:rPr>
          <w:spacing w:val="-2"/>
          <w:sz w:val="16"/>
          <w:szCs w:val="16"/>
          <w:lang w:val="en-GB"/>
        </w:rPr>
        <w:t xml:space="preserve">ransport </w:t>
      </w:r>
      <w:r>
        <w:rPr>
          <w:spacing w:val="-2"/>
          <w:sz w:val="16"/>
          <w:szCs w:val="16"/>
          <w:lang w:val="en-GB"/>
        </w:rPr>
        <w:t>I</w:t>
      </w:r>
      <w:r w:rsidRPr="00635D28">
        <w:rPr>
          <w:spacing w:val="-2"/>
          <w:sz w:val="16"/>
          <w:szCs w:val="16"/>
          <w:lang w:val="en-GB"/>
        </w:rPr>
        <w:t>nfrastructure</w:t>
      </w:r>
      <w:r>
        <w:rPr>
          <w:spacing w:val="-2"/>
          <w:sz w:val="16"/>
          <w:szCs w:val="16"/>
          <w:lang w:val="en-GB"/>
        </w:rPr>
        <w:t xml:space="preserve"> from the state budget were by </w:t>
      </w:r>
      <w:r w:rsidRPr="00C20376">
        <w:rPr>
          <w:spacing w:val="-2"/>
          <w:sz w:val="16"/>
          <w:szCs w:val="16"/>
          <w:lang w:val="en-GB"/>
        </w:rPr>
        <w:t>41%</w:t>
      </w:r>
      <w:r>
        <w:rPr>
          <w:spacing w:val="-2"/>
          <w:sz w:val="16"/>
          <w:szCs w:val="16"/>
          <w:lang w:val="en-GB"/>
        </w:rPr>
        <w:t xml:space="preserve"> higher year-on-year last year</w:t>
      </w:r>
      <w:r w:rsidRPr="00C20376">
        <w:rPr>
          <w:spacing w:val="-2"/>
          <w:sz w:val="16"/>
          <w:szCs w:val="16"/>
          <w:lang w:val="en-GB"/>
        </w:rPr>
        <w:t xml:space="preserve">. </w:t>
      </w:r>
      <w:r>
        <w:rPr>
          <w:spacing w:val="-2"/>
          <w:sz w:val="16"/>
          <w:szCs w:val="16"/>
          <w:lang w:val="en-GB"/>
        </w:rPr>
        <w:t xml:space="preserve">The inflow of funds from the EU structural funds was also gaining pace </w:t>
      </w:r>
      <w:r w:rsidRPr="00C20376">
        <w:rPr>
          <w:spacing w:val="-2"/>
          <w:sz w:val="16"/>
          <w:szCs w:val="16"/>
          <w:lang w:val="en-GB"/>
        </w:rPr>
        <w:t xml:space="preserve">(+21%, </w:t>
      </w:r>
      <w:r>
        <w:rPr>
          <w:spacing w:val="-2"/>
          <w:sz w:val="16"/>
          <w:szCs w:val="16"/>
          <w:lang w:val="en-GB"/>
        </w:rPr>
        <w:t xml:space="preserve">to </w:t>
      </w:r>
      <w:r w:rsidRPr="00C20376">
        <w:rPr>
          <w:spacing w:val="-2"/>
          <w:sz w:val="16"/>
          <w:szCs w:val="16"/>
          <w:lang w:val="en-GB"/>
        </w:rPr>
        <w:t>75</w:t>
      </w:r>
      <w:r>
        <w:rPr>
          <w:spacing w:val="-2"/>
          <w:sz w:val="16"/>
          <w:szCs w:val="16"/>
          <w:lang w:val="en-GB"/>
        </w:rPr>
        <w:t>.</w:t>
      </w:r>
      <w:r w:rsidRPr="00C20376">
        <w:rPr>
          <w:spacing w:val="-2"/>
          <w:sz w:val="16"/>
          <w:szCs w:val="16"/>
          <w:lang w:val="en-GB"/>
        </w:rPr>
        <w:t>8</w:t>
      </w:r>
      <w:r>
        <w:rPr>
          <w:spacing w:val="-2"/>
          <w:sz w:val="16"/>
          <w:szCs w:val="16"/>
          <w:lang w:val="en-GB"/>
        </w:rPr>
        <w:t xml:space="preserve"> CZK </w:t>
      </w:r>
      <w:proofErr w:type="spellStart"/>
      <w:r>
        <w:rPr>
          <w:spacing w:val="-2"/>
          <w:sz w:val="16"/>
          <w:szCs w:val="16"/>
          <w:lang w:val="en-GB"/>
        </w:rPr>
        <w:t>bn</w:t>
      </w:r>
      <w:proofErr w:type="spellEnd"/>
      <w:r w:rsidRPr="00C20376">
        <w:rPr>
          <w:spacing w:val="-2"/>
          <w:sz w:val="16"/>
          <w:szCs w:val="16"/>
          <w:lang w:val="en-GB"/>
        </w:rPr>
        <w:t>).</w:t>
      </w:r>
    </w:p>
  </w:footnote>
  <w:footnote w:id="35">
    <w:p w:rsidR="003F15C8" w:rsidRPr="00D33FC5" w:rsidRDefault="003F15C8" w:rsidP="00D33FC5">
      <w:pPr>
        <w:pStyle w:val="Textpoznpodarou"/>
        <w:jc w:val="both"/>
        <w:rPr>
          <w:spacing w:val="-4"/>
          <w:sz w:val="16"/>
          <w:szCs w:val="16"/>
          <w:lang w:val="en-GB"/>
        </w:rPr>
      </w:pPr>
      <w:r w:rsidRPr="00C94BE8">
        <w:rPr>
          <w:rStyle w:val="Znakapoznpodarou"/>
          <w:spacing w:val="-4"/>
          <w:sz w:val="16"/>
          <w:szCs w:val="16"/>
        </w:rPr>
        <w:footnoteRef/>
      </w:r>
      <w:r w:rsidRPr="00C94BE8">
        <w:rPr>
          <w:spacing w:val="-4"/>
          <w:sz w:val="16"/>
          <w:szCs w:val="16"/>
        </w:rPr>
        <w:t xml:space="preserve"> </w:t>
      </w:r>
      <w:r w:rsidRPr="00D33FC5">
        <w:rPr>
          <w:spacing w:val="-4"/>
          <w:sz w:val="16"/>
          <w:szCs w:val="16"/>
          <w:lang w:val="en-GB"/>
        </w:rPr>
        <w:t>L</w:t>
      </w:r>
      <w:r>
        <w:rPr>
          <w:spacing w:val="-4"/>
          <w:sz w:val="16"/>
          <w:szCs w:val="16"/>
          <w:lang w:val="en-GB"/>
        </w:rPr>
        <w:t xml:space="preserve">ast year´s decrease did not concern categories of flats created by the modification of existing residential buildings. There were commenced 3 244 flat in this category last year – the most after year 2004. It </w:t>
      </w:r>
      <w:proofErr w:type="gramStart"/>
      <w:r>
        <w:rPr>
          <w:spacing w:val="-4"/>
          <w:sz w:val="16"/>
          <w:szCs w:val="16"/>
          <w:lang w:val="en-GB"/>
        </w:rPr>
        <w:t>could have been connected</w:t>
      </w:r>
      <w:proofErr w:type="gramEnd"/>
      <w:r>
        <w:rPr>
          <w:spacing w:val="-4"/>
          <w:sz w:val="16"/>
          <w:szCs w:val="16"/>
          <w:lang w:val="en-GB"/>
        </w:rPr>
        <w:t xml:space="preserve"> to the in total lower administrative demands on the preparation of these </w:t>
      </w:r>
      <w:r w:rsidRPr="003B2718">
        <w:rPr>
          <w:color w:val="0D0D0D" w:themeColor="text1" w:themeTint="F2"/>
          <w:spacing w:val="-4"/>
          <w:sz w:val="16"/>
          <w:szCs w:val="16"/>
          <w:lang w:val="en-GB"/>
        </w:rPr>
        <w:t>constructions (</w:t>
      </w:r>
      <w:r w:rsidR="003B2718" w:rsidRPr="003B2718">
        <w:rPr>
          <w:color w:val="0D0D0D" w:themeColor="text1" w:themeTint="F2"/>
          <w:spacing w:val="-4"/>
          <w:sz w:val="16"/>
          <w:szCs w:val="16"/>
          <w:lang w:val="en-GB"/>
        </w:rPr>
        <w:t>building project design</w:t>
      </w:r>
      <w:r w:rsidRPr="003B2718">
        <w:rPr>
          <w:color w:val="0D0D0D" w:themeColor="text1" w:themeTint="F2"/>
          <w:spacing w:val="-4"/>
          <w:sz w:val="16"/>
          <w:szCs w:val="16"/>
          <w:lang w:val="en-GB"/>
        </w:rPr>
        <w:t xml:space="preserve">, </w:t>
      </w:r>
      <w:r>
        <w:rPr>
          <w:spacing w:val="-4"/>
          <w:sz w:val="16"/>
          <w:szCs w:val="16"/>
          <w:lang w:val="en-GB"/>
        </w:rPr>
        <w:t>cooperation with the building authorities</w:t>
      </w:r>
      <w:r w:rsidRPr="00D33FC5">
        <w:rPr>
          <w:spacing w:val="-4"/>
          <w:sz w:val="16"/>
          <w:szCs w:val="16"/>
          <w:lang w:val="en-GB"/>
        </w:rPr>
        <w:t>).</w:t>
      </w:r>
    </w:p>
  </w:footnote>
  <w:footnote w:id="36">
    <w:p w:rsidR="003F15C8" w:rsidRPr="00D33FC5" w:rsidRDefault="003F15C8" w:rsidP="00D33FC5">
      <w:pPr>
        <w:spacing w:after="0" w:line="240" w:lineRule="auto"/>
        <w:rPr>
          <w:lang w:val="en-GB"/>
        </w:rPr>
      </w:pPr>
      <w:r w:rsidRPr="00D33FC5">
        <w:rPr>
          <w:rStyle w:val="Znakapoznpodarou"/>
          <w:color w:val="0D0D0D" w:themeColor="text1" w:themeTint="F2"/>
          <w:sz w:val="16"/>
          <w:szCs w:val="16"/>
          <w:lang w:val="en-GB"/>
        </w:rPr>
        <w:footnoteRef/>
      </w:r>
      <w:r w:rsidRPr="00D33FC5">
        <w:rPr>
          <w:color w:val="0D0D0D" w:themeColor="text1" w:themeTint="F2"/>
          <w:sz w:val="16"/>
          <w:szCs w:val="16"/>
          <w:lang w:val="en-GB"/>
        </w:rPr>
        <w:t xml:space="preserve"> </w:t>
      </w:r>
      <w:r w:rsidRPr="00F11AD8">
        <w:rPr>
          <w:color w:val="0D0D0D" w:themeColor="text1" w:themeTint="F2"/>
          <w:sz w:val="16"/>
          <w:szCs w:val="16"/>
          <w:lang w:val="en-GB"/>
        </w:rPr>
        <w:t>Without trade, financial and insurance activities, science</w:t>
      </w:r>
      <w:r>
        <w:rPr>
          <w:color w:val="0D0D0D" w:themeColor="text1" w:themeTint="F2"/>
          <w:sz w:val="16"/>
          <w:szCs w:val="16"/>
          <w:lang w:val="en-GB"/>
        </w:rPr>
        <w:t xml:space="preserve">, research and public services. All figures for services are in constant prices, year-on-year data </w:t>
      </w:r>
      <w:proofErr w:type="gramStart"/>
      <w:r>
        <w:rPr>
          <w:color w:val="0D0D0D" w:themeColor="text1" w:themeTint="F2"/>
          <w:sz w:val="16"/>
          <w:szCs w:val="16"/>
          <w:lang w:val="en-GB"/>
        </w:rPr>
        <w:t>are adjusted</w:t>
      </w:r>
      <w:proofErr w:type="gramEnd"/>
      <w:r>
        <w:rPr>
          <w:color w:val="0D0D0D" w:themeColor="text1" w:themeTint="F2"/>
          <w:sz w:val="16"/>
          <w:szCs w:val="16"/>
          <w:lang w:val="en-GB"/>
        </w:rPr>
        <w:t xml:space="preserve"> for calendar effects, quarter-on-quarter as well as month-on-month data are seasonally adjusted (including the effect of number of working days)</w:t>
      </w:r>
      <w:r w:rsidRPr="00D33FC5">
        <w:rPr>
          <w:color w:val="0D0D0D" w:themeColor="text1" w:themeTint="F2"/>
          <w:sz w:val="16"/>
          <w:szCs w:val="16"/>
          <w:lang w:val="en-GB"/>
        </w:rPr>
        <w:t>.</w:t>
      </w:r>
    </w:p>
  </w:footnote>
  <w:footnote w:id="37">
    <w:p w:rsidR="003F15C8" w:rsidRPr="00D33FC5" w:rsidRDefault="003F15C8" w:rsidP="00D33FC5">
      <w:pPr>
        <w:pStyle w:val="Textpoznpodarou"/>
        <w:jc w:val="both"/>
        <w:rPr>
          <w:sz w:val="16"/>
          <w:szCs w:val="16"/>
          <w:lang w:val="en-GB"/>
        </w:rPr>
      </w:pPr>
      <w:r w:rsidRPr="00D33FC5">
        <w:rPr>
          <w:rStyle w:val="Znakapoznpodarou"/>
          <w:sz w:val="16"/>
          <w:szCs w:val="16"/>
          <w:lang w:val="en-GB"/>
        </w:rPr>
        <w:footnoteRef/>
      </w:r>
      <w:r w:rsidRPr="00D33FC5">
        <w:rPr>
          <w:sz w:val="16"/>
          <w:szCs w:val="16"/>
          <w:lang w:val="en-GB"/>
        </w:rPr>
        <w:t xml:space="preserve"> </w:t>
      </w:r>
      <w:r>
        <w:rPr>
          <w:sz w:val="16"/>
          <w:szCs w:val="16"/>
          <w:lang w:val="en-GB"/>
        </w:rPr>
        <w:t xml:space="preserve">Mild decrease thus occurred also in December, when the part of restrictions </w:t>
      </w:r>
      <w:proofErr w:type="gramStart"/>
      <w:r>
        <w:rPr>
          <w:sz w:val="16"/>
          <w:szCs w:val="16"/>
          <w:lang w:val="en-GB"/>
        </w:rPr>
        <w:t>was temporarily loosened</w:t>
      </w:r>
      <w:proofErr w:type="gramEnd"/>
      <w:r>
        <w:rPr>
          <w:sz w:val="16"/>
          <w:szCs w:val="16"/>
          <w:lang w:val="en-GB"/>
        </w:rPr>
        <w:t>. It however only benefited branch accommodation, food service and restaurants</w:t>
      </w:r>
      <w:r w:rsidRPr="00D33FC5">
        <w:rPr>
          <w:sz w:val="16"/>
          <w:szCs w:val="16"/>
          <w:lang w:val="en-GB"/>
        </w:rPr>
        <w:t xml:space="preserve">. </w:t>
      </w:r>
      <w:r>
        <w:rPr>
          <w:sz w:val="16"/>
          <w:szCs w:val="16"/>
          <w:lang w:val="en-GB"/>
        </w:rPr>
        <w:t xml:space="preserve">Sales were falling month-on-month in other branch divisions. </w:t>
      </w:r>
    </w:p>
  </w:footnote>
  <w:footnote w:id="38">
    <w:p w:rsidR="003F15C8" w:rsidRPr="00FD30AD" w:rsidRDefault="003F15C8" w:rsidP="006804E2">
      <w:pPr>
        <w:pStyle w:val="Textpoznpodarou"/>
        <w:jc w:val="both"/>
        <w:rPr>
          <w:sz w:val="16"/>
          <w:szCs w:val="16"/>
          <w:lang w:val="en-GB"/>
        </w:rPr>
      </w:pPr>
      <w:r w:rsidRPr="00ED3E51">
        <w:rPr>
          <w:rStyle w:val="Znakapoznpodarou"/>
          <w:sz w:val="16"/>
          <w:szCs w:val="16"/>
        </w:rPr>
        <w:footnoteRef/>
      </w:r>
      <w:r w:rsidRPr="00ED3E51">
        <w:rPr>
          <w:sz w:val="16"/>
          <w:szCs w:val="16"/>
        </w:rPr>
        <w:t xml:space="preserve"> </w:t>
      </w:r>
      <w:r w:rsidRPr="00FD30AD">
        <w:rPr>
          <w:sz w:val="16"/>
          <w:szCs w:val="16"/>
          <w:lang w:val="en-GB"/>
        </w:rPr>
        <w:t>Last year´s downturn of these branches, which was unprecedented in the history of independent CR, also depicts the comparison in current prices. While sales in food service and resta</w:t>
      </w:r>
      <w:r>
        <w:rPr>
          <w:sz w:val="16"/>
          <w:szCs w:val="16"/>
          <w:lang w:val="en-GB"/>
        </w:rPr>
        <w:t>u</w:t>
      </w:r>
      <w:r w:rsidRPr="00FD30AD">
        <w:rPr>
          <w:sz w:val="16"/>
          <w:szCs w:val="16"/>
          <w:lang w:val="en-GB"/>
        </w:rPr>
        <w:t>ran</w:t>
      </w:r>
      <w:r>
        <w:rPr>
          <w:sz w:val="16"/>
          <w:szCs w:val="16"/>
          <w:lang w:val="en-GB"/>
        </w:rPr>
        <w:t xml:space="preserve">ts </w:t>
      </w:r>
      <w:proofErr w:type="gramStart"/>
      <w:r w:rsidRPr="00FD30AD">
        <w:rPr>
          <w:sz w:val="16"/>
          <w:szCs w:val="16"/>
          <w:lang w:val="en-GB"/>
        </w:rPr>
        <w:t>were placed</w:t>
      </w:r>
      <w:proofErr w:type="gramEnd"/>
      <w:r w:rsidRPr="00FD30AD">
        <w:rPr>
          <w:sz w:val="16"/>
          <w:szCs w:val="16"/>
          <w:lang w:val="en-GB"/>
        </w:rPr>
        <w:t xml:space="preserve"> at t</w:t>
      </w:r>
      <w:r>
        <w:rPr>
          <w:sz w:val="16"/>
          <w:szCs w:val="16"/>
          <w:lang w:val="en-GB"/>
        </w:rPr>
        <w:t>he</w:t>
      </w:r>
      <w:r w:rsidRPr="00FD30AD">
        <w:rPr>
          <w:sz w:val="16"/>
          <w:szCs w:val="16"/>
          <w:lang w:val="en-GB"/>
        </w:rPr>
        <w:t xml:space="preserve"> lev</w:t>
      </w:r>
      <w:r>
        <w:rPr>
          <w:sz w:val="16"/>
          <w:szCs w:val="16"/>
          <w:lang w:val="en-GB"/>
        </w:rPr>
        <w:t>e</w:t>
      </w:r>
      <w:r w:rsidRPr="00FD30AD">
        <w:rPr>
          <w:sz w:val="16"/>
          <w:szCs w:val="16"/>
          <w:lang w:val="en-GB"/>
        </w:rPr>
        <w:t>l of year 2015</w:t>
      </w:r>
      <w:r>
        <w:rPr>
          <w:sz w:val="16"/>
          <w:szCs w:val="16"/>
          <w:lang w:val="en-GB"/>
        </w:rPr>
        <w:t xml:space="preserve"> last year</w:t>
      </w:r>
      <w:r w:rsidRPr="00FD30AD">
        <w:rPr>
          <w:sz w:val="16"/>
          <w:szCs w:val="16"/>
          <w:lang w:val="en-GB"/>
        </w:rPr>
        <w:t>, sales in the air transport did not attain even three fifths of the level from year 2000 (they were even at only 39% level from the beginning of millennium for the travel agencies).</w:t>
      </w:r>
    </w:p>
  </w:footnote>
  <w:footnote w:id="39">
    <w:p w:rsidR="003F15C8" w:rsidRPr="00FD30AD" w:rsidRDefault="003F15C8" w:rsidP="006804E2">
      <w:pPr>
        <w:pStyle w:val="Textpoznpodarou"/>
        <w:jc w:val="both"/>
        <w:rPr>
          <w:sz w:val="16"/>
          <w:szCs w:val="16"/>
          <w:lang w:val="en-GB"/>
        </w:rPr>
      </w:pPr>
      <w:r w:rsidRPr="00FD30AD">
        <w:rPr>
          <w:rStyle w:val="Znakapoznpodarou"/>
          <w:sz w:val="16"/>
          <w:szCs w:val="16"/>
          <w:lang w:val="en-GB"/>
        </w:rPr>
        <w:footnoteRef/>
      </w:r>
      <w:r w:rsidRPr="00FD30AD">
        <w:rPr>
          <w:sz w:val="16"/>
          <w:szCs w:val="16"/>
          <w:lang w:val="en-GB"/>
        </w:rPr>
        <w:t xml:space="preserve"> According</w:t>
      </w:r>
      <w:r>
        <w:rPr>
          <w:sz w:val="16"/>
          <w:szCs w:val="16"/>
          <w:lang w:val="en-GB"/>
        </w:rPr>
        <w:t xml:space="preserve"> to the Union of Motion Picture D</w:t>
      </w:r>
      <w:r w:rsidRPr="00FD30AD">
        <w:rPr>
          <w:sz w:val="16"/>
          <w:szCs w:val="16"/>
          <w:lang w:val="en-GB"/>
        </w:rPr>
        <w:t xml:space="preserve">istributors, the number of </w:t>
      </w:r>
      <w:r>
        <w:rPr>
          <w:sz w:val="16"/>
          <w:szCs w:val="16"/>
          <w:lang w:val="en-GB"/>
        </w:rPr>
        <w:t xml:space="preserve">cinema </w:t>
      </w:r>
      <w:r w:rsidRPr="00FD30AD">
        <w:rPr>
          <w:sz w:val="16"/>
          <w:szCs w:val="16"/>
          <w:lang w:val="en-GB"/>
        </w:rPr>
        <w:t>visitors fell by 65% year-on-year, to 6.4 mil (the lowest number in th</w:t>
      </w:r>
      <w:r>
        <w:rPr>
          <w:sz w:val="16"/>
          <w:szCs w:val="16"/>
          <w:lang w:val="en-GB"/>
        </w:rPr>
        <w:t>e</w:t>
      </w:r>
      <w:r w:rsidRPr="00FD30AD">
        <w:rPr>
          <w:sz w:val="16"/>
          <w:szCs w:val="16"/>
          <w:lang w:val="en-GB"/>
        </w:rPr>
        <w:t xml:space="preserve"> history of the CR). Cinemas were in fact closed </w:t>
      </w:r>
      <w:r>
        <w:rPr>
          <w:sz w:val="16"/>
          <w:szCs w:val="16"/>
          <w:lang w:val="en-GB"/>
        </w:rPr>
        <w:t xml:space="preserve">for </w:t>
      </w:r>
      <w:r w:rsidRPr="00FD30AD">
        <w:rPr>
          <w:sz w:val="16"/>
          <w:szCs w:val="16"/>
          <w:lang w:val="en-GB"/>
        </w:rPr>
        <w:t xml:space="preserve">nearly five months in the </w:t>
      </w:r>
      <w:r>
        <w:rPr>
          <w:sz w:val="16"/>
          <w:szCs w:val="16"/>
          <w:lang w:val="en-GB"/>
        </w:rPr>
        <w:t xml:space="preserve">last </w:t>
      </w:r>
      <w:r w:rsidRPr="00FD30AD">
        <w:rPr>
          <w:sz w:val="16"/>
          <w:szCs w:val="16"/>
          <w:lang w:val="en-GB"/>
        </w:rPr>
        <w:t xml:space="preserve">year (only the operations of drive-in cinemas </w:t>
      </w:r>
      <w:r>
        <w:rPr>
          <w:sz w:val="16"/>
          <w:szCs w:val="16"/>
          <w:lang w:val="en-GB"/>
        </w:rPr>
        <w:t>were permitted)</w:t>
      </w:r>
      <w:proofErr w:type="gramStart"/>
      <w:r>
        <w:rPr>
          <w:sz w:val="16"/>
          <w:szCs w:val="16"/>
          <w:lang w:val="en-GB"/>
        </w:rPr>
        <w:t>,</w:t>
      </w:r>
      <w:proofErr w:type="gramEnd"/>
      <w:r>
        <w:rPr>
          <w:sz w:val="16"/>
          <w:szCs w:val="16"/>
          <w:lang w:val="en-GB"/>
        </w:rPr>
        <w:t xml:space="preserve"> they operated</w:t>
      </w:r>
      <w:r w:rsidRPr="00FD30AD">
        <w:rPr>
          <w:sz w:val="16"/>
          <w:szCs w:val="16"/>
          <w:lang w:val="en-GB"/>
        </w:rPr>
        <w:t xml:space="preserve"> without any restrictions o</w:t>
      </w:r>
      <w:r>
        <w:rPr>
          <w:sz w:val="16"/>
          <w:szCs w:val="16"/>
          <w:lang w:val="en-GB"/>
        </w:rPr>
        <w:t>nly 2.5 months in the year. The segment</w:t>
      </w:r>
      <w:r w:rsidRPr="00FD30AD">
        <w:rPr>
          <w:sz w:val="16"/>
          <w:szCs w:val="16"/>
          <w:lang w:val="en-GB"/>
        </w:rPr>
        <w:t xml:space="preserve"> of the motion picture production, where the restrictions applied only during the spring pandemic wave, </w:t>
      </w:r>
      <w:proofErr w:type="gramStart"/>
      <w:r w:rsidRPr="00FD30AD">
        <w:rPr>
          <w:sz w:val="16"/>
          <w:szCs w:val="16"/>
          <w:lang w:val="en-GB"/>
        </w:rPr>
        <w:t>was</w:t>
      </w:r>
      <w:r>
        <w:rPr>
          <w:sz w:val="16"/>
          <w:szCs w:val="16"/>
          <w:lang w:val="en-GB"/>
        </w:rPr>
        <w:t xml:space="preserve"> </w:t>
      </w:r>
      <w:proofErr w:type="spellStart"/>
      <w:r>
        <w:rPr>
          <w:sz w:val="16"/>
          <w:szCs w:val="16"/>
          <w:lang w:val="en-GB"/>
        </w:rPr>
        <w:t>hit</w:t>
      </w:r>
      <w:proofErr w:type="gramEnd"/>
      <w:r>
        <w:rPr>
          <w:sz w:val="16"/>
          <w:szCs w:val="16"/>
          <w:lang w:val="en-GB"/>
        </w:rPr>
        <w:t xml:space="preserve"> less</w:t>
      </w:r>
      <w:proofErr w:type="spellEnd"/>
      <w:r w:rsidRPr="00FD30AD">
        <w:rPr>
          <w:sz w:val="16"/>
          <w:szCs w:val="16"/>
          <w:lang w:val="en-GB"/>
        </w:rPr>
        <w:t xml:space="preserve">. </w:t>
      </w:r>
    </w:p>
  </w:footnote>
  <w:footnote w:id="40">
    <w:p w:rsidR="003F15C8" w:rsidRPr="009E6D57" w:rsidRDefault="003F15C8" w:rsidP="009E6D57">
      <w:pPr>
        <w:pStyle w:val="Textpoznpodarou"/>
        <w:jc w:val="both"/>
        <w:rPr>
          <w:spacing w:val="-4"/>
          <w:sz w:val="16"/>
          <w:szCs w:val="16"/>
          <w:lang w:val="en-GB"/>
        </w:rPr>
      </w:pPr>
      <w:r w:rsidRPr="00ED3E51">
        <w:rPr>
          <w:rStyle w:val="Znakapoznpodarou"/>
          <w:spacing w:val="-4"/>
          <w:sz w:val="16"/>
          <w:szCs w:val="16"/>
        </w:rPr>
        <w:footnoteRef/>
      </w:r>
      <w:r>
        <w:rPr>
          <w:spacing w:val="-4"/>
          <w:sz w:val="16"/>
          <w:szCs w:val="16"/>
        </w:rPr>
        <w:t xml:space="preserve"> </w:t>
      </w:r>
      <w:r w:rsidRPr="009E6D57">
        <w:rPr>
          <w:spacing w:val="-4"/>
          <w:sz w:val="16"/>
          <w:szCs w:val="16"/>
          <w:lang w:val="en-GB"/>
        </w:rPr>
        <w:t xml:space="preserve">Their role </w:t>
      </w:r>
      <w:proofErr w:type="gramStart"/>
      <w:r w:rsidRPr="009E6D57">
        <w:rPr>
          <w:spacing w:val="-4"/>
          <w:sz w:val="16"/>
          <w:szCs w:val="16"/>
          <w:lang w:val="en-GB"/>
        </w:rPr>
        <w:t>w</w:t>
      </w:r>
      <w:r>
        <w:rPr>
          <w:spacing w:val="-4"/>
          <w:sz w:val="16"/>
          <w:szCs w:val="16"/>
          <w:lang w:val="en-GB"/>
        </w:rPr>
        <w:t>as enhanced</w:t>
      </w:r>
      <w:proofErr w:type="gramEnd"/>
      <w:r>
        <w:rPr>
          <w:spacing w:val="-4"/>
          <w:sz w:val="16"/>
          <w:szCs w:val="16"/>
          <w:lang w:val="en-GB"/>
        </w:rPr>
        <w:t xml:space="preserve"> last year also due to the </w:t>
      </w:r>
      <w:r w:rsidRPr="009E6D57">
        <w:rPr>
          <w:spacing w:val="-4"/>
          <w:sz w:val="16"/>
          <w:szCs w:val="16"/>
          <w:lang w:val="en-GB"/>
        </w:rPr>
        <w:t>suspension o</w:t>
      </w:r>
      <w:r>
        <w:rPr>
          <w:spacing w:val="-4"/>
          <w:sz w:val="16"/>
          <w:szCs w:val="16"/>
          <w:lang w:val="en-GB"/>
        </w:rPr>
        <w:t>f part of retail trade, as well as the</w:t>
      </w:r>
      <w:r w:rsidRPr="009E6D57">
        <w:rPr>
          <w:spacing w:val="-4"/>
          <w:sz w:val="16"/>
          <w:szCs w:val="16"/>
          <w:lang w:val="en-GB"/>
        </w:rPr>
        <w:t xml:space="preserve"> restrictions of food service and restaurants (partially offset by the food delivery</w:t>
      </w:r>
      <w:r w:rsidRPr="009E6D57">
        <w:rPr>
          <w:rFonts w:cs="Arial"/>
          <w:bCs/>
          <w:spacing w:val="-4"/>
          <w:sz w:val="16"/>
          <w:szCs w:val="16"/>
          <w:lang w:val="en-GB"/>
        </w:rPr>
        <w:t>).</w:t>
      </w:r>
    </w:p>
  </w:footnote>
  <w:footnote w:id="41">
    <w:p w:rsidR="003F15C8" w:rsidRPr="009E6D57" w:rsidRDefault="003F15C8" w:rsidP="009E6D57">
      <w:pPr>
        <w:spacing w:after="0" w:line="240" w:lineRule="auto"/>
        <w:rPr>
          <w:lang w:val="en-GB"/>
        </w:rPr>
      </w:pPr>
      <w:r w:rsidRPr="009E6D57">
        <w:rPr>
          <w:rStyle w:val="Znakapoznpodarou"/>
          <w:color w:val="0D0D0D" w:themeColor="text1" w:themeTint="F2"/>
          <w:sz w:val="16"/>
          <w:szCs w:val="16"/>
          <w:lang w:val="en-GB"/>
        </w:rPr>
        <w:footnoteRef/>
      </w:r>
      <w:r>
        <w:rPr>
          <w:color w:val="0D0D0D" w:themeColor="text1" w:themeTint="F2"/>
          <w:sz w:val="16"/>
          <w:szCs w:val="16"/>
          <w:lang w:val="en-GB"/>
        </w:rPr>
        <w:t xml:space="preserve"> All year-on-year rates of growth of retail sales are stated in the constant prices and adjusted for calendar </w:t>
      </w:r>
      <w:proofErr w:type="gramStart"/>
      <w:r>
        <w:rPr>
          <w:color w:val="0D0D0D" w:themeColor="text1" w:themeTint="F2"/>
          <w:sz w:val="16"/>
          <w:szCs w:val="16"/>
          <w:lang w:val="en-GB"/>
        </w:rPr>
        <w:t>effects,</w:t>
      </w:r>
      <w:proofErr w:type="gramEnd"/>
      <w:r>
        <w:rPr>
          <w:color w:val="0D0D0D" w:themeColor="text1" w:themeTint="F2"/>
          <w:sz w:val="16"/>
          <w:szCs w:val="16"/>
          <w:lang w:val="en-GB"/>
        </w:rPr>
        <w:t xml:space="preserve"> quarter-on-quarter as well as month-on-month paces are adjusted for seasonal effects (including the effect of the number of working days). Retail includes branches </w:t>
      </w:r>
      <w:r w:rsidRPr="009E6D57">
        <w:rPr>
          <w:color w:val="0D0D0D" w:themeColor="text1" w:themeTint="F2"/>
          <w:sz w:val="16"/>
          <w:szCs w:val="16"/>
          <w:lang w:val="en-GB"/>
        </w:rPr>
        <w:t>CZ-NACE 47.</w:t>
      </w:r>
    </w:p>
  </w:footnote>
  <w:footnote w:id="42">
    <w:p w:rsidR="00791BF4" w:rsidRPr="00DD2A77" w:rsidRDefault="00791BF4" w:rsidP="00791BF4">
      <w:pPr>
        <w:pStyle w:val="Textpoznpodarou"/>
        <w:jc w:val="both"/>
        <w:rPr>
          <w:sz w:val="16"/>
          <w:szCs w:val="16"/>
          <w:lang w:val="en-GB"/>
        </w:rPr>
      </w:pPr>
      <w:r w:rsidRPr="00140747">
        <w:rPr>
          <w:rStyle w:val="Znakapoznpodarou"/>
          <w:sz w:val="16"/>
          <w:szCs w:val="16"/>
        </w:rPr>
        <w:footnoteRef/>
      </w:r>
      <w:r w:rsidRPr="00140747">
        <w:rPr>
          <w:sz w:val="16"/>
          <w:szCs w:val="16"/>
        </w:rPr>
        <w:t xml:space="preserve"> </w:t>
      </w:r>
      <w:r w:rsidRPr="00DD2A77">
        <w:rPr>
          <w:sz w:val="16"/>
          <w:szCs w:val="16"/>
          <w:lang w:val="en-GB"/>
        </w:rPr>
        <w:t xml:space="preserve">Especially for the fuels, apart from the cut price the lower imported volume </w:t>
      </w:r>
      <w:r>
        <w:rPr>
          <w:sz w:val="16"/>
          <w:szCs w:val="16"/>
          <w:lang w:val="en-GB"/>
        </w:rPr>
        <w:t xml:space="preserve">also </w:t>
      </w:r>
      <w:r w:rsidRPr="00DD2A77">
        <w:rPr>
          <w:sz w:val="16"/>
          <w:szCs w:val="16"/>
          <w:lang w:val="en-GB"/>
        </w:rPr>
        <w:t xml:space="preserve">had a partial effect since the restrictions limited the movement of population. </w:t>
      </w:r>
    </w:p>
  </w:footnote>
  <w:footnote w:id="43">
    <w:p w:rsidR="00791BF4" w:rsidRPr="00BE04B0" w:rsidRDefault="00791BF4" w:rsidP="00791BF4">
      <w:pPr>
        <w:pStyle w:val="Textpoznpodarou"/>
        <w:jc w:val="both"/>
        <w:rPr>
          <w:sz w:val="16"/>
          <w:szCs w:val="16"/>
          <w:lang w:val="en-GB"/>
        </w:rPr>
      </w:pPr>
      <w:r w:rsidRPr="007D5764">
        <w:rPr>
          <w:rStyle w:val="Znakapoznpodarou"/>
          <w:sz w:val="16"/>
          <w:szCs w:val="16"/>
        </w:rPr>
        <w:footnoteRef/>
      </w:r>
      <w:r w:rsidRPr="007D5764">
        <w:rPr>
          <w:sz w:val="16"/>
          <w:szCs w:val="16"/>
        </w:rPr>
        <w:t xml:space="preserve"> </w:t>
      </w:r>
      <w:r w:rsidRPr="00BE04B0">
        <w:rPr>
          <w:sz w:val="16"/>
          <w:szCs w:val="16"/>
          <w:lang w:val="en-GB"/>
        </w:rPr>
        <w:t xml:space="preserve">Reasons for raised prices were more. On one </w:t>
      </w:r>
      <w:proofErr w:type="gramStart"/>
      <w:r w:rsidRPr="00BE04B0">
        <w:rPr>
          <w:sz w:val="16"/>
          <w:szCs w:val="16"/>
          <w:lang w:val="en-GB"/>
        </w:rPr>
        <w:t>hand</w:t>
      </w:r>
      <w:proofErr w:type="gramEnd"/>
      <w:r w:rsidRPr="00BE04B0">
        <w:rPr>
          <w:sz w:val="16"/>
          <w:szCs w:val="16"/>
          <w:lang w:val="en-GB"/>
        </w:rPr>
        <w:t xml:space="preserve"> the spring suspension of production in the motor vehicle manufacturers resulted in shortage of new vehicles but</w:t>
      </w:r>
      <w:r>
        <w:rPr>
          <w:sz w:val="16"/>
          <w:szCs w:val="16"/>
          <w:lang w:val="en-GB"/>
        </w:rPr>
        <w:t xml:space="preserve"> import of used vehicles was also disrupted. Pricing also reflected the marked depreciation of koruna against euro. Tightening emission requirements are also a factor, which leads to raised prices in the </w:t>
      </w:r>
      <w:proofErr w:type="gramStart"/>
      <w:r>
        <w:rPr>
          <w:sz w:val="16"/>
          <w:szCs w:val="16"/>
          <w:lang w:val="en-GB"/>
        </w:rPr>
        <w:t>longer term</w:t>
      </w:r>
      <w:proofErr w:type="gramEnd"/>
      <w:r>
        <w:rPr>
          <w:sz w:val="16"/>
          <w:szCs w:val="16"/>
          <w:lang w:val="en-GB"/>
        </w:rPr>
        <w:t xml:space="preserve"> view. </w:t>
      </w:r>
    </w:p>
  </w:footnote>
  <w:footnote w:id="44">
    <w:p w:rsidR="00791BF4" w:rsidRPr="00DA3D0F" w:rsidRDefault="00791BF4" w:rsidP="00791BF4">
      <w:pPr>
        <w:pStyle w:val="Textpoznpodarou"/>
        <w:jc w:val="both"/>
        <w:rPr>
          <w:sz w:val="16"/>
          <w:szCs w:val="16"/>
          <w:lang w:val="sq-AL"/>
        </w:rPr>
      </w:pPr>
      <w:r w:rsidRPr="003E5AB5">
        <w:rPr>
          <w:rStyle w:val="Znakapoznpodarou"/>
          <w:sz w:val="16"/>
          <w:szCs w:val="16"/>
        </w:rPr>
        <w:footnoteRef/>
      </w:r>
      <w:r w:rsidRPr="003E5AB5">
        <w:rPr>
          <w:sz w:val="16"/>
          <w:szCs w:val="16"/>
        </w:rPr>
        <w:t xml:space="preserve"> </w:t>
      </w:r>
      <w:r w:rsidRPr="00DA3D0F">
        <w:rPr>
          <w:sz w:val="16"/>
          <w:szCs w:val="16"/>
          <w:lang w:val="sq-AL"/>
        </w:rPr>
        <w:t xml:space="preserve">According to the harmonised index of consumer prices. The index can methodically as well as numerically differ from published national results. </w:t>
      </w:r>
    </w:p>
  </w:footnote>
  <w:footnote w:id="45">
    <w:p w:rsidR="00791BF4" w:rsidRPr="00486604" w:rsidRDefault="00791BF4" w:rsidP="00791BF4">
      <w:pPr>
        <w:pStyle w:val="Textpoznpodarou"/>
        <w:rPr>
          <w:sz w:val="16"/>
          <w:szCs w:val="16"/>
          <w:lang w:val="en-GB"/>
        </w:rPr>
      </w:pPr>
      <w:r>
        <w:rPr>
          <w:rStyle w:val="Znakapoznpodarou"/>
        </w:rPr>
        <w:footnoteRef/>
      </w:r>
      <w:r>
        <w:rPr>
          <w:sz w:val="16"/>
          <w:szCs w:val="16"/>
        </w:rPr>
        <w:t xml:space="preserve"> </w:t>
      </w:r>
      <w:r w:rsidRPr="00486604">
        <w:rPr>
          <w:sz w:val="16"/>
          <w:szCs w:val="16"/>
          <w:lang w:val="en-GB"/>
        </w:rPr>
        <w:t>Individual data.</w:t>
      </w:r>
    </w:p>
  </w:footnote>
  <w:footnote w:id="46">
    <w:p w:rsidR="00791BF4" w:rsidRPr="00FE6E94" w:rsidRDefault="00791BF4" w:rsidP="00791BF4">
      <w:pPr>
        <w:pStyle w:val="Textpoznpodarou"/>
        <w:jc w:val="both"/>
        <w:rPr>
          <w:sz w:val="16"/>
          <w:szCs w:val="16"/>
          <w:lang w:val="en-GB"/>
        </w:rPr>
      </w:pPr>
      <w:r w:rsidRPr="00547836">
        <w:rPr>
          <w:rStyle w:val="Znakapoznpodarou"/>
          <w:sz w:val="16"/>
          <w:szCs w:val="16"/>
        </w:rPr>
        <w:footnoteRef/>
      </w:r>
      <w:r w:rsidRPr="00547836">
        <w:rPr>
          <w:sz w:val="16"/>
          <w:szCs w:val="16"/>
        </w:rPr>
        <w:t xml:space="preserve"> SITC 2 – </w:t>
      </w:r>
      <w:r w:rsidRPr="00FE6E94">
        <w:rPr>
          <w:sz w:val="16"/>
          <w:szCs w:val="16"/>
          <w:lang w:val="en-GB"/>
        </w:rPr>
        <w:t xml:space="preserve">crude materials, inedible, except fuels </w:t>
      </w:r>
    </w:p>
  </w:footnote>
  <w:footnote w:id="47">
    <w:p w:rsidR="00791BF4" w:rsidRPr="00FE6E94" w:rsidRDefault="00791BF4" w:rsidP="00791BF4">
      <w:pPr>
        <w:pStyle w:val="Textpoznpodarou"/>
        <w:jc w:val="both"/>
        <w:rPr>
          <w:sz w:val="16"/>
          <w:szCs w:val="16"/>
          <w:lang w:val="en-GB"/>
        </w:rPr>
      </w:pPr>
      <w:r w:rsidRPr="00FE6E94">
        <w:rPr>
          <w:rStyle w:val="Znakapoznpodarou"/>
          <w:sz w:val="16"/>
          <w:szCs w:val="16"/>
          <w:lang w:val="en-GB"/>
        </w:rPr>
        <w:footnoteRef/>
      </w:r>
      <w:r w:rsidRPr="00FE6E94">
        <w:rPr>
          <w:sz w:val="16"/>
          <w:szCs w:val="16"/>
          <w:lang w:val="en-GB"/>
        </w:rPr>
        <w:t xml:space="preserve"> SITC 6 – market products classified chiefly by material</w:t>
      </w:r>
    </w:p>
  </w:footnote>
  <w:footnote w:id="48">
    <w:p w:rsidR="003F15C8" w:rsidRPr="00221ED9" w:rsidRDefault="003F15C8" w:rsidP="00221ED9">
      <w:pPr>
        <w:pStyle w:val="Textpoznpodarou"/>
        <w:jc w:val="both"/>
        <w:rPr>
          <w:spacing w:val="-2"/>
          <w:sz w:val="16"/>
          <w:szCs w:val="16"/>
          <w:lang w:val="en-GB"/>
        </w:rPr>
      </w:pPr>
      <w:r w:rsidRPr="00E54782">
        <w:rPr>
          <w:rStyle w:val="Znakapoznpodarou"/>
          <w:spacing w:val="-2"/>
          <w:sz w:val="16"/>
          <w:szCs w:val="16"/>
        </w:rPr>
        <w:footnoteRef/>
      </w:r>
      <w:r>
        <w:rPr>
          <w:spacing w:val="-2"/>
          <w:sz w:val="16"/>
          <w:szCs w:val="16"/>
        </w:rPr>
        <w:t xml:space="preserve"> </w:t>
      </w:r>
      <w:r w:rsidRPr="00221ED9">
        <w:rPr>
          <w:spacing w:val="-2"/>
          <w:sz w:val="16"/>
          <w:szCs w:val="16"/>
          <w:lang w:val="en-GB"/>
        </w:rPr>
        <w:t xml:space="preserve">Unless stated otherwise, </w:t>
      </w:r>
      <w:r w:rsidRPr="00221ED9">
        <w:rPr>
          <w:spacing w:val="-4"/>
          <w:sz w:val="16"/>
          <w:szCs w:val="16"/>
          <w:lang w:val="en-GB"/>
        </w:rPr>
        <w:t xml:space="preserve">data regarding employment used in this chapter </w:t>
      </w:r>
      <w:proofErr w:type="gramStart"/>
      <w:r w:rsidRPr="00221ED9">
        <w:rPr>
          <w:spacing w:val="-4"/>
          <w:sz w:val="16"/>
          <w:szCs w:val="16"/>
          <w:lang w:val="en-GB"/>
        </w:rPr>
        <w:t>are given</w:t>
      </w:r>
      <w:proofErr w:type="gramEnd"/>
      <w:r w:rsidRPr="00221ED9">
        <w:rPr>
          <w:spacing w:val="-4"/>
          <w:sz w:val="16"/>
          <w:szCs w:val="16"/>
          <w:lang w:val="en-GB"/>
        </w:rPr>
        <w:t xml:space="preserve"> in the na</w:t>
      </w:r>
      <w:r>
        <w:rPr>
          <w:spacing w:val="-4"/>
          <w:sz w:val="16"/>
          <w:szCs w:val="16"/>
          <w:lang w:val="en-GB"/>
        </w:rPr>
        <w:t>tional accounts conception and are adjusted</w:t>
      </w:r>
      <w:r w:rsidRPr="00221ED9">
        <w:rPr>
          <w:spacing w:val="-4"/>
          <w:sz w:val="16"/>
          <w:szCs w:val="16"/>
          <w:lang w:val="en-GB"/>
        </w:rPr>
        <w:t xml:space="preserve"> for seasonal effects. </w:t>
      </w:r>
    </w:p>
  </w:footnote>
  <w:footnote w:id="49">
    <w:p w:rsidR="003F15C8" w:rsidRPr="00221ED9" w:rsidRDefault="003F15C8" w:rsidP="00221ED9">
      <w:pPr>
        <w:pStyle w:val="Textpoznpodarou"/>
        <w:jc w:val="both"/>
        <w:rPr>
          <w:sz w:val="16"/>
          <w:szCs w:val="16"/>
          <w:lang w:val="en-GB"/>
        </w:rPr>
      </w:pPr>
      <w:r w:rsidRPr="00221ED9">
        <w:rPr>
          <w:rStyle w:val="Znakapoznpodarou"/>
          <w:sz w:val="16"/>
          <w:szCs w:val="16"/>
          <w:lang w:val="en-GB"/>
        </w:rPr>
        <w:footnoteRef/>
      </w:r>
      <w:r w:rsidRPr="00221ED9">
        <w:rPr>
          <w:sz w:val="16"/>
          <w:szCs w:val="16"/>
          <w:lang w:val="en-GB"/>
        </w:rPr>
        <w:t xml:space="preserve"> </w:t>
      </w:r>
      <w:r>
        <w:rPr>
          <w:sz w:val="16"/>
          <w:szCs w:val="16"/>
          <w:lang w:val="en-GB"/>
        </w:rPr>
        <w:t xml:space="preserve">Employment reduced similarly in the EU last year. The largest slump struck Spain </w:t>
      </w:r>
      <w:r w:rsidRPr="00221ED9">
        <w:rPr>
          <w:sz w:val="16"/>
          <w:szCs w:val="16"/>
          <w:lang w:val="en-GB"/>
        </w:rPr>
        <w:t>(</w:t>
      </w:r>
      <w:r w:rsidRPr="00221ED9">
        <w:rPr>
          <w:rFonts w:cs="Arial"/>
          <w:bCs/>
          <w:color w:val="000000"/>
          <w:spacing w:val="-2"/>
          <w:sz w:val="16"/>
          <w:szCs w:val="16"/>
          <w:lang w:val="en-GB"/>
        </w:rPr>
        <w:t>–</w:t>
      </w:r>
      <w:r w:rsidRPr="00221ED9">
        <w:rPr>
          <w:sz w:val="16"/>
          <w:szCs w:val="16"/>
          <w:lang w:val="en-GB"/>
        </w:rPr>
        <w:t>4</w:t>
      </w:r>
      <w:r>
        <w:rPr>
          <w:sz w:val="16"/>
          <w:szCs w:val="16"/>
          <w:lang w:val="en-GB"/>
        </w:rPr>
        <w:t>.</w:t>
      </w:r>
      <w:r w:rsidRPr="00221ED9">
        <w:rPr>
          <w:sz w:val="16"/>
          <w:szCs w:val="16"/>
          <w:lang w:val="en-GB"/>
        </w:rPr>
        <w:t xml:space="preserve">2%), </w:t>
      </w:r>
      <w:r>
        <w:rPr>
          <w:sz w:val="16"/>
          <w:szCs w:val="16"/>
          <w:lang w:val="en-GB"/>
        </w:rPr>
        <w:t xml:space="preserve">employment decreased between </w:t>
      </w:r>
      <w:r w:rsidRPr="00221ED9">
        <w:rPr>
          <w:sz w:val="16"/>
          <w:szCs w:val="16"/>
          <w:lang w:val="en-GB"/>
        </w:rPr>
        <w:t>2 a</w:t>
      </w:r>
      <w:r>
        <w:rPr>
          <w:sz w:val="16"/>
          <w:szCs w:val="16"/>
          <w:lang w:val="en-GB"/>
        </w:rPr>
        <w:t>nd</w:t>
      </w:r>
      <w:r w:rsidRPr="00221ED9">
        <w:rPr>
          <w:sz w:val="16"/>
          <w:szCs w:val="16"/>
          <w:lang w:val="en-GB"/>
        </w:rPr>
        <w:t> 3%</w:t>
      </w:r>
      <w:r>
        <w:rPr>
          <w:sz w:val="16"/>
          <w:szCs w:val="16"/>
          <w:lang w:val="en-GB"/>
        </w:rPr>
        <w:t xml:space="preserve"> in Italy, Latvia, Estonia or Hungary. Above average decrease was reported for instance by Slovakia </w:t>
      </w:r>
      <w:r w:rsidRPr="00221ED9">
        <w:rPr>
          <w:sz w:val="16"/>
          <w:szCs w:val="16"/>
          <w:lang w:val="en-GB"/>
        </w:rPr>
        <w:t>(</w:t>
      </w:r>
      <w:r w:rsidRPr="00221ED9">
        <w:rPr>
          <w:rFonts w:cs="Arial"/>
          <w:bCs/>
          <w:color w:val="000000"/>
          <w:spacing w:val="-2"/>
          <w:sz w:val="16"/>
          <w:szCs w:val="16"/>
          <w:lang w:val="en-GB"/>
        </w:rPr>
        <w:t>–</w:t>
      </w:r>
      <w:r w:rsidRPr="00221ED9">
        <w:rPr>
          <w:sz w:val="16"/>
          <w:szCs w:val="16"/>
          <w:lang w:val="en-GB"/>
        </w:rPr>
        <w:t>1</w:t>
      </w:r>
      <w:r>
        <w:rPr>
          <w:sz w:val="16"/>
          <w:szCs w:val="16"/>
          <w:lang w:val="en-GB"/>
        </w:rPr>
        <w:t>.</w:t>
      </w:r>
      <w:r w:rsidRPr="00221ED9">
        <w:rPr>
          <w:sz w:val="16"/>
          <w:szCs w:val="16"/>
          <w:lang w:val="en-GB"/>
        </w:rPr>
        <w:t>9%)</w:t>
      </w:r>
      <w:r>
        <w:rPr>
          <w:sz w:val="16"/>
          <w:szCs w:val="16"/>
          <w:lang w:val="en-GB"/>
        </w:rPr>
        <w:t xml:space="preserve"> and Austria </w:t>
      </w:r>
      <w:r w:rsidRPr="00221ED9">
        <w:rPr>
          <w:sz w:val="16"/>
          <w:szCs w:val="16"/>
          <w:lang w:val="en-GB"/>
        </w:rPr>
        <w:t>(</w:t>
      </w:r>
      <w:r w:rsidRPr="00221ED9">
        <w:rPr>
          <w:rFonts w:cs="Arial"/>
          <w:bCs/>
          <w:color w:val="000000"/>
          <w:spacing w:val="-2"/>
          <w:sz w:val="16"/>
          <w:szCs w:val="16"/>
          <w:lang w:val="en-GB"/>
        </w:rPr>
        <w:t>–</w:t>
      </w:r>
      <w:r w:rsidRPr="00221ED9">
        <w:rPr>
          <w:sz w:val="16"/>
          <w:szCs w:val="16"/>
          <w:lang w:val="en-GB"/>
        </w:rPr>
        <w:t>1</w:t>
      </w:r>
      <w:r>
        <w:rPr>
          <w:sz w:val="16"/>
          <w:szCs w:val="16"/>
          <w:lang w:val="en-GB"/>
        </w:rPr>
        <w:t>.</w:t>
      </w:r>
      <w:r w:rsidRPr="00221ED9">
        <w:rPr>
          <w:sz w:val="16"/>
          <w:szCs w:val="16"/>
          <w:lang w:val="en-GB"/>
        </w:rPr>
        <w:t xml:space="preserve">7%). </w:t>
      </w:r>
      <w:r>
        <w:rPr>
          <w:sz w:val="16"/>
          <w:szCs w:val="16"/>
          <w:lang w:val="en-GB"/>
        </w:rPr>
        <w:t xml:space="preserve">Workers increased only in Malta </w:t>
      </w:r>
      <w:r w:rsidRPr="00221ED9">
        <w:rPr>
          <w:sz w:val="16"/>
          <w:szCs w:val="16"/>
          <w:lang w:val="en-GB"/>
        </w:rPr>
        <w:t>(+2</w:t>
      </w:r>
      <w:r>
        <w:rPr>
          <w:sz w:val="16"/>
          <w:szCs w:val="16"/>
          <w:lang w:val="en-GB"/>
        </w:rPr>
        <w:t>.</w:t>
      </w:r>
      <w:r w:rsidRPr="00221ED9">
        <w:rPr>
          <w:sz w:val="16"/>
          <w:szCs w:val="16"/>
          <w:lang w:val="en-GB"/>
        </w:rPr>
        <w:t xml:space="preserve">6%), </w:t>
      </w:r>
      <w:r>
        <w:rPr>
          <w:sz w:val="16"/>
          <w:szCs w:val="16"/>
          <w:lang w:val="en-GB"/>
        </w:rPr>
        <w:t xml:space="preserve">Luxembourg </w:t>
      </w:r>
      <w:r w:rsidRPr="00221ED9">
        <w:rPr>
          <w:sz w:val="16"/>
          <w:szCs w:val="16"/>
          <w:lang w:val="en-GB"/>
        </w:rPr>
        <w:t>(+2</w:t>
      </w:r>
      <w:r>
        <w:rPr>
          <w:sz w:val="16"/>
          <w:szCs w:val="16"/>
          <w:lang w:val="en-GB"/>
        </w:rPr>
        <w:t>.</w:t>
      </w:r>
      <w:r w:rsidRPr="00221ED9">
        <w:rPr>
          <w:sz w:val="16"/>
          <w:szCs w:val="16"/>
          <w:lang w:val="en-GB"/>
        </w:rPr>
        <w:t>0%) a</w:t>
      </w:r>
      <w:r>
        <w:rPr>
          <w:sz w:val="16"/>
          <w:szCs w:val="16"/>
          <w:lang w:val="en-GB"/>
        </w:rPr>
        <w:t xml:space="preserve">nd negligibly also in Poland </w:t>
      </w:r>
      <w:r w:rsidRPr="00221ED9">
        <w:rPr>
          <w:sz w:val="16"/>
          <w:szCs w:val="16"/>
          <w:lang w:val="en-GB"/>
        </w:rPr>
        <w:t>(+0</w:t>
      </w:r>
      <w:r>
        <w:rPr>
          <w:sz w:val="16"/>
          <w:szCs w:val="16"/>
          <w:lang w:val="en-GB"/>
        </w:rPr>
        <w:t>.</w:t>
      </w:r>
      <w:r w:rsidRPr="00221ED9">
        <w:rPr>
          <w:sz w:val="16"/>
          <w:szCs w:val="16"/>
          <w:lang w:val="en-GB"/>
        </w:rPr>
        <w:t>1%).</w:t>
      </w:r>
    </w:p>
  </w:footnote>
  <w:footnote w:id="50">
    <w:p w:rsidR="003F15C8" w:rsidRPr="00221ED9" w:rsidRDefault="003F15C8" w:rsidP="00221ED9">
      <w:pPr>
        <w:pStyle w:val="Textpoznpodarou"/>
        <w:jc w:val="both"/>
        <w:rPr>
          <w:spacing w:val="-2"/>
          <w:sz w:val="16"/>
          <w:szCs w:val="16"/>
          <w:lang w:val="en-GB"/>
        </w:rPr>
      </w:pPr>
      <w:r w:rsidRPr="00221ED9">
        <w:rPr>
          <w:rStyle w:val="Znakapoznpodarou"/>
          <w:spacing w:val="-2"/>
          <w:sz w:val="16"/>
          <w:szCs w:val="16"/>
          <w:lang w:val="en-GB"/>
        </w:rPr>
        <w:footnoteRef/>
      </w:r>
      <w:r w:rsidRPr="00221ED9">
        <w:rPr>
          <w:spacing w:val="-2"/>
          <w:sz w:val="16"/>
          <w:szCs w:val="16"/>
          <w:lang w:val="en-GB"/>
        </w:rPr>
        <w:t xml:space="preserve"> </w:t>
      </w:r>
      <w:r>
        <w:rPr>
          <w:spacing w:val="-2"/>
          <w:sz w:val="16"/>
          <w:szCs w:val="16"/>
          <w:lang w:val="en-GB"/>
        </w:rPr>
        <w:t xml:space="preserve">Based on the business statistic figures, the registered number of employees in the manufacturing of motor vehicles fell by </w:t>
      </w:r>
      <w:r w:rsidRPr="00221ED9">
        <w:rPr>
          <w:spacing w:val="-2"/>
          <w:sz w:val="16"/>
          <w:szCs w:val="16"/>
          <w:lang w:val="en-GB"/>
        </w:rPr>
        <w:t>3</w:t>
      </w:r>
      <w:r>
        <w:rPr>
          <w:spacing w:val="-2"/>
          <w:sz w:val="16"/>
          <w:szCs w:val="16"/>
          <w:lang w:val="en-GB"/>
        </w:rPr>
        <w:t>.</w:t>
      </w:r>
      <w:r w:rsidRPr="00221ED9">
        <w:rPr>
          <w:spacing w:val="-2"/>
          <w:sz w:val="16"/>
          <w:szCs w:val="16"/>
          <w:lang w:val="en-GB"/>
        </w:rPr>
        <w:t>8%</w:t>
      </w:r>
      <w:r>
        <w:rPr>
          <w:spacing w:val="-2"/>
          <w:sz w:val="16"/>
          <w:szCs w:val="16"/>
          <w:lang w:val="en-GB"/>
        </w:rPr>
        <w:t xml:space="preserve"> last year (and even by </w:t>
      </w:r>
      <w:r w:rsidRPr="00221ED9">
        <w:rPr>
          <w:spacing w:val="-2"/>
          <w:sz w:val="16"/>
          <w:szCs w:val="16"/>
          <w:lang w:val="en-GB"/>
        </w:rPr>
        <w:t>5</w:t>
      </w:r>
      <w:r>
        <w:rPr>
          <w:spacing w:val="-2"/>
          <w:sz w:val="16"/>
          <w:szCs w:val="16"/>
          <w:lang w:val="en-GB"/>
        </w:rPr>
        <w:t>.</w:t>
      </w:r>
      <w:r w:rsidRPr="00221ED9">
        <w:rPr>
          <w:spacing w:val="-2"/>
          <w:sz w:val="16"/>
          <w:szCs w:val="16"/>
          <w:lang w:val="en-GB"/>
        </w:rPr>
        <w:t>7%</w:t>
      </w:r>
      <w:r>
        <w:rPr>
          <w:spacing w:val="-2"/>
          <w:sz w:val="16"/>
          <w:szCs w:val="16"/>
          <w:lang w:val="en-GB"/>
        </w:rPr>
        <w:t xml:space="preserve"> in the </w:t>
      </w:r>
      <w:proofErr w:type="spellStart"/>
      <w:r>
        <w:rPr>
          <w:spacing w:val="-2"/>
          <w:sz w:val="16"/>
          <w:szCs w:val="16"/>
          <w:lang w:val="en-GB"/>
        </w:rPr>
        <w:t>electrotechnical</w:t>
      </w:r>
      <w:proofErr w:type="spellEnd"/>
      <w:r>
        <w:rPr>
          <w:spacing w:val="-2"/>
          <w:sz w:val="16"/>
          <w:szCs w:val="16"/>
          <w:lang w:val="en-GB"/>
        </w:rPr>
        <w:t xml:space="preserve"> industry)</w:t>
      </w:r>
      <w:r w:rsidRPr="00221ED9">
        <w:rPr>
          <w:spacing w:val="-2"/>
          <w:sz w:val="16"/>
          <w:szCs w:val="16"/>
          <w:lang w:val="en-GB"/>
        </w:rPr>
        <w:t>. S</w:t>
      </w:r>
      <w:r>
        <w:rPr>
          <w:spacing w:val="-2"/>
          <w:sz w:val="16"/>
          <w:szCs w:val="16"/>
          <w:lang w:val="en-GB"/>
        </w:rPr>
        <w:t xml:space="preserve">trong reduction also hit machinery </w:t>
      </w:r>
      <w:r w:rsidRPr="00221ED9">
        <w:rPr>
          <w:spacing w:val="-2"/>
          <w:sz w:val="16"/>
          <w:szCs w:val="16"/>
          <w:lang w:val="en-GB"/>
        </w:rPr>
        <w:t>(5</w:t>
      </w:r>
      <w:r>
        <w:rPr>
          <w:spacing w:val="-2"/>
          <w:sz w:val="16"/>
          <w:szCs w:val="16"/>
          <w:lang w:val="en-GB"/>
        </w:rPr>
        <w:t>.</w:t>
      </w:r>
      <w:r w:rsidRPr="00221ED9">
        <w:rPr>
          <w:spacing w:val="-2"/>
          <w:sz w:val="16"/>
          <w:szCs w:val="16"/>
          <w:lang w:val="en-GB"/>
        </w:rPr>
        <w:t>6%).</w:t>
      </w:r>
      <w:r>
        <w:rPr>
          <w:spacing w:val="-2"/>
          <w:sz w:val="16"/>
          <w:szCs w:val="16"/>
          <w:lang w:val="en-GB"/>
        </w:rPr>
        <w:t xml:space="preserve"> Some fields with products of </w:t>
      </w:r>
      <w:proofErr w:type="gramStart"/>
      <w:r>
        <w:rPr>
          <w:spacing w:val="-2"/>
          <w:sz w:val="16"/>
          <w:szCs w:val="16"/>
          <w:lang w:val="en-GB"/>
        </w:rPr>
        <w:t>short term</w:t>
      </w:r>
      <w:proofErr w:type="gramEnd"/>
      <w:r>
        <w:rPr>
          <w:spacing w:val="-2"/>
          <w:sz w:val="16"/>
          <w:szCs w:val="16"/>
          <w:lang w:val="en-GB"/>
        </w:rPr>
        <w:t xml:space="preserve"> consumption fared better (food industry, pharmacy</w:t>
      </w:r>
      <w:r w:rsidRPr="00221ED9">
        <w:rPr>
          <w:spacing w:val="-2"/>
          <w:sz w:val="16"/>
          <w:szCs w:val="16"/>
          <w:lang w:val="en-GB"/>
        </w:rPr>
        <w:t>).</w:t>
      </w:r>
    </w:p>
  </w:footnote>
  <w:footnote w:id="51">
    <w:p w:rsidR="003F15C8" w:rsidRPr="00221ED9" w:rsidRDefault="003F15C8" w:rsidP="00221ED9">
      <w:pPr>
        <w:pStyle w:val="Textpoznpodarou"/>
        <w:jc w:val="both"/>
        <w:rPr>
          <w:sz w:val="16"/>
          <w:szCs w:val="16"/>
          <w:lang w:val="en-GB"/>
        </w:rPr>
      </w:pPr>
      <w:r w:rsidRPr="00221ED9">
        <w:rPr>
          <w:rStyle w:val="Znakapoznpodarou"/>
          <w:sz w:val="16"/>
          <w:szCs w:val="16"/>
          <w:lang w:val="en-GB"/>
        </w:rPr>
        <w:footnoteRef/>
      </w:r>
      <w:r w:rsidRPr="00221ED9">
        <w:rPr>
          <w:sz w:val="16"/>
          <w:szCs w:val="16"/>
          <w:lang w:val="en-GB"/>
        </w:rPr>
        <w:t xml:space="preserve"> </w:t>
      </w:r>
      <w:r>
        <w:rPr>
          <w:sz w:val="16"/>
          <w:szCs w:val="16"/>
          <w:lang w:val="en-GB"/>
        </w:rPr>
        <w:t xml:space="preserve">More detailed data from household surveys show, that decrease occurred for entrepreneurs with employees last year </w:t>
      </w:r>
      <w:r w:rsidRPr="00221ED9">
        <w:rPr>
          <w:rFonts w:cs="Arial"/>
          <w:bCs/>
          <w:color w:val="000000"/>
          <w:spacing w:val="-4"/>
          <w:sz w:val="16"/>
          <w:szCs w:val="16"/>
          <w:lang w:val="en-GB"/>
        </w:rPr>
        <w:t>(</w:t>
      </w:r>
      <w:r w:rsidRPr="00221ED9">
        <w:rPr>
          <w:rFonts w:cs="Arial"/>
          <w:bCs/>
          <w:color w:val="000000"/>
          <w:spacing w:val="-2"/>
          <w:sz w:val="16"/>
          <w:szCs w:val="16"/>
          <w:lang w:val="en-GB"/>
        </w:rPr>
        <w:t>–</w:t>
      </w:r>
      <w:r w:rsidRPr="00221ED9">
        <w:rPr>
          <w:rFonts w:cs="Arial"/>
          <w:bCs/>
          <w:color w:val="000000"/>
          <w:spacing w:val="-4"/>
          <w:sz w:val="16"/>
          <w:szCs w:val="16"/>
          <w:lang w:val="en-GB"/>
        </w:rPr>
        <w:t>11</w:t>
      </w:r>
      <w:r>
        <w:rPr>
          <w:rFonts w:cs="Arial"/>
          <w:bCs/>
          <w:color w:val="000000"/>
          <w:spacing w:val="-4"/>
          <w:sz w:val="16"/>
          <w:szCs w:val="16"/>
          <w:lang w:val="en-GB"/>
        </w:rPr>
        <w:t xml:space="preserve"> thousand persons</w:t>
      </w:r>
      <w:r w:rsidRPr="00221ED9">
        <w:rPr>
          <w:rFonts w:cs="Arial"/>
          <w:bCs/>
          <w:color w:val="000000"/>
          <w:spacing w:val="-4"/>
          <w:sz w:val="16"/>
          <w:szCs w:val="16"/>
          <w:lang w:val="en-GB"/>
        </w:rPr>
        <w:t>),</w:t>
      </w:r>
      <w:r>
        <w:rPr>
          <w:rFonts w:cs="Arial"/>
          <w:bCs/>
          <w:color w:val="000000"/>
          <w:spacing w:val="-4"/>
          <w:sz w:val="16"/>
          <w:szCs w:val="16"/>
          <w:lang w:val="en-GB"/>
        </w:rPr>
        <w:t xml:space="preserve"> on</w:t>
      </w:r>
      <w:r w:rsidR="00D16D59">
        <w:rPr>
          <w:rFonts w:cs="Arial"/>
          <w:bCs/>
          <w:color w:val="000000"/>
          <w:spacing w:val="-4"/>
          <w:sz w:val="16"/>
          <w:szCs w:val="16"/>
          <w:lang w:val="en-GB"/>
        </w:rPr>
        <w:t xml:space="preserve"> the contrary for o</w:t>
      </w:r>
      <w:r w:rsidR="00D16D59" w:rsidRPr="00D16D59">
        <w:rPr>
          <w:rFonts w:cs="Arial"/>
          <w:bCs/>
          <w:color w:val="000000"/>
          <w:spacing w:val="-4"/>
          <w:sz w:val="16"/>
          <w:szCs w:val="16"/>
          <w:lang w:val="en-GB"/>
        </w:rPr>
        <w:t>wn-account worker</w:t>
      </w:r>
      <w:r w:rsidR="00D16D59" w:rsidRPr="00D16D59">
        <w:rPr>
          <w:rFonts w:cs="Arial"/>
          <w:bCs/>
          <w:color w:val="0D0D0D" w:themeColor="text1" w:themeTint="F2"/>
          <w:spacing w:val="-4"/>
          <w:sz w:val="16"/>
          <w:szCs w:val="16"/>
          <w:lang w:val="en-GB"/>
        </w:rPr>
        <w:t xml:space="preserve">s </w:t>
      </w:r>
      <w:r w:rsidR="00D16D59">
        <w:rPr>
          <w:rFonts w:cs="Arial"/>
          <w:bCs/>
          <w:color w:val="0D0D0D" w:themeColor="text1" w:themeTint="F2"/>
          <w:spacing w:val="-4"/>
          <w:sz w:val="16"/>
          <w:szCs w:val="16"/>
          <w:lang w:val="en-GB"/>
        </w:rPr>
        <w:t>or f</w:t>
      </w:r>
      <w:r w:rsidR="00D16D59" w:rsidRPr="00D16D59">
        <w:rPr>
          <w:rFonts w:cs="Arial"/>
          <w:bCs/>
          <w:color w:val="0D0D0D" w:themeColor="text1" w:themeTint="F2"/>
          <w:spacing w:val="-4"/>
          <w:sz w:val="16"/>
          <w:szCs w:val="16"/>
          <w:lang w:val="en-GB"/>
        </w:rPr>
        <w:t>amily workers</w:t>
      </w:r>
      <w:r w:rsidRPr="00D16D59">
        <w:rPr>
          <w:rFonts w:cs="Arial"/>
          <w:bCs/>
          <w:color w:val="0D0D0D" w:themeColor="text1" w:themeTint="F2"/>
          <w:spacing w:val="-4"/>
          <w:sz w:val="16"/>
          <w:szCs w:val="16"/>
          <w:lang w:val="en-GB"/>
        </w:rPr>
        <w:t xml:space="preserve"> significant </w:t>
      </w:r>
      <w:r>
        <w:rPr>
          <w:rFonts w:cs="Arial"/>
          <w:bCs/>
          <w:color w:val="000000"/>
          <w:spacing w:val="-4"/>
          <w:sz w:val="16"/>
          <w:szCs w:val="16"/>
          <w:lang w:val="en-GB"/>
        </w:rPr>
        <w:t xml:space="preserve">shifts were not apparent. </w:t>
      </w:r>
    </w:p>
  </w:footnote>
  <w:footnote w:id="52">
    <w:p w:rsidR="003F15C8" w:rsidRPr="00221ED9" w:rsidRDefault="003F15C8" w:rsidP="00221ED9">
      <w:pPr>
        <w:pStyle w:val="Textpoznpodarou"/>
        <w:jc w:val="both"/>
        <w:rPr>
          <w:sz w:val="16"/>
          <w:szCs w:val="16"/>
          <w:lang w:val="en-GB"/>
        </w:rPr>
      </w:pPr>
      <w:r w:rsidRPr="00221ED9">
        <w:rPr>
          <w:rStyle w:val="Znakapoznpodarou"/>
          <w:sz w:val="16"/>
          <w:szCs w:val="16"/>
          <w:lang w:val="en-GB"/>
        </w:rPr>
        <w:footnoteRef/>
      </w:r>
      <w:r w:rsidRPr="00221ED9">
        <w:rPr>
          <w:sz w:val="16"/>
          <w:szCs w:val="16"/>
          <w:lang w:val="en-GB"/>
        </w:rPr>
        <w:t xml:space="preserve"> </w:t>
      </w:r>
      <w:r>
        <w:rPr>
          <w:sz w:val="16"/>
          <w:szCs w:val="16"/>
          <w:lang w:val="en-GB"/>
        </w:rPr>
        <w:t xml:space="preserve">Members of producers´ cooperatives are also included. </w:t>
      </w:r>
      <w:r>
        <w:rPr>
          <w:spacing w:val="-2"/>
          <w:sz w:val="16"/>
          <w:szCs w:val="16"/>
          <w:lang w:val="en-GB"/>
        </w:rPr>
        <w:t xml:space="preserve">Data </w:t>
      </w:r>
      <w:proofErr w:type="gramStart"/>
      <w:r w:rsidRPr="00BF40E0">
        <w:rPr>
          <w:spacing w:val="-2"/>
          <w:sz w:val="16"/>
          <w:szCs w:val="16"/>
          <w:lang w:val="en-GB"/>
        </w:rPr>
        <w:t>are sourced</w:t>
      </w:r>
      <w:proofErr w:type="gramEnd"/>
      <w:r w:rsidRPr="00BF40E0">
        <w:rPr>
          <w:spacing w:val="-2"/>
          <w:sz w:val="16"/>
          <w:szCs w:val="16"/>
          <w:lang w:val="en-GB"/>
        </w:rPr>
        <w:t xml:space="preserve"> from</w:t>
      </w:r>
      <w:r>
        <w:rPr>
          <w:spacing w:val="-2"/>
          <w:sz w:val="16"/>
          <w:szCs w:val="16"/>
          <w:lang w:val="en-GB"/>
        </w:rPr>
        <w:t xml:space="preserve"> the </w:t>
      </w:r>
      <w:r w:rsidRPr="00BF40E0">
        <w:rPr>
          <w:spacing w:val="-2"/>
          <w:sz w:val="16"/>
          <w:szCs w:val="16"/>
          <w:lang w:val="en-GB"/>
        </w:rPr>
        <w:t>Labour Force Sample Survey</w:t>
      </w:r>
      <w:r>
        <w:rPr>
          <w:spacing w:val="-2"/>
          <w:sz w:val="16"/>
          <w:szCs w:val="16"/>
          <w:lang w:val="en-GB"/>
        </w:rPr>
        <w:t xml:space="preserve"> (LFSS). </w:t>
      </w:r>
    </w:p>
  </w:footnote>
  <w:footnote w:id="53">
    <w:p w:rsidR="003F15C8" w:rsidRPr="00DF56C3" w:rsidRDefault="003F15C8" w:rsidP="00DF56C3">
      <w:pPr>
        <w:pStyle w:val="Textpoznpodarou"/>
        <w:jc w:val="both"/>
        <w:rPr>
          <w:sz w:val="16"/>
          <w:szCs w:val="16"/>
          <w:lang w:val="sq-AL"/>
        </w:rPr>
      </w:pPr>
      <w:r w:rsidRPr="00FF5861">
        <w:rPr>
          <w:rStyle w:val="Znakapoznpodarou"/>
          <w:sz w:val="16"/>
          <w:szCs w:val="16"/>
        </w:rPr>
        <w:footnoteRef/>
      </w:r>
      <w:r w:rsidRPr="00FF5861">
        <w:rPr>
          <w:sz w:val="16"/>
          <w:szCs w:val="16"/>
        </w:rPr>
        <w:t xml:space="preserve"> </w:t>
      </w:r>
      <w:r w:rsidRPr="00DF56C3">
        <w:rPr>
          <w:sz w:val="16"/>
          <w:szCs w:val="16"/>
          <w:lang w:val="sq-AL"/>
        </w:rPr>
        <w:t xml:space="preserve">Include </w:t>
      </w:r>
      <w:r>
        <w:rPr>
          <w:sz w:val="16"/>
          <w:szCs w:val="16"/>
          <w:lang w:val="sq-AL"/>
        </w:rPr>
        <w:t xml:space="preserve">all </w:t>
      </w:r>
      <w:r w:rsidRPr="00DF56C3">
        <w:rPr>
          <w:sz w:val="16"/>
          <w:szCs w:val="16"/>
          <w:lang w:val="sq-AL"/>
        </w:rPr>
        <w:t xml:space="preserve">branches of </w:t>
      </w:r>
      <w:r>
        <w:rPr>
          <w:sz w:val="16"/>
          <w:szCs w:val="16"/>
          <w:lang w:val="sq-AL"/>
        </w:rPr>
        <w:t>s</w:t>
      </w:r>
      <w:r w:rsidRPr="00DF56C3">
        <w:rPr>
          <w:sz w:val="16"/>
          <w:szCs w:val="16"/>
          <w:lang w:val="sq-AL"/>
        </w:rPr>
        <w:t xml:space="preserve">ervices except for public services and also trade, which is monitored as a separate category. </w:t>
      </w:r>
    </w:p>
  </w:footnote>
  <w:footnote w:id="54">
    <w:p w:rsidR="003F15C8" w:rsidRPr="00DF56C3" w:rsidRDefault="003F15C8" w:rsidP="00DF56C3">
      <w:pPr>
        <w:pStyle w:val="Textpoznpodarou"/>
        <w:jc w:val="both"/>
        <w:rPr>
          <w:sz w:val="16"/>
          <w:szCs w:val="16"/>
          <w:lang w:val="sq-AL"/>
        </w:rPr>
      </w:pPr>
      <w:r w:rsidRPr="00DF56C3">
        <w:rPr>
          <w:rStyle w:val="Znakapoznpodarou"/>
          <w:sz w:val="16"/>
          <w:szCs w:val="16"/>
          <w:lang w:val="sq-AL"/>
        </w:rPr>
        <w:footnoteRef/>
      </w:r>
      <w:r w:rsidRPr="00DF56C3">
        <w:rPr>
          <w:sz w:val="16"/>
          <w:szCs w:val="16"/>
          <w:lang w:val="sq-AL"/>
        </w:rPr>
        <w:t xml:space="preserve"> </w:t>
      </w:r>
      <w:r>
        <w:rPr>
          <w:sz w:val="16"/>
          <w:szCs w:val="16"/>
          <w:lang w:val="sq-AL"/>
        </w:rPr>
        <w:t xml:space="preserve">Data </w:t>
      </w:r>
      <w:r>
        <w:rPr>
          <w:sz w:val="16"/>
          <w:szCs w:val="16"/>
          <w:lang w:val="sq-AL"/>
        </w:rPr>
        <w:t xml:space="preserve">are not seasonally adjusted. </w:t>
      </w:r>
      <w:r w:rsidRPr="00DF56C3">
        <w:rPr>
          <w:sz w:val="16"/>
          <w:szCs w:val="16"/>
          <w:lang w:val="sq-AL"/>
        </w:rPr>
        <w:t>Se</w:t>
      </w:r>
      <w:r>
        <w:rPr>
          <w:sz w:val="16"/>
          <w:szCs w:val="16"/>
          <w:lang w:val="sq-AL"/>
        </w:rPr>
        <w:t xml:space="preserve">asonal effect is however apparent amongh the observed branches only for construction. </w:t>
      </w:r>
    </w:p>
  </w:footnote>
  <w:footnote w:id="55">
    <w:p w:rsidR="003F15C8" w:rsidRPr="0015620F" w:rsidRDefault="003F15C8" w:rsidP="0015620F">
      <w:pPr>
        <w:pStyle w:val="Textpoznpodarou"/>
        <w:jc w:val="both"/>
        <w:rPr>
          <w:spacing w:val="-3"/>
          <w:sz w:val="16"/>
          <w:szCs w:val="16"/>
          <w:lang w:val="en-GB"/>
        </w:rPr>
      </w:pPr>
      <w:r w:rsidRPr="004E68B1">
        <w:rPr>
          <w:rStyle w:val="Znakapoznpodarou"/>
          <w:spacing w:val="-3"/>
          <w:sz w:val="16"/>
          <w:szCs w:val="16"/>
        </w:rPr>
        <w:footnoteRef/>
      </w:r>
      <w:r w:rsidRPr="004E68B1">
        <w:rPr>
          <w:spacing w:val="-3"/>
          <w:sz w:val="16"/>
          <w:szCs w:val="16"/>
        </w:rPr>
        <w:t xml:space="preserve"> </w:t>
      </w:r>
      <w:r w:rsidRPr="0015620F">
        <w:rPr>
          <w:spacing w:val="-3"/>
          <w:sz w:val="16"/>
          <w:szCs w:val="16"/>
          <w:lang w:val="en-GB"/>
        </w:rPr>
        <w:t xml:space="preserve">For persons aged 15–64 years, </w:t>
      </w:r>
      <w:r>
        <w:rPr>
          <w:spacing w:val="-3"/>
          <w:sz w:val="16"/>
          <w:szCs w:val="16"/>
          <w:lang w:val="en-GB"/>
        </w:rPr>
        <w:t xml:space="preserve">value after seasonal adjustment. Unless stated otherwise, all unemployment figures are from LFSS. </w:t>
      </w:r>
    </w:p>
  </w:footnote>
  <w:footnote w:id="56">
    <w:p w:rsidR="003F15C8" w:rsidRPr="0015620F" w:rsidRDefault="003F15C8" w:rsidP="0015620F">
      <w:pPr>
        <w:pStyle w:val="Textpoznpodarou"/>
        <w:jc w:val="both"/>
        <w:rPr>
          <w:sz w:val="16"/>
          <w:szCs w:val="16"/>
          <w:lang w:val="en-GB"/>
        </w:rPr>
      </w:pPr>
      <w:r w:rsidRPr="0015620F">
        <w:rPr>
          <w:rStyle w:val="Znakapoznpodarou"/>
          <w:sz w:val="16"/>
          <w:szCs w:val="16"/>
          <w:lang w:val="en-GB"/>
        </w:rPr>
        <w:footnoteRef/>
      </w:r>
      <w:r w:rsidRPr="0015620F">
        <w:rPr>
          <w:sz w:val="16"/>
          <w:szCs w:val="16"/>
          <w:lang w:val="en-GB"/>
        </w:rPr>
        <w:t xml:space="preserve"> </w:t>
      </w:r>
      <w:r>
        <w:rPr>
          <w:sz w:val="16"/>
          <w:szCs w:val="16"/>
          <w:lang w:val="en-GB"/>
        </w:rPr>
        <w:t xml:space="preserve">The unemployment rate in the age group 15–74 years was </w:t>
      </w:r>
      <w:r w:rsidRPr="0015620F">
        <w:rPr>
          <w:sz w:val="16"/>
          <w:szCs w:val="16"/>
          <w:lang w:val="en-GB"/>
        </w:rPr>
        <w:t>7</w:t>
      </w:r>
      <w:r>
        <w:rPr>
          <w:sz w:val="16"/>
          <w:szCs w:val="16"/>
          <w:lang w:val="en-GB"/>
        </w:rPr>
        <w:t>.</w:t>
      </w:r>
      <w:r w:rsidRPr="0015620F">
        <w:rPr>
          <w:sz w:val="16"/>
          <w:szCs w:val="16"/>
          <w:lang w:val="en-GB"/>
        </w:rPr>
        <w:t>0%</w:t>
      </w:r>
      <w:r>
        <w:rPr>
          <w:sz w:val="16"/>
          <w:szCs w:val="16"/>
          <w:lang w:val="en-GB"/>
        </w:rPr>
        <w:t xml:space="preserve"> for males and </w:t>
      </w:r>
      <w:r w:rsidRPr="0015620F">
        <w:rPr>
          <w:sz w:val="16"/>
          <w:szCs w:val="16"/>
          <w:lang w:val="en-GB"/>
        </w:rPr>
        <w:t>7</w:t>
      </w:r>
      <w:r>
        <w:rPr>
          <w:sz w:val="16"/>
          <w:szCs w:val="16"/>
          <w:lang w:val="en-GB"/>
        </w:rPr>
        <w:t>.</w:t>
      </w:r>
      <w:r w:rsidRPr="0015620F">
        <w:rPr>
          <w:sz w:val="16"/>
          <w:szCs w:val="16"/>
          <w:lang w:val="en-GB"/>
        </w:rPr>
        <w:t>7%</w:t>
      </w:r>
      <w:r>
        <w:rPr>
          <w:sz w:val="16"/>
          <w:szCs w:val="16"/>
          <w:lang w:val="en-GB"/>
        </w:rPr>
        <w:t xml:space="preserve"> for females in the EU at the end of year 2020</w:t>
      </w:r>
      <w:r w:rsidRPr="0015620F">
        <w:rPr>
          <w:sz w:val="16"/>
          <w:szCs w:val="16"/>
          <w:lang w:val="en-GB"/>
        </w:rPr>
        <w:t xml:space="preserve">. </w:t>
      </w:r>
      <w:r>
        <w:rPr>
          <w:sz w:val="16"/>
          <w:szCs w:val="16"/>
          <w:lang w:val="en-GB"/>
        </w:rPr>
        <w:t xml:space="preserve">Unemployment of males in the CR attained a minimum among the EU states </w:t>
      </w:r>
      <w:r w:rsidRPr="0015620F">
        <w:rPr>
          <w:sz w:val="16"/>
          <w:szCs w:val="16"/>
          <w:lang w:val="en-GB"/>
        </w:rPr>
        <w:t>(</w:t>
      </w:r>
      <w:r>
        <w:rPr>
          <w:sz w:val="16"/>
          <w:szCs w:val="16"/>
          <w:lang w:val="en-GB"/>
        </w:rPr>
        <w:t>already for seven years</w:t>
      </w:r>
      <w:r w:rsidRPr="0015620F">
        <w:rPr>
          <w:sz w:val="16"/>
          <w:szCs w:val="16"/>
          <w:lang w:val="en-GB"/>
        </w:rPr>
        <w:t>)</w:t>
      </w:r>
      <w:proofErr w:type="gramStart"/>
      <w:r w:rsidRPr="0015620F">
        <w:rPr>
          <w:sz w:val="16"/>
          <w:szCs w:val="16"/>
          <w:lang w:val="en-GB"/>
        </w:rPr>
        <w:t>,</w:t>
      </w:r>
      <w:proofErr w:type="gramEnd"/>
      <w:r>
        <w:rPr>
          <w:sz w:val="16"/>
          <w:szCs w:val="16"/>
          <w:lang w:val="en-GB"/>
        </w:rPr>
        <w:t xml:space="preserve"> unemployment of Czech women was the second lowest in the Union </w:t>
      </w:r>
      <w:r w:rsidRPr="0015620F">
        <w:rPr>
          <w:sz w:val="16"/>
          <w:szCs w:val="16"/>
          <w:lang w:val="en-GB"/>
        </w:rPr>
        <w:t>(</w:t>
      </w:r>
      <w:r>
        <w:rPr>
          <w:sz w:val="16"/>
          <w:szCs w:val="16"/>
          <w:lang w:val="en-GB"/>
        </w:rPr>
        <w:t xml:space="preserve">after Poland with </w:t>
      </w:r>
      <w:r w:rsidRPr="0015620F">
        <w:rPr>
          <w:sz w:val="16"/>
          <w:szCs w:val="16"/>
          <w:lang w:val="en-GB"/>
        </w:rPr>
        <w:t>3</w:t>
      </w:r>
      <w:r>
        <w:rPr>
          <w:sz w:val="16"/>
          <w:szCs w:val="16"/>
          <w:lang w:val="en-GB"/>
        </w:rPr>
        <w:t>.</w:t>
      </w:r>
      <w:r w:rsidRPr="0015620F">
        <w:rPr>
          <w:sz w:val="16"/>
          <w:szCs w:val="16"/>
          <w:lang w:val="en-GB"/>
        </w:rPr>
        <w:t>0%).</w:t>
      </w:r>
      <w:r>
        <w:rPr>
          <w:sz w:val="16"/>
          <w:szCs w:val="16"/>
          <w:lang w:val="en-GB"/>
        </w:rPr>
        <w:t xml:space="preserve"> In the EU (similarly to the CR</w:t>
      </w:r>
      <w:r w:rsidRPr="0015620F">
        <w:rPr>
          <w:sz w:val="16"/>
          <w:szCs w:val="16"/>
          <w:lang w:val="en-GB"/>
        </w:rPr>
        <w:t>)</w:t>
      </w:r>
      <w:r>
        <w:rPr>
          <w:sz w:val="16"/>
          <w:szCs w:val="16"/>
          <w:lang w:val="en-GB"/>
        </w:rPr>
        <w:t xml:space="preserve"> </w:t>
      </w:r>
      <w:proofErr w:type="gramStart"/>
      <w:r>
        <w:rPr>
          <w:sz w:val="16"/>
          <w:szCs w:val="16"/>
          <w:lang w:val="en-GB"/>
        </w:rPr>
        <w:t>the negative impacts of the pandemic crisis on the labour market were mitigated by government intervention programmes</w:t>
      </w:r>
      <w:proofErr w:type="gramEnd"/>
      <w:r>
        <w:rPr>
          <w:sz w:val="16"/>
          <w:szCs w:val="16"/>
          <w:lang w:val="en-GB"/>
        </w:rPr>
        <w:t>. The total unemployment rate thus increased “only” by 0.8 p.p. in the Union compared to the end of year 2</w:t>
      </w:r>
      <w:r w:rsidRPr="0015620F">
        <w:rPr>
          <w:sz w:val="16"/>
          <w:szCs w:val="16"/>
          <w:lang w:val="en-GB"/>
        </w:rPr>
        <w:t>019</w:t>
      </w:r>
      <w:r>
        <w:rPr>
          <w:sz w:val="16"/>
          <w:szCs w:val="16"/>
          <w:lang w:val="en-GB"/>
        </w:rPr>
        <w:t xml:space="preserve">, i.e. less than during years </w:t>
      </w:r>
      <w:r w:rsidRPr="0015620F">
        <w:rPr>
          <w:sz w:val="16"/>
          <w:szCs w:val="16"/>
          <w:lang w:val="en-GB"/>
        </w:rPr>
        <w:t>2009 a</w:t>
      </w:r>
      <w:r>
        <w:rPr>
          <w:sz w:val="16"/>
          <w:szCs w:val="16"/>
          <w:lang w:val="en-GB"/>
        </w:rPr>
        <w:t>nd</w:t>
      </w:r>
      <w:r w:rsidRPr="0015620F">
        <w:rPr>
          <w:sz w:val="16"/>
          <w:szCs w:val="16"/>
          <w:lang w:val="en-GB"/>
        </w:rPr>
        <w:t> 2012.</w:t>
      </w:r>
      <w:r>
        <w:rPr>
          <w:sz w:val="16"/>
          <w:szCs w:val="16"/>
          <w:lang w:val="en-GB"/>
        </w:rPr>
        <w:t xml:space="preserve"> Unemployment grew by more than </w:t>
      </w:r>
      <w:proofErr w:type="gramStart"/>
      <w:r w:rsidRPr="0015620F">
        <w:rPr>
          <w:sz w:val="16"/>
          <w:szCs w:val="16"/>
          <w:lang w:val="en-GB"/>
        </w:rPr>
        <w:t>2</w:t>
      </w:r>
      <w:proofErr w:type="gramEnd"/>
      <w:r w:rsidRPr="0015620F">
        <w:rPr>
          <w:sz w:val="16"/>
          <w:szCs w:val="16"/>
          <w:lang w:val="en-GB"/>
        </w:rPr>
        <w:t> p.</w:t>
      </w:r>
      <w:r>
        <w:rPr>
          <w:sz w:val="16"/>
          <w:szCs w:val="16"/>
          <w:lang w:val="en-GB"/>
        </w:rPr>
        <w:t xml:space="preserve">p. only in Lithuania, Estonia, Spain and Sweden last year. </w:t>
      </w:r>
    </w:p>
  </w:footnote>
  <w:footnote w:id="57">
    <w:p w:rsidR="003F15C8" w:rsidRPr="0015620F" w:rsidRDefault="003F15C8" w:rsidP="0015620F">
      <w:pPr>
        <w:pStyle w:val="Textpoznpodarou"/>
        <w:jc w:val="both"/>
        <w:rPr>
          <w:sz w:val="16"/>
          <w:szCs w:val="16"/>
          <w:lang w:val="en-GB"/>
        </w:rPr>
      </w:pPr>
      <w:r w:rsidRPr="0015620F">
        <w:rPr>
          <w:rStyle w:val="Znakapoznpodarou"/>
          <w:sz w:val="16"/>
          <w:szCs w:val="16"/>
          <w:lang w:val="en-GB"/>
        </w:rPr>
        <w:footnoteRef/>
      </w:r>
      <w:r w:rsidRPr="0015620F">
        <w:rPr>
          <w:sz w:val="16"/>
          <w:szCs w:val="16"/>
          <w:lang w:val="en-GB"/>
        </w:rPr>
        <w:t xml:space="preserve"> Absol</w:t>
      </w:r>
      <w:r>
        <w:rPr>
          <w:sz w:val="16"/>
          <w:szCs w:val="16"/>
          <w:lang w:val="en-GB"/>
        </w:rPr>
        <w:t xml:space="preserve">ute numbers of unemployed aged up to </w:t>
      </w:r>
      <w:r w:rsidRPr="0015620F">
        <w:rPr>
          <w:sz w:val="16"/>
          <w:szCs w:val="16"/>
          <w:lang w:val="en-GB"/>
        </w:rPr>
        <w:t>25</w:t>
      </w:r>
      <w:r>
        <w:rPr>
          <w:sz w:val="16"/>
          <w:szCs w:val="16"/>
          <w:lang w:val="en-GB"/>
        </w:rPr>
        <w:t xml:space="preserve"> years stay low in the long term </w:t>
      </w:r>
      <w:r w:rsidRPr="0015620F">
        <w:rPr>
          <w:sz w:val="16"/>
          <w:szCs w:val="16"/>
          <w:lang w:val="en-GB"/>
        </w:rPr>
        <w:t>(</w:t>
      </w:r>
      <w:r>
        <w:rPr>
          <w:sz w:val="16"/>
          <w:szCs w:val="16"/>
          <w:lang w:val="en-GB"/>
        </w:rPr>
        <w:t xml:space="preserve">it was </w:t>
      </w:r>
      <w:r w:rsidRPr="0015620F">
        <w:rPr>
          <w:sz w:val="16"/>
          <w:szCs w:val="16"/>
          <w:lang w:val="en-GB"/>
        </w:rPr>
        <w:t>26 t</w:t>
      </w:r>
      <w:r>
        <w:rPr>
          <w:sz w:val="16"/>
          <w:szCs w:val="16"/>
          <w:lang w:val="en-GB"/>
        </w:rPr>
        <w:t>housand persons in December 2020</w:t>
      </w:r>
      <w:r w:rsidRPr="0015620F">
        <w:rPr>
          <w:sz w:val="16"/>
          <w:szCs w:val="16"/>
          <w:lang w:val="en-GB"/>
        </w:rPr>
        <w:t>).</w:t>
      </w:r>
      <w:r>
        <w:rPr>
          <w:sz w:val="16"/>
          <w:szCs w:val="16"/>
          <w:lang w:val="en-GB"/>
        </w:rPr>
        <w:t xml:space="preserve"> Large majority of young persons of this age traditionally remains in the CR </w:t>
      </w:r>
      <w:r w:rsidRPr="0015620F">
        <w:rPr>
          <w:sz w:val="16"/>
          <w:szCs w:val="16"/>
          <w:lang w:val="en-GB"/>
        </w:rPr>
        <w:t>(</w:t>
      </w:r>
      <w:r>
        <w:rPr>
          <w:sz w:val="16"/>
          <w:szCs w:val="16"/>
          <w:lang w:val="en-GB"/>
        </w:rPr>
        <w:t>as opposed to many countries of both western and northern Europe</w:t>
      </w:r>
      <w:r w:rsidRPr="0015620F">
        <w:rPr>
          <w:sz w:val="16"/>
          <w:szCs w:val="16"/>
          <w:lang w:val="en-GB"/>
        </w:rPr>
        <w:t xml:space="preserve">) </w:t>
      </w:r>
      <w:r>
        <w:rPr>
          <w:sz w:val="16"/>
          <w:szCs w:val="16"/>
          <w:lang w:val="en-GB"/>
        </w:rPr>
        <w:t>economically inactive</w:t>
      </w:r>
      <w:r w:rsidRPr="0015620F">
        <w:rPr>
          <w:sz w:val="16"/>
          <w:szCs w:val="16"/>
          <w:lang w:val="en-GB"/>
        </w:rPr>
        <w:t>.</w:t>
      </w:r>
    </w:p>
  </w:footnote>
  <w:footnote w:id="58">
    <w:p w:rsidR="003F15C8" w:rsidRPr="0015620F" w:rsidRDefault="003F15C8" w:rsidP="0015620F">
      <w:pPr>
        <w:pStyle w:val="Default"/>
        <w:jc w:val="both"/>
        <w:rPr>
          <w:rFonts w:ascii="Arial" w:hAnsi="Arial" w:cs="Arial"/>
          <w:spacing w:val="-4"/>
          <w:sz w:val="16"/>
          <w:szCs w:val="16"/>
          <w:lang w:val="en-GB"/>
        </w:rPr>
      </w:pPr>
      <w:r w:rsidRPr="0015620F">
        <w:rPr>
          <w:rStyle w:val="Znakapoznpodarou"/>
          <w:rFonts w:ascii="Arial" w:hAnsi="Arial" w:cs="Arial"/>
          <w:spacing w:val="-4"/>
          <w:sz w:val="16"/>
          <w:szCs w:val="16"/>
          <w:lang w:val="en-GB"/>
        </w:rPr>
        <w:footnoteRef/>
      </w:r>
      <w:r w:rsidRPr="0015620F">
        <w:rPr>
          <w:rFonts w:ascii="Arial" w:hAnsi="Arial" w:cs="Arial"/>
          <w:spacing w:val="-4"/>
          <w:sz w:val="16"/>
          <w:szCs w:val="16"/>
          <w:lang w:val="en-GB"/>
        </w:rPr>
        <w:t xml:space="preserve"> </w:t>
      </w:r>
      <w:r>
        <w:rPr>
          <w:rFonts w:ascii="Arial" w:hAnsi="Arial" w:cs="Arial"/>
          <w:spacing w:val="-4"/>
          <w:sz w:val="16"/>
          <w:szCs w:val="16"/>
          <w:lang w:val="en-GB"/>
        </w:rPr>
        <w:t xml:space="preserve">Within the </w:t>
      </w:r>
      <w:r w:rsidRPr="0015620F">
        <w:rPr>
          <w:rFonts w:ascii="Arial" w:hAnsi="Arial" w:cs="Arial"/>
          <w:spacing w:val="-4"/>
          <w:sz w:val="16"/>
          <w:szCs w:val="16"/>
          <w:lang w:val="en-GB"/>
        </w:rPr>
        <w:t>Antivirus A + B</w:t>
      </w:r>
      <w:r>
        <w:rPr>
          <w:rFonts w:ascii="Arial" w:hAnsi="Arial" w:cs="Arial"/>
          <w:spacing w:val="-4"/>
          <w:sz w:val="16"/>
          <w:szCs w:val="16"/>
          <w:lang w:val="en-GB"/>
        </w:rPr>
        <w:t xml:space="preserve"> programme, </w:t>
      </w:r>
      <w:r w:rsidRPr="0015620F">
        <w:rPr>
          <w:rFonts w:ascii="Arial" w:hAnsi="Arial" w:cs="Arial"/>
          <w:spacing w:val="-4"/>
          <w:sz w:val="16"/>
          <w:szCs w:val="16"/>
          <w:lang w:val="en-GB"/>
        </w:rPr>
        <w:t>28</w:t>
      </w:r>
      <w:r>
        <w:rPr>
          <w:rFonts w:ascii="Arial" w:hAnsi="Arial" w:cs="Arial"/>
          <w:spacing w:val="-4"/>
          <w:sz w:val="16"/>
          <w:szCs w:val="16"/>
          <w:lang w:val="en-GB"/>
        </w:rPr>
        <w:t>.</w:t>
      </w:r>
      <w:r w:rsidRPr="0015620F">
        <w:rPr>
          <w:rFonts w:ascii="Arial" w:hAnsi="Arial" w:cs="Arial"/>
          <w:spacing w:val="-4"/>
          <w:sz w:val="16"/>
          <w:szCs w:val="16"/>
          <w:lang w:val="en-GB"/>
        </w:rPr>
        <w:t>9</w:t>
      </w:r>
      <w:r>
        <w:rPr>
          <w:rFonts w:ascii="Arial" w:hAnsi="Arial" w:cs="Arial"/>
          <w:spacing w:val="-4"/>
          <w:sz w:val="16"/>
          <w:szCs w:val="16"/>
          <w:lang w:val="en-GB"/>
        </w:rPr>
        <w:t xml:space="preserve"> CZK </w:t>
      </w:r>
      <w:proofErr w:type="spellStart"/>
      <w:r>
        <w:rPr>
          <w:rFonts w:ascii="Arial" w:hAnsi="Arial" w:cs="Arial"/>
          <w:spacing w:val="-4"/>
          <w:sz w:val="16"/>
          <w:szCs w:val="16"/>
          <w:lang w:val="en-GB"/>
        </w:rPr>
        <w:t>bn</w:t>
      </w:r>
      <w:proofErr w:type="spellEnd"/>
      <w:r>
        <w:rPr>
          <w:rFonts w:ascii="Arial" w:hAnsi="Arial" w:cs="Arial"/>
          <w:spacing w:val="-4"/>
          <w:sz w:val="16"/>
          <w:szCs w:val="16"/>
          <w:lang w:val="en-GB"/>
        </w:rPr>
        <w:t xml:space="preserve"> was expended from the MLSA budget from March </w:t>
      </w:r>
      <w:proofErr w:type="gramStart"/>
      <w:r>
        <w:rPr>
          <w:rFonts w:ascii="Arial" w:hAnsi="Arial" w:cs="Arial"/>
          <w:spacing w:val="-4"/>
          <w:sz w:val="16"/>
          <w:szCs w:val="16"/>
          <w:lang w:val="en-GB"/>
        </w:rPr>
        <w:t>till</w:t>
      </w:r>
      <w:proofErr w:type="gramEnd"/>
      <w:r>
        <w:rPr>
          <w:rFonts w:ascii="Arial" w:hAnsi="Arial" w:cs="Arial"/>
          <w:spacing w:val="-4"/>
          <w:sz w:val="16"/>
          <w:szCs w:val="16"/>
          <w:lang w:val="en-GB"/>
        </w:rPr>
        <w:t xml:space="preserve"> December 2020. In total, </w:t>
      </w:r>
      <w:r w:rsidRPr="0015620F">
        <w:rPr>
          <w:rFonts w:ascii="Arial" w:hAnsi="Arial" w:cs="Arial"/>
          <w:spacing w:val="-4"/>
          <w:sz w:val="16"/>
          <w:szCs w:val="16"/>
          <w:lang w:val="en-GB"/>
        </w:rPr>
        <w:t>953 t</w:t>
      </w:r>
      <w:r>
        <w:rPr>
          <w:rFonts w:ascii="Arial" w:hAnsi="Arial" w:cs="Arial"/>
          <w:spacing w:val="-4"/>
          <w:sz w:val="16"/>
          <w:szCs w:val="16"/>
          <w:lang w:val="en-GB"/>
        </w:rPr>
        <w:t xml:space="preserve">housand job positions </w:t>
      </w:r>
      <w:proofErr w:type="gramStart"/>
      <w:r>
        <w:rPr>
          <w:rFonts w:ascii="Arial" w:hAnsi="Arial" w:cs="Arial"/>
          <w:spacing w:val="-4"/>
          <w:sz w:val="16"/>
          <w:szCs w:val="16"/>
          <w:lang w:val="en-GB"/>
        </w:rPr>
        <w:t>were partially supported</w:t>
      </w:r>
      <w:proofErr w:type="gramEnd"/>
      <w:r>
        <w:rPr>
          <w:rFonts w:ascii="Arial" w:hAnsi="Arial" w:cs="Arial"/>
          <w:spacing w:val="-4"/>
          <w:sz w:val="16"/>
          <w:szCs w:val="16"/>
          <w:lang w:val="en-GB"/>
        </w:rPr>
        <w:t xml:space="preserve"> this way. Majority of businesses asked for a contribution on the payment of wage compensations to employees in individual months repeatedly. Drawing on support weakened during summer </w:t>
      </w:r>
      <w:r w:rsidRPr="0015620F">
        <w:rPr>
          <w:rFonts w:ascii="Arial" w:hAnsi="Arial" w:cs="Arial"/>
          <w:spacing w:val="-4"/>
          <w:sz w:val="16"/>
          <w:szCs w:val="16"/>
          <w:lang w:val="en-GB"/>
        </w:rPr>
        <w:t>(</w:t>
      </w:r>
      <w:r>
        <w:rPr>
          <w:rFonts w:ascii="Arial" w:hAnsi="Arial" w:cs="Arial"/>
          <w:spacing w:val="-4"/>
          <w:sz w:val="16"/>
          <w:szCs w:val="16"/>
          <w:lang w:val="en-GB"/>
        </w:rPr>
        <w:t>in Q</w:t>
      </w:r>
      <w:r w:rsidRPr="0015620F">
        <w:rPr>
          <w:rFonts w:ascii="Arial" w:hAnsi="Arial" w:cs="Arial"/>
          <w:spacing w:val="-4"/>
          <w:sz w:val="16"/>
          <w:szCs w:val="16"/>
          <w:lang w:val="en-GB"/>
        </w:rPr>
        <w:t>3: 2</w:t>
      </w:r>
      <w:r>
        <w:rPr>
          <w:rFonts w:ascii="Arial" w:hAnsi="Arial" w:cs="Arial"/>
          <w:spacing w:val="-4"/>
          <w:sz w:val="16"/>
          <w:szCs w:val="16"/>
          <w:lang w:val="en-GB"/>
        </w:rPr>
        <w:t>.</w:t>
      </w:r>
      <w:r w:rsidRPr="0015620F">
        <w:rPr>
          <w:rFonts w:ascii="Arial" w:hAnsi="Arial" w:cs="Arial"/>
          <w:spacing w:val="-4"/>
          <w:sz w:val="16"/>
          <w:szCs w:val="16"/>
          <w:lang w:val="en-GB"/>
        </w:rPr>
        <w:t>7</w:t>
      </w:r>
      <w:r>
        <w:rPr>
          <w:rFonts w:ascii="Arial" w:hAnsi="Arial" w:cs="Arial"/>
          <w:spacing w:val="-4"/>
          <w:sz w:val="16"/>
          <w:szCs w:val="16"/>
          <w:lang w:val="en-GB"/>
        </w:rPr>
        <w:t xml:space="preserve"> CZK </w:t>
      </w:r>
      <w:proofErr w:type="spellStart"/>
      <w:r>
        <w:rPr>
          <w:rFonts w:ascii="Arial" w:hAnsi="Arial" w:cs="Arial"/>
          <w:spacing w:val="-4"/>
          <w:sz w:val="16"/>
          <w:szCs w:val="16"/>
          <w:lang w:val="en-GB"/>
        </w:rPr>
        <w:t>bn</w:t>
      </w:r>
      <w:proofErr w:type="spellEnd"/>
      <w:r w:rsidRPr="0015620F">
        <w:rPr>
          <w:rFonts w:ascii="Arial" w:hAnsi="Arial" w:cs="Arial"/>
          <w:spacing w:val="-4"/>
          <w:sz w:val="16"/>
          <w:szCs w:val="16"/>
          <w:lang w:val="en-GB"/>
        </w:rPr>
        <w:t>),</w:t>
      </w:r>
      <w:r>
        <w:rPr>
          <w:rFonts w:ascii="Arial" w:hAnsi="Arial" w:cs="Arial"/>
          <w:spacing w:val="-4"/>
          <w:sz w:val="16"/>
          <w:szCs w:val="16"/>
          <w:lang w:val="en-GB"/>
        </w:rPr>
        <w:t xml:space="preserve"> it however rose at the end of the year </w:t>
      </w:r>
      <w:r w:rsidRPr="0015620F">
        <w:rPr>
          <w:rFonts w:ascii="Arial" w:hAnsi="Arial" w:cs="Arial"/>
          <w:spacing w:val="-6"/>
          <w:sz w:val="16"/>
          <w:szCs w:val="16"/>
          <w:lang w:val="en-GB"/>
        </w:rPr>
        <w:t>(</w:t>
      </w:r>
      <w:r>
        <w:rPr>
          <w:rFonts w:ascii="Arial" w:hAnsi="Arial" w:cs="Arial"/>
          <w:spacing w:val="-6"/>
          <w:sz w:val="16"/>
          <w:szCs w:val="16"/>
          <w:lang w:val="en-GB"/>
        </w:rPr>
        <w:t>Q</w:t>
      </w:r>
      <w:r w:rsidRPr="0015620F">
        <w:rPr>
          <w:rFonts w:ascii="Arial" w:hAnsi="Arial" w:cs="Arial"/>
          <w:spacing w:val="-6"/>
          <w:sz w:val="16"/>
          <w:szCs w:val="16"/>
          <w:lang w:val="en-GB"/>
        </w:rPr>
        <w:t>4: 9</w:t>
      </w:r>
      <w:r>
        <w:rPr>
          <w:rFonts w:ascii="Arial" w:hAnsi="Arial" w:cs="Arial"/>
          <w:spacing w:val="-6"/>
          <w:sz w:val="16"/>
          <w:szCs w:val="16"/>
          <w:lang w:val="en-GB"/>
        </w:rPr>
        <w:t>.</w:t>
      </w:r>
      <w:r w:rsidRPr="0015620F">
        <w:rPr>
          <w:rFonts w:ascii="Arial" w:hAnsi="Arial" w:cs="Arial"/>
          <w:spacing w:val="-6"/>
          <w:sz w:val="16"/>
          <w:szCs w:val="16"/>
          <w:lang w:val="en-GB"/>
        </w:rPr>
        <w:t>5</w:t>
      </w:r>
      <w:r>
        <w:rPr>
          <w:rFonts w:ascii="Arial" w:hAnsi="Arial" w:cs="Arial"/>
          <w:spacing w:val="-6"/>
          <w:sz w:val="16"/>
          <w:szCs w:val="16"/>
          <w:lang w:val="en-GB"/>
        </w:rPr>
        <w:t xml:space="preserve"> CZK </w:t>
      </w:r>
      <w:proofErr w:type="spellStart"/>
      <w:r>
        <w:rPr>
          <w:rFonts w:ascii="Arial" w:hAnsi="Arial" w:cs="Arial"/>
          <w:spacing w:val="-6"/>
          <w:sz w:val="16"/>
          <w:szCs w:val="16"/>
          <w:lang w:val="en-GB"/>
        </w:rPr>
        <w:t>bn</w:t>
      </w:r>
      <w:proofErr w:type="spellEnd"/>
      <w:r w:rsidRPr="0015620F">
        <w:rPr>
          <w:rFonts w:ascii="Arial" w:hAnsi="Arial" w:cs="Arial"/>
          <w:spacing w:val="-6"/>
          <w:sz w:val="16"/>
          <w:szCs w:val="16"/>
          <w:lang w:val="en-GB"/>
        </w:rPr>
        <w:t>).</w:t>
      </w:r>
    </w:p>
  </w:footnote>
  <w:footnote w:id="59">
    <w:p w:rsidR="003F15C8" w:rsidRPr="00EE420E" w:rsidRDefault="003F15C8" w:rsidP="0015620F">
      <w:pPr>
        <w:pStyle w:val="Textpoznpodarou"/>
        <w:jc w:val="both"/>
        <w:rPr>
          <w:spacing w:val="-3"/>
          <w:sz w:val="16"/>
          <w:szCs w:val="16"/>
          <w:lang w:val="en-GB"/>
        </w:rPr>
      </w:pPr>
      <w:r w:rsidRPr="00EE420E">
        <w:rPr>
          <w:rStyle w:val="Znakapoznpodarou"/>
          <w:spacing w:val="-3"/>
          <w:sz w:val="16"/>
          <w:szCs w:val="16"/>
          <w:lang w:val="en-GB"/>
        </w:rPr>
        <w:footnoteRef/>
      </w:r>
      <w:r w:rsidRPr="00EE420E">
        <w:rPr>
          <w:spacing w:val="-3"/>
          <w:sz w:val="16"/>
          <w:szCs w:val="16"/>
          <w:lang w:val="en-GB"/>
        </w:rPr>
        <w:t xml:space="preserve"> Drawing on care benefits was (mainly for the reason of closed schools) 11.4 CZK </w:t>
      </w:r>
      <w:proofErr w:type="spellStart"/>
      <w:r w:rsidRPr="00EE420E">
        <w:rPr>
          <w:spacing w:val="-3"/>
          <w:sz w:val="16"/>
          <w:szCs w:val="16"/>
          <w:lang w:val="en-GB"/>
        </w:rPr>
        <w:t>bn</w:t>
      </w:r>
      <w:proofErr w:type="spellEnd"/>
      <w:r w:rsidRPr="00EE420E">
        <w:rPr>
          <w:spacing w:val="-3"/>
          <w:sz w:val="16"/>
          <w:szCs w:val="16"/>
          <w:lang w:val="en-GB"/>
        </w:rPr>
        <w:t xml:space="preserve"> for year 2020, but only 1.7 CZK </w:t>
      </w:r>
      <w:proofErr w:type="spellStart"/>
      <w:r w:rsidRPr="00EE420E">
        <w:rPr>
          <w:spacing w:val="-3"/>
          <w:sz w:val="16"/>
          <w:szCs w:val="16"/>
          <w:lang w:val="en-GB"/>
        </w:rPr>
        <w:t>bn</w:t>
      </w:r>
      <w:proofErr w:type="spellEnd"/>
      <w:r w:rsidRPr="00EE420E">
        <w:rPr>
          <w:spacing w:val="-3"/>
          <w:sz w:val="16"/>
          <w:szCs w:val="16"/>
          <w:lang w:val="en-GB"/>
        </w:rPr>
        <w:t xml:space="preserve"> in the previous year.</w:t>
      </w:r>
    </w:p>
  </w:footnote>
  <w:footnote w:id="60">
    <w:p w:rsidR="003F15C8" w:rsidRPr="0015620F" w:rsidRDefault="003F15C8" w:rsidP="0015620F">
      <w:pPr>
        <w:pStyle w:val="Textpoznpodarou"/>
        <w:jc w:val="both"/>
        <w:rPr>
          <w:spacing w:val="-2"/>
          <w:sz w:val="16"/>
          <w:szCs w:val="16"/>
          <w:lang w:val="en-GB"/>
        </w:rPr>
      </w:pPr>
      <w:r w:rsidRPr="0015620F">
        <w:rPr>
          <w:rStyle w:val="Znakapoznpodarou"/>
          <w:spacing w:val="-2"/>
          <w:sz w:val="16"/>
          <w:szCs w:val="16"/>
          <w:lang w:val="en-GB"/>
        </w:rPr>
        <w:footnoteRef/>
      </w:r>
      <w:r w:rsidRPr="0015620F">
        <w:rPr>
          <w:spacing w:val="-2"/>
          <w:sz w:val="16"/>
          <w:szCs w:val="16"/>
          <w:lang w:val="en-GB"/>
        </w:rPr>
        <w:t xml:space="preserve"> </w:t>
      </w:r>
      <w:r>
        <w:rPr>
          <w:spacing w:val="-2"/>
          <w:sz w:val="16"/>
          <w:szCs w:val="16"/>
          <w:lang w:val="en-GB"/>
        </w:rPr>
        <w:t xml:space="preserve">Proportion of households expecting a growth of unemployment in the next 12 months was by </w:t>
      </w:r>
      <w:r w:rsidRPr="0015620F">
        <w:rPr>
          <w:spacing w:val="-2"/>
          <w:sz w:val="16"/>
          <w:szCs w:val="16"/>
          <w:lang w:val="en-GB"/>
        </w:rPr>
        <w:t>60 p.</w:t>
      </w:r>
      <w:r>
        <w:rPr>
          <w:spacing w:val="-2"/>
          <w:sz w:val="16"/>
          <w:szCs w:val="16"/>
          <w:lang w:val="en-GB"/>
        </w:rPr>
        <w:t>p</w:t>
      </w:r>
      <w:r w:rsidRPr="0015620F">
        <w:rPr>
          <w:spacing w:val="-2"/>
          <w:sz w:val="16"/>
          <w:szCs w:val="16"/>
          <w:lang w:val="en-GB"/>
        </w:rPr>
        <w:t>.</w:t>
      </w:r>
      <w:r>
        <w:rPr>
          <w:spacing w:val="-2"/>
          <w:sz w:val="16"/>
          <w:szCs w:val="16"/>
          <w:lang w:val="en-GB"/>
        </w:rPr>
        <w:t xml:space="preserve"> higher than the proportion of those, who anticipated decrease. </w:t>
      </w:r>
    </w:p>
  </w:footnote>
  <w:footnote w:id="61">
    <w:p w:rsidR="003F15C8" w:rsidRPr="002C3DA7" w:rsidRDefault="003F15C8" w:rsidP="00152954">
      <w:pPr>
        <w:pStyle w:val="Textpoznpodarou"/>
        <w:jc w:val="both"/>
        <w:rPr>
          <w:sz w:val="16"/>
          <w:szCs w:val="16"/>
        </w:rPr>
      </w:pPr>
      <w:r w:rsidRPr="002C3DA7">
        <w:rPr>
          <w:rStyle w:val="Znakapoznpodarou"/>
          <w:sz w:val="16"/>
          <w:szCs w:val="16"/>
        </w:rPr>
        <w:footnoteRef/>
      </w:r>
      <w:r w:rsidRPr="002C3DA7">
        <w:rPr>
          <w:sz w:val="16"/>
          <w:szCs w:val="16"/>
        </w:rPr>
        <w:t xml:space="preserve"> </w:t>
      </w:r>
      <w:r w:rsidRPr="00152954">
        <w:rPr>
          <w:sz w:val="16"/>
          <w:szCs w:val="16"/>
          <w:lang w:val="en-GB"/>
        </w:rPr>
        <w:t>Employers aim these vacancies for the most part at foreign workers.</w:t>
      </w:r>
      <w:r>
        <w:rPr>
          <w:sz w:val="16"/>
          <w:szCs w:val="16"/>
          <w:lang w:val="en-GB"/>
        </w:rPr>
        <w:t xml:space="preserve"> </w:t>
      </w:r>
      <w:proofErr w:type="gramStart"/>
      <w:r>
        <w:rPr>
          <w:sz w:val="16"/>
          <w:szCs w:val="16"/>
          <w:lang w:val="en-GB"/>
        </w:rPr>
        <w:t xml:space="preserve">Number of foreigners registered by labour offices in the CR following a short decline in the spring months </w:t>
      </w:r>
      <w:r w:rsidRPr="00152954">
        <w:rPr>
          <w:sz w:val="16"/>
          <w:szCs w:val="16"/>
          <w:lang w:val="en-GB"/>
        </w:rPr>
        <w:t>(</w:t>
      </w:r>
      <w:r>
        <w:rPr>
          <w:sz w:val="16"/>
          <w:szCs w:val="16"/>
          <w:lang w:val="en-GB"/>
        </w:rPr>
        <w:t>also caused by the suspension of issuance of majority of work permits</w:t>
      </w:r>
      <w:r w:rsidRPr="00152954">
        <w:rPr>
          <w:sz w:val="16"/>
          <w:szCs w:val="16"/>
          <w:lang w:val="en-GB"/>
        </w:rPr>
        <w:t>)</w:t>
      </w:r>
      <w:r>
        <w:rPr>
          <w:sz w:val="16"/>
          <w:szCs w:val="16"/>
          <w:lang w:val="en-GB"/>
        </w:rPr>
        <w:t xml:space="preserve"> again grew in Q</w:t>
      </w:r>
      <w:r w:rsidRPr="00152954">
        <w:rPr>
          <w:sz w:val="16"/>
          <w:szCs w:val="16"/>
          <w:lang w:val="en-GB"/>
        </w:rPr>
        <w:t>3</w:t>
      </w:r>
      <w:r>
        <w:rPr>
          <w:sz w:val="16"/>
          <w:szCs w:val="16"/>
          <w:lang w:val="en-GB"/>
        </w:rPr>
        <w:t xml:space="preserve"> </w:t>
      </w:r>
      <w:r w:rsidRPr="00152954">
        <w:rPr>
          <w:sz w:val="16"/>
          <w:szCs w:val="16"/>
          <w:lang w:val="en-GB"/>
        </w:rPr>
        <w:t>2020</w:t>
      </w:r>
      <w:r>
        <w:rPr>
          <w:sz w:val="16"/>
          <w:szCs w:val="16"/>
          <w:lang w:val="en-GB"/>
        </w:rPr>
        <w:t xml:space="preserve"> and total </w:t>
      </w:r>
      <w:r w:rsidRPr="00152954">
        <w:rPr>
          <w:sz w:val="16"/>
          <w:szCs w:val="16"/>
          <w:lang w:val="en-GB"/>
        </w:rPr>
        <w:t>644 t</w:t>
      </w:r>
      <w:r>
        <w:rPr>
          <w:sz w:val="16"/>
          <w:szCs w:val="16"/>
          <w:lang w:val="en-GB"/>
        </w:rPr>
        <w:t xml:space="preserve">housand persons with the permission to serve in the CR in the employee position </w:t>
      </w:r>
      <w:r w:rsidRPr="00152954">
        <w:rPr>
          <w:sz w:val="16"/>
          <w:szCs w:val="16"/>
          <w:lang w:val="en-GB"/>
        </w:rPr>
        <w:t>(</w:t>
      </w:r>
      <w:r>
        <w:rPr>
          <w:sz w:val="16"/>
          <w:szCs w:val="16"/>
          <w:lang w:val="en-GB"/>
        </w:rPr>
        <w:t xml:space="preserve">by </w:t>
      </w:r>
      <w:r w:rsidRPr="00152954">
        <w:rPr>
          <w:sz w:val="16"/>
          <w:szCs w:val="16"/>
          <w:lang w:val="en-GB"/>
        </w:rPr>
        <w:t>22 t</w:t>
      </w:r>
      <w:r>
        <w:rPr>
          <w:sz w:val="16"/>
          <w:szCs w:val="16"/>
          <w:lang w:val="en-GB"/>
        </w:rPr>
        <w:t>housand more year-on-year</w:t>
      </w:r>
      <w:r w:rsidRPr="00152954">
        <w:rPr>
          <w:sz w:val="16"/>
          <w:szCs w:val="16"/>
          <w:lang w:val="en-GB"/>
        </w:rPr>
        <w:t>)</w:t>
      </w:r>
      <w:r>
        <w:rPr>
          <w:sz w:val="16"/>
          <w:szCs w:val="16"/>
          <w:lang w:val="en-GB"/>
        </w:rPr>
        <w:t xml:space="preserve"> were registered at the end of year 2020</w:t>
      </w:r>
      <w:r w:rsidRPr="00152954">
        <w:rPr>
          <w:sz w:val="16"/>
          <w:szCs w:val="16"/>
          <w:lang w:val="en-GB"/>
        </w:rPr>
        <w:t>.</w:t>
      </w:r>
      <w:proofErr w:type="gramEnd"/>
    </w:p>
  </w:footnote>
  <w:footnote w:id="62">
    <w:p w:rsidR="003F15C8" w:rsidRPr="0018656D" w:rsidRDefault="003F15C8" w:rsidP="0018656D">
      <w:pPr>
        <w:pStyle w:val="Textpoznpodarou"/>
        <w:jc w:val="both"/>
        <w:rPr>
          <w:spacing w:val="-2"/>
          <w:sz w:val="16"/>
          <w:szCs w:val="16"/>
          <w:lang w:val="en-GB"/>
        </w:rPr>
      </w:pPr>
      <w:r w:rsidRPr="0018656D">
        <w:rPr>
          <w:rStyle w:val="Znakapoznpodarou"/>
          <w:spacing w:val="-2"/>
          <w:sz w:val="16"/>
          <w:szCs w:val="16"/>
          <w:lang w:val="en-GB"/>
        </w:rPr>
        <w:footnoteRef/>
      </w:r>
      <w:r w:rsidRPr="0018656D">
        <w:rPr>
          <w:spacing w:val="-2"/>
          <w:sz w:val="16"/>
          <w:szCs w:val="16"/>
          <w:lang w:val="en-GB"/>
        </w:rPr>
        <w:t xml:space="preserve"> </w:t>
      </w:r>
      <w:r>
        <w:rPr>
          <w:spacing w:val="-2"/>
          <w:sz w:val="16"/>
          <w:szCs w:val="16"/>
          <w:lang w:val="en-GB"/>
        </w:rPr>
        <w:t xml:space="preserve">Even though the number of inactive grew also during the major part of year </w:t>
      </w:r>
      <w:r w:rsidRPr="0018656D">
        <w:rPr>
          <w:rFonts w:cs="Arial"/>
          <w:bCs/>
          <w:color w:val="000000"/>
          <w:spacing w:val="-2"/>
          <w:sz w:val="16"/>
          <w:szCs w:val="16"/>
          <w:lang w:val="en-GB"/>
        </w:rPr>
        <w:t>2019,</w:t>
      </w:r>
      <w:r>
        <w:rPr>
          <w:rFonts w:cs="Arial"/>
          <w:bCs/>
          <w:color w:val="000000"/>
          <w:spacing w:val="-2"/>
          <w:sz w:val="16"/>
          <w:szCs w:val="16"/>
          <w:lang w:val="en-GB"/>
        </w:rPr>
        <w:t xml:space="preserve"> significant pace acceleration occurred only last year. The year-on-year increase attained </w:t>
      </w:r>
      <w:r w:rsidRPr="0018656D">
        <w:rPr>
          <w:rFonts w:cs="Arial"/>
          <w:bCs/>
          <w:color w:val="000000"/>
          <w:spacing w:val="-2"/>
          <w:sz w:val="16"/>
          <w:szCs w:val="16"/>
          <w:lang w:val="en-GB"/>
        </w:rPr>
        <w:t>59 t</w:t>
      </w:r>
      <w:r>
        <w:rPr>
          <w:rFonts w:cs="Arial"/>
          <w:bCs/>
          <w:color w:val="000000"/>
          <w:spacing w:val="-2"/>
          <w:sz w:val="16"/>
          <w:szCs w:val="16"/>
          <w:lang w:val="en-GB"/>
        </w:rPr>
        <w:t>housand persons at the beginning of year 2020</w:t>
      </w:r>
      <w:r w:rsidRPr="0018656D">
        <w:rPr>
          <w:rFonts w:cs="Arial"/>
          <w:bCs/>
          <w:color w:val="000000"/>
          <w:spacing w:val="-2"/>
          <w:sz w:val="16"/>
          <w:szCs w:val="16"/>
          <w:lang w:val="en-GB"/>
        </w:rPr>
        <w:t xml:space="preserve">, </w:t>
      </w:r>
      <w:r>
        <w:rPr>
          <w:rFonts w:cs="Arial"/>
          <w:bCs/>
          <w:color w:val="000000"/>
          <w:spacing w:val="-2"/>
          <w:sz w:val="16"/>
          <w:szCs w:val="16"/>
          <w:lang w:val="en-GB"/>
        </w:rPr>
        <w:t xml:space="preserve">already </w:t>
      </w:r>
      <w:r w:rsidRPr="0018656D">
        <w:rPr>
          <w:rFonts w:cs="Arial"/>
          <w:bCs/>
          <w:color w:val="000000"/>
          <w:spacing w:val="-2"/>
          <w:sz w:val="16"/>
          <w:szCs w:val="16"/>
          <w:lang w:val="en-GB"/>
        </w:rPr>
        <w:t>86 t</w:t>
      </w:r>
      <w:r>
        <w:rPr>
          <w:rFonts w:cs="Arial"/>
          <w:bCs/>
          <w:color w:val="000000"/>
          <w:spacing w:val="-2"/>
          <w:sz w:val="16"/>
          <w:szCs w:val="16"/>
          <w:lang w:val="en-GB"/>
        </w:rPr>
        <w:t xml:space="preserve">housand </w:t>
      </w:r>
      <w:r w:rsidRPr="0018656D">
        <w:rPr>
          <w:rFonts w:cs="Arial"/>
          <w:bCs/>
          <w:color w:val="000000"/>
          <w:spacing w:val="-2"/>
          <w:sz w:val="16"/>
          <w:szCs w:val="16"/>
          <w:lang w:val="en-GB"/>
        </w:rPr>
        <w:t>(</w:t>
      </w:r>
      <w:r>
        <w:rPr>
          <w:rFonts w:cs="Arial"/>
          <w:bCs/>
          <w:color w:val="000000"/>
          <w:spacing w:val="-2"/>
          <w:sz w:val="16"/>
          <w:szCs w:val="16"/>
          <w:lang w:val="en-GB"/>
        </w:rPr>
        <w:t>the most in the history of the CR</w:t>
      </w:r>
      <w:r w:rsidRPr="0018656D">
        <w:rPr>
          <w:rFonts w:cs="Arial"/>
          <w:bCs/>
          <w:color w:val="000000"/>
          <w:spacing w:val="-2"/>
          <w:sz w:val="16"/>
          <w:szCs w:val="16"/>
          <w:lang w:val="en-GB"/>
        </w:rPr>
        <w:t xml:space="preserve">) </w:t>
      </w:r>
      <w:r>
        <w:rPr>
          <w:rFonts w:cs="Arial"/>
          <w:bCs/>
          <w:color w:val="000000"/>
          <w:spacing w:val="-2"/>
          <w:sz w:val="16"/>
          <w:szCs w:val="16"/>
          <w:lang w:val="en-GB"/>
        </w:rPr>
        <w:t xml:space="preserve">in Q2 and the addition was also around 50 thousand for the remaining part of the year. </w:t>
      </w:r>
    </w:p>
  </w:footnote>
  <w:footnote w:id="63">
    <w:p w:rsidR="003F15C8" w:rsidRPr="0018656D" w:rsidRDefault="003F15C8" w:rsidP="00AD6656">
      <w:pPr>
        <w:pStyle w:val="Textpoznpodarou"/>
        <w:jc w:val="both"/>
        <w:rPr>
          <w:spacing w:val="-2"/>
          <w:sz w:val="16"/>
          <w:szCs w:val="16"/>
          <w:lang w:val="en-GB"/>
        </w:rPr>
      </w:pPr>
      <w:r w:rsidRPr="0018656D">
        <w:rPr>
          <w:rStyle w:val="Znakapoznpodarou"/>
          <w:spacing w:val="-2"/>
          <w:sz w:val="16"/>
          <w:szCs w:val="16"/>
          <w:lang w:val="en-GB"/>
        </w:rPr>
        <w:footnoteRef/>
      </w:r>
      <w:r w:rsidRPr="0018656D">
        <w:rPr>
          <w:spacing w:val="-2"/>
          <w:sz w:val="16"/>
          <w:szCs w:val="16"/>
          <w:lang w:val="en-GB"/>
        </w:rPr>
        <w:t xml:space="preserve"> </w:t>
      </w:r>
      <w:r>
        <w:rPr>
          <w:spacing w:val="-2"/>
          <w:sz w:val="16"/>
          <w:szCs w:val="16"/>
          <w:lang w:val="en-GB"/>
        </w:rPr>
        <w:t>State contributed to some extent to businesses affected by the impacts of the coronavirus crisis on employee wages (</w:t>
      </w:r>
      <w:r w:rsidRPr="0018656D">
        <w:rPr>
          <w:spacing w:val="-2"/>
          <w:sz w:val="16"/>
          <w:szCs w:val="16"/>
          <w:lang w:val="en-GB"/>
        </w:rPr>
        <w:t>program</w:t>
      </w:r>
      <w:r>
        <w:rPr>
          <w:spacing w:val="-2"/>
          <w:sz w:val="16"/>
          <w:szCs w:val="16"/>
          <w:lang w:val="en-GB"/>
        </w:rPr>
        <w:t>me</w:t>
      </w:r>
      <w:r w:rsidRPr="0018656D">
        <w:rPr>
          <w:spacing w:val="-2"/>
          <w:sz w:val="16"/>
          <w:szCs w:val="16"/>
          <w:lang w:val="en-GB"/>
        </w:rPr>
        <w:t xml:space="preserve"> Antivirus</w:t>
      </w:r>
      <w:r>
        <w:rPr>
          <w:spacing w:val="-2"/>
          <w:sz w:val="16"/>
          <w:szCs w:val="16"/>
          <w:lang w:val="en-GB"/>
        </w:rPr>
        <w:t>) under fulfilment of certain conditions (e.g. preservation of job positions</w:t>
      </w:r>
      <w:r w:rsidRPr="0018656D">
        <w:rPr>
          <w:spacing w:val="-2"/>
          <w:sz w:val="16"/>
          <w:szCs w:val="16"/>
          <w:lang w:val="en-GB"/>
        </w:rPr>
        <w:t>)</w:t>
      </w:r>
      <w:r>
        <w:rPr>
          <w:spacing w:val="-2"/>
          <w:sz w:val="16"/>
          <w:szCs w:val="16"/>
          <w:lang w:val="en-GB"/>
        </w:rPr>
        <w:t xml:space="preserve">. People drew these compensations of wages </w:t>
      </w:r>
      <w:proofErr w:type="gramStart"/>
      <w:r>
        <w:rPr>
          <w:spacing w:val="-2"/>
          <w:sz w:val="16"/>
          <w:szCs w:val="16"/>
          <w:lang w:val="en-GB"/>
        </w:rPr>
        <w:t>on the basis of</w:t>
      </w:r>
      <w:proofErr w:type="gramEnd"/>
      <w:r>
        <w:rPr>
          <w:spacing w:val="-2"/>
          <w:sz w:val="16"/>
          <w:szCs w:val="16"/>
          <w:lang w:val="en-GB"/>
        </w:rPr>
        <w:t xml:space="preserve"> barriers to work connected to the pandemics. On the contrary, persons who didn´t work for the reasons of receiving care benefits or ordered </w:t>
      </w:r>
      <w:proofErr w:type="gramStart"/>
      <w:r>
        <w:rPr>
          <w:spacing w:val="-2"/>
          <w:sz w:val="16"/>
          <w:szCs w:val="16"/>
          <w:lang w:val="en-GB"/>
        </w:rPr>
        <w:t>quarantine,</w:t>
      </w:r>
      <w:proofErr w:type="gramEnd"/>
      <w:r>
        <w:rPr>
          <w:spacing w:val="-2"/>
          <w:sz w:val="16"/>
          <w:szCs w:val="16"/>
          <w:lang w:val="en-GB"/>
        </w:rPr>
        <w:t xml:space="preserve"> drew transfers from state, which are methodically not part of wages (their drawing thus worked against the growth of the average wages). </w:t>
      </w:r>
    </w:p>
  </w:footnote>
  <w:footnote w:id="64">
    <w:p w:rsidR="003F15C8" w:rsidRPr="0018656D" w:rsidRDefault="003F15C8" w:rsidP="0018656D">
      <w:pPr>
        <w:pStyle w:val="Textpoznpodarou"/>
        <w:jc w:val="both"/>
        <w:rPr>
          <w:spacing w:val="-4"/>
          <w:sz w:val="16"/>
          <w:szCs w:val="16"/>
          <w:lang w:val="en-GB"/>
        </w:rPr>
      </w:pPr>
      <w:r w:rsidRPr="0018656D">
        <w:rPr>
          <w:rStyle w:val="Znakapoznpodarou"/>
          <w:spacing w:val="-4"/>
          <w:sz w:val="16"/>
          <w:szCs w:val="16"/>
          <w:lang w:val="en-GB"/>
        </w:rPr>
        <w:footnoteRef/>
      </w:r>
      <w:r w:rsidRPr="0018656D">
        <w:rPr>
          <w:spacing w:val="-4"/>
          <w:sz w:val="16"/>
          <w:szCs w:val="16"/>
          <w:lang w:val="en-GB"/>
        </w:rPr>
        <w:t xml:space="preserve"> </w:t>
      </w:r>
      <w:r>
        <w:rPr>
          <w:spacing w:val="-4"/>
          <w:sz w:val="16"/>
          <w:szCs w:val="16"/>
          <w:lang w:val="en-GB"/>
        </w:rPr>
        <w:t xml:space="preserve">The wage growth accelerated to </w:t>
      </w:r>
      <w:r w:rsidRPr="0018656D">
        <w:rPr>
          <w:spacing w:val="-4"/>
          <w:sz w:val="16"/>
          <w:szCs w:val="16"/>
          <w:lang w:val="en-GB"/>
        </w:rPr>
        <w:t>5</w:t>
      </w:r>
      <w:r>
        <w:rPr>
          <w:spacing w:val="-4"/>
          <w:sz w:val="16"/>
          <w:szCs w:val="16"/>
          <w:lang w:val="en-GB"/>
        </w:rPr>
        <w:t>.</w:t>
      </w:r>
      <w:r w:rsidRPr="0018656D">
        <w:rPr>
          <w:spacing w:val="-4"/>
          <w:sz w:val="16"/>
          <w:szCs w:val="16"/>
          <w:lang w:val="en-GB"/>
        </w:rPr>
        <w:t>9%</w:t>
      </w:r>
      <w:r>
        <w:rPr>
          <w:spacing w:val="-4"/>
          <w:sz w:val="16"/>
          <w:szCs w:val="16"/>
          <w:lang w:val="en-GB"/>
        </w:rPr>
        <w:t xml:space="preserve"> in the segment of motor vehicle manufacturing in Q4 2020, earnings for the whole year however increased only by </w:t>
      </w:r>
      <w:r w:rsidRPr="0018656D">
        <w:rPr>
          <w:spacing w:val="-4"/>
          <w:sz w:val="16"/>
          <w:szCs w:val="16"/>
          <w:lang w:val="en-GB"/>
        </w:rPr>
        <w:t>0</w:t>
      </w:r>
      <w:r>
        <w:rPr>
          <w:spacing w:val="-4"/>
          <w:sz w:val="16"/>
          <w:szCs w:val="16"/>
          <w:lang w:val="en-GB"/>
        </w:rPr>
        <w:t>.3</w:t>
      </w:r>
      <w:r w:rsidRPr="0018656D">
        <w:rPr>
          <w:spacing w:val="-4"/>
          <w:sz w:val="16"/>
          <w:szCs w:val="16"/>
          <w:lang w:val="en-GB"/>
        </w:rPr>
        <w:t>%</w:t>
      </w:r>
      <w:r>
        <w:rPr>
          <w:spacing w:val="-4"/>
          <w:sz w:val="16"/>
          <w:szCs w:val="16"/>
          <w:lang w:val="en-GB"/>
        </w:rPr>
        <w:t xml:space="preserve"> here</w:t>
      </w:r>
      <w:r w:rsidRPr="0018656D">
        <w:rPr>
          <w:spacing w:val="-4"/>
          <w:sz w:val="16"/>
          <w:szCs w:val="16"/>
          <w:lang w:val="en-GB"/>
        </w:rPr>
        <w:t>.</w:t>
      </w:r>
    </w:p>
  </w:footnote>
  <w:footnote w:id="65">
    <w:p w:rsidR="003F15C8" w:rsidRPr="00340619" w:rsidRDefault="003F15C8" w:rsidP="00526F65">
      <w:pPr>
        <w:pStyle w:val="Textpoznpodarou"/>
        <w:jc w:val="both"/>
        <w:rPr>
          <w:sz w:val="16"/>
          <w:szCs w:val="16"/>
          <w:lang w:val="en-GB"/>
        </w:rPr>
      </w:pPr>
      <w:r w:rsidRPr="000862CD">
        <w:rPr>
          <w:rStyle w:val="Znakapoznpodarou"/>
          <w:sz w:val="16"/>
          <w:szCs w:val="16"/>
        </w:rPr>
        <w:footnoteRef/>
      </w:r>
      <w:r w:rsidRPr="000862CD">
        <w:rPr>
          <w:sz w:val="16"/>
          <w:szCs w:val="16"/>
        </w:rPr>
        <w:t xml:space="preserve"> </w:t>
      </w:r>
      <w:r w:rsidRPr="00340619">
        <w:rPr>
          <w:sz w:val="16"/>
          <w:szCs w:val="16"/>
          <w:lang w:val="en-GB"/>
        </w:rPr>
        <w:t xml:space="preserve">Payment of extraordinary bonuses </w:t>
      </w:r>
      <w:proofErr w:type="gramStart"/>
      <w:r w:rsidRPr="00340619">
        <w:rPr>
          <w:sz w:val="16"/>
          <w:szCs w:val="16"/>
          <w:lang w:val="en-GB"/>
        </w:rPr>
        <w:t>to medical staff in connection to higher performance during spring pandemic wave</w:t>
      </w:r>
      <w:proofErr w:type="gramEnd"/>
      <w:r w:rsidRPr="00340619">
        <w:rPr>
          <w:sz w:val="16"/>
          <w:szCs w:val="16"/>
          <w:lang w:val="en-GB"/>
        </w:rPr>
        <w:t xml:space="preserve"> was app</w:t>
      </w:r>
      <w:r w:rsidRPr="00340619">
        <w:rPr>
          <w:bCs/>
          <w:spacing w:val="-3"/>
          <w:sz w:val="16"/>
          <w:szCs w:val="16"/>
          <w:lang w:val="en-GB"/>
        </w:rPr>
        <w:t>arent. Excluding this branch, the wage growth in the economy would oscillate only slightly above 4% in Q</w:t>
      </w:r>
      <w:r>
        <w:rPr>
          <w:bCs/>
          <w:spacing w:val="-3"/>
          <w:sz w:val="16"/>
          <w:szCs w:val="16"/>
          <w:lang w:val="en-GB"/>
        </w:rPr>
        <w:t>4</w:t>
      </w:r>
      <w:r w:rsidRPr="00340619">
        <w:rPr>
          <w:bCs/>
          <w:spacing w:val="-3"/>
          <w:sz w:val="16"/>
          <w:szCs w:val="16"/>
          <w:lang w:val="en-GB"/>
        </w:rPr>
        <w:t xml:space="preserve">. </w:t>
      </w:r>
    </w:p>
  </w:footnote>
  <w:footnote w:id="66">
    <w:p w:rsidR="003F15C8" w:rsidRPr="00340619" w:rsidRDefault="003F15C8" w:rsidP="00526F65">
      <w:pPr>
        <w:pStyle w:val="Textpoznpodarou"/>
        <w:jc w:val="both"/>
        <w:rPr>
          <w:sz w:val="16"/>
          <w:szCs w:val="16"/>
          <w:lang w:val="en-GB"/>
        </w:rPr>
      </w:pPr>
      <w:r w:rsidRPr="00340619">
        <w:rPr>
          <w:rStyle w:val="Znakapoznpodarou"/>
          <w:sz w:val="16"/>
          <w:szCs w:val="16"/>
          <w:lang w:val="en-GB"/>
        </w:rPr>
        <w:footnoteRef/>
      </w:r>
      <w:r w:rsidRPr="00340619">
        <w:rPr>
          <w:sz w:val="16"/>
          <w:szCs w:val="16"/>
          <w:lang w:val="en-GB"/>
        </w:rPr>
        <w:t xml:space="preserve"> </w:t>
      </w:r>
      <w:r>
        <w:rPr>
          <w:sz w:val="16"/>
          <w:szCs w:val="16"/>
          <w:lang w:val="en-GB"/>
        </w:rPr>
        <w:t xml:space="preserve">It represented one of few main economic branches, where the last year´s number of hours worked by employees increased </w:t>
      </w:r>
      <w:r w:rsidRPr="00340619">
        <w:rPr>
          <w:sz w:val="16"/>
          <w:szCs w:val="16"/>
          <w:lang w:val="en-GB"/>
        </w:rPr>
        <w:t>(+1</w:t>
      </w:r>
      <w:r>
        <w:rPr>
          <w:sz w:val="16"/>
          <w:szCs w:val="16"/>
          <w:lang w:val="en-GB"/>
        </w:rPr>
        <w:t>.</w:t>
      </w:r>
      <w:r w:rsidRPr="00340619">
        <w:rPr>
          <w:sz w:val="16"/>
          <w:szCs w:val="16"/>
          <w:lang w:val="en-GB"/>
        </w:rPr>
        <w:t>6%).</w:t>
      </w:r>
    </w:p>
  </w:footnote>
  <w:footnote w:id="67">
    <w:p w:rsidR="00791BF4" w:rsidRPr="002B7AFA" w:rsidRDefault="00791BF4" w:rsidP="00791BF4">
      <w:pPr>
        <w:pStyle w:val="Textpoznpodarou"/>
        <w:rPr>
          <w:sz w:val="16"/>
          <w:szCs w:val="16"/>
          <w:lang w:val="en-GB"/>
        </w:rPr>
      </w:pPr>
      <w:r>
        <w:rPr>
          <w:rStyle w:val="Znakapoznpodarou"/>
          <w:sz w:val="16"/>
          <w:szCs w:val="16"/>
        </w:rPr>
        <w:footnoteRef/>
      </w:r>
      <w:r>
        <w:rPr>
          <w:sz w:val="16"/>
          <w:szCs w:val="16"/>
        </w:rPr>
        <w:t xml:space="preserve"> </w:t>
      </w:r>
      <w:r w:rsidRPr="002B7AFA">
        <w:rPr>
          <w:sz w:val="16"/>
          <w:szCs w:val="16"/>
          <w:lang w:val="en-GB"/>
        </w:rPr>
        <w:t xml:space="preserve">Unless stated otherwise, the source of data in the chapter is the Czech National Bank database ARAD. Values of foreign </w:t>
      </w:r>
      <w:r>
        <w:rPr>
          <w:sz w:val="16"/>
          <w:szCs w:val="16"/>
          <w:lang w:val="en-GB"/>
        </w:rPr>
        <w:t>e</w:t>
      </w:r>
      <w:r w:rsidRPr="002B7AFA">
        <w:rPr>
          <w:sz w:val="16"/>
          <w:szCs w:val="16"/>
          <w:lang w:val="en-GB"/>
        </w:rPr>
        <w:t xml:space="preserve">xchange rates </w:t>
      </w:r>
      <w:proofErr w:type="gramStart"/>
      <w:r w:rsidRPr="002B7AFA">
        <w:rPr>
          <w:sz w:val="16"/>
          <w:szCs w:val="16"/>
          <w:lang w:val="en-GB"/>
        </w:rPr>
        <w:t>are also sourced</w:t>
      </w:r>
      <w:proofErr w:type="gramEnd"/>
      <w:r w:rsidRPr="002B7AFA">
        <w:rPr>
          <w:sz w:val="16"/>
          <w:szCs w:val="16"/>
          <w:lang w:val="en-GB"/>
        </w:rPr>
        <w:t xml:space="preserve"> from the CNB. </w:t>
      </w:r>
    </w:p>
    <w:p w:rsidR="00791BF4" w:rsidRDefault="00791BF4" w:rsidP="00791BF4">
      <w:pPr>
        <w:pStyle w:val="Textpoznpodarou"/>
        <w:rPr>
          <w:sz w:val="16"/>
          <w:szCs w:val="16"/>
        </w:rPr>
      </w:pPr>
    </w:p>
  </w:footnote>
  <w:footnote w:id="68">
    <w:p w:rsidR="00791BF4" w:rsidRPr="00AD7D55" w:rsidRDefault="00791BF4" w:rsidP="00791BF4">
      <w:pPr>
        <w:pStyle w:val="Textpoznpodarou"/>
        <w:jc w:val="both"/>
        <w:rPr>
          <w:sz w:val="16"/>
          <w:szCs w:val="16"/>
          <w:lang w:val="en-GB"/>
        </w:rPr>
      </w:pPr>
      <w:r w:rsidRPr="00D275CA">
        <w:rPr>
          <w:rStyle w:val="Znakapoznpodarou"/>
          <w:sz w:val="16"/>
          <w:szCs w:val="16"/>
        </w:rPr>
        <w:footnoteRef/>
      </w:r>
      <w:r w:rsidRPr="00D275CA">
        <w:rPr>
          <w:sz w:val="16"/>
          <w:szCs w:val="16"/>
        </w:rPr>
        <w:t xml:space="preserve"> </w:t>
      </w:r>
      <w:r w:rsidRPr="00AD7D55">
        <w:rPr>
          <w:sz w:val="16"/>
          <w:szCs w:val="16"/>
          <w:lang w:val="en-GB"/>
        </w:rPr>
        <w:t xml:space="preserve">Steep growth of the volume of </w:t>
      </w:r>
      <w:proofErr w:type="gramStart"/>
      <w:r w:rsidRPr="00AD7D55">
        <w:rPr>
          <w:sz w:val="16"/>
          <w:szCs w:val="16"/>
          <w:lang w:val="en-GB"/>
        </w:rPr>
        <w:t>short term</w:t>
      </w:r>
      <w:proofErr w:type="gramEnd"/>
      <w:r w:rsidRPr="00AD7D55">
        <w:rPr>
          <w:sz w:val="16"/>
          <w:szCs w:val="16"/>
          <w:lang w:val="en-GB"/>
        </w:rPr>
        <w:t xml:space="preserve"> credit in foreign currency was associated with anticipated appre</w:t>
      </w:r>
      <w:r>
        <w:rPr>
          <w:sz w:val="16"/>
          <w:szCs w:val="16"/>
          <w:lang w:val="en-GB"/>
        </w:rPr>
        <w:t xml:space="preserve">ciation </w:t>
      </w:r>
      <w:r w:rsidRPr="00AD7D55">
        <w:rPr>
          <w:sz w:val="16"/>
          <w:szCs w:val="16"/>
          <w:lang w:val="en-GB"/>
        </w:rPr>
        <w:t xml:space="preserve">of the foreign </w:t>
      </w:r>
      <w:r>
        <w:rPr>
          <w:sz w:val="16"/>
          <w:szCs w:val="16"/>
          <w:lang w:val="en-GB"/>
        </w:rPr>
        <w:t>e</w:t>
      </w:r>
      <w:r w:rsidRPr="00AD7D55">
        <w:rPr>
          <w:sz w:val="16"/>
          <w:szCs w:val="16"/>
          <w:lang w:val="en-GB"/>
        </w:rPr>
        <w:t xml:space="preserve">xchange (for instance before completion of interventions in 2017) in the past. In year 2020, the depreciation of foreign exchange against euro and dollar had rather temporary character, which enhanced speculations. </w:t>
      </w:r>
    </w:p>
  </w:footnote>
  <w:footnote w:id="69">
    <w:p w:rsidR="003F15C8" w:rsidRPr="007313AE" w:rsidRDefault="003F15C8" w:rsidP="00267C51">
      <w:pPr>
        <w:pStyle w:val="Textpoznpodarou"/>
        <w:jc w:val="both"/>
        <w:rPr>
          <w:spacing w:val="-2"/>
          <w:sz w:val="16"/>
          <w:szCs w:val="16"/>
          <w:lang w:val="en-GB"/>
        </w:rPr>
      </w:pPr>
      <w:r w:rsidRPr="00E915E7">
        <w:rPr>
          <w:rStyle w:val="Znakapoznpodarou"/>
          <w:spacing w:val="-2"/>
          <w:sz w:val="16"/>
          <w:szCs w:val="16"/>
        </w:rPr>
        <w:footnoteRef/>
      </w:r>
      <w:r w:rsidRPr="00E915E7">
        <w:rPr>
          <w:spacing w:val="-2"/>
          <w:sz w:val="16"/>
          <w:szCs w:val="16"/>
        </w:rPr>
        <w:t xml:space="preserve"> </w:t>
      </w:r>
      <w:r w:rsidRPr="007313AE">
        <w:rPr>
          <w:spacing w:val="-2"/>
          <w:sz w:val="16"/>
          <w:szCs w:val="16"/>
          <w:lang w:val="en-GB"/>
        </w:rPr>
        <w:t xml:space="preserve">Unless stated otherwise, </w:t>
      </w:r>
      <w:r>
        <w:rPr>
          <w:spacing w:val="-2"/>
          <w:sz w:val="16"/>
          <w:szCs w:val="16"/>
          <w:lang w:val="en-GB"/>
        </w:rPr>
        <w:t>all figures r</w:t>
      </w:r>
      <w:r w:rsidRPr="00D73C26">
        <w:rPr>
          <w:sz w:val="16"/>
          <w:szCs w:val="16"/>
          <w:lang w:val="en-GB"/>
        </w:rPr>
        <w:t>elated to the state budget stem from the data of the Ministry of Finance</w:t>
      </w:r>
      <w:r w:rsidR="00730D0A">
        <w:rPr>
          <w:sz w:val="16"/>
          <w:szCs w:val="16"/>
          <w:lang w:val="en-GB"/>
        </w:rPr>
        <w:t xml:space="preserve"> of the CR</w:t>
      </w:r>
      <w:r w:rsidRPr="00D73C26">
        <w:rPr>
          <w:sz w:val="16"/>
          <w:szCs w:val="16"/>
          <w:lang w:val="en-GB"/>
        </w:rPr>
        <w:t xml:space="preserve"> regarding the cash fulfilment</w:t>
      </w:r>
      <w:r>
        <w:rPr>
          <w:sz w:val="16"/>
          <w:szCs w:val="16"/>
          <w:lang w:val="en-GB"/>
        </w:rPr>
        <w:t xml:space="preserve">. </w:t>
      </w:r>
    </w:p>
  </w:footnote>
  <w:footnote w:id="70">
    <w:p w:rsidR="003F15C8" w:rsidRPr="007313AE" w:rsidRDefault="003F15C8" w:rsidP="00267C51">
      <w:pPr>
        <w:pStyle w:val="Textpoznpodarou"/>
        <w:rPr>
          <w:spacing w:val="-2"/>
          <w:sz w:val="16"/>
          <w:szCs w:val="16"/>
          <w:lang w:val="en-GB"/>
        </w:rPr>
      </w:pPr>
      <w:r w:rsidRPr="007313AE">
        <w:rPr>
          <w:rStyle w:val="Znakapoznpodarou"/>
          <w:spacing w:val="-2"/>
          <w:sz w:val="16"/>
          <w:szCs w:val="16"/>
          <w:lang w:val="en-GB"/>
        </w:rPr>
        <w:footnoteRef/>
      </w:r>
      <w:r w:rsidRPr="007313AE">
        <w:rPr>
          <w:spacing w:val="-2"/>
          <w:sz w:val="16"/>
          <w:szCs w:val="16"/>
          <w:lang w:val="en-GB"/>
        </w:rPr>
        <w:t xml:space="preserve"> </w:t>
      </w:r>
      <w:r>
        <w:rPr>
          <w:spacing w:val="-2"/>
          <w:sz w:val="16"/>
          <w:szCs w:val="16"/>
          <w:lang w:val="en-GB"/>
        </w:rPr>
        <w:t xml:space="preserve">SB deficit deepened by </w:t>
      </w:r>
      <w:r w:rsidRPr="007313AE">
        <w:rPr>
          <w:spacing w:val="-2"/>
          <w:sz w:val="16"/>
          <w:szCs w:val="16"/>
          <w:lang w:val="en-GB"/>
        </w:rPr>
        <w:t>63</w:t>
      </w:r>
      <w:r>
        <w:rPr>
          <w:spacing w:val="-2"/>
          <w:sz w:val="16"/>
          <w:szCs w:val="16"/>
          <w:lang w:val="en-GB"/>
        </w:rPr>
        <w:t>.</w:t>
      </w:r>
      <w:r w:rsidRPr="007313AE">
        <w:rPr>
          <w:spacing w:val="-2"/>
          <w:sz w:val="16"/>
          <w:szCs w:val="16"/>
          <w:lang w:val="en-GB"/>
        </w:rPr>
        <w:t>7</w:t>
      </w:r>
      <w:r>
        <w:rPr>
          <w:spacing w:val="-2"/>
          <w:sz w:val="16"/>
          <w:szCs w:val="16"/>
          <w:lang w:val="en-GB"/>
        </w:rPr>
        <w:t xml:space="preserve"> CZK </w:t>
      </w:r>
      <w:proofErr w:type="spellStart"/>
      <w:r>
        <w:rPr>
          <w:spacing w:val="-2"/>
          <w:sz w:val="16"/>
          <w:szCs w:val="16"/>
          <w:lang w:val="en-GB"/>
        </w:rPr>
        <w:t>bn</w:t>
      </w:r>
      <w:proofErr w:type="spellEnd"/>
      <w:r>
        <w:rPr>
          <w:spacing w:val="-2"/>
          <w:sz w:val="16"/>
          <w:szCs w:val="16"/>
          <w:lang w:val="en-GB"/>
        </w:rPr>
        <w:t xml:space="preserve"> during May </w:t>
      </w:r>
      <w:proofErr w:type="gramStart"/>
      <w:r>
        <w:rPr>
          <w:spacing w:val="-2"/>
          <w:sz w:val="16"/>
          <w:szCs w:val="16"/>
          <w:lang w:val="en-GB"/>
        </w:rPr>
        <w:t>only</w:t>
      </w:r>
      <w:r w:rsidRPr="007313AE">
        <w:rPr>
          <w:spacing w:val="-2"/>
          <w:sz w:val="16"/>
          <w:szCs w:val="16"/>
          <w:lang w:val="en-GB"/>
        </w:rPr>
        <w:t>,</w:t>
      </w:r>
      <w:proofErr w:type="gramEnd"/>
      <w:r>
        <w:rPr>
          <w:spacing w:val="-2"/>
          <w:sz w:val="16"/>
          <w:szCs w:val="16"/>
          <w:lang w:val="en-GB"/>
        </w:rPr>
        <w:t xml:space="preserve"> by further </w:t>
      </w:r>
      <w:r w:rsidRPr="007313AE">
        <w:rPr>
          <w:spacing w:val="-2"/>
          <w:sz w:val="16"/>
          <w:szCs w:val="16"/>
          <w:lang w:val="en-GB"/>
        </w:rPr>
        <w:t>67</w:t>
      </w:r>
      <w:r>
        <w:rPr>
          <w:spacing w:val="-2"/>
          <w:sz w:val="16"/>
          <w:szCs w:val="16"/>
          <w:lang w:val="en-GB"/>
        </w:rPr>
        <w:t>.</w:t>
      </w:r>
      <w:r w:rsidRPr="007313AE">
        <w:rPr>
          <w:spacing w:val="-2"/>
          <w:sz w:val="16"/>
          <w:szCs w:val="16"/>
          <w:lang w:val="en-GB"/>
        </w:rPr>
        <w:t>5</w:t>
      </w:r>
      <w:r>
        <w:rPr>
          <w:spacing w:val="-2"/>
          <w:sz w:val="16"/>
          <w:szCs w:val="16"/>
          <w:lang w:val="en-GB"/>
        </w:rPr>
        <w:t xml:space="preserve"> </w:t>
      </w:r>
      <w:proofErr w:type="spellStart"/>
      <w:r>
        <w:rPr>
          <w:spacing w:val="-2"/>
          <w:sz w:val="16"/>
          <w:szCs w:val="16"/>
          <w:lang w:val="en-GB"/>
        </w:rPr>
        <w:t>bn</w:t>
      </w:r>
      <w:proofErr w:type="spellEnd"/>
      <w:r>
        <w:rPr>
          <w:spacing w:val="-2"/>
          <w:sz w:val="16"/>
          <w:szCs w:val="16"/>
          <w:lang w:val="en-GB"/>
        </w:rPr>
        <w:t xml:space="preserve"> in November</w:t>
      </w:r>
      <w:r w:rsidRPr="007313AE">
        <w:rPr>
          <w:spacing w:val="-2"/>
          <w:sz w:val="16"/>
          <w:szCs w:val="16"/>
          <w:lang w:val="en-GB"/>
        </w:rPr>
        <w:t>.</w:t>
      </w:r>
    </w:p>
  </w:footnote>
  <w:footnote w:id="71">
    <w:p w:rsidR="003F15C8" w:rsidRPr="007313AE" w:rsidRDefault="003F15C8" w:rsidP="00267C51">
      <w:pPr>
        <w:pStyle w:val="Textpoznpodarou"/>
        <w:rPr>
          <w:spacing w:val="-2"/>
          <w:sz w:val="16"/>
          <w:szCs w:val="16"/>
          <w:lang w:val="en-GB"/>
        </w:rPr>
      </w:pPr>
      <w:r w:rsidRPr="007313AE">
        <w:rPr>
          <w:rStyle w:val="Znakapoznpodarou"/>
          <w:spacing w:val="-2"/>
          <w:sz w:val="16"/>
          <w:szCs w:val="16"/>
          <w:lang w:val="en-GB"/>
        </w:rPr>
        <w:footnoteRef/>
      </w:r>
      <w:r w:rsidRPr="007313AE">
        <w:rPr>
          <w:spacing w:val="-2"/>
          <w:sz w:val="16"/>
          <w:szCs w:val="16"/>
          <w:lang w:val="en-GB"/>
        </w:rPr>
        <w:t xml:space="preserve"> </w:t>
      </w:r>
      <w:r>
        <w:rPr>
          <w:spacing w:val="-2"/>
          <w:sz w:val="16"/>
          <w:szCs w:val="16"/>
          <w:lang w:val="en-GB"/>
        </w:rPr>
        <w:t xml:space="preserve">The depth of slump in 2009 </w:t>
      </w:r>
      <w:proofErr w:type="gramStart"/>
      <w:r>
        <w:rPr>
          <w:spacing w:val="-2"/>
          <w:sz w:val="16"/>
          <w:szCs w:val="16"/>
          <w:lang w:val="en-GB"/>
        </w:rPr>
        <w:t>was however compared</w:t>
      </w:r>
      <w:proofErr w:type="gramEnd"/>
      <w:r>
        <w:rPr>
          <w:spacing w:val="-2"/>
          <w:sz w:val="16"/>
          <w:szCs w:val="16"/>
          <w:lang w:val="en-GB"/>
        </w:rPr>
        <w:t xml:space="preserve"> to the last year more than double </w:t>
      </w:r>
      <w:r w:rsidRPr="007313AE">
        <w:rPr>
          <w:spacing w:val="-2"/>
          <w:sz w:val="16"/>
          <w:szCs w:val="16"/>
          <w:lang w:val="en-GB"/>
        </w:rPr>
        <w:t>(–11</w:t>
      </w:r>
      <w:r>
        <w:rPr>
          <w:spacing w:val="-2"/>
          <w:sz w:val="16"/>
          <w:szCs w:val="16"/>
          <w:lang w:val="en-GB"/>
        </w:rPr>
        <w:t>.</w:t>
      </w:r>
      <w:r w:rsidRPr="007313AE">
        <w:rPr>
          <w:spacing w:val="-2"/>
          <w:sz w:val="16"/>
          <w:szCs w:val="16"/>
          <w:lang w:val="en-GB"/>
        </w:rPr>
        <w:t>6%).</w:t>
      </w:r>
    </w:p>
  </w:footnote>
  <w:footnote w:id="72">
    <w:p w:rsidR="003F15C8" w:rsidRPr="009A5F39" w:rsidRDefault="003F15C8" w:rsidP="0049030E">
      <w:pPr>
        <w:pStyle w:val="Textpoznpodarou"/>
        <w:jc w:val="both"/>
        <w:rPr>
          <w:spacing w:val="-2"/>
          <w:sz w:val="16"/>
          <w:szCs w:val="16"/>
          <w:lang w:val="en-GB"/>
        </w:rPr>
      </w:pPr>
      <w:r w:rsidRPr="00E915E7">
        <w:rPr>
          <w:rStyle w:val="Znakapoznpodarou"/>
          <w:spacing w:val="-2"/>
          <w:sz w:val="16"/>
          <w:szCs w:val="16"/>
        </w:rPr>
        <w:footnoteRef/>
      </w:r>
      <w:r w:rsidRPr="00E915E7">
        <w:rPr>
          <w:spacing w:val="-2"/>
          <w:sz w:val="16"/>
          <w:szCs w:val="16"/>
        </w:rPr>
        <w:t xml:space="preserve"> </w:t>
      </w:r>
      <w:r w:rsidRPr="009A5F39">
        <w:rPr>
          <w:spacing w:val="-2"/>
          <w:sz w:val="16"/>
          <w:szCs w:val="16"/>
          <w:lang w:val="en-GB"/>
        </w:rPr>
        <w:t xml:space="preserve">Small and medium businesses </w:t>
      </w:r>
      <w:proofErr w:type="gramStart"/>
      <w:r w:rsidRPr="009A5F39">
        <w:rPr>
          <w:spacing w:val="-2"/>
          <w:sz w:val="16"/>
          <w:szCs w:val="16"/>
          <w:lang w:val="en-GB"/>
        </w:rPr>
        <w:t>are more frequently represented</w:t>
      </w:r>
      <w:proofErr w:type="gramEnd"/>
      <w:r w:rsidRPr="009A5F39">
        <w:rPr>
          <w:spacing w:val="-2"/>
          <w:sz w:val="16"/>
          <w:szCs w:val="16"/>
          <w:lang w:val="en-GB"/>
        </w:rPr>
        <w:t xml:space="preserve"> in this segment, who with the view to the size of their sales </w:t>
      </w:r>
      <w:r>
        <w:rPr>
          <w:spacing w:val="-2"/>
          <w:sz w:val="16"/>
          <w:szCs w:val="16"/>
          <w:lang w:val="en-GB"/>
        </w:rPr>
        <w:t xml:space="preserve">often do </w:t>
      </w:r>
      <w:r w:rsidRPr="009A5F39">
        <w:rPr>
          <w:spacing w:val="-2"/>
          <w:sz w:val="16"/>
          <w:szCs w:val="16"/>
          <w:lang w:val="en-GB"/>
        </w:rPr>
        <w:t>not</w:t>
      </w:r>
      <w:r>
        <w:rPr>
          <w:spacing w:val="-2"/>
          <w:sz w:val="16"/>
          <w:szCs w:val="16"/>
          <w:lang w:val="en-GB"/>
        </w:rPr>
        <w:t xml:space="preserve"> </w:t>
      </w:r>
      <w:r w:rsidRPr="009A5F39">
        <w:rPr>
          <w:spacing w:val="-2"/>
          <w:sz w:val="16"/>
          <w:szCs w:val="16"/>
          <w:lang w:val="en-GB"/>
        </w:rPr>
        <w:t>have to be regular payers of the tax advances.</w:t>
      </w:r>
      <w:r>
        <w:rPr>
          <w:spacing w:val="-2"/>
          <w:sz w:val="16"/>
          <w:szCs w:val="16"/>
          <w:lang w:val="en-GB"/>
        </w:rPr>
        <w:t xml:space="preserve"> Their adverse economic re</w:t>
      </w:r>
      <w:r w:rsidR="00730D0A">
        <w:rPr>
          <w:spacing w:val="-2"/>
          <w:sz w:val="16"/>
          <w:szCs w:val="16"/>
          <w:lang w:val="en-GB"/>
        </w:rPr>
        <w:t xml:space="preserve">sults </w:t>
      </w:r>
      <w:proofErr w:type="gramStart"/>
      <w:r w:rsidR="00730D0A">
        <w:rPr>
          <w:spacing w:val="-2"/>
          <w:sz w:val="16"/>
          <w:szCs w:val="16"/>
          <w:lang w:val="en-GB"/>
        </w:rPr>
        <w:t>will thus be fully reflected</w:t>
      </w:r>
      <w:proofErr w:type="gramEnd"/>
      <w:r>
        <w:rPr>
          <w:spacing w:val="-2"/>
          <w:sz w:val="16"/>
          <w:szCs w:val="16"/>
          <w:lang w:val="en-GB"/>
        </w:rPr>
        <w:t xml:space="preserve"> in </w:t>
      </w:r>
      <w:r w:rsidR="00730D0A">
        <w:rPr>
          <w:spacing w:val="-2"/>
          <w:sz w:val="16"/>
          <w:szCs w:val="16"/>
          <w:lang w:val="en-GB"/>
        </w:rPr>
        <w:t xml:space="preserve">tax </w:t>
      </w:r>
      <w:r>
        <w:rPr>
          <w:spacing w:val="-2"/>
          <w:sz w:val="16"/>
          <w:szCs w:val="16"/>
          <w:lang w:val="en-GB"/>
        </w:rPr>
        <w:t xml:space="preserve">collection only in summer </w:t>
      </w:r>
      <w:r w:rsidRPr="009A5F39">
        <w:rPr>
          <w:spacing w:val="-2"/>
          <w:sz w:val="16"/>
          <w:szCs w:val="16"/>
          <w:lang w:val="en-GB"/>
        </w:rPr>
        <w:t>2021 (</w:t>
      </w:r>
      <w:r>
        <w:rPr>
          <w:spacing w:val="-2"/>
          <w:sz w:val="16"/>
          <w:szCs w:val="16"/>
          <w:lang w:val="en-GB"/>
        </w:rPr>
        <w:t>at annual tax settlement</w:t>
      </w:r>
      <w:r w:rsidRPr="009A5F39">
        <w:rPr>
          <w:spacing w:val="-2"/>
          <w:sz w:val="16"/>
          <w:szCs w:val="16"/>
          <w:lang w:val="en-GB"/>
        </w:rPr>
        <w:t>).</w:t>
      </w:r>
    </w:p>
  </w:footnote>
  <w:footnote w:id="73">
    <w:p w:rsidR="003F15C8" w:rsidRPr="009A5F39" w:rsidRDefault="003F15C8" w:rsidP="0049030E">
      <w:pPr>
        <w:pStyle w:val="Textpoznpodarou"/>
        <w:jc w:val="both"/>
        <w:rPr>
          <w:spacing w:val="-2"/>
          <w:lang w:val="en-GB"/>
        </w:rPr>
      </w:pPr>
      <w:r w:rsidRPr="009A5F39">
        <w:rPr>
          <w:rStyle w:val="Znakapoznpodarou"/>
          <w:spacing w:val="-2"/>
          <w:sz w:val="16"/>
          <w:szCs w:val="16"/>
          <w:lang w:val="en-GB"/>
        </w:rPr>
        <w:footnoteRef/>
      </w:r>
      <w:r w:rsidRPr="009A5F39">
        <w:rPr>
          <w:spacing w:val="-2"/>
          <w:sz w:val="16"/>
          <w:szCs w:val="16"/>
          <w:lang w:val="en-GB"/>
        </w:rPr>
        <w:t xml:space="preserve"> </w:t>
      </w:r>
      <w:r>
        <w:rPr>
          <w:spacing w:val="-2"/>
          <w:sz w:val="16"/>
          <w:szCs w:val="16"/>
          <w:lang w:val="en-GB"/>
        </w:rPr>
        <w:t xml:space="preserve">Deeper year-on-year plunge of the collection of this tax occurred last in year </w:t>
      </w:r>
      <w:r w:rsidRPr="009A5F39">
        <w:rPr>
          <w:spacing w:val="-2"/>
          <w:sz w:val="16"/>
          <w:szCs w:val="16"/>
          <w:lang w:val="en-GB"/>
        </w:rPr>
        <w:t>2008 (</w:t>
      </w:r>
      <w:r>
        <w:rPr>
          <w:spacing w:val="-2"/>
          <w:sz w:val="16"/>
          <w:szCs w:val="16"/>
          <w:lang w:val="en-GB"/>
        </w:rPr>
        <w:t xml:space="preserve">by </w:t>
      </w:r>
      <w:r w:rsidRPr="009A5F39">
        <w:rPr>
          <w:spacing w:val="-2"/>
          <w:sz w:val="16"/>
          <w:szCs w:val="16"/>
          <w:lang w:val="en-GB"/>
        </w:rPr>
        <w:t>8</w:t>
      </w:r>
      <w:r>
        <w:rPr>
          <w:spacing w:val="-2"/>
          <w:sz w:val="16"/>
          <w:szCs w:val="16"/>
          <w:lang w:val="en-GB"/>
        </w:rPr>
        <w:t>.</w:t>
      </w:r>
      <w:r w:rsidRPr="009A5F39">
        <w:rPr>
          <w:spacing w:val="-2"/>
          <w:sz w:val="16"/>
          <w:szCs w:val="16"/>
          <w:lang w:val="en-GB"/>
        </w:rPr>
        <w:t>9%).</w:t>
      </w:r>
      <w:r>
        <w:rPr>
          <w:spacing w:val="-2"/>
          <w:sz w:val="16"/>
          <w:szCs w:val="16"/>
          <w:lang w:val="en-GB"/>
        </w:rPr>
        <w:t xml:space="preserve"> The introduction of even 15% tax from the super-gross wage had a major effect at that time. </w:t>
      </w:r>
    </w:p>
  </w:footnote>
  <w:footnote w:id="74">
    <w:p w:rsidR="003F15C8" w:rsidRPr="009A5F39" w:rsidRDefault="003F15C8" w:rsidP="0049030E">
      <w:pPr>
        <w:pStyle w:val="Textpoznpodarou"/>
        <w:jc w:val="both"/>
        <w:rPr>
          <w:sz w:val="16"/>
          <w:szCs w:val="16"/>
          <w:lang w:val="en-GB"/>
        </w:rPr>
      </w:pPr>
      <w:r w:rsidRPr="009A5F39">
        <w:rPr>
          <w:rStyle w:val="Znakapoznpodarou"/>
          <w:spacing w:val="-2"/>
          <w:sz w:val="16"/>
          <w:szCs w:val="16"/>
          <w:lang w:val="en-GB"/>
        </w:rPr>
        <w:footnoteRef/>
      </w:r>
      <w:r w:rsidRPr="009A5F39">
        <w:rPr>
          <w:spacing w:val="-2"/>
          <w:sz w:val="16"/>
          <w:szCs w:val="16"/>
          <w:lang w:val="en-GB"/>
        </w:rPr>
        <w:t xml:space="preserve"> </w:t>
      </w:r>
      <w:r>
        <w:rPr>
          <w:spacing w:val="-2"/>
          <w:sz w:val="16"/>
          <w:szCs w:val="16"/>
          <w:lang w:val="en-GB"/>
        </w:rPr>
        <w:t>It was the only more significant by volume tax</w:t>
      </w:r>
      <w:r w:rsidRPr="009A5F39">
        <w:rPr>
          <w:spacing w:val="-2"/>
          <w:sz w:val="16"/>
          <w:szCs w:val="16"/>
          <w:lang w:val="en-GB"/>
        </w:rPr>
        <w:t xml:space="preserve">, </w:t>
      </w:r>
      <w:r>
        <w:rPr>
          <w:spacing w:val="-2"/>
          <w:sz w:val="16"/>
          <w:szCs w:val="16"/>
          <w:lang w:val="en-GB"/>
        </w:rPr>
        <w:t xml:space="preserve">whose collection exceeded the original budget anticipation in year </w:t>
      </w:r>
      <w:r w:rsidRPr="009A5F39">
        <w:rPr>
          <w:spacing w:val="-2"/>
          <w:sz w:val="16"/>
          <w:szCs w:val="16"/>
          <w:lang w:val="en-GB"/>
        </w:rPr>
        <w:t>2020</w:t>
      </w:r>
      <w:r>
        <w:rPr>
          <w:spacing w:val="-2"/>
          <w:sz w:val="16"/>
          <w:szCs w:val="16"/>
          <w:lang w:val="en-GB"/>
        </w:rPr>
        <w:t xml:space="preserve"> </w:t>
      </w:r>
      <w:r w:rsidRPr="009A5F39">
        <w:rPr>
          <w:spacing w:val="-2"/>
          <w:sz w:val="16"/>
          <w:szCs w:val="16"/>
          <w:lang w:val="en-GB"/>
        </w:rPr>
        <w:t>(</w:t>
      </w:r>
      <w:r>
        <w:rPr>
          <w:spacing w:val="-2"/>
          <w:sz w:val="16"/>
          <w:szCs w:val="16"/>
          <w:lang w:val="en-GB"/>
        </w:rPr>
        <w:t xml:space="preserve">based on the State Budget Act approved on </w:t>
      </w:r>
      <w:r w:rsidRPr="009A5F39">
        <w:rPr>
          <w:spacing w:val="-2"/>
          <w:sz w:val="16"/>
          <w:szCs w:val="16"/>
          <w:lang w:val="en-GB"/>
        </w:rPr>
        <w:t>4</w:t>
      </w:r>
      <w:r w:rsidRPr="006B47C8">
        <w:rPr>
          <w:spacing w:val="-2"/>
          <w:sz w:val="16"/>
          <w:szCs w:val="16"/>
          <w:vertAlign w:val="superscript"/>
          <w:lang w:val="en-GB"/>
        </w:rPr>
        <w:t>th</w:t>
      </w:r>
      <w:r>
        <w:rPr>
          <w:spacing w:val="-2"/>
          <w:sz w:val="16"/>
          <w:szCs w:val="16"/>
          <w:lang w:val="en-GB"/>
        </w:rPr>
        <w:t xml:space="preserve"> December </w:t>
      </w:r>
      <w:r w:rsidRPr="009A5F39">
        <w:rPr>
          <w:spacing w:val="-2"/>
          <w:sz w:val="16"/>
          <w:szCs w:val="16"/>
          <w:lang w:val="en-GB"/>
        </w:rPr>
        <w:t xml:space="preserve">2019 </w:t>
      </w:r>
      <w:r>
        <w:rPr>
          <w:spacing w:val="-2"/>
          <w:sz w:val="16"/>
          <w:szCs w:val="16"/>
          <w:lang w:val="en-GB"/>
        </w:rPr>
        <w:t xml:space="preserve">with budget deficit of </w:t>
      </w:r>
      <w:r w:rsidRPr="009A5F39">
        <w:rPr>
          <w:spacing w:val="-2"/>
          <w:sz w:val="16"/>
          <w:szCs w:val="16"/>
          <w:lang w:val="en-GB"/>
        </w:rPr>
        <w:t>40</w:t>
      </w:r>
      <w:r>
        <w:rPr>
          <w:spacing w:val="-2"/>
          <w:sz w:val="16"/>
          <w:szCs w:val="16"/>
          <w:lang w:val="en-GB"/>
        </w:rPr>
        <w:t xml:space="preserve"> CZK </w:t>
      </w:r>
      <w:proofErr w:type="spellStart"/>
      <w:r>
        <w:rPr>
          <w:spacing w:val="-2"/>
          <w:sz w:val="16"/>
          <w:szCs w:val="16"/>
          <w:lang w:val="en-GB"/>
        </w:rPr>
        <w:t>bn</w:t>
      </w:r>
      <w:proofErr w:type="spellEnd"/>
      <w:r w:rsidRPr="009A5F39">
        <w:rPr>
          <w:spacing w:val="-2"/>
          <w:sz w:val="16"/>
          <w:szCs w:val="16"/>
          <w:lang w:val="en-GB"/>
        </w:rPr>
        <w:t>).</w:t>
      </w:r>
    </w:p>
  </w:footnote>
  <w:footnote w:id="75">
    <w:p w:rsidR="003F15C8" w:rsidRPr="00D86273" w:rsidRDefault="003F15C8" w:rsidP="00D86273">
      <w:pPr>
        <w:pStyle w:val="Textpoznpodarou"/>
        <w:jc w:val="both"/>
        <w:rPr>
          <w:spacing w:val="-5"/>
          <w:sz w:val="16"/>
          <w:szCs w:val="16"/>
          <w:lang w:val="en-GB"/>
        </w:rPr>
      </w:pPr>
      <w:r w:rsidRPr="00E97F14">
        <w:rPr>
          <w:rStyle w:val="Znakapoznpodarou"/>
          <w:spacing w:val="-5"/>
          <w:sz w:val="16"/>
          <w:szCs w:val="16"/>
        </w:rPr>
        <w:footnoteRef/>
      </w:r>
      <w:r w:rsidRPr="00E97F14">
        <w:rPr>
          <w:spacing w:val="-5"/>
          <w:sz w:val="16"/>
          <w:szCs w:val="16"/>
        </w:rPr>
        <w:t xml:space="preserve"> </w:t>
      </w:r>
      <w:proofErr w:type="gramStart"/>
      <w:r>
        <w:rPr>
          <w:spacing w:val="-5"/>
          <w:sz w:val="16"/>
          <w:szCs w:val="16"/>
          <w:lang w:val="en-GB"/>
        </w:rPr>
        <w:t xml:space="preserve">It primarily concerned outlays on health care </w:t>
      </w:r>
      <w:r w:rsidRPr="00D86273">
        <w:rPr>
          <w:color w:val="0D0D0D" w:themeColor="text1" w:themeTint="F2"/>
          <w:spacing w:val="-5"/>
          <w:sz w:val="16"/>
          <w:szCs w:val="16"/>
          <w:lang w:val="en-GB"/>
        </w:rPr>
        <w:t>(54</w:t>
      </w:r>
      <w:r>
        <w:rPr>
          <w:color w:val="0D0D0D" w:themeColor="text1" w:themeTint="F2"/>
          <w:spacing w:val="-5"/>
          <w:sz w:val="16"/>
          <w:szCs w:val="16"/>
          <w:lang w:val="en-GB"/>
        </w:rPr>
        <w:t>.</w:t>
      </w:r>
      <w:r w:rsidRPr="00D86273">
        <w:rPr>
          <w:color w:val="0D0D0D" w:themeColor="text1" w:themeTint="F2"/>
          <w:spacing w:val="-5"/>
          <w:sz w:val="16"/>
          <w:szCs w:val="16"/>
          <w:lang w:val="en-GB"/>
        </w:rPr>
        <w:t>8</w:t>
      </w:r>
      <w:r>
        <w:rPr>
          <w:color w:val="0D0D0D" w:themeColor="text1" w:themeTint="F2"/>
          <w:spacing w:val="-5"/>
          <w:sz w:val="16"/>
          <w:szCs w:val="16"/>
          <w:lang w:val="en-GB"/>
        </w:rPr>
        <w:t xml:space="preserve"> CZK </w:t>
      </w:r>
      <w:proofErr w:type="spellStart"/>
      <w:r>
        <w:rPr>
          <w:color w:val="0D0D0D" w:themeColor="text1" w:themeTint="F2"/>
          <w:spacing w:val="-5"/>
          <w:sz w:val="16"/>
          <w:szCs w:val="16"/>
          <w:lang w:val="en-GB"/>
        </w:rPr>
        <w:t>bn</w:t>
      </w:r>
      <w:proofErr w:type="spellEnd"/>
      <w:r>
        <w:rPr>
          <w:color w:val="0D0D0D" w:themeColor="text1" w:themeTint="F2"/>
          <w:spacing w:val="-5"/>
          <w:sz w:val="16"/>
          <w:szCs w:val="16"/>
          <w:lang w:val="en-GB"/>
        </w:rPr>
        <w:t xml:space="preserve">, especially purchase of protective aids in connection to </w:t>
      </w:r>
      <w:r w:rsidRPr="00D86273">
        <w:rPr>
          <w:color w:val="0D0D0D" w:themeColor="text1" w:themeTint="F2"/>
          <w:spacing w:val="-5"/>
          <w:sz w:val="16"/>
          <w:szCs w:val="16"/>
          <w:lang w:val="en-GB"/>
        </w:rPr>
        <w:t xml:space="preserve">covid-19, </w:t>
      </w:r>
      <w:r>
        <w:rPr>
          <w:color w:val="0D0D0D" w:themeColor="text1" w:themeTint="F2"/>
          <w:spacing w:val="-5"/>
          <w:sz w:val="16"/>
          <w:szCs w:val="16"/>
          <w:lang w:val="en-GB"/>
        </w:rPr>
        <w:t>debt relief of selected hospitals</w:t>
      </w:r>
      <w:r w:rsidRPr="00D86273">
        <w:rPr>
          <w:color w:val="0D0D0D" w:themeColor="text1" w:themeTint="F2"/>
          <w:spacing w:val="-5"/>
          <w:sz w:val="16"/>
          <w:szCs w:val="16"/>
          <w:lang w:val="en-GB"/>
        </w:rPr>
        <w:t xml:space="preserve">, </w:t>
      </w:r>
      <w:r>
        <w:rPr>
          <w:color w:val="0D0D0D" w:themeColor="text1" w:themeTint="F2"/>
          <w:spacing w:val="-5"/>
          <w:sz w:val="16"/>
          <w:szCs w:val="16"/>
          <w:lang w:val="en-GB"/>
        </w:rPr>
        <w:t>enhanced payment of the state per the state insured persons and increase of personal costs of workers in the health care</w:t>
      </w:r>
      <w:r w:rsidRPr="00D86273">
        <w:rPr>
          <w:color w:val="0D0D0D" w:themeColor="text1" w:themeTint="F2"/>
          <w:spacing w:val="-5"/>
          <w:sz w:val="16"/>
          <w:szCs w:val="16"/>
          <w:lang w:val="en-GB"/>
        </w:rPr>
        <w:t>),</w:t>
      </w:r>
      <w:r>
        <w:rPr>
          <w:color w:val="0D0D0D" w:themeColor="text1" w:themeTint="F2"/>
          <w:spacing w:val="-5"/>
          <w:sz w:val="16"/>
          <w:szCs w:val="16"/>
          <w:lang w:val="en-GB"/>
        </w:rPr>
        <w:t xml:space="preserve"> further programme A</w:t>
      </w:r>
      <w:r w:rsidRPr="00D86273">
        <w:rPr>
          <w:color w:val="0D0D0D" w:themeColor="text1" w:themeTint="F2"/>
          <w:spacing w:val="-5"/>
          <w:sz w:val="16"/>
          <w:szCs w:val="16"/>
          <w:lang w:val="en-GB"/>
        </w:rPr>
        <w:t>ntivirus A + B (23</w:t>
      </w:r>
      <w:r>
        <w:rPr>
          <w:color w:val="0D0D0D" w:themeColor="text1" w:themeTint="F2"/>
          <w:spacing w:val="-5"/>
          <w:sz w:val="16"/>
          <w:szCs w:val="16"/>
          <w:lang w:val="en-GB"/>
        </w:rPr>
        <w:t>.</w:t>
      </w:r>
      <w:r w:rsidRPr="00D86273">
        <w:rPr>
          <w:color w:val="0D0D0D" w:themeColor="text1" w:themeTint="F2"/>
          <w:spacing w:val="-5"/>
          <w:sz w:val="16"/>
          <w:szCs w:val="16"/>
          <w:lang w:val="en-GB"/>
        </w:rPr>
        <w:t>7 </w:t>
      </w:r>
      <w:proofErr w:type="spellStart"/>
      <w:r>
        <w:rPr>
          <w:color w:val="0D0D0D" w:themeColor="text1" w:themeTint="F2"/>
          <w:spacing w:val="-5"/>
          <w:sz w:val="16"/>
          <w:szCs w:val="16"/>
          <w:lang w:val="en-GB"/>
        </w:rPr>
        <w:t>bn</w:t>
      </w:r>
      <w:proofErr w:type="spellEnd"/>
      <w:r w:rsidRPr="00D86273">
        <w:rPr>
          <w:color w:val="0D0D0D" w:themeColor="text1" w:themeTint="F2"/>
          <w:spacing w:val="-5"/>
          <w:sz w:val="16"/>
          <w:szCs w:val="16"/>
          <w:lang w:val="en-GB"/>
        </w:rPr>
        <w:t>),</w:t>
      </w:r>
      <w:r>
        <w:rPr>
          <w:color w:val="0D0D0D" w:themeColor="text1" w:themeTint="F2"/>
          <w:spacing w:val="-5"/>
          <w:sz w:val="16"/>
          <w:szCs w:val="16"/>
          <w:lang w:val="en-GB"/>
        </w:rPr>
        <w:t xml:space="preserve"> care benefits for employees and self-employed </w:t>
      </w:r>
      <w:r w:rsidRPr="00D86273">
        <w:rPr>
          <w:color w:val="0D0D0D" w:themeColor="text1" w:themeTint="F2"/>
          <w:spacing w:val="-5"/>
          <w:sz w:val="16"/>
          <w:szCs w:val="16"/>
          <w:lang w:val="en-GB"/>
        </w:rPr>
        <w:t>(12</w:t>
      </w:r>
      <w:r>
        <w:rPr>
          <w:color w:val="0D0D0D" w:themeColor="text1" w:themeTint="F2"/>
          <w:spacing w:val="-5"/>
          <w:sz w:val="16"/>
          <w:szCs w:val="16"/>
          <w:lang w:val="en-GB"/>
        </w:rPr>
        <w:t>.</w:t>
      </w:r>
      <w:r w:rsidRPr="00D86273">
        <w:rPr>
          <w:color w:val="0D0D0D" w:themeColor="text1" w:themeTint="F2"/>
          <w:spacing w:val="-5"/>
          <w:sz w:val="16"/>
          <w:szCs w:val="16"/>
          <w:lang w:val="en-GB"/>
        </w:rPr>
        <w:t>0</w:t>
      </w:r>
      <w:r>
        <w:rPr>
          <w:color w:val="0D0D0D" w:themeColor="text1" w:themeTint="F2"/>
          <w:spacing w:val="-5"/>
          <w:sz w:val="16"/>
          <w:szCs w:val="16"/>
          <w:lang w:val="en-GB"/>
        </w:rPr>
        <w:t xml:space="preserve"> </w:t>
      </w:r>
      <w:proofErr w:type="spellStart"/>
      <w:r>
        <w:rPr>
          <w:color w:val="0D0D0D" w:themeColor="text1" w:themeTint="F2"/>
          <w:spacing w:val="-5"/>
          <w:sz w:val="16"/>
          <w:szCs w:val="16"/>
          <w:lang w:val="en-GB"/>
        </w:rPr>
        <w:t>bn</w:t>
      </w:r>
      <w:proofErr w:type="spellEnd"/>
      <w:r w:rsidRPr="00D86273">
        <w:rPr>
          <w:color w:val="0D0D0D" w:themeColor="text1" w:themeTint="F2"/>
          <w:spacing w:val="-5"/>
          <w:sz w:val="16"/>
          <w:szCs w:val="16"/>
          <w:lang w:val="en-GB"/>
        </w:rPr>
        <w:t xml:space="preserve">), </w:t>
      </w:r>
      <w:r>
        <w:rPr>
          <w:color w:val="0D0D0D" w:themeColor="text1" w:themeTint="F2"/>
          <w:spacing w:val="-5"/>
          <w:sz w:val="16"/>
          <w:szCs w:val="16"/>
          <w:lang w:val="en-GB"/>
        </w:rPr>
        <w:t xml:space="preserve">one-off compensation for the income fallout for municipalities and cities </w:t>
      </w:r>
      <w:r w:rsidRPr="00D86273">
        <w:rPr>
          <w:color w:val="0D0D0D" w:themeColor="text1" w:themeTint="F2"/>
          <w:spacing w:val="-5"/>
          <w:sz w:val="16"/>
          <w:szCs w:val="16"/>
          <w:lang w:val="en-GB"/>
        </w:rPr>
        <w:t>(13</w:t>
      </w:r>
      <w:r>
        <w:rPr>
          <w:color w:val="0D0D0D" w:themeColor="text1" w:themeTint="F2"/>
          <w:spacing w:val="-5"/>
          <w:sz w:val="16"/>
          <w:szCs w:val="16"/>
          <w:lang w:val="en-GB"/>
        </w:rPr>
        <w:t>.</w:t>
      </w:r>
      <w:r w:rsidRPr="00D86273">
        <w:rPr>
          <w:color w:val="0D0D0D" w:themeColor="text1" w:themeTint="F2"/>
          <w:spacing w:val="-5"/>
          <w:sz w:val="16"/>
          <w:szCs w:val="16"/>
          <w:lang w:val="en-GB"/>
        </w:rPr>
        <w:t>4</w:t>
      </w:r>
      <w:r>
        <w:rPr>
          <w:color w:val="0D0D0D" w:themeColor="text1" w:themeTint="F2"/>
          <w:spacing w:val="-5"/>
          <w:sz w:val="16"/>
          <w:szCs w:val="16"/>
          <w:lang w:val="en-GB"/>
        </w:rPr>
        <w:t xml:space="preserve"> </w:t>
      </w:r>
      <w:proofErr w:type="spellStart"/>
      <w:r>
        <w:rPr>
          <w:color w:val="0D0D0D" w:themeColor="text1" w:themeTint="F2"/>
          <w:spacing w:val="-5"/>
          <w:sz w:val="16"/>
          <w:szCs w:val="16"/>
          <w:lang w:val="en-GB"/>
        </w:rPr>
        <w:t>bn</w:t>
      </w:r>
      <w:proofErr w:type="spellEnd"/>
      <w:r w:rsidRPr="00D86273">
        <w:rPr>
          <w:color w:val="0D0D0D" w:themeColor="text1" w:themeTint="F2"/>
          <w:spacing w:val="-5"/>
          <w:sz w:val="16"/>
          <w:szCs w:val="16"/>
          <w:lang w:val="en-GB"/>
        </w:rPr>
        <w:t xml:space="preserve">), </w:t>
      </w:r>
      <w:r>
        <w:rPr>
          <w:color w:val="0D0D0D" w:themeColor="text1" w:themeTint="F2"/>
          <w:spacing w:val="-5"/>
          <w:sz w:val="16"/>
          <w:szCs w:val="16"/>
          <w:lang w:val="en-GB"/>
        </w:rPr>
        <w:t xml:space="preserve">increase of funds on wages and bonuses in social works and further selected areas of the public sector outside the health care </w:t>
      </w:r>
      <w:r w:rsidRPr="00D86273">
        <w:rPr>
          <w:color w:val="0D0D0D" w:themeColor="text1" w:themeTint="F2"/>
          <w:spacing w:val="-5"/>
          <w:sz w:val="16"/>
          <w:szCs w:val="16"/>
          <w:lang w:val="en-GB"/>
        </w:rPr>
        <w:t>(3</w:t>
      </w:r>
      <w:r>
        <w:rPr>
          <w:color w:val="0D0D0D" w:themeColor="text1" w:themeTint="F2"/>
          <w:spacing w:val="-5"/>
          <w:sz w:val="16"/>
          <w:szCs w:val="16"/>
          <w:lang w:val="en-GB"/>
        </w:rPr>
        <w:t>.</w:t>
      </w:r>
      <w:r w:rsidRPr="00D86273">
        <w:rPr>
          <w:color w:val="0D0D0D" w:themeColor="text1" w:themeTint="F2"/>
          <w:spacing w:val="-5"/>
          <w:sz w:val="16"/>
          <w:szCs w:val="16"/>
          <w:lang w:val="en-GB"/>
        </w:rPr>
        <w:t>3</w:t>
      </w:r>
      <w:r>
        <w:rPr>
          <w:color w:val="0D0D0D" w:themeColor="text1" w:themeTint="F2"/>
          <w:spacing w:val="-5"/>
          <w:sz w:val="16"/>
          <w:szCs w:val="16"/>
          <w:lang w:val="en-GB"/>
        </w:rPr>
        <w:t xml:space="preserve"> </w:t>
      </w:r>
      <w:proofErr w:type="spellStart"/>
      <w:r>
        <w:rPr>
          <w:color w:val="0D0D0D" w:themeColor="text1" w:themeTint="F2"/>
          <w:spacing w:val="-5"/>
          <w:sz w:val="16"/>
          <w:szCs w:val="16"/>
          <w:lang w:val="en-GB"/>
        </w:rPr>
        <w:t>bn</w:t>
      </w:r>
      <w:proofErr w:type="spellEnd"/>
      <w:r w:rsidRPr="00D86273">
        <w:rPr>
          <w:color w:val="0D0D0D" w:themeColor="text1" w:themeTint="F2"/>
          <w:spacing w:val="-5"/>
          <w:sz w:val="16"/>
          <w:szCs w:val="16"/>
          <w:lang w:val="en-GB"/>
        </w:rPr>
        <w:t>)</w:t>
      </w:r>
      <w:r>
        <w:rPr>
          <w:color w:val="0D0D0D" w:themeColor="text1" w:themeTint="F2"/>
          <w:spacing w:val="-5"/>
          <w:sz w:val="16"/>
          <w:szCs w:val="16"/>
          <w:lang w:val="en-GB"/>
        </w:rPr>
        <w:t xml:space="preserve"> or other programmes on direct support of hit businesses as well as branches </w:t>
      </w:r>
      <w:r w:rsidRPr="00D86273">
        <w:rPr>
          <w:color w:val="0D0D0D" w:themeColor="text1" w:themeTint="F2"/>
          <w:spacing w:val="-5"/>
          <w:sz w:val="16"/>
          <w:szCs w:val="16"/>
          <w:lang w:val="en-GB"/>
        </w:rPr>
        <w:t xml:space="preserve">– </w:t>
      </w:r>
      <w:r>
        <w:rPr>
          <w:color w:val="0D0D0D" w:themeColor="text1" w:themeTint="F2"/>
          <w:spacing w:val="-5"/>
          <w:sz w:val="16"/>
          <w:szCs w:val="16"/>
          <w:lang w:val="en-GB"/>
        </w:rPr>
        <w:t xml:space="preserve">e.g. </w:t>
      </w:r>
      <w:r w:rsidRPr="00D86273">
        <w:rPr>
          <w:color w:val="0D0D0D" w:themeColor="text1" w:themeTint="F2"/>
          <w:spacing w:val="-5"/>
          <w:sz w:val="16"/>
          <w:szCs w:val="16"/>
          <w:lang w:val="en-GB"/>
        </w:rPr>
        <w:t xml:space="preserve">COVID </w:t>
      </w:r>
      <w:r>
        <w:rPr>
          <w:color w:val="0D0D0D" w:themeColor="text1" w:themeTint="F2"/>
          <w:spacing w:val="-5"/>
          <w:sz w:val="16"/>
          <w:szCs w:val="16"/>
          <w:lang w:val="en-GB"/>
        </w:rPr>
        <w:t xml:space="preserve">Rent </w:t>
      </w:r>
      <w:r w:rsidRPr="00D86273">
        <w:rPr>
          <w:color w:val="0D0D0D" w:themeColor="text1" w:themeTint="F2"/>
          <w:spacing w:val="-5"/>
          <w:sz w:val="16"/>
          <w:szCs w:val="16"/>
          <w:lang w:val="en-GB"/>
        </w:rPr>
        <w:t>(4</w:t>
      </w:r>
      <w:r>
        <w:rPr>
          <w:color w:val="0D0D0D" w:themeColor="text1" w:themeTint="F2"/>
          <w:spacing w:val="-5"/>
          <w:sz w:val="16"/>
          <w:szCs w:val="16"/>
          <w:lang w:val="en-GB"/>
        </w:rPr>
        <w:t>.</w:t>
      </w:r>
      <w:r w:rsidRPr="00D86273">
        <w:rPr>
          <w:color w:val="0D0D0D" w:themeColor="text1" w:themeTint="F2"/>
          <w:spacing w:val="-5"/>
          <w:sz w:val="16"/>
          <w:szCs w:val="16"/>
          <w:lang w:val="en-GB"/>
        </w:rPr>
        <w:t>1</w:t>
      </w:r>
      <w:r>
        <w:rPr>
          <w:color w:val="0D0D0D" w:themeColor="text1" w:themeTint="F2"/>
          <w:spacing w:val="-5"/>
          <w:sz w:val="16"/>
          <w:szCs w:val="16"/>
          <w:lang w:val="en-GB"/>
        </w:rPr>
        <w:t xml:space="preserve"> </w:t>
      </w:r>
      <w:proofErr w:type="spellStart"/>
      <w:r>
        <w:rPr>
          <w:color w:val="0D0D0D" w:themeColor="text1" w:themeTint="F2"/>
          <w:spacing w:val="-5"/>
          <w:sz w:val="16"/>
          <w:szCs w:val="16"/>
          <w:lang w:val="en-GB"/>
        </w:rPr>
        <w:t>bn</w:t>
      </w:r>
      <w:proofErr w:type="spellEnd"/>
      <w:r w:rsidRPr="00D86273">
        <w:rPr>
          <w:color w:val="0D0D0D" w:themeColor="text1" w:themeTint="F2"/>
          <w:spacing w:val="-5"/>
          <w:sz w:val="16"/>
          <w:szCs w:val="16"/>
          <w:lang w:val="en-GB"/>
        </w:rPr>
        <w:t>) a</w:t>
      </w:r>
      <w:r>
        <w:rPr>
          <w:color w:val="0D0D0D" w:themeColor="text1" w:themeTint="F2"/>
          <w:spacing w:val="-5"/>
          <w:sz w:val="16"/>
          <w:szCs w:val="16"/>
          <w:lang w:val="en-GB"/>
        </w:rPr>
        <w:t>nd</w:t>
      </w:r>
      <w:r w:rsidRPr="00D86273">
        <w:rPr>
          <w:color w:val="0D0D0D" w:themeColor="text1" w:themeTint="F2"/>
          <w:spacing w:val="-5"/>
          <w:sz w:val="16"/>
          <w:szCs w:val="16"/>
          <w:lang w:val="en-GB"/>
        </w:rPr>
        <w:t> COVID</w:t>
      </w:r>
      <w:r>
        <w:rPr>
          <w:color w:val="0D0D0D" w:themeColor="text1" w:themeTint="F2"/>
          <w:spacing w:val="-5"/>
          <w:sz w:val="16"/>
          <w:szCs w:val="16"/>
          <w:lang w:val="en-GB"/>
        </w:rPr>
        <w:t xml:space="preserve"> Accommodation </w:t>
      </w:r>
      <w:r w:rsidRPr="00D86273">
        <w:rPr>
          <w:color w:val="0D0D0D" w:themeColor="text1" w:themeTint="F2"/>
          <w:spacing w:val="-5"/>
          <w:sz w:val="16"/>
          <w:szCs w:val="16"/>
          <w:lang w:val="en-GB"/>
        </w:rPr>
        <w:t>(2</w:t>
      </w:r>
      <w:r>
        <w:rPr>
          <w:color w:val="0D0D0D" w:themeColor="text1" w:themeTint="F2"/>
          <w:spacing w:val="-5"/>
          <w:sz w:val="16"/>
          <w:szCs w:val="16"/>
          <w:lang w:val="en-GB"/>
        </w:rPr>
        <w:t>.</w:t>
      </w:r>
      <w:r w:rsidRPr="00D86273">
        <w:rPr>
          <w:color w:val="0D0D0D" w:themeColor="text1" w:themeTint="F2"/>
          <w:spacing w:val="-5"/>
          <w:sz w:val="16"/>
          <w:szCs w:val="16"/>
          <w:lang w:val="en-GB"/>
        </w:rPr>
        <w:t>3</w:t>
      </w:r>
      <w:r>
        <w:rPr>
          <w:color w:val="0D0D0D" w:themeColor="text1" w:themeTint="F2"/>
          <w:spacing w:val="-5"/>
          <w:sz w:val="16"/>
          <w:szCs w:val="16"/>
          <w:lang w:val="en-GB"/>
        </w:rPr>
        <w:t xml:space="preserve"> CZK </w:t>
      </w:r>
      <w:proofErr w:type="spellStart"/>
      <w:r>
        <w:rPr>
          <w:color w:val="0D0D0D" w:themeColor="text1" w:themeTint="F2"/>
          <w:spacing w:val="-5"/>
          <w:sz w:val="16"/>
          <w:szCs w:val="16"/>
          <w:lang w:val="en-GB"/>
        </w:rPr>
        <w:t>bn</w:t>
      </w:r>
      <w:proofErr w:type="spellEnd"/>
      <w:r w:rsidRPr="00D86273">
        <w:rPr>
          <w:color w:val="0D0D0D" w:themeColor="text1" w:themeTint="F2"/>
          <w:spacing w:val="-5"/>
          <w:sz w:val="16"/>
          <w:szCs w:val="16"/>
          <w:lang w:val="en-GB"/>
        </w:rPr>
        <w:t>).</w:t>
      </w:r>
      <w:proofErr w:type="gramEnd"/>
    </w:p>
  </w:footnote>
  <w:footnote w:id="76">
    <w:p w:rsidR="003F15C8" w:rsidRPr="000D493D" w:rsidRDefault="003F15C8" w:rsidP="00EB7712">
      <w:pPr>
        <w:pStyle w:val="Textpoznpodarou"/>
        <w:jc w:val="both"/>
        <w:rPr>
          <w:spacing w:val="-2"/>
          <w:sz w:val="16"/>
          <w:szCs w:val="16"/>
          <w:lang w:val="en-GB"/>
        </w:rPr>
      </w:pPr>
      <w:r w:rsidRPr="002802FF">
        <w:rPr>
          <w:rStyle w:val="Znakapoznpodarou"/>
          <w:spacing w:val="-2"/>
          <w:sz w:val="16"/>
          <w:szCs w:val="16"/>
        </w:rPr>
        <w:footnoteRef/>
      </w:r>
      <w:r w:rsidRPr="002802FF">
        <w:rPr>
          <w:spacing w:val="-2"/>
          <w:sz w:val="16"/>
          <w:szCs w:val="16"/>
        </w:rPr>
        <w:t xml:space="preserve"> </w:t>
      </w:r>
      <w:r w:rsidRPr="000D493D">
        <w:rPr>
          <w:spacing w:val="-2"/>
          <w:sz w:val="16"/>
          <w:szCs w:val="16"/>
          <w:lang w:val="en-GB"/>
        </w:rPr>
        <w:t xml:space="preserve">Total outlays on non-investment purchases (excluding outlays servicing the state debt) amounted to 78 CZK </w:t>
      </w:r>
      <w:proofErr w:type="spellStart"/>
      <w:r w:rsidRPr="000D493D">
        <w:rPr>
          <w:spacing w:val="-2"/>
          <w:sz w:val="16"/>
          <w:szCs w:val="16"/>
          <w:lang w:val="en-GB"/>
        </w:rPr>
        <w:t>bn</w:t>
      </w:r>
      <w:proofErr w:type="spellEnd"/>
      <w:r w:rsidRPr="000D493D">
        <w:rPr>
          <w:spacing w:val="-2"/>
          <w:sz w:val="16"/>
          <w:szCs w:val="16"/>
          <w:lang w:val="en-GB"/>
        </w:rPr>
        <w:t xml:space="preserve"> last year and overtook the so far record size </w:t>
      </w:r>
      <w:r>
        <w:rPr>
          <w:spacing w:val="-2"/>
          <w:sz w:val="16"/>
          <w:szCs w:val="16"/>
          <w:lang w:val="en-GB"/>
        </w:rPr>
        <w:t>f</w:t>
      </w:r>
      <w:r w:rsidRPr="000D493D">
        <w:rPr>
          <w:spacing w:val="-2"/>
          <w:sz w:val="16"/>
          <w:szCs w:val="16"/>
          <w:lang w:val="en-GB"/>
        </w:rPr>
        <w:t xml:space="preserve">rom year 2008 (72 </w:t>
      </w:r>
      <w:proofErr w:type="spellStart"/>
      <w:r w:rsidRPr="000D493D">
        <w:rPr>
          <w:spacing w:val="-2"/>
          <w:sz w:val="16"/>
          <w:szCs w:val="16"/>
          <w:lang w:val="en-GB"/>
        </w:rPr>
        <w:t>bn</w:t>
      </w:r>
      <w:proofErr w:type="spellEnd"/>
      <w:r w:rsidRPr="000D493D">
        <w:rPr>
          <w:spacing w:val="-2"/>
          <w:sz w:val="16"/>
          <w:szCs w:val="16"/>
          <w:lang w:val="en-GB"/>
        </w:rPr>
        <w:t xml:space="preserve">). These outlays </w:t>
      </w:r>
      <w:proofErr w:type="gramStart"/>
      <w:r w:rsidRPr="000D493D">
        <w:rPr>
          <w:spacing w:val="-2"/>
          <w:sz w:val="16"/>
          <w:szCs w:val="16"/>
          <w:lang w:val="en-GB"/>
        </w:rPr>
        <w:t>were significantly reduced</w:t>
      </w:r>
      <w:proofErr w:type="gramEnd"/>
      <w:r w:rsidRPr="000D493D">
        <w:rPr>
          <w:spacing w:val="-2"/>
          <w:sz w:val="16"/>
          <w:szCs w:val="16"/>
          <w:lang w:val="en-GB"/>
        </w:rPr>
        <w:t xml:space="preserve"> in ties to the austerity measures in the first half of the last decade. </w:t>
      </w:r>
    </w:p>
  </w:footnote>
  <w:footnote w:id="77">
    <w:p w:rsidR="003F15C8" w:rsidRPr="000D493D" w:rsidRDefault="003F15C8" w:rsidP="00EB7712">
      <w:pPr>
        <w:pStyle w:val="Textpoznpodarou"/>
        <w:jc w:val="both"/>
        <w:rPr>
          <w:spacing w:val="-2"/>
          <w:lang w:val="en-GB"/>
        </w:rPr>
      </w:pPr>
      <w:r w:rsidRPr="000D493D">
        <w:rPr>
          <w:rStyle w:val="Znakapoznpodarou"/>
          <w:spacing w:val="-2"/>
          <w:sz w:val="16"/>
          <w:szCs w:val="16"/>
          <w:lang w:val="en-GB"/>
        </w:rPr>
        <w:footnoteRef/>
      </w:r>
      <w:r w:rsidRPr="000D493D">
        <w:rPr>
          <w:spacing w:val="-2"/>
          <w:sz w:val="16"/>
          <w:szCs w:val="16"/>
          <w:lang w:val="en-GB"/>
        </w:rPr>
        <w:t xml:space="preserve"> </w:t>
      </w:r>
      <w:proofErr w:type="gramStart"/>
      <w:r>
        <w:rPr>
          <w:spacing w:val="-2"/>
          <w:sz w:val="16"/>
          <w:szCs w:val="16"/>
          <w:lang w:val="en-GB"/>
        </w:rPr>
        <w:t xml:space="preserve">It concerned the cancellation of minimal advance payments for self-employed persons on social insurance with estimated budget impact of </w:t>
      </w:r>
      <w:r w:rsidRPr="000D493D">
        <w:rPr>
          <w:color w:val="0D0D0D" w:themeColor="text1" w:themeTint="F2"/>
          <w:spacing w:val="-2"/>
          <w:sz w:val="16"/>
          <w:szCs w:val="16"/>
          <w:lang w:val="en-GB"/>
        </w:rPr>
        <w:t>7</w:t>
      </w:r>
      <w:r>
        <w:rPr>
          <w:color w:val="0D0D0D" w:themeColor="text1" w:themeTint="F2"/>
          <w:spacing w:val="-2"/>
          <w:sz w:val="16"/>
          <w:szCs w:val="16"/>
          <w:lang w:val="en-GB"/>
        </w:rPr>
        <w:t>.</w:t>
      </w:r>
      <w:r w:rsidRPr="000D493D">
        <w:rPr>
          <w:color w:val="0D0D0D" w:themeColor="text1" w:themeTint="F2"/>
          <w:spacing w:val="-2"/>
          <w:sz w:val="16"/>
          <w:szCs w:val="16"/>
          <w:lang w:val="en-GB"/>
        </w:rPr>
        <w:t>4</w:t>
      </w:r>
      <w:r>
        <w:rPr>
          <w:color w:val="0D0D0D" w:themeColor="text1" w:themeTint="F2"/>
          <w:spacing w:val="-2"/>
          <w:sz w:val="16"/>
          <w:szCs w:val="16"/>
          <w:lang w:val="en-GB"/>
        </w:rPr>
        <w:t xml:space="preserve"> CZK </w:t>
      </w:r>
      <w:proofErr w:type="spellStart"/>
      <w:r>
        <w:rPr>
          <w:color w:val="0D0D0D" w:themeColor="text1" w:themeTint="F2"/>
          <w:spacing w:val="-2"/>
          <w:sz w:val="16"/>
          <w:szCs w:val="16"/>
          <w:lang w:val="en-GB"/>
        </w:rPr>
        <w:t>bn</w:t>
      </w:r>
      <w:proofErr w:type="spellEnd"/>
      <w:r>
        <w:rPr>
          <w:color w:val="0D0D0D" w:themeColor="text1" w:themeTint="F2"/>
          <w:spacing w:val="-2"/>
          <w:sz w:val="16"/>
          <w:szCs w:val="16"/>
          <w:lang w:val="en-GB"/>
        </w:rPr>
        <w:t xml:space="preserve"> and further the waiver of insurance on social security and employment policy paid by the employer </w:t>
      </w:r>
      <w:r w:rsidRPr="000D493D">
        <w:rPr>
          <w:color w:val="0D0D0D" w:themeColor="text1" w:themeTint="F2"/>
          <w:spacing w:val="-2"/>
          <w:sz w:val="16"/>
          <w:szCs w:val="16"/>
          <w:lang w:val="en-GB"/>
        </w:rPr>
        <w:t>(13</w:t>
      </w:r>
      <w:r>
        <w:rPr>
          <w:color w:val="0D0D0D" w:themeColor="text1" w:themeTint="F2"/>
          <w:spacing w:val="-2"/>
          <w:sz w:val="16"/>
          <w:szCs w:val="16"/>
          <w:lang w:val="en-GB"/>
        </w:rPr>
        <w:t>.</w:t>
      </w:r>
      <w:r w:rsidRPr="000D493D">
        <w:rPr>
          <w:color w:val="0D0D0D" w:themeColor="text1" w:themeTint="F2"/>
          <w:spacing w:val="-2"/>
          <w:sz w:val="16"/>
          <w:szCs w:val="16"/>
          <w:lang w:val="en-GB"/>
        </w:rPr>
        <w:t>3</w:t>
      </w:r>
      <w:r>
        <w:rPr>
          <w:color w:val="0D0D0D" w:themeColor="text1" w:themeTint="F2"/>
          <w:spacing w:val="-2"/>
          <w:sz w:val="16"/>
          <w:szCs w:val="16"/>
          <w:lang w:val="en-GB"/>
        </w:rPr>
        <w:t xml:space="preserve"> </w:t>
      </w:r>
      <w:proofErr w:type="spellStart"/>
      <w:r>
        <w:rPr>
          <w:color w:val="0D0D0D" w:themeColor="text1" w:themeTint="F2"/>
          <w:spacing w:val="-2"/>
          <w:sz w:val="16"/>
          <w:szCs w:val="16"/>
          <w:lang w:val="en-GB"/>
        </w:rPr>
        <w:t>bn</w:t>
      </w:r>
      <w:proofErr w:type="spellEnd"/>
      <w:r w:rsidRPr="000D493D">
        <w:rPr>
          <w:color w:val="0D0D0D" w:themeColor="text1" w:themeTint="F2"/>
          <w:spacing w:val="-2"/>
          <w:sz w:val="16"/>
          <w:szCs w:val="16"/>
          <w:lang w:val="en-GB"/>
        </w:rPr>
        <w:t>).</w:t>
      </w:r>
      <w:proofErr w:type="gramEnd"/>
    </w:p>
  </w:footnote>
  <w:footnote w:id="78">
    <w:p w:rsidR="003F15C8" w:rsidRPr="000D493D" w:rsidRDefault="003F15C8" w:rsidP="00EB7712">
      <w:pPr>
        <w:pStyle w:val="Textpoznpodarou"/>
        <w:jc w:val="both"/>
        <w:rPr>
          <w:spacing w:val="-2"/>
          <w:lang w:val="en-GB"/>
        </w:rPr>
      </w:pPr>
      <w:r w:rsidRPr="000D493D">
        <w:rPr>
          <w:rStyle w:val="Znakapoznpodarou"/>
          <w:spacing w:val="-2"/>
          <w:sz w:val="16"/>
          <w:szCs w:val="16"/>
          <w:lang w:val="en-GB"/>
        </w:rPr>
        <w:footnoteRef/>
      </w:r>
      <w:r w:rsidRPr="000D493D">
        <w:rPr>
          <w:spacing w:val="-2"/>
          <w:sz w:val="16"/>
          <w:szCs w:val="16"/>
          <w:lang w:val="en-GB"/>
        </w:rPr>
        <w:t xml:space="preserve"> </w:t>
      </w:r>
      <w:r>
        <w:rPr>
          <w:spacing w:val="-2"/>
          <w:sz w:val="16"/>
          <w:szCs w:val="16"/>
          <w:lang w:val="en-GB"/>
        </w:rPr>
        <w:t xml:space="preserve">Expresses the difference between revenues and outlays on pensions from the SB. Outlays do not include the costs of the management of the pension insurance system. </w:t>
      </w:r>
    </w:p>
  </w:footnote>
  <w:footnote w:id="79">
    <w:p w:rsidR="003F15C8" w:rsidRPr="000D493D" w:rsidRDefault="003F15C8" w:rsidP="00EB7712">
      <w:pPr>
        <w:pStyle w:val="Textpoznpodarou"/>
        <w:jc w:val="both"/>
        <w:rPr>
          <w:sz w:val="16"/>
          <w:szCs w:val="16"/>
          <w:lang w:val="en-GB"/>
        </w:rPr>
      </w:pPr>
      <w:r w:rsidRPr="000D493D">
        <w:rPr>
          <w:rStyle w:val="Znakapoznpodarou"/>
          <w:spacing w:val="-2"/>
          <w:sz w:val="16"/>
          <w:szCs w:val="16"/>
          <w:lang w:val="en-GB"/>
        </w:rPr>
        <w:footnoteRef/>
      </w:r>
      <w:r w:rsidRPr="000D493D">
        <w:rPr>
          <w:spacing w:val="-2"/>
          <w:sz w:val="16"/>
          <w:szCs w:val="16"/>
          <w:lang w:val="en-GB"/>
        </w:rPr>
        <w:t xml:space="preserve"> </w:t>
      </w:r>
      <w:r>
        <w:rPr>
          <w:spacing w:val="-2"/>
          <w:sz w:val="16"/>
          <w:szCs w:val="16"/>
          <w:lang w:val="en-GB"/>
        </w:rPr>
        <w:t>The CSSA data regarding the temporary inability to work show, that while in Q</w:t>
      </w:r>
      <w:r w:rsidRPr="000D493D">
        <w:rPr>
          <w:spacing w:val="-2"/>
          <w:sz w:val="16"/>
          <w:szCs w:val="16"/>
          <w:lang w:val="en-GB"/>
        </w:rPr>
        <w:t>1</w:t>
      </w:r>
      <w:r>
        <w:rPr>
          <w:spacing w:val="-2"/>
          <w:sz w:val="16"/>
          <w:szCs w:val="16"/>
          <w:lang w:val="en-GB"/>
        </w:rPr>
        <w:t xml:space="preserve"> </w:t>
      </w:r>
      <w:r w:rsidRPr="000D493D">
        <w:rPr>
          <w:spacing w:val="-2"/>
          <w:sz w:val="16"/>
          <w:szCs w:val="16"/>
          <w:lang w:val="en-GB"/>
        </w:rPr>
        <w:t>2020</w:t>
      </w:r>
      <w:r>
        <w:rPr>
          <w:spacing w:val="-2"/>
          <w:sz w:val="16"/>
          <w:szCs w:val="16"/>
          <w:lang w:val="en-GB"/>
        </w:rPr>
        <w:t xml:space="preserve">, the number of sickness days fell by </w:t>
      </w:r>
      <w:r w:rsidRPr="000D493D">
        <w:rPr>
          <w:spacing w:val="-2"/>
          <w:sz w:val="16"/>
          <w:szCs w:val="16"/>
          <w:lang w:val="en-GB"/>
        </w:rPr>
        <w:t>1</w:t>
      </w:r>
      <w:r>
        <w:rPr>
          <w:spacing w:val="-2"/>
          <w:sz w:val="16"/>
          <w:szCs w:val="16"/>
          <w:lang w:val="en-GB"/>
        </w:rPr>
        <w:t>.</w:t>
      </w:r>
      <w:r w:rsidRPr="000D493D">
        <w:rPr>
          <w:spacing w:val="-2"/>
          <w:sz w:val="16"/>
          <w:szCs w:val="16"/>
          <w:lang w:val="en-GB"/>
        </w:rPr>
        <w:t>5%</w:t>
      </w:r>
      <w:r>
        <w:rPr>
          <w:spacing w:val="-2"/>
          <w:sz w:val="16"/>
          <w:szCs w:val="16"/>
          <w:lang w:val="en-GB"/>
        </w:rPr>
        <w:t xml:space="preserve"> year-on-year</w:t>
      </w:r>
      <w:r w:rsidRPr="000D493D">
        <w:rPr>
          <w:spacing w:val="-2"/>
          <w:sz w:val="16"/>
          <w:szCs w:val="16"/>
          <w:lang w:val="en-GB"/>
        </w:rPr>
        <w:t>,</w:t>
      </w:r>
      <w:r>
        <w:rPr>
          <w:spacing w:val="-2"/>
          <w:sz w:val="16"/>
          <w:szCs w:val="16"/>
          <w:lang w:val="en-GB"/>
        </w:rPr>
        <w:t xml:space="preserve"> it grew by </w:t>
      </w:r>
      <w:r w:rsidRPr="000D493D">
        <w:rPr>
          <w:spacing w:val="-2"/>
          <w:sz w:val="16"/>
          <w:szCs w:val="16"/>
          <w:lang w:val="en-GB"/>
        </w:rPr>
        <w:t>15</w:t>
      </w:r>
      <w:r>
        <w:rPr>
          <w:spacing w:val="-2"/>
          <w:sz w:val="16"/>
          <w:szCs w:val="16"/>
          <w:lang w:val="en-GB"/>
        </w:rPr>
        <w:t>.</w:t>
      </w:r>
      <w:r w:rsidRPr="000D493D">
        <w:rPr>
          <w:spacing w:val="-2"/>
          <w:sz w:val="16"/>
          <w:szCs w:val="16"/>
          <w:lang w:val="en-GB"/>
        </w:rPr>
        <w:t>8%</w:t>
      </w:r>
      <w:r>
        <w:rPr>
          <w:spacing w:val="-2"/>
          <w:sz w:val="16"/>
          <w:szCs w:val="16"/>
          <w:lang w:val="en-GB"/>
        </w:rPr>
        <w:t xml:space="preserve"> in Q2 and by </w:t>
      </w:r>
      <w:r w:rsidRPr="000D493D">
        <w:rPr>
          <w:spacing w:val="-2"/>
          <w:sz w:val="16"/>
          <w:szCs w:val="16"/>
          <w:lang w:val="en-GB"/>
        </w:rPr>
        <w:t>13</w:t>
      </w:r>
      <w:r>
        <w:rPr>
          <w:spacing w:val="-2"/>
          <w:sz w:val="16"/>
          <w:szCs w:val="16"/>
          <w:lang w:val="en-GB"/>
        </w:rPr>
        <w:t>.</w:t>
      </w:r>
      <w:r w:rsidRPr="000D493D">
        <w:rPr>
          <w:spacing w:val="-2"/>
          <w:sz w:val="16"/>
          <w:szCs w:val="16"/>
          <w:lang w:val="en-GB"/>
        </w:rPr>
        <w:t>4%</w:t>
      </w:r>
      <w:r>
        <w:rPr>
          <w:spacing w:val="-2"/>
          <w:sz w:val="16"/>
          <w:szCs w:val="16"/>
          <w:lang w:val="en-GB"/>
        </w:rPr>
        <w:t xml:space="preserve"> in the subsequent quarter</w:t>
      </w:r>
      <w:r w:rsidRPr="000D493D">
        <w:rPr>
          <w:spacing w:val="-2"/>
          <w:sz w:val="16"/>
          <w:szCs w:val="16"/>
          <w:lang w:val="en-GB"/>
        </w:rPr>
        <w:t>.</w:t>
      </w:r>
    </w:p>
  </w:footnote>
  <w:footnote w:id="80">
    <w:p w:rsidR="003F15C8" w:rsidRPr="005001BE" w:rsidRDefault="003F15C8" w:rsidP="005001BE">
      <w:pPr>
        <w:pStyle w:val="Textpoznpodarou"/>
        <w:jc w:val="both"/>
        <w:rPr>
          <w:sz w:val="16"/>
          <w:szCs w:val="16"/>
          <w:lang w:val="en-GB"/>
        </w:rPr>
      </w:pPr>
      <w:r w:rsidRPr="000D151F">
        <w:rPr>
          <w:rStyle w:val="Znakapoznpodarou"/>
          <w:sz w:val="16"/>
          <w:szCs w:val="16"/>
        </w:rPr>
        <w:footnoteRef/>
      </w:r>
      <w:r w:rsidRPr="000D151F">
        <w:rPr>
          <w:sz w:val="16"/>
          <w:szCs w:val="16"/>
        </w:rPr>
        <w:t xml:space="preserve"> </w:t>
      </w:r>
      <w:r w:rsidR="00F757FC">
        <w:rPr>
          <w:sz w:val="16"/>
          <w:szCs w:val="16"/>
          <w:lang w:val="en-GB"/>
        </w:rPr>
        <w:t>The state debt expanded</w:t>
      </w:r>
      <w:r w:rsidRPr="005001BE">
        <w:rPr>
          <w:sz w:val="16"/>
          <w:szCs w:val="16"/>
          <w:lang w:val="en-GB"/>
        </w:rPr>
        <w:t xml:space="preserve"> by 18% in the crisis year 2009, by 14% in the subsequent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F4" w:rsidRPr="006B1E91" w:rsidRDefault="00791BF4" w:rsidP="00937AE2">
    <w:pPr>
      <w:pStyle w:val="Zhlav"/>
      <w:rPr>
        <w:lang w:val="en-GB"/>
      </w:rPr>
    </w:pPr>
    <w:r w:rsidRPr="006B1E91">
      <w:rPr>
        <w:lang w:val="en-GB"/>
      </w:rPr>
      <w:t>The Czech Economy Development</w:t>
    </w:r>
  </w:p>
  <w:p w:rsidR="00791BF4" w:rsidRPr="006F5416" w:rsidRDefault="00791BF4"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F4" w:rsidRPr="00443A47" w:rsidRDefault="00791BF4" w:rsidP="00937AE2">
    <w:pPr>
      <w:pStyle w:val="Zhlav"/>
      <w:rPr>
        <w:lang w:val="en-GB"/>
      </w:rPr>
    </w:pPr>
    <w:r w:rsidRPr="00443A47">
      <w:rPr>
        <w:lang w:val="en-GB"/>
      </w:rPr>
      <w:t>The Czech Economy Development</w:t>
    </w:r>
  </w:p>
  <w:p w:rsidR="00791BF4" w:rsidRPr="006F5416" w:rsidRDefault="00791BF4" w:rsidP="00937A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6B1E91" w:rsidRDefault="003F15C8" w:rsidP="00937AE2">
    <w:pPr>
      <w:pStyle w:val="Zhlav"/>
      <w:rPr>
        <w:lang w:val="en-GB"/>
      </w:rPr>
    </w:pPr>
    <w:r w:rsidRPr="006B1E91">
      <w:rPr>
        <w:lang w:val="en-GB"/>
      </w:rPr>
      <w:t>The Czech Economy Development</w:t>
    </w:r>
  </w:p>
  <w:p w:rsidR="003F15C8" w:rsidRPr="006F5416" w:rsidRDefault="003F15C8" w:rsidP="00937AE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443A47" w:rsidRDefault="003F15C8" w:rsidP="00937AE2">
    <w:pPr>
      <w:pStyle w:val="Zhlav"/>
      <w:rPr>
        <w:lang w:val="en-GB"/>
      </w:rPr>
    </w:pPr>
    <w:r w:rsidRPr="00443A47">
      <w:rPr>
        <w:lang w:val="en-GB"/>
      </w:rPr>
      <w:t>The Czech Economy Development</w:t>
    </w:r>
  </w:p>
  <w:p w:rsidR="003F15C8" w:rsidRPr="006F5416" w:rsidRDefault="003F15C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D7494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E04"/>
    <w:rsid w:val="00003F5C"/>
    <w:rsid w:val="00004D5A"/>
    <w:rsid w:val="000056D5"/>
    <w:rsid w:val="00005D9E"/>
    <w:rsid w:val="000063D5"/>
    <w:rsid w:val="00006625"/>
    <w:rsid w:val="00006ABD"/>
    <w:rsid w:val="00006B67"/>
    <w:rsid w:val="00006C0B"/>
    <w:rsid w:val="000073A0"/>
    <w:rsid w:val="0000767A"/>
    <w:rsid w:val="00007ABE"/>
    <w:rsid w:val="00010256"/>
    <w:rsid w:val="00010359"/>
    <w:rsid w:val="00010702"/>
    <w:rsid w:val="00010B4A"/>
    <w:rsid w:val="0001128E"/>
    <w:rsid w:val="00011912"/>
    <w:rsid w:val="00011FFF"/>
    <w:rsid w:val="0001248D"/>
    <w:rsid w:val="000129B7"/>
    <w:rsid w:val="0001387D"/>
    <w:rsid w:val="00014ED0"/>
    <w:rsid w:val="00015CDD"/>
    <w:rsid w:val="00016420"/>
    <w:rsid w:val="0001711F"/>
    <w:rsid w:val="000173F0"/>
    <w:rsid w:val="00017B01"/>
    <w:rsid w:val="000205D1"/>
    <w:rsid w:val="00020F22"/>
    <w:rsid w:val="0002195D"/>
    <w:rsid w:val="00021DDB"/>
    <w:rsid w:val="000228AE"/>
    <w:rsid w:val="000233D1"/>
    <w:rsid w:val="000234D6"/>
    <w:rsid w:val="00023D29"/>
    <w:rsid w:val="00024348"/>
    <w:rsid w:val="00026389"/>
    <w:rsid w:val="0002669F"/>
    <w:rsid w:val="000279E5"/>
    <w:rsid w:val="00027C1F"/>
    <w:rsid w:val="000308B6"/>
    <w:rsid w:val="0003090A"/>
    <w:rsid w:val="00031AE0"/>
    <w:rsid w:val="00031BB2"/>
    <w:rsid w:val="00031C4B"/>
    <w:rsid w:val="000322EF"/>
    <w:rsid w:val="00033FCD"/>
    <w:rsid w:val="00034015"/>
    <w:rsid w:val="000348AF"/>
    <w:rsid w:val="00034DF7"/>
    <w:rsid w:val="00034E68"/>
    <w:rsid w:val="000350C8"/>
    <w:rsid w:val="00036195"/>
    <w:rsid w:val="000374B2"/>
    <w:rsid w:val="000376C0"/>
    <w:rsid w:val="000376E9"/>
    <w:rsid w:val="000403A7"/>
    <w:rsid w:val="00040632"/>
    <w:rsid w:val="0004094F"/>
    <w:rsid w:val="000419EF"/>
    <w:rsid w:val="00041AFC"/>
    <w:rsid w:val="00041CEC"/>
    <w:rsid w:val="00041E9E"/>
    <w:rsid w:val="00042596"/>
    <w:rsid w:val="000436C5"/>
    <w:rsid w:val="000438BC"/>
    <w:rsid w:val="00044183"/>
    <w:rsid w:val="0004431D"/>
    <w:rsid w:val="00046559"/>
    <w:rsid w:val="0004694F"/>
    <w:rsid w:val="00046F2F"/>
    <w:rsid w:val="00047AD4"/>
    <w:rsid w:val="00047D54"/>
    <w:rsid w:val="0005054A"/>
    <w:rsid w:val="00050EEC"/>
    <w:rsid w:val="00051506"/>
    <w:rsid w:val="00051AF0"/>
    <w:rsid w:val="000522E4"/>
    <w:rsid w:val="00053625"/>
    <w:rsid w:val="00053713"/>
    <w:rsid w:val="00053F7F"/>
    <w:rsid w:val="0005434E"/>
    <w:rsid w:val="00055CB6"/>
    <w:rsid w:val="00057001"/>
    <w:rsid w:val="000572DD"/>
    <w:rsid w:val="0005746E"/>
    <w:rsid w:val="00057B1E"/>
    <w:rsid w:val="00060022"/>
    <w:rsid w:val="000610E1"/>
    <w:rsid w:val="000611F7"/>
    <w:rsid w:val="000616AD"/>
    <w:rsid w:val="00061C7A"/>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082"/>
    <w:rsid w:val="00073A5A"/>
    <w:rsid w:val="0007474E"/>
    <w:rsid w:val="00074988"/>
    <w:rsid w:val="00074A70"/>
    <w:rsid w:val="0007512B"/>
    <w:rsid w:val="00075551"/>
    <w:rsid w:val="000767F5"/>
    <w:rsid w:val="00076D90"/>
    <w:rsid w:val="000773DB"/>
    <w:rsid w:val="00077FF0"/>
    <w:rsid w:val="00081427"/>
    <w:rsid w:val="00081A55"/>
    <w:rsid w:val="0008263E"/>
    <w:rsid w:val="00082C19"/>
    <w:rsid w:val="00082F89"/>
    <w:rsid w:val="0008318E"/>
    <w:rsid w:val="000837CD"/>
    <w:rsid w:val="00084BFF"/>
    <w:rsid w:val="00085395"/>
    <w:rsid w:val="000866A5"/>
    <w:rsid w:val="00086896"/>
    <w:rsid w:val="00086AC1"/>
    <w:rsid w:val="00086D19"/>
    <w:rsid w:val="00087634"/>
    <w:rsid w:val="00087F2B"/>
    <w:rsid w:val="00090188"/>
    <w:rsid w:val="000903D2"/>
    <w:rsid w:val="00090694"/>
    <w:rsid w:val="00090EE2"/>
    <w:rsid w:val="00090FC6"/>
    <w:rsid w:val="000913B1"/>
    <w:rsid w:val="0009290F"/>
    <w:rsid w:val="00093241"/>
    <w:rsid w:val="00093868"/>
    <w:rsid w:val="00094A84"/>
    <w:rsid w:val="00095025"/>
    <w:rsid w:val="00095135"/>
    <w:rsid w:val="00095273"/>
    <w:rsid w:val="0009626E"/>
    <w:rsid w:val="00097191"/>
    <w:rsid w:val="000974D1"/>
    <w:rsid w:val="00097784"/>
    <w:rsid w:val="0009799E"/>
    <w:rsid w:val="000A07CB"/>
    <w:rsid w:val="000A0AA7"/>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0B1D"/>
    <w:rsid w:val="000B1AA3"/>
    <w:rsid w:val="000B2172"/>
    <w:rsid w:val="000B3D33"/>
    <w:rsid w:val="000B4212"/>
    <w:rsid w:val="000B5825"/>
    <w:rsid w:val="000B67B7"/>
    <w:rsid w:val="000B7328"/>
    <w:rsid w:val="000B7BE8"/>
    <w:rsid w:val="000C062B"/>
    <w:rsid w:val="000C0768"/>
    <w:rsid w:val="000C0E35"/>
    <w:rsid w:val="000C0EA8"/>
    <w:rsid w:val="000C13A2"/>
    <w:rsid w:val="000C2144"/>
    <w:rsid w:val="000C21A0"/>
    <w:rsid w:val="000C21E7"/>
    <w:rsid w:val="000C23EC"/>
    <w:rsid w:val="000C242B"/>
    <w:rsid w:val="000C30C3"/>
    <w:rsid w:val="000C3408"/>
    <w:rsid w:val="000C35AB"/>
    <w:rsid w:val="000C3F7B"/>
    <w:rsid w:val="000C4769"/>
    <w:rsid w:val="000C4D56"/>
    <w:rsid w:val="000C5DFA"/>
    <w:rsid w:val="000C6AFD"/>
    <w:rsid w:val="000C6C90"/>
    <w:rsid w:val="000C72B7"/>
    <w:rsid w:val="000D0A26"/>
    <w:rsid w:val="000D151D"/>
    <w:rsid w:val="000D1DDC"/>
    <w:rsid w:val="000D287F"/>
    <w:rsid w:val="000D3058"/>
    <w:rsid w:val="000D310A"/>
    <w:rsid w:val="000D3A1F"/>
    <w:rsid w:val="000D3EF4"/>
    <w:rsid w:val="000D493D"/>
    <w:rsid w:val="000D4DC0"/>
    <w:rsid w:val="000D5637"/>
    <w:rsid w:val="000D6894"/>
    <w:rsid w:val="000D6F4E"/>
    <w:rsid w:val="000D73BB"/>
    <w:rsid w:val="000E0E96"/>
    <w:rsid w:val="000E27AC"/>
    <w:rsid w:val="000E298B"/>
    <w:rsid w:val="000E2C7D"/>
    <w:rsid w:val="000E2DA8"/>
    <w:rsid w:val="000E3450"/>
    <w:rsid w:val="000E3A07"/>
    <w:rsid w:val="000E3E56"/>
    <w:rsid w:val="000E440D"/>
    <w:rsid w:val="000E4AC5"/>
    <w:rsid w:val="000E4E51"/>
    <w:rsid w:val="000E6253"/>
    <w:rsid w:val="000E6E4D"/>
    <w:rsid w:val="000E6FBD"/>
    <w:rsid w:val="000E6FCB"/>
    <w:rsid w:val="000F090B"/>
    <w:rsid w:val="000F0CCB"/>
    <w:rsid w:val="000F110B"/>
    <w:rsid w:val="000F2F24"/>
    <w:rsid w:val="000F3F3B"/>
    <w:rsid w:val="000F47E8"/>
    <w:rsid w:val="000F70E4"/>
    <w:rsid w:val="000F76EA"/>
    <w:rsid w:val="00100A8B"/>
    <w:rsid w:val="00100BC7"/>
    <w:rsid w:val="00100F5C"/>
    <w:rsid w:val="0010197E"/>
    <w:rsid w:val="00101CDA"/>
    <w:rsid w:val="00102037"/>
    <w:rsid w:val="00103DCB"/>
    <w:rsid w:val="00104C4C"/>
    <w:rsid w:val="00105015"/>
    <w:rsid w:val="001055D2"/>
    <w:rsid w:val="001057C2"/>
    <w:rsid w:val="00106EF4"/>
    <w:rsid w:val="0010769A"/>
    <w:rsid w:val="00107E91"/>
    <w:rsid w:val="0011038E"/>
    <w:rsid w:val="001125EF"/>
    <w:rsid w:val="00112CAB"/>
    <w:rsid w:val="00114C33"/>
    <w:rsid w:val="00114C8D"/>
    <w:rsid w:val="00116D3F"/>
    <w:rsid w:val="00117474"/>
    <w:rsid w:val="00117623"/>
    <w:rsid w:val="00117FEA"/>
    <w:rsid w:val="001200CF"/>
    <w:rsid w:val="001208E3"/>
    <w:rsid w:val="00121609"/>
    <w:rsid w:val="0012192F"/>
    <w:rsid w:val="001221BA"/>
    <w:rsid w:val="00122994"/>
    <w:rsid w:val="00123C09"/>
    <w:rsid w:val="00123FFA"/>
    <w:rsid w:val="001245AF"/>
    <w:rsid w:val="00124B46"/>
    <w:rsid w:val="00124F5A"/>
    <w:rsid w:val="001257E0"/>
    <w:rsid w:val="00125D69"/>
    <w:rsid w:val="0012799C"/>
    <w:rsid w:val="00127BC2"/>
    <w:rsid w:val="00127E15"/>
    <w:rsid w:val="00130ADC"/>
    <w:rsid w:val="00130C52"/>
    <w:rsid w:val="00130D9F"/>
    <w:rsid w:val="001326A3"/>
    <w:rsid w:val="00132C4D"/>
    <w:rsid w:val="00133846"/>
    <w:rsid w:val="00133FC1"/>
    <w:rsid w:val="00134659"/>
    <w:rsid w:val="00135015"/>
    <w:rsid w:val="00135698"/>
    <w:rsid w:val="001363D2"/>
    <w:rsid w:val="00136AB9"/>
    <w:rsid w:val="00137167"/>
    <w:rsid w:val="001405FA"/>
    <w:rsid w:val="001409AB"/>
    <w:rsid w:val="00140D1A"/>
    <w:rsid w:val="00141184"/>
    <w:rsid w:val="00141315"/>
    <w:rsid w:val="00141AA0"/>
    <w:rsid w:val="00141DCF"/>
    <w:rsid w:val="001425C3"/>
    <w:rsid w:val="0014262D"/>
    <w:rsid w:val="00142B29"/>
    <w:rsid w:val="001438C8"/>
    <w:rsid w:val="001441A1"/>
    <w:rsid w:val="00144588"/>
    <w:rsid w:val="001447DD"/>
    <w:rsid w:val="00144D63"/>
    <w:rsid w:val="001459BC"/>
    <w:rsid w:val="00147D97"/>
    <w:rsid w:val="001518E5"/>
    <w:rsid w:val="00152954"/>
    <w:rsid w:val="00152F4F"/>
    <w:rsid w:val="0015417D"/>
    <w:rsid w:val="0015435A"/>
    <w:rsid w:val="001544A1"/>
    <w:rsid w:val="001553B8"/>
    <w:rsid w:val="001554C2"/>
    <w:rsid w:val="00155D96"/>
    <w:rsid w:val="0015620F"/>
    <w:rsid w:val="001571C0"/>
    <w:rsid w:val="0015753D"/>
    <w:rsid w:val="00157CC9"/>
    <w:rsid w:val="00157F48"/>
    <w:rsid w:val="0016093A"/>
    <w:rsid w:val="00160C21"/>
    <w:rsid w:val="00160E90"/>
    <w:rsid w:val="001612F4"/>
    <w:rsid w:val="00161553"/>
    <w:rsid w:val="0016256B"/>
    <w:rsid w:val="00162F81"/>
    <w:rsid w:val="00163793"/>
    <w:rsid w:val="00164D4C"/>
    <w:rsid w:val="00165313"/>
    <w:rsid w:val="00167240"/>
    <w:rsid w:val="00167485"/>
    <w:rsid w:val="001679F5"/>
    <w:rsid w:val="00167B92"/>
    <w:rsid w:val="00167CB9"/>
    <w:rsid w:val="00167DD8"/>
    <w:rsid w:val="001700BC"/>
    <w:rsid w:val="001705AD"/>
    <w:rsid w:val="001706D6"/>
    <w:rsid w:val="001714F2"/>
    <w:rsid w:val="00171FEA"/>
    <w:rsid w:val="00173622"/>
    <w:rsid w:val="00175B9F"/>
    <w:rsid w:val="001762F4"/>
    <w:rsid w:val="00177478"/>
    <w:rsid w:val="001808B7"/>
    <w:rsid w:val="00181BBC"/>
    <w:rsid w:val="0018385F"/>
    <w:rsid w:val="00184017"/>
    <w:rsid w:val="001847BB"/>
    <w:rsid w:val="00184B08"/>
    <w:rsid w:val="00185010"/>
    <w:rsid w:val="00185153"/>
    <w:rsid w:val="00185AA7"/>
    <w:rsid w:val="00185C22"/>
    <w:rsid w:val="00186562"/>
    <w:rsid w:val="0018656D"/>
    <w:rsid w:val="00186BA9"/>
    <w:rsid w:val="001870D3"/>
    <w:rsid w:val="001874AB"/>
    <w:rsid w:val="00187D50"/>
    <w:rsid w:val="001917AA"/>
    <w:rsid w:val="0019196C"/>
    <w:rsid w:val="001926A9"/>
    <w:rsid w:val="00192F05"/>
    <w:rsid w:val="001935E7"/>
    <w:rsid w:val="00193A1D"/>
    <w:rsid w:val="00194729"/>
    <w:rsid w:val="0019480C"/>
    <w:rsid w:val="00194850"/>
    <w:rsid w:val="00195234"/>
    <w:rsid w:val="00196016"/>
    <w:rsid w:val="00196117"/>
    <w:rsid w:val="0019691A"/>
    <w:rsid w:val="001971BA"/>
    <w:rsid w:val="001978BE"/>
    <w:rsid w:val="00197A70"/>
    <w:rsid w:val="00197C0F"/>
    <w:rsid w:val="001A0487"/>
    <w:rsid w:val="001A0675"/>
    <w:rsid w:val="001A1F68"/>
    <w:rsid w:val="001A21FA"/>
    <w:rsid w:val="001A4341"/>
    <w:rsid w:val="001A4D52"/>
    <w:rsid w:val="001A4EF0"/>
    <w:rsid w:val="001A50C7"/>
    <w:rsid w:val="001A552F"/>
    <w:rsid w:val="001A70B1"/>
    <w:rsid w:val="001B0738"/>
    <w:rsid w:val="001B2CA9"/>
    <w:rsid w:val="001B3110"/>
    <w:rsid w:val="001B3E38"/>
    <w:rsid w:val="001B40F5"/>
    <w:rsid w:val="001B4729"/>
    <w:rsid w:val="001B4F0E"/>
    <w:rsid w:val="001B5F40"/>
    <w:rsid w:val="001B6310"/>
    <w:rsid w:val="001B6C09"/>
    <w:rsid w:val="001B6E12"/>
    <w:rsid w:val="001B707F"/>
    <w:rsid w:val="001C05CD"/>
    <w:rsid w:val="001C0F17"/>
    <w:rsid w:val="001C1B24"/>
    <w:rsid w:val="001C1B66"/>
    <w:rsid w:val="001C21CA"/>
    <w:rsid w:val="001C31A2"/>
    <w:rsid w:val="001C351D"/>
    <w:rsid w:val="001C4094"/>
    <w:rsid w:val="001C4B8F"/>
    <w:rsid w:val="001C4BB8"/>
    <w:rsid w:val="001C4FD0"/>
    <w:rsid w:val="001C5E46"/>
    <w:rsid w:val="001C6B3B"/>
    <w:rsid w:val="001C7A26"/>
    <w:rsid w:val="001C7E3F"/>
    <w:rsid w:val="001D0EF1"/>
    <w:rsid w:val="001D0F1C"/>
    <w:rsid w:val="001D22C2"/>
    <w:rsid w:val="001D2C99"/>
    <w:rsid w:val="001D3B6C"/>
    <w:rsid w:val="001D452E"/>
    <w:rsid w:val="001D54C1"/>
    <w:rsid w:val="001D556E"/>
    <w:rsid w:val="001D5DF2"/>
    <w:rsid w:val="001D62E0"/>
    <w:rsid w:val="001D68B2"/>
    <w:rsid w:val="001D7EFD"/>
    <w:rsid w:val="001D7F60"/>
    <w:rsid w:val="001E3306"/>
    <w:rsid w:val="001E3E5B"/>
    <w:rsid w:val="001E486E"/>
    <w:rsid w:val="001E504C"/>
    <w:rsid w:val="001E5A17"/>
    <w:rsid w:val="001E7030"/>
    <w:rsid w:val="001E74C5"/>
    <w:rsid w:val="001F05C2"/>
    <w:rsid w:val="001F0928"/>
    <w:rsid w:val="001F101A"/>
    <w:rsid w:val="001F1236"/>
    <w:rsid w:val="001F2F90"/>
    <w:rsid w:val="001F38A3"/>
    <w:rsid w:val="001F4597"/>
    <w:rsid w:val="001F4826"/>
    <w:rsid w:val="001F6ABC"/>
    <w:rsid w:val="001F6CD3"/>
    <w:rsid w:val="001F75DA"/>
    <w:rsid w:val="001F7CE0"/>
    <w:rsid w:val="00200085"/>
    <w:rsid w:val="002002F3"/>
    <w:rsid w:val="00202575"/>
    <w:rsid w:val="00202A83"/>
    <w:rsid w:val="00203332"/>
    <w:rsid w:val="00203CD5"/>
    <w:rsid w:val="00203D8F"/>
    <w:rsid w:val="00203DA4"/>
    <w:rsid w:val="0020491E"/>
    <w:rsid w:val="00204EA6"/>
    <w:rsid w:val="00205186"/>
    <w:rsid w:val="00206390"/>
    <w:rsid w:val="00206516"/>
    <w:rsid w:val="00206B92"/>
    <w:rsid w:val="002071D5"/>
    <w:rsid w:val="002111E5"/>
    <w:rsid w:val="002118B9"/>
    <w:rsid w:val="00213691"/>
    <w:rsid w:val="00213FAF"/>
    <w:rsid w:val="002142C0"/>
    <w:rsid w:val="00215601"/>
    <w:rsid w:val="002171C1"/>
    <w:rsid w:val="00217C5B"/>
    <w:rsid w:val="0022020D"/>
    <w:rsid w:val="00220A43"/>
    <w:rsid w:val="0022139E"/>
    <w:rsid w:val="00221CB5"/>
    <w:rsid w:val="00221ED9"/>
    <w:rsid w:val="00222729"/>
    <w:rsid w:val="00223185"/>
    <w:rsid w:val="002233D6"/>
    <w:rsid w:val="002243CC"/>
    <w:rsid w:val="0022441D"/>
    <w:rsid w:val="0022449A"/>
    <w:rsid w:val="00224574"/>
    <w:rsid w:val="00224A20"/>
    <w:rsid w:val="00224E3F"/>
    <w:rsid w:val="002252E0"/>
    <w:rsid w:val="002255F6"/>
    <w:rsid w:val="00225986"/>
    <w:rsid w:val="00226032"/>
    <w:rsid w:val="002264F7"/>
    <w:rsid w:val="0022738D"/>
    <w:rsid w:val="002275FA"/>
    <w:rsid w:val="00227605"/>
    <w:rsid w:val="00227850"/>
    <w:rsid w:val="00227A53"/>
    <w:rsid w:val="00227BD0"/>
    <w:rsid w:val="00227E2E"/>
    <w:rsid w:val="00227F53"/>
    <w:rsid w:val="00230C6E"/>
    <w:rsid w:val="00230DB5"/>
    <w:rsid w:val="00230E21"/>
    <w:rsid w:val="00231066"/>
    <w:rsid w:val="002316A8"/>
    <w:rsid w:val="00231859"/>
    <w:rsid w:val="002320C9"/>
    <w:rsid w:val="0023288F"/>
    <w:rsid w:val="00233364"/>
    <w:rsid w:val="0023359B"/>
    <w:rsid w:val="00233603"/>
    <w:rsid w:val="00233E81"/>
    <w:rsid w:val="002340EF"/>
    <w:rsid w:val="00234B82"/>
    <w:rsid w:val="00235818"/>
    <w:rsid w:val="00236443"/>
    <w:rsid w:val="0023668D"/>
    <w:rsid w:val="00236700"/>
    <w:rsid w:val="00237C8B"/>
    <w:rsid w:val="00240391"/>
    <w:rsid w:val="00240AF3"/>
    <w:rsid w:val="002418D5"/>
    <w:rsid w:val="00241B06"/>
    <w:rsid w:val="002424DB"/>
    <w:rsid w:val="0024343A"/>
    <w:rsid w:val="002436BA"/>
    <w:rsid w:val="00244276"/>
    <w:rsid w:val="00244652"/>
    <w:rsid w:val="00244A15"/>
    <w:rsid w:val="002452D9"/>
    <w:rsid w:val="00247319"/>
    <w:rsid w:val="00247447"/>
    <w:rsid w:val="0024799E"/>
    <w:rsid w:val="00247E60"/>
    <w:rsid w:val="00251496"/>
    <w:rsid w:val="00251B08"/>
    <w:rsid w:val="00251B0E"/>
    <w:rsid w:val="00251C53"/>
    <w:rsid w:val="00252AB9"/>
    <w:rsid w:val="002532B1"/>
    <w:rsid w:val="00253C0F"/>
    <w:rsid w:val="002558C1"/>
    <w:rsid w:val="00255F4B"/>
    <w:rsid w:val="00256207"/>
    <w:rsid w:val="002575F3"/>
    <w:rsid w:val="00257B79"/>
    <w:rsid w:val="002603E1"/>
    <w:rsid w:val="0026120E"/>
    <w:rsid w:val="00261402"/>
    <w:rsid w:val="00262489"/>
    <w:rsid w:val="00262582"/>
    <w:rsid w:val="0026291D"/>
    <w:rsid w:val="00262CF3"/>
    <w:rsid w:val="002635A1"/>
    <w:rsid w:val="00263A67"/>
    <w:rsid w:val="00264309"/>
    <w:rsid w:val="00264992"/>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4E4"/>
    <w:rsid w:val="00276B33"/>
    <w:rsid w:val="00280D36"/>
    <w:rsid w:val="002812E3"/>
    <w:rsid w:val="00282755"/>
    <w:rsid w:val="00282A27"/>
    <w:rsid w:val="00282AAE"/>
    <w:rsid w:val="00282AD4"/>
    <w:rsid w:val="00283276"/>
    <w:rsid w:val="0028341F"/>
    <w:rsid w:val="002837AE"/>
    <w:rsid w:val="00283C13"/>
    <w:rsid w:val="00283F7B"/>
    <w:rsid w:val="0028431A"/>
    <w:rsid w:val="002853FA"/>
    <w:rsid w:val="00285412"/>
    <w:rsid w:val="00285604"/>
    <w:rsid w:val="00286220"/>
    <w:rsid w:val="00291640"/>
    <w:rsid w:val="002916BD"/>
    <w:rsid w:val="0029237E"/>
    <w:rsid w:val="00292997"/>
    <w:rsid w:val="00293D24"/>
    <w:rsid w:val="0029509B"/>
    <w:rsid w:val="0029588F"/>
    <w:rsid w:val="00295BAE"/>
    <w:rsid w:val="00295E96"/>
    <w:rsid w:val="002967F9"/>
    <w:rsid w:val="00297256"/>
    <w:rsid w:val="00297A5C"/>
    <w:rsid w:val="00297D51"/>
    <w:rsid w:val="002A0122"/>
    <w:rsid w:val="002A016B"/>
    <w:rsid w:val="002A0C95"/>
    <w:rsid w:val="002A16D4"/>
    <w:rsid w:val="002A17E2"/>
    <w:rsid w:val="002A1C17"/>
    <w:rsid w:val="002A1E4F"/>
    <w:rsid w:val="002A230C"/>
    <w:rsid w:val="002A24F6"/>
    <w:rsid w:val="002A2AF7"/>
    <w:rsid w:val="002A3209"/>
    <w:rsid w:val="002A3EA2"/>
    <w:rsid w:val="002A51AC"/>
    <w:rsid w:val="002A532A"/>
    <w:rsid w:val="002A5846"/>
    <w:rsid w:val="002A5D97"/>
    <w:rsid w:val="002A603E"/>
    <w:rsid w:val="002A63B9"/>
    <w:rsid w:val="002A7089"/>
    <w:rsid w:val="002B0C9F"/>
    <w:rsid w:val="002B1619"/>
    <w:rsid w:val="002B2CDE"/>
    <w:rsid w:val="002B3A7F"/>
    <w:rsid w:val="002B3EF4"/>
    <w:rsid w:val="002B4194"/>
    <w:rsid w:val="002B4845"/>
    <w:rsid w:val="002B5567"/>
    <w:rsid w:val="002B5812"/>
    <w:rsid w:val="002B72AA"/>
    <w:rsid w:val="002C1110"/>
    <w:rsid w:val="002C1BC2"/>
    <w:rsid w:val="002C1F09"/>
    <w:rsid w:val="002C22A4"/>
    <w:rsid w:val="002C260B"/>
    <w:rsid w:val="002C27A6"/>
    <w:rsid w:val="002C2832"/>
    <w:rsid w:val="002C31E4"/>
    <w:rsid w:val="002C398D"/>
    <w:rsid w:val="002C40D2"/>
    <w:rsid w:val="002C43BD"/>
    <w:rsid w:val="002C5245"/>
    <w:rsid w:val="002C564A"/>
    <w:rsid w:val="002C59D8"/>
    <w:rsid w:val="002C5FEB"/>
    <w:rsid w:val="002C6494"/>
    <w:rsid w:val="002D033B"/>
    <w:rsid w:val="002D05CB"/>
    <w:rsid w:val="002D0E59"/>
    <w:rsid w:val="002D2292"/>
    <w:rsid w:val="002D2C4F"/>
    <w:rsid w:val="002D3EBB"/>
    <w:rsid w:val="002D428D"/>
    <w:rsid w:val="002D455C"/>
    <w:rsid w:val="002D6066"/>
    <w:rsid w:val="002E02A1"/>
    <w:rsid w:val="002E0A27"/>
    <w:rsid w:val="002E192A"/>
    <w:rsid w:val="002E196A"/>
    <w:rsid w:val="002E20C7"/>
    <w:rsid w:val="002E20CD"/>
    <w:rsid w:val="002E222E"/>
    <w:rsid w:val="002E28D8"/>
    <w:rsid w:val="002E37D1"/>
    <w:rsid w:val="002E3817"/>
    <w:rsid w:val="002E3BEE"/>
    <w:rsid w:val="002E4E4C"/>
    <w:rsid w:val="002E4EA7"/>
    <w:rsid w:val="002E5846"/>
    <w:rsid w:val="002E6CE9"/>
    <w:rsid w:val="002E6E1C"/>
    <w:rsid w:val="002E792B"/>
    <w:rsid w:val="002E7AEB"/>
    <w:rsid w:val="002F1B09"/>
    <w:rsid w:val="002F1D56"/>
    <w:rsid w:val="002F1DCB"/>
    <w:rsid w:val="002F1DE4"/>
    <w:rsid w:val="002F333D"/>
    <w:rsid w:val="002F351A"/>
    <w:rsid w:val="002F46D6"/>
    <w:rsid w:val="002F498A"/>
    <w:rsid w:val="002F4AD8"/>
    <w:rsid w:val="002F5146"/>
    <w:rsid w:val="002F5285"/>
    <w:rsid w:val="002F5820"/>
    <w:rsid w:val="002F64BB"/>
    <w:rsid w:val="00300C31"/>
    <w:rsid w:val="003017EC"/>
    <w:rsid w:val="00302165"/>
    <w:rsid w:val="00303B89"/>
    <w:rsid w:val="00304771"/>
    <w:rsid w:val="003052D4"/>
    <w:rsid w:val="003060E9"/>
    <w:rsid w:val="00306C5B"/>
    <w:rsid w:val="00307529"/>
    <w:rsid w:val="00307DB3"/>
    <w:rsid w:val="00307ED2"/>
    <w:rsid w:val="0031076D"/>
    <w:rsid w:val="0031169A"/>
    <w:rsid w:val="00311AA6"/>
    <w:rsid w:val="00311C4D"/>
    <w:rsid w:val="003121AB"/>
    <w:rsid w:val="003129C5"/>
    <w:rsid w:val="00312EF6"/>
    <w:rsid w:val="00314068"/>
    <w:rsid w:val="00315169"/>
    <w:rsid w:val="003153C8"/>
    <w:rsid w:val="00315524"/>
    <w:rsid w:val="00315561"/>
    <w:rsid w:val="00317263"/>
    <w:rsid w:val="0031738D"/>
    <w:rsid w:val="0032058C"/>
    <w:rsid w:val="003208D0"/>
    <w:rsid w:val="003209D6"/>
    <w:rsid w:val="003217B9"/>
    <w:rsid w:val="003217C7"/>
    <w:rsid w:val="00321924"/>
    <w:rsid w:val="00321EB6"/>
    <w:rsid w:val="003220A5"/>
    <w:rsid w:val="003238E0"/>
    <w:rsid w:val="00323A1C"/>
    <w:rsid w:val="00324B59"/>
    <w:rsid w:val="00324C52"/>
    <w:rsid w:val="0032656E"/>
    <w:rsid w:val="0032788F"/>
    <w:rsid w:val="003302F3"/>
    <w:rsid w:val="00332190"/>
    <w:rsid w:val="00332485"/>
    <w:rsid w:val="00332A98"/>
    <w:rsid w:val="003334BD"/>
    <w:rsid w:val="00333973"/>
    <w:rsid w:val="00333CD0"/>
    <w:rsid w:val="0033448D"/>
    <w:rsid w:val="00334AD2"/>
    <w:rsid w:val="00334CB6"/>
    <w:rsid w:val="00336F32"/>
    <w:rsid w:val="0033709C"/>
    <w:rsid w:val="003370C5"/>
    <w:rsid w:val="003373C6"/>
    <w:rsid w:val="00337649"/>
    <w:rsid w:val="00340619"/>
    <w:rsid w:val="00340BF3"/>
    <w:rsid w:val="00341D26"/>
    <w:rsid w:val="00341F05"/>
    <w:rsid w:val="0034335E"/>
    <w:rsid w:val="00343BB6"/>
    <w:rsid w:val="00344668"/>
    <w:rsid w:val="003446C5"/>
    <w:rsid w:val="00344940"/>
    <w:rsid w:val="00345B78"/>
    <w:rsid w:val="00346234"/>
    <w:rsid w:val="003462D9"/>
    <w:rsid w:val="00346E45"/>
    <w:rsid w:val="0034723F"/>
    <w:rsid w:val="00347247"/>
    <w:rsid w:val="003474B6"/>
    <w:rsid w:val="00347DD4"/>
    <w:rsid w:val="00347F6F"/>
    <w:rsid w:val="00351AFA"/>
    <w:rsid w:val="00352356"/>
    <w:rsid w:val="00352B43"/>
    <w:rsid w:val="00352C28"/>
    <w:rsid w:val="00356BD9"/>
    <w:rsid w:val="00356DB3"/>
    <w:rsid w:val="00360645"/>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0CFF"/>
    <w:rsid w:val="003712BC"/>
    <w:rsid w:val="00372164"/>
    <w:rsid w:val="003738BD"/>
    <w:rsid w:val="00374263"/>
    <w:rsid w:val="003746F0"/>
    <w:rsid w:val="0037473E"/>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25"/>
    <w:rsid w:val="00385086"/>
    <w:rsid w:val="00385D98"/>
    <w:rsid w:val="00387963"/>
    <w:rsid w:val="00390306"/>
    <w:rsid w:val="003908A6"/>
    <w:rsid w:val="0039109D"/>
    <w:rsid w:val="00391989"/>
    <w:rsid w:val="00391A6C"/>
    <w:rsid w:val="003927F6"/>
    <w:rsid w:val="00394139"/>
    <w:rsid w:val="00396128"/>
    <w:rsid w:val="00396739"/>
    <w:rsid w:val="00396F82"/>
    <w:rsid w:val="003978B1"/>
    <w:rsid w:val="003A00E3"/>
    <w:rsid w:val="003A04F6"/>
    <w:rsid w:val="003A0837"/>
    <w:rsid w:val="003A2B4D"/>
    <w:rsid w:val="003A2D12"/>
    <w:rsid w:val="003A2EBA"/>
    <w:rsid w:val="003A3741"/>
    <w:rsid w:val="003A390C"/>
    <w:rsid w:val="003A4098"/>
    <w:rsid w:val="003A45E3"/>
    <w:rsid w:val="003A478C"/>
    <w:rsid w:val="003A4A38"/>
    <w:rsid w:val="003A4B03"/>
    <w:rsid w:val="003A5525"/>
    <w:rsid w:val="003A5889"/>
    <w:rsid w:val="003A6B38"/>
    <w:rsid w:val="003A6B83"/>
    <w:rsid w:val="003A6C97"/>
    <w:rsid w:val="003A722F"/>
    <w:rsid w:val="003A7373"/>
    <w:rsid w:val="003A7D09"/>
    <w:rsid w:val="003B0231"/>
    <w:rsid w:val="003B039F"/>
    <w:rsid w:val="003B04DB"/>
    <w:rsid w:val="003B0DF4"/>
    <w:rsid w:val="003B0ECE"/>
    <w:rsid w:val="003B1F9D"/>
    <w:rsid w:val="003B2718"/>
    <w:rsid w:val="003B2A8D"/>
    <w:rsid w:val="003B2AD1"/>
    <w:rsid w:val="003B2C12"/>
    <w:rsid w:val="003B2D2E"/>
    <w:rsid w:val="003B461F"/>
    <w:rsid w:val="003B483F"/>
    <w:rsid w:val="003B4998"/>
    <w:rsid w:val="003B5A32"/>
    <w:rsid w:val="003B5B59"/>
    <w:rsid w:val="003B7B50"/>
    <w:rsid w:val="003C0B07"/>
    <w:rsid w:val="003C0F1A"/>
    <w:rsid w:val="003C1263"/>
    <w:rsid w:val="003C2B05"/>
    <w:rsid w:val="003C2CE7"/>
    <w:rsid w:val="003C3490"/>
    <w:rsid w:val="003C3608"/>
    <w:rsid w:val="003C3A1D"/>
    <w:rsid w:val="003C3AE8"/>
    <w:rsid w:val="003C3D2C"/>
    <w:rsid w:val="003C4E13"/>
    <w:rsid w:val="003C6221"/>
    <w:rsid w:val="003C63D7"/>
    <w:rsid w:val="003C68CC"/>
    <w:rsid w:val="003C7E62"/>
    <w:rsid w:val="003D12B9"/>
    <w:rsid w:val="003D1E7A"/>
    <w:rsid w:val="003D242B"/>
    <w:rsid w:val="003D2492"/>
    <w:rsid w:val="003D29AA"/>
    <w:rsid w:val="003D2A99"/>
    <w:rsid w:val="003D3245"/>
    <w:rsid w:val="003D5A90"/>
    <w:rsid w:val="003D6920"/>
    <w:rsid w:val="003E0249"/>
    <w:rsid w:val="003E08A4"/>
    <w:rsid w:val="003E1AA3"/>
    <w:rsid w:val="003E1EF8"/>
    <w:rsid w:val="003E2DFB"/>
    <w:rsid w:val="003E4466"/>
    <w:rsid w:val="003E4C91"/>
    <w:rsid w:val="003E52D8"/>
    <w:rsid w:val="003E62F1"/>
    <w:rsid w:val="003E7971"/>
    <w:rsid w:val="003F04FF"/>
    <w:rsid w:val="003F08E2"/>
    <w:rsid w:val="003F15C8"/>
    <w:rsid w:val="003F313C"/>
    <w:rsid w:val="003F33B9"/>
    <w:rsid w:val="003F37FC"/>
    <w:rsid w:val="003F4318"/>
    <w:rsid w:val="003F4B2C"/>
    <w:rsid w:val="003F551C"/>
    <w:rsid w:val="003F55CF"/>
    <w:rsid w:val="003F5A24"/>
    <w:rsid w:val="003F626D"/>
    <w:rsid w:val="003F72ED"/>
    <w:rsid w:val="003F7D23"/>
    <w:rsid w:val="00400050"/>
    <w:rsid w:val="004002C8"/>
    <w:rsid w:val="00400468"/>
    <w:rsid w:val="0040099D"/>
    <w:rsid w:val="004016CB"/>
    <w:rsid w:val="00401B23"/>
    <w:rsid w:val="00402ADB"/>
    <w:rsid w:val="00403171"/>
    <w:rsid w:val="0040368D"/>
    <w:rsid w:val="00403A86"/>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3ECB"/>
    <w:rsid w:val="004149AC"/>
    <w:rsid w:val="0041501E"/>
    <w:rsid w:val="00415072"/>
    <w:rsid w:val="00415452"/>
    <w:rsid w:val="004159C3"/>
    <w:rsid w:val="00415A57"/>
    <w:rsid w:val="00416968"/>
    <w:rsid w:val="00416DAC"/>
    <w:rsid w:val="00420880"/>
    <w:rsid w:val="00421179"/>
    <w:rsid w:val="00423623"/>
    <w:rsid w:val="0042612F"/>
    <w:rsid w:val="00430C96"/>
    <w:rsid w:val="0043174F"/>
    <w:rsid w:val="00431BFF"/>
    <w:rsid w:val="00432199"/>
    <w:rsid w:val="00432A58"/>
    <w:rsid w:val="004331C3"/>
    <w:rsid w:val="00433C17"/>
    <w:rsid w:val="00434617"/>
    <w:rsid w:val="00435051"/>
    <w:rsid w:val="00435C69"/>
    <w:rsid w:val="004360FB"/>
    <w:rsid w:val="00436EC4"/>
    <w:rsid w:val="00437AC6"/>
    <w:rsid w:val="00437CED"/>
    <w:rsid w:val="004407BF"/>
    <w:rsid w:val="00440900"/>
    <w:rsid w:val="00440ECB"/>
    <w:rsid w:val="0044121D"/>
    <w:rsid w:val="00441BF6"/>
    <w:rsid w:val="00441D2B"/>
    <w:rsid w:val="00441F8B"/>
    <w:rsid w:val="00442085"/>
    <w:rsid w:val="0044279E"/>
    <w:rsid w:val="00442D8F"/>
    <w:rsid w:val="004439AF"/>
    <w:rsid w:val="00443A47"/>
    <w:rsid w:val="004441A0"/>
    <w:rsid w:val="0044506B"/>
    <w:rsid w:val="00445861"/>
    <w:rsid w:val="00445A8E"/>
    <w:rsid w:val="00446D44"/>
    <w:rsid w:val="0045078A"/>
    <w:rsid w:val="0045086D"/>
    <w:rsid w:val="00450DAB"/>
    <w:rsid w:val="0045125B"/>
    <w:rsid w:val="00451EF1"/>
    <w:rsid w:val="00452E60"/>
    <w:rsid w:val="0045321B"/>
    <w:rsid w:val="00456FE5"/>
    <w:rsid w:val="00457490"/>
    <w:rsid w:val="00457953"/>
    <w:rsid w:val="004601CB"/>
    <w:rsid w:val="004604D8"/>
    <w:rsid w:val="00460656"/>
    <w:rsid w:val="00460C42"/>
    <w:rsid w:val="00460FB3"/>
    <w:rsid w:val="00463D3C"/>
    <w:rsid w:val="00464851"/>
    <w:rsid w:val="00464ADA"/>
    <w:rsid w:val="00465B69"/>
    <w:rsid w:val="00466595"/>
    <w:rsid w:val="0046746A"/>
    <w:rsid w:val="00467B14"/>
    <w:rsid w:val="004707FE"/>
    <w:rsid w:val="00470EDC"/>
    <w:rsid w:val="004712D8"/>
    <w:rsid w:val="0047276D"/>
    <w:rsid w:val="00472AF6"/>
    <w:rsid w:val="0047312E"/>
    <w:rsid w:val="00473482"/>
    <w:rsid w:val="00474A04"/>
    <w:rsid w:val="00476240"/>
    <w:rsid w:val="00476439"/>
    <w:rsid w:val="00476450"/>
    <w:rsid w:val="00476990"/>
    <w:rsid w:val="004769E1"/>
    <w:rsid w:val="0047735C"/>
    <w:rsid w:val="004776BC"/>
    <w:rsid w:val="00477820"/>
    <w:rsid w:val="00477B96"/>
    <w:rsid w:val="00480906"/>
    <w:rsid w:val="00480BAE"/>
    <w:rsid w:val="0048139F"/>
    <w:rsid w:val="00481E40"/>
    <w:rsid w:val="00482405"/>
    <w:rsid w:val="004826A7"/>
    <w:rsid w:val="0048368C"/>
    <w:rsid w:val="0048372F"/>
    <w:rsid w:val="00484ECE"/>
    <w:rsid w:val="00485E82"/>
    <w:rsid w:val="00486132"/>
    <w:rsid w:val="00486604"/>
    <w:rsid w:val="0048686D"/>
    <w:rsid w:val="00486A4D"/>
    <w:rsid w:val="0049026F"/>
    <w:rsid w:val="0049030E"/>
    <w:rsid w:val="004915CB"/>
    <w:rsid w:val="004924DC"/>
    <w:rsid w:val="00492879"/>
    <w:rsid w:val="00493E85"/>
    <w:rsid w:val="00495145"/>
    <w:rsid w:val="00495273"/>
    <w:rsid w:val="00495B0D"/>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0B43"/>
    <w:rsid w:val="004B1417"/>
    <w:rsid w:val="004B305C"/>
    <w:rsid w:val="004B31B8"/>
    <w:rsid w:val="004B339A"/>
    <w:rsid w:val="004B4C83"/>
    <w:rsid w:val="004B55B7"/>
    <w:rsid w:val="004B5BFA"/>
    <w:rsid w:val="004B6468"/>
    <w:rsid w:val="004B6926"/>
    <w:rsid w:val="004B6EF8"/>
    <w:rsid w:val="004B7125"/>
    <w:rsid w:val="004B756A"/>
    <w:rsid w:val="004B7FB1"/>
    <w:rsid w:val="004C0B3F"/>
    <w:rsid w:val="004C0BC9"/>
    <w:rsid w:val="004C2794"/>
    <w:rsid w:val="004C2BB6"/>
    <w:rsid w:val="004C2C2D"/>
    <w:rsid w:val="004C3027"/>
    <w:rsid w:val="004C384C"/>
    <w:rsid w:val="004C3867"/>
    <w:rsid w:val="004C3B1F"/>
    <w:rsid w:val="004C3DB0"/>
    <w:rsid w:val="004C439A"/>
    <w:rsid w:val="004C4720"/>
    <w:rsid w:val="004C4CD0"/>
    <w:rsid w:val="004C5060"/>
    <w:rsid w:val="004C5165"/>
    <w:rsid w:val="004C589C"/>
    <w:rsid w:val="004C5AE8"/>
    <w:rsid w:val="004C6E0E"/>
    <w:rsid w:val="004C70DC"/>
    <w:rsid w:val="004C7ED1"/>
    <w:rsid w:val="004D0211"/>
    <w:rsid w:val="004D0794"/>
    <w:rsid w:val="004D0EDF"/>
    <w:rsid w:val="004D2E03"/>
    <w:rsid w:val="004D3296"/>
    <w:rsid w:val="004D3D9D"/>
    <w:rsid w:val="004D4056"/>
    <w:rsid w:val="004D4CB0"/>
    <w:rsid w:val="004D5B0F"/>
    <w:rsid w:val="004D6FBA"/>
    <w:rsid w:val="004D7626"/>
    <w:rsid w:val="004D762D"/>
    <w:rsid w:val="004E0318"/>
    <w:rsid w:val="004E186A"/>
    <w:rsid w:val="004E1A40"/>
    <w:rsid w:val="004E200A"/>
    <w:rsid w:val="004E23FC"/>
    <w:rsid w:val="004E2409"/>
    <w:rsid w:val="004E261D"/>
    <w:rsid w:val="004E4CBB"/>
    <w:rsid w:val="004E57BF"/>
    <w:rsid w:val="004E5F41"/>
    <w:rsid w:val="004E6011"/>
    <w:rsid w:val="004E6DE6"/>
    <w:rsid w:val="004E765E"/>
    <w:rsid w:val="004E7815"/>
    <w:rsid w:val="004F0180"/>
    <w:rsid w:val="004F06F5"/>
    <w:rsid w:val="004F12A4"/>
    <w:rsid w:val="004F253F"/>
    <w:rsid w:val="004F33A0"/>
    <w:rsid w:val="004F3698"/>
    <w:rsid w:val="004F3873"/>
    <w:rsid w:val="004F3BD2"/>
    <w:rsid w:val="004F4616"/>
    <w:rsid w:val="004F46ED"/>
    <w:rsid w:val="004F4C99"/>
    <w:rsid w:val="004F5358"/>
    <w:rsid w:val="004F5D02"/>
    <w:rsid w:val="004F63BE"/>
    <w:rsid w:val="004F6484"/>
    <w:rsid w:val="004F6539"/>
    <w:rsid w:val="005001BE"/>
    <w:rsid w:val="005025EE"/>
    <w:rsid w:val="00503D54"/>
    <w:rsid w:val="005048E2"/>
    <w:rsid w:val="00505E88"/>
    <w:rsid w:val="00505FC8"/>
    <w:rsid w:val="00506603"/>
    <w:rsid w:val="0050689D"/>
    <w:rsid w:val="005077F5"/>
    <w:rsid w:val="00507D08"/>
    <w:rsid w:val="005108C0"/>
    <w:rsid w:val="0051094F"/>
    <w:rsid w:val="00510A79"/>
    <w:rsid w:val="00511217"/>
    <w:rsid w:val="00511525"/>
    <w:rsid w:val="00511873"/>
    <w:rsid w:val="00511BF3"/>
    <w:rsid w:val="00512461"/>
    <w:rsid w:val="00512585"/>
    <w:rsid w:val="00512A2F"/>
    <w:rsid w:val="00513B7E"/>
    <w:rsid w:val="00513E9D"/>
    <w:rsid w:val="0051475D"/>
    <w:rsid w:val="00514B11"/>
    <w:rsid w:val="00515485"/>
    <w:rsid w:val="00515BE9"/>
    <w:rsid w:val="00515C74"/>
    <w:rsid w:val="0051630F"/>
    <w:rsid w:val="00517113"/>
    <w:rsid w:val="005175C2"/>
    <w:rsid w:val="00517E70"/>
    <w:rsid w:val="0052007E"/>
    <w:rsid w:val="005216A4"/>
    <w:rsid w:val="00521CAD"/>
    <w:rsid w:val="0052200D"/>
    <w:rsid w:val="00522425"/>
    <w:rsid w:val="00522E01"/>
    <w:rsid w:val="0052337A"/>
    <w:rsid w:val="00524385"/>
    <w:rsid w:val="005246BE"/>
    <w:rsid w:val="00525137"/>
    <w:rsid w:val="005251DD"/>
    <w:rsid w:val="00526AB0"/>
    <w:rsid w:val="00526F65"/>
    <w:rsid w:val="005278E5"/>
    <w:rsid w:val="0053012B"/>
    <w:rsid w:val="005301A6"/>
    <w:rsid w:val="00530A68"/>
    <w:rsid w:val="00530AD4"/>
    <w:rsid w:val="0053187B"/>
    <w:rsid w:val="00531C5A"/>
    <w:rsid w:val="00532CE7"/>
    <w:rsid w:val="00532D8B"/>
    <w:rsid w:val="0053324C"/>
    <w:rsid w:val="00533A8D"/>
    <w:rsid w:val="005344E4"/>
    <w:rsid w:val="00534A28"/>
    <w:rsid w:val="00535018"/>
    <w:rsid w:val="0053595E"/>
    <w:rsid w:val="00537571"/>
    <w:rsid w:val="00537AC2"/>
    <w:rsid w:val="00540056"/>
    <w:rsid w:val="005410E2"/>
    <w:rsid w:val="00541508"/>
    <w:rsid w:val="00541AE3"/>
    <w:rsid w:val="00543498"/>
    <w:rsid w:val="00543FDE"/>
    <w:rsid w:val="00544011"/>
    <w:rsid w:val="00544BE5"/>
    <w:rsid w:val="00544E94"/>
    <w:rsid w:val="00545073"/>
    <w:rsid w:val="005455F6"/>
    <w:rsid w:val="0054582F"/>
    <w:rsid w:val="00546FC7"/>
    <w:rsid w:val="005500F9"/>
    <w:rsid w:val="00550160"/>
    <w:rsid w:val="005523A8"/>
    <w:rsid w:val="00552860"/>
    <w:rsid w:val="00552F2C"/>
    <w:rsid w:val="00553A25"/>
    <w:rsid w:val="005547EB"/>
    <w:rsid w:val="005555E0"/>
    <w:rsid w:val="0055599F"/>
    <w:rsid w:val="00555C49"/>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67910"/>
    <w:rsid w:val="00567D92"/>
    <w:rsid w:val="00570270"/>
    <w:rsid w:val="0057034E"/>
    <w:rsid w:val="00570464"/>
    <w:rsid w:val="00570BC3"/>
    <w:rsid w:val="00571651"/>
    <w:rsid w:val="0057182A"/>
    <w:rsid w:val="00571E59"/>
    <w:rsid w:val="00572079"/>
    <w:rsid w:val="00572900"/>
    <w:rsid w:val="00573602"/>
    <w:rsid w:val="0057364B"/>
    <w:rsid w:val="00574773"/>
    <w:rsid w:val="00575807"/>
    <w:rsid w:val="005761EC"/>
    <w:rsid w:val="005766CA"/>
    <w:rsid w:val="005770F9"/>
    <w:rsid w:val="00577C07"/>
    <w:rsid w:val="00577DB1"/>
    <w:rsid w:val="00580AD3"/>
    <w:rsid w:val="00580DE7"/>
    <w:rsid w:val="005810E1"/>
    <w:rsid w:val="005811BF"/>
    <w:rsid w:val="00581D66"/>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1D8"/>
    <w:rsid w:val="00593EEA"/>
    <w:rsid w:val="00593FE6"/>
    <w:rsid w:val="005956A3"/>
    <w:rsid w:val="00595958"/>
    <w:rsid w:val="00595CAB"/>
    <w:rsid w:val="00595FDE"/>
    <w:rsid w:val="0059622E"/>
    <w:rsid w:val="00597671"/>
    <w:rsid w:val="00597BBF"/>
    <w:rsid w:val="005A0463"/>
    <w:rsid w:val="005A0948"/>
    <w:rsid w:val="005A0A03"/>
    <w:rsid w:val="005A10F2"/>
    <w:rsid w:val="005A21E0"/>
    <w:rsid w:val="005A28FF"/>
    <w:rsid w:val="005A2C09"/>
    <w:rsid w:val="005A32D0"/>
    <w:rsid w:val="005A3778"/>
    <w:rsid w:val="005A3DF8"/>
    <w:rsid w:val="005A5549"/>
    <w:rsid w:val="005A566A"/>
    <w:rsid w:val="005A7CF8"/>
    <w:rsid w:val="005B0EDA"/>
    <w:rsid w:val="005B121D"/>
    <w:rsid w:val="005B1688"/>
    <w:rsid w:val="005B26B0"/>
    <w:rsid w:val="005B41C9"/>
    <w:rsid w:val="005B44E6"/>
    <w:rsid w:val="005B4853"/>
    <w:rsid w:val="005B506A"/>
    <w:rsid w:val="005B5CD5"/>
    <w:rsid w:val="005B6CA1"/>
    <w:rsid w:val="005B770C"/>
    <w:rsid w:val="005C06ED"/>
    <w:rsid w:val="005C11B8"/>
    <w:rsid w:val="005C216C"/>
    <w:rsid w:val="005C2609"/>
    <w:rsid w:val="005C2B30"/>
    <w:rsid w:val="005C412B"/>
    <w:rsid w:val="005C43EC"/>
    <w:rsid w:val="005C45DD"/>
    <w:rsid w:val="005C4CB1"/>
    <w:rsid w:val="005C5991"/>
    <w:rsid w:val="005D0A73"/>
    <w:rsid w:val="005D254D"/>
    <w:rsid w:val="005D34F8"/>
    <w:rsid w:val="005D3F06"/>
    <w:rsid w:val="005D4B73"/>
    <w:rsid w:val="005D5645"/>
    <w:rsid w:val="005D5802"/>
    <w:rsid w:val="005D5AA9"/>
    <w:rsid w:val="005D66E6"/>
    <w:rsid w:val="005D7119"/>
    <w:rsid w:val="005D76C8"/>
    <w:rsid w:val="005D7890"/>
    <w:rsid w:val="005E003B"/>
    <w:rsid w:val="005E19C1"/>
    <w:rsid w:val="005E2194"/>
    <w:rsid w:val="005E24F0"/>
    <w:rsid w:val="005E36FE"/>
    <w:rsid w:val="005E38A9"/>
    <w:rsid w:val="005E3E65"/>
    <w:rsid w:val="005E3F66"/>
    <w:rsid w:val="005E490F"/>
    <w:rsid w:val="005E4BC9"/>
    <w:rsid w:val="005E5314"/>
    <w:rsid w:val="005E6ABB"/>
    <w:rsid w:val="005E7C78"/>
    <w:rsid w:val="005F04A7"/>
    <w:rsid w:val="005F114F"/>
    <w:rsid w:val="005F18C5"/>
    <w:rsid w:val="005F2A08"/>
    <w:rsid w:val="005F36CC"/>
    <w:rsid w:val="005F3EB1"/>
    <w:rsid w:val="005F413E"/>
    <w:rsid w:val="005F466B"/>
    <w:rsid w:val="005F46D8"/>
    <w:rsid w:val="005F480F"/>
    <w:rsid w:val="005F509C"/>
    <w:rsid w:val="005F5469"/>
    <w:rsid w:val="005F63F3"/>
    <w:rsid w:val="005F66F0"/>
    <w:rsid w:val="005F6D7F"/>
    <w:rsid w:val="005F7174"/>
    <w:rsid w:val="005F7678"/>
    <w:rsid w:val="0060120D"/>
    <w:rsid w:val="00601ADE"/>
    <w:rsid w:val="00601EEF"/>
    <w:rsid w:val="0060255A"/>
    <w:rsid w:val="00602EB3"/>
    <w:rsid w:val="006040C6"/>
    <w:rsid w:val="00604307"/>
    <w:rsid w:val="0060487F"/>
    <w:rsid w:val="00604EAD"/>
    <w:rsid w:val="0060513F"/>
    <w:rsid w:val="0060694B"/>
    <w:rsid w:val="00607DEA"/>
    <w:rsid w:val="006104FB"/>
    <w:rsid w:val="0061176D"/>
    <w:rsid w:val="0061200F"/>
    <w:rsid w:val="00612756"/>
    <w:rsid w:val="00612A2F"/>
    <w:rsid w:val="00612AAE"/>
    <w:rsid w:val="00612FD9"/>
    <w:rsid w:val="006139E0"/>
    <w:rsid w:val="00614245"/>
    <w:rsid w:val="00614D35"/>
    <w:rsid w:val="00614F97"/>
    <w:rsid w:val="006156B4"/>
    <w:rsid w:val="00615DAF"/>
    <w:rsid w:val="0061672A"/>
    <w:rsid w:val="00616E05"/>
    <w:rsid w:val="00617985"/>
    <w:rsid w:val="00617C01"/>
    <w:rsid w:val="00620B77"/>
    <w:rsid w:val="006212FC"/>
    <w:rsid w:val="0062131B"/>
    <w:rsid w:val="00621E26"/>
    <w:rsid w:val="006224EA"/>
    <w:rsid w:val="0062263A"/>
    <w:rsid w:val="006227DF"/>
    <w:rsid w:val="006236C8"/>
    <w:rsid w:val="00624093"/>
    <w:rsid w:val="006243E3"/>
    <w:rsid w:val="006256B8"/>
    <w:rsid w:val="00625A84"/>
    <w:rsid w:val="00626079"/>
    <w:rsid w:val="0062641C"/>
    <w:rsid w:val="006272EF"/>
    <w:rsid w:val="0062751D"/>
    <w:rsid w:val="00627F17"/>
    <w:rsid w:val="00631698"/>
    <w:rsid w:val="00631E44"/>
    <w:rsid w:val="00632579"/>
    <w:rsid w:val="00632714"/>
    <w:rsid w:val="00633923"/>
    <w:rsid w:val="00633AB2"/>
    <w:rsid w:val="00634C57"/>
    <w:rsid w:val="00634CE7"/>
    <w:rsid w:val="006350D5"/>
    <w:rsid w:val="00635CF8"/>
    <w:rsid w:val="00635D28"/>
    <w:rsid w:val="0063642C"/>
    <w:rsid w:val="006372CF"/>
    <w:rsid w:val="00637858"/>
    <w:rsid w:val="006404A7"/>
    <w:rsid w:val="00640A38"/>
    <w:rsid w:val="00640DC3"/>
    <w:rsid w:val="00640E6B"/>
    <w:rsid w:val="00641787"/>
    <w:rsid w:val="0064179B"/>
    <w:rsid w:val="00642489"/>
    <w:rsid w:val="00642F22"/>
    <w:rsid w:val="0064392C"/>
    <w:rsid w:val="00643B58"/>
    <w:rsid w:val="00644055"/>
    <w:rsid w:val="00644137"/>
    <w:rsid w:val="0064478C"/>
    <w:rsid w:val="00645160"/>
    <w:rsid w:val="006451E4"/>
    <w:rsid w:val="0064574B"/>
    <w:rsid w:val="00645B33"/>
    <w:rsid w:val="00650251"/>
    <w:rsid w:val="006516CB"/>
    <w:rsid w:val="00652E30"/>
    <w:rsid w:val="0065392C"/>
    <w:rsid w:val="00653BD0"/>
    <w:rsid w:val="00654110"/>
    <w:rsid w:val="00656C5D"/>
    <w:rsid w:val="00656CFB"/>
    <w:rsid w:val="00657E87"/>
    <w:rsid w:val="00657FD1"/>
    <w:rsid w:val="00660228"/>
    <w:rsid w:val="00660D2D"/>
    <w:rsid w:val="00661C41"/>
    <w:rsid w:val="00661EC9"/>
    <w:rsid w:val="00662469"/>
    <w:rsid w:val="00663C68"/>
    <w:rsid w:val="0066411C"/>
    <w:rsid w:val="00664205"/>
    <w:rsid w:val="00664647"/>
    <w:rsid w:val="00664803"/>
    <w:rsid w:val="006653CC"/>
    <w:rsid w:val="006654CB"/>
    <w:rsid w:val="00665982"/>
    <w:rsid w:val="00665BA4"/>
    <w:rsid w:val="00666BF3"/>
    <w:rsid w:val="006677C1"/>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4E2"/>
    <w:rsid w:val="00680D37"/>
    <w:rsid w:val="0068174E"/>
    <w:rsid w:val="00681DCE"/>
    <w:rsid w:val="00682110"/>
    <w:rsid w:val="0068260E"/>
    <w:rsid w:val="006846B3"/>
    <w:rsid w:val="00684D59"/>
    <w:rsid w:val="00684E25"/>
    <w:rsid w:val="006853B9"/>
    <w:rsid w:val="006858A4"/>
    <w:rsid w:val="00686718"/>
    <w:rsid w:val="00686BFA"/>
    <w:rsid w:val="00686DED"/>
    <w:rsid w:val="006875A0"/>
    <w:rsid w:val="006878C6"/>
    <w:rsid w:val="00687D27"/>
    <w:rsid w:val="00691943"/>
    <w:rsid w:val="00693550"/>
    <w:rsid w:val="00694D84"/>
    <w:rsid w:val="00695065"/>
    <w:rsid w:val="00695BEF"/>
    <w:rsid w:val="00696251"/>
    <w:rsid w:val="006966C7"/>
    <w:rsid w:val="006968C1"/>
    <w:rsid w:val="00696B76"/>
    <w:rsid w:val="006977F6"/>
    <w:rsid w:val="00697A13"/>
    <w:rsid w:val="006A088C"/>
    <w:rsid w:val="006A0ADD"/>
    <w:rsid w:val="006A0DD4"/>
    <w:rsid w:val="006A109C"/>
    <w:rsid w:val="006A1A58"/>
    <w:rsid w:val="006A3F21"/>
    <w:rsid w:val="006A5F4B"/>
    <w:rsid w:val="006A6565"/>
    <w:rsid w:val="006A7691"/>
    <w:rsid w:val="006A7EE2"/>
    <w:rsid w:val="006B0514"/>
    <w:rsid w:val="006B0F92"/>
    <w:rsid w:val="006B1E91"/>
    <w:rsid w:val="006B2785"/>
    <w:rsid w:val="006B27C7"/>
    <w:rsid w:val="006B344A"/>
    <w:rsid w:val="006B47C8"/>
    <w:rsid w:val="006B4A4F"/>
    <w:rsid w:val="006B519F"/>
    <w:rsid w:val="006B58C9"/>
    <w:rsid w:val="006B60ED"/>
    <w:rsid w:val="006B6CC5"/>
    <w:rsid w:val="006B7153"/>
    <w:rsid w:val="006B74AC"/>
    <w:rsid w:val="006B78D8"/>
    <w:rsid w:val="006B79EA"/>
    <w:rsid w:val="006C030A"/>
    <w:rsid w:val="006C0C5D"/>
    <w:rsid w:val="006C113F"/>
    <w:rsid w:val="006C123E"/>
    <w:rsid w:val="006C15A1"/>
    <w:rsid w:val="006C1752"/>
    <w:rsid w:val="006C1DDC"/>
    <w:rsid w:val="006C28CA"/>
    <w:rsid w:val="006C2BBF"/>
    <w:rsid w:val="006C2FBD"/>
    <w:rsid w:val="006C3116"/>
    <w:rsid w:val="006C3321"/>
    <w:rsid w:val="006C406F"/>
    <w:rsid w:val="006C4355"/>
    <w:rsid w:val="006C469D"/>
    <w:rsid w:val="006C46B5"/>
    <w:rsid w:val="006C484F"/>
    <w:rsid w:val="006C52EC"/>
    <w:rsid w:val="006C5506"/>
    <w:rsid w:val="006C56D4"/>
    <w:rsid w:val="006C6681"/>
    <w:rsid w:val="006C683C"/>
    <w:rsid w:val="006C6924"/>
    <w:rsid w:val="006C6B11"/>
    <w:rsid w:val="006C6C1E"/>
    <w:rsid w:val="006C7076"/>
    <w:rsid w:val="006C7AEC"/>
    <w:rsid w:val="006C7CA6"/>
    <w:rsid w:val="006D18B3"/>
    <w:rsid w:val="006D1E89"/>
    <w:rsid w:val="006D317E"/>
    <w:rsid w:val="006D3D63"/>
    <w:rsid w:val="006D3E8A"/>
    <w:rsid w:val="006D4150"/>
    <w:rsid w:val="006D61F6"/>
    <w:rsid w:val="006D6442"/>
    <w:rsid w:val="006D79F2"/>
    <w:rsid w:val="006E0376"/>
    <w:rsid w:val="006E0C7B"/>
    <w:rsid w:val="006E1332"/>
    <w:rsid w:val="006E19CB"/>
    <w:rsid w:val="006E279A"/>
    <w:rsid w:val="006E313B"/>
    <w:rsid w:val="006E34B2"/>
    <w:rsid w:val="006E3A45"/>
    <w:rsid w:val="006E4078"/>
    <w:rsid w:val="006E53AD"/>
    <w:rsid w:val="006E58CB"/>
    <w:rsid w:val="006E7227"/>
    <w:rsid w:val="006E761A"/>
    <w:rsid w:val="006F0741"/>
    <w:rsid w:val="006F1400"/>
    <w:rsid w:val="006F1C27"/>
    <w:rsid w:val="006F282F"/>
    <w:rsid w:val="006F2A65"/>
    <w:rsid w:val="006F3DD6"/>
    <w:rsid w:val="006F40DF"/>
    <w:rsid w:val="006F42BB"/>
    <w:rsid w:val="006F438E"/>
    <w:rsid w:val="006F440B"/>
    <w:rsid w:val="006F48A3"/>
    <w:rsid w:val="006F4DA4"/>
    <w:rsid w:val="006F5416"/>
    <w:rsid w:val="006F624B"/>
    <w:rsid w:val="006F6D87"/>
    <w:rsid w:val="007017D3"/>
    <w:rsid w:val="0070398A"/>
    <w:rsid w:val="0070412F"/>
    <w:rsid w:val="00705242"/>
    <w:rsid w:val="007055B3"/>
    <w:rsid w:val="007055E0"/>
    <w:rsid w:val="007056ED"/>
    <w:rsid w:val="00705F4E"/>
    <w:rsid w:val="0070612C"/>
    <w:rsid w:val="007065C5"/>
    <w:rsid w:val="007068E1"/>
    <w:rsid w:val="00706AA0"/>
    <w:rsid w:val="00706AD4"/>
    <w:rsid w:val="00707150"/>
    <w:rsid w:val="00711959"/>
    <w:rsid w:val="007124D7"/>
    <w:rsid w:val="00712B87"/>
    <w:rsid w:val="00712C20"/>
    <w:rsid w:val="00713549"/>
    <w:rsid w:val="00713591"/>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6F49"/>
    <w:rsid w:val="00727C02"/>
    <w:rsid w:val="0073008E"/>
    <w:rsid w:val="00730AE8"/>
    <w:rsid w:val="00730D0A"/>
    <w:rsid w:val="00730F1B"/>
    <w:rsid w:val="007313AE"/>
    <w:rsid w:val="0073186D"/>
    <w:rsid w:val="0073333D"/>
    <w:rsid w:val="00733F35"/>
    <w:rsid w:val="007343D9"/>
    <w:rsid w:val="00734E1D"/>
    <w:rsid w:val="00734F71"/>
    <w:rsid w:val="00734FAF"/>
    <w:rsid w:val="00735448"/>
    <w:rsid w:val="00735648"/>
    <w:rsid w:val="0073590A"/>
    <w:rsid w:val="0073677E"/>
    <w:rsid w:val="007369E1"/>
    <w:rsid w:val="00736F07"/>
    <w:rsid w:val="007377BD"/>
    <w:rsid w:val="00737DEC"/>
    <w:rsid w:val="0074004D"/>
    <w:rsid w:val="00741493"/>
    <w:rsid w:val="007420B3"/>
    <w:rsid w:val="00742B86"/>
    <w:rsid w:val="007434E5"/>
    <w:rsid w:val="0074499B"/>
    <w:rsid w:val="007450BF"/>
    <w:rsid w:val="00745C3B"/>
    <w:rsid w:val="007471A1"/>
    <w:rsid w:val="007477BD"/>
    <w:rsid w:val="00747EE9"/>
    <w:rsid w:val="007520B6"/>
    <w:rsid w:val="00752180"/>
    <w:rsid w:val="00752323"/>
    <w:rsid w:val="0075309F"/>
    <w:rsid w:val="007532B7"/>
    <w:rsid w:val="00753CAB"/>
    <w:rsid w:val="00754A70"/>
    <w:rsid w:val="00754BC8"/>
    <w:rsid w:val="00754BC9"/>
    <w:rsid w:val="00755202"/>
    <w:rsid w:val="00755D3A"/>
    <w:rsid w:val="00757241"/>
    <w:rsid w:val="0075751D"/>
    <w:rsid w:val="0075763E"/>
    <w:rsid w:val="007578D3"/>
    <w:rsid w:val="007602CF"/>
    <w:rsid w:val="00760391"/>
    <w:rsid w:val="007609C6"/>
    <w:rsid w:val="007615F3"/>
    <w:rsid w:val="0076175D"/>
    <w:rsid w:val="00761CB5"/>
    <w:rsid w:val="007629B9"/>
    <w:rsid w:val="007629D5"/>
    <w:rsid w:val="007635F8"/>
    <w:rsid w:val="00763874"/>
    <w:rsid w:val="00763B85"/>
    <w:rsid w:val="00764974"/>
    <w:rsid w:val="00764C4D"/>
    <w:rsid w:val="00764D18"/>
    <w:rsid w:val="0076521E"/>
    <w:rsid w:val="0076550E"/>
    <w:rsid w:val="00765BCC"/>
    <w:rsid w:val="0076600D"/>
    <w:rsid w:val="007661C0"/>
    <w:rsid w:val="007661E9"/>
    <w:rsid w:val="00766460"/>
    <w:rsid w:val="00767062"/>
    <w:rsid w:val="00767601"/>
    <w:rsid w:val="00767777"/>
    <w:rsid w:val="00767FEF"/>
    <w:rsid w:val="007705B1"/>
    <w:rsid w:val="00770CFC"/>
    <w:rsid w:val="0077130E"/>
    <w:rsid w:val="007715EE"/>
    <w:rsid w:val="00771972"/>
    <w:rsid w:val="00772279"/>
    <w:rsid w:val="007726EC"/>
    <w:rsid w:val="00772DAB"/>
    <w:rsid w:val="00772FF9"/>
    <w:rsid w:val="007743DB"/>
    <w:rsid w:val="00774D2C"/>
    <w:rsid w:val="00774FEE"/>
    <w:rsid w:val="0077605B"/>
    <w:rsid w:val="00776169"/>
    <w:rsid w:val="00776527"/>
    <w:rsid w:val="0077691D"/>
    <w:rsid w:val="00777040"/>
    <w:rsid w:val="00777CE6"/>
    <w:rsid w:val="00777D57"/>
    <w:rsid w:val="00780EF1"/>
    <w:rsid w:val="00781A91"/>
    <w:rsid w:val="00781F36"/>
    <w:rsid w:val="00781FC6"/>
    <w:rsid w:val="00782263"/>
    <w:rsid w:val="00782F1C"/>
    <w:rsid w:val="00785778"/>
    <w:rsid w:val="007859D5"/>
    <w:rsid w:val="00786C87"/>
    <w:rsid w:val="0078755E"/>
    <w:rsid w:val="007877C9"/>
    <w:rsid w:val="00790764"/>
    <w:rsid w:val="0079085F"/>
    <w:rsid w:val="00790E96"/>
    <w:rsid w:val="00791005"/>
    <w:rsid w:val="00791BF4"/>
    <w:rsid w:val="00791E9D"/>
    <w:rsid w:val="00793D78"/>
    <w:rsid w:val="0079420B"/>
    <w:rsid w:val="0079453C"/>
    <w:rsid w:val="00794677"/>
    <w:rsid w:val="00795759"/>
    <w:rsid w:val="007A170B"/>
    <w:rsid w:val="007A20EB"/>
    <w:rsid w:val="007A282C"/>
    <w:rsid w:val="007A293C"/>
    <w:rsid w:val="007A2A3A"/>
    <w:rsid w:val="007A33E2"/>
    <w:rsid w:val="007A3CAF"/>
    <w:rsid w:val="007A3CF9"/>
    <w:rsid w:val="007A4664"/>
    <w:rsid w:val="007A4782"/>
    <w:rsid w:val="007A516D"/>
    <w:rsid w:val="007A51D9"/>
    <w:rsid w:val="007A5E65"/>
    <w:rsid w:val="007A65E1"/>
    <w:rsid w:val="007A6AAA"/>
    <w:rsid w:val="007A7033"/>
    <w:rsid w:val="007A775D"/>
    <w:rsid w:val="007B00A4"/>
    <w:rsid w:val="007B0834"/>
    <w:rsid w:val="007B0E83"/>
    <w:rsid w:val="007B11FA"/>
    <w:rsid w:val="007B1396"/>
    <w:rsid w:val="007B16D6"/>
    <w:rsid w:val="007B2011"/>
    <w:rsid w:val="007B21C9"/>
    <w:rsid w:val="007B2CFE"/>
    <w:rsid w:val="007B309B"/>
    <w:rsid w:val="007B37BE"/>
    <w:rsid w:val="007B3D5E"/>
    <w:rsid w:val="007B3DCB"/>
    <w:rsid w:val="007B5725"/>
    <w:rsid w:val="007B5C1F"/>
    <w:rsid w:val="007B6689"/>
    <w:rsid w:val="007B6747"/>
    <w:rsid w:val="007B6F72"/>
    <w:rsid w:val="007C10BD"/>
    <w:rsid w:val="007C1D66"/>
    <w:rsid w:val="007C1F0C"/>
    <w:rsid w:val="007C1FFB"/>
    <w:rsid w:val="007C2D94"/>
    <w:rsid w:val="007C3CF4"/>
    <w:rsid w:val="007C461A"/>
    <w:rsid w:val="007C4A6B"/>
    <w:rsid w:val="007C5F92"/>
    <w:rsid w:val="007C6227"/>
    <w:rsid w:val="007C6BBD"/>
    <w:rsid w:val="007C6D89"/>
    <w:rsid w:val="007C6F5E"/>
    <w:rsid w:val="007D0382"/>
    <w:rsid w:val="007D0B27"/>
    <w:rsid w:val="007D14FE"/>
    <w:rsid w:val="007D18DA"/>
    <w:rsid w:val="007D1A1F"/>
    <w:rsid w:val="007D213B"/>
    <w:rsid w:val="007D2E18"/>
    <w:rsid w:val="007D40DF"/>
    <w:rsid w:val="007D42E5"/>
    <w:rsid w:val="007D4458"/>
    <w:rsid w:val="007D46AD"/>
    <w:rsid w:val="007D6AF9"/>
    <w:rsid w:val="007E0535"/>
    <w:rsid w:val="007E0D4A"/>
    <w:rsid w:val="007E0E89"/>
    <w:rsid w:val="007E1788"/>
    <w:rsid w:val="007E1C07"/>
    <w:rsid w:val="007E1EE3"/>
    <w:rsid w:val="007E29B4"/>
    <w:rsid w:val="007E2CDD"/>
    <w:rsid w:val="007E2F12"/>
    <w:rsid w:val="007E3513"/>
    <w:rsid w:val="007E435A"/>
    <w:rsid w:val="007E445C"/>
    <w:rsid w:val="007E49F7"/>
    <w:rsid w:val="007E4C70"/>
    <w:rsid w:val="007E591C"/>
    <w:rsid w:val="007E5B5F"/>
    <w:rsid w:val="007E6360"/>
    <w:rsid w:val="007E7704"/>
    <w:rsid w:val="007E78B6"/>
    <w:rsid w:val="007E7E61"/>
    <w:rsid w:val="007F0845"/>
    <w:rsid w:val="007F0873"/>
    <w:rsid w:val="007F20F3"/>
    <w:rsid w:val="007F2353"/>
    <w:rsid w:val="007F2390"/>
    <w:rsid w:val="007F2CAC"/>
    <w:rsid w:val="007F41AD"/>
    <w:rsid w:val="007F4740"/>
    <w:rsid w:val="007F595A"/>
    <w:rsid w:val="007F5C38"/>
    <w:rsid w:val="007F708D"/>
    <w:rsid w:val="007F7E3F"/>
    <w:rsid w:val="0080003D"/>
    <w:rsid w:val="008006B3"/>
    <w:rsid w:val="00800B63"/>
    <w:rsid w:val="0080158A"/>
    <w:rsid w:val="00801E13"/>
    <w:rsid w:val="00803008"/>
    <w:rsid w:val="00803069"/>
    <w:rsid w:val="0080346B"/>
    <w:rsid w:val="00804155"/>
    <w:rsid w:val="00804C9F"/>
    <w:rsid w:val="00804D77"/>
    <w:rsid w:val="0080559E"/>
    <w:rsid w:val="00805AF3"/>
    <w:rsid w:val="00806C9C"/>
    <w:rsid w:val="0080734C"/>
    <w:rsid w:val="00807C82"/>
    <w:rsid w:val="008117CC"/>
    <w:rsid w:val="00811875"/>
    <w:rsid w:val="00813D58"/>
    <w:rsid w:val="00813DCA"/>
    <w:rsid w:val="00814858"/>
    <w:rsid w:val="008161A6"/>
    <w:rsid w:val="008165B8"/>
    <w:rsid w:val="00816905"/>
    <w:rsid w:val="00816D98"/>
    <w:rsid w:val="00816E42"/>
    <w:rsid w:val="00817040"/>
    <w:rsid w:val="00817A17"/>
    <w:rsid w:val="00817EC1"/>
    <w:rsid w:val="00820C40"/>
    <w:rsid w:val="00820DBC"/>
    <w:rsid w:val="0082112D"/>
    <w:rsid w:val="00821FF6"/>
    <w:rsid w:val="00822574"/>
    <w:rsid w:val="00822980"/>
    <w:rsid w:val="00822F08"/>
    <w:rsid w:val="00822F67"/>
    <w:rsid w:val="00824CB8"/>
    <w:rsid w:val="00825C4D"/>
    <w:rsid w:val="00826A08"/>
    <w:rsid w:val="00826AC0"/>
    <w:rsid w:val="00827186"/>
    <w:rsid w:val="008275B7"/>
    <w:rsid w:val="00827C8E"/>
    <w:rsid w:val="00830569"/>
    <w:rsid w:val="00830AEA"/>
    <w:rsid w:val="00830E86"/>
    <w:rsid w:val="0083143E"/>
    <w:rsid w:val="008315B8"/>
    <w:rsid w:val="008315D5"/>
    <w:rsid w:val="00831CDE"/>
    <w:rsid w:val="00831E98"/>
    <w:rsid w:val="00831F2B"/>
    <w:rsid w:val="008320CF"/>
    <w:rsid w:val="0083233B"/>
    <w:rsid w:val="00832F77"/>
    <w:rsid w:val="00834304"/>
    <w:rsid w:val="00834FAA"/>
    <w:rsid w:val="008354FB"/>
    <w:rsid w:val="00835E9A"/>
    <w:rsid w:val="00835FF1"/>
    <w:rsid w:val="00836086"/>
    <w:rsid w:val="0083630F"/>
    <w:rsid w:val="00836A06"/>
    <w:rsid w:val="008374BC"/>
    <w:rsid w:val="008379D6"/>
    <w:rsid w:val="00837E48"/>
    <w:rsid w:val="00840293"/>
    <w:rsid w:val="008402AD"/>
    <w:rsid w:val="00840457"/>
    <w:rsid w:val="008408D4"/>
    <w:rsid w:val="008417B5"/>
    <w:rsid w:val="00841901"/>
    <w:rsid w:val="008429B1"/>
    <w:rsid w:val="00842C2C"/>
    <w:rsid w:val="008458BD"/>
    <w:rsid w:val="00846121"/>
    <w:rsid w:val="008461C2"/>
    <w:rsid w:val="008462F1"/>
    <w:rsid w:val="008466C6"/>
    <w:rsid w:val="00846C92"/>
    <w:rsid w:val="0084708F"/>
    <w:rsid w:val="008477C8"/>
    <w:rsid w:val="008478A6"/>
    <w:rsid w:val="008502F6"/>
    <w:rsid w:val="0085114D"/>
    <w:rsid w:val="008520A8"/>
    <w:rsid w:val="00852217"/>
    <w:rsid w:val="00853282"/>
    <w:rsid w:val="0085334C"/>
    <w:rsid w:val="00855408"/>
    <w:rsid w:val="00855D03"/>
    <w:rsid w:val="00856D65"/>
    <w:rsid w:val="00861936"/>
    <w:rsid w:val="00861B41"/>
    <w:rsid w:val="00861B9F"/>
    <w:rsid w:val="00861BE3"/>
    <w:rsid w:val="008625D3"/>
    <w:rsid w:val="00862865"/>
    <w:rsid w:val="00862C0A"/>
    <w:rsid w:val="00863434"/>
    <w:rsid w:val="0086344F"/>
    <w:rsid w:val="00863B2F"/>
    <w:rsid w:val="008641AC"/>
    <w:rsid w:val="008647D9"/>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5C6B"/>
    <w:rsid w:val="00876086"/>
    <w:rsid w:val="00876651"/>
    <w:rsid w:val="00876E83"/>
    <w:rsid w:val="008772BC"/>
    <w:rsid w:val="00880A0E"/>
    <w:rsid w:val="008817FE"/>
    <w:rsid w:val="00881CD7"/>
    <w:rsid w:val="00882911"/>
    <w:rsid w:val="00882ACE"/>
    <w:rsid w:val="00882F6E"/>
    <w:rsid w:val="00883202"/>
    <w:rsid w:val="0088433C"/>
    <w:rsid w:val="00884E02"/>
    <w:rsid w:val="00885CDC"/>
    <w:rsid w:val="00885D40"/>
    <w:rsid w:val="008873D4"/>
    <w:rsid w:val="00887CEF"/>
    <w:rsid w:val="00890CB1"/>
    <w:rsid w:val="0089167B"/>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2EB6"/>
    <w:rsid w:val="008A32D9"/>
    <w:rsid w:val="008A3529"/>
    <w:rsid w:val="008A37E2"/>
    <w:rsid w:val="008A388E"/>
    <w:rsid w:val="008A394E"/>
    <w:rsid w:val="008A3CBA"/>
    <w:rsid w:val="008A4B59"/>
    <w:rsid w:val="008A63E1"/>
    <w:rsid w:val="008A66B7"/>
    <w:rsid w:val="008A68BB"/>
    <w:rsid w:val="008A6AA5"/>
    <w:rsid w:val="008A7127"/>
    <w:rsid w:val="008B0CBA"/>
    <w:rsid w:val="008B2639"/>
    <w:rsid w:val="008B2E65"/>
    <w:rsid w:val="008B3226"/>
    <w:rsid w:val="008B3537"/>
    <w:rsid w:val="008B3690"/>
    <w:rsid w:val="008B3A80"/>
    <w:rsid w:val="008B3AEC"/>
    <w:rsid w:val="008B3C07"/>
    <w:rsid w:val="008B3F7B"/>
    <w:rsid w:val="008B42D3"/>
    <w:rsid w:val="008B5324"/>
    <w:rsid w:val="008B5C99"/>
    <w:rsid w:val="008B6106"/>
    <w:rsid w:val="008B6E6A"/>
    <w:rsid w:val="008B7C02"/>
    <w:rsid w:val="008B7D2B"/>
    <w:rsid w:val="008B7EF9"/>
    <w:rsid w:val="008C0049"/>
    <w:rsid w:val="008C0314"/>
    <w:rsid w:val="008C0E88"/>
    <w:rsid w:val="008C1717"/>
    <w:rsid w:val="008C3B05"/>
    <w:rsid w:val="008C4AE8"/>
    <w:rsid w:val="008C4B50"/>
    <w:rsid w:val="008C4C9D"/>
    <w:rsid w:val="008C5A37"/>
    <w:rsid w:val="008C7065"/>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6E5C"/>
    <w:rsid w:val="008D70E2"/>
    <w:rsid w:val="008D70EB"/>
    <w:rsid w:val="008D7CA7"/>
    <w:rsid w:val="008E0001"/>
    <w:rsid w:val="008E292B"/>
    <w:rsid w:val="008E2B34"/>
    <w:rsid w:val="008E2C57"/>
    <w:rsid w:val="008E31FF"/>
    <w:rsid w:val="008E3287"/>
    <w:rsid w:val="008E45EF"/>
    <w:rsid w:val="008E50FB"/>
    <w:rsid w:val="008E54EB"/>
    <w:rsid w:val="008E6614"/>
    <w:rsid w:val="008E6DCB"/>
    <w:rsid w:val="008E6F06"/>
    <w:rsid w:val="008E7B8E"/>
    <w:rsid w:val="008E7FC9"/>
    <w:rsid w:val="008F0107"/>
    <w:rsid w:val="008F029B"/>
    <w:rsid w:val="008F0589"/>
    <w:rsid w:val="008F0E27"/>
    <w:rsid w:val="008F2A5D"/>
    <w:rsid w:val="008F3636"/>
    <w:rsid w:val="008F3FC9"/>
    <w:rsid w:val="008F4B05"/>
    <w:rsid w:val="008F509F"/>
    <w:rsid w:val="008F5383"/>
    <w:rsid w:val="008F585B"/>
    <w:rsid w:val="008F6639"/>
    <w:rsid w:val="008F7FB0"/>
    <w:rsid w:val="009003A8"/>
    <w:rsid w:val="009005E4"/>
    <w:rsid w:val="00900977"/>
    <w:rsid w:val="009021DA"/>
    <w:rsid w:val="00902500"/>
    <w:rsid w:val="00902EEB"/>
    <w:rsid w:val="00902EFF"/>
    <w:rsid w:val="00903A8E"/>
    <w:rsid w:val="0090432C"/>
    <w:rsid w:val="00904D4A"/>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EC0"/>
    <w:rsid w:val="00912437"/>
    <w:rsid w:val="0091268B"/>
    <w:rsid w:val="00912A92"/>
    <w:rsid w:val="00913FEA"/>
    <w:rsid w:val="0091476D"/>
    <w:rsid w:val="00915D07"/>
    <w:rsid w:val="009162AE"/>
    <w:rsid w:val="00916E70"/>
    <w:rsid w:val="00917251"/>
    <w:rsid w:val="0091728D"/>
    <w:rsid w:val="00917290"/>
    <w:rsid w:val="00917292"/>
    <w:rsid w:val="0092036B"/>
    <w:rsid w:val="009203CC"/>
    <w:rsid w:val="00920EC4"/>
    <w:rsid w:val="0092180B"/>
    <w:rsid w:val="00921F14"/>
    <w:rsid w:val="009224C3"/>
    <w:rsid w:val="009225B8"/>
    <w:rsid w:val="0092292F"/>
    <w:rsid w:val="00922D28"/>
    <w:rsid w:val="00923332"/>
    <w:rsid w:val="00923CB0"/>
    <w:rsid w:val="00923D8C"/>
    <w:rsid w:val="00924871"/>
    <w:rsid w:val="00924AC8"/>
    <w:rsid w:val="00925429"/>
    <w:rsid w:val="00925615"/>
    <w:rsid w:val="0092597A"/>
    <w:rsid w:val="009261AA"/>
    <w:rsid w:val="00926520"/>
    <w:rsid w:val="00926CF0"/>
    <w:rsid w:val="009271EF"/>
    <w:rsid w:val="009273A9"/>
    <w:rsid w:val="00930251"/>
    <w:rsid w:val="0093033E"/>
    <w:rsid w:val="009305FC"/>
    <w:rsid w:val="00930FB1"/>
    <w:rsid w:val="0093139F"/>
    <w:rsid w:val="00932443"/>
    <w:rsid w:val="00932B32"/>
    <w:rsid w:val="00933F4A"/>
    <w:rsid w:val="00933F9B"/>
    <w:rsid w:val="009341F1"/>
    <w:rsid w:val="00934FF1"/>
    <w:rsid w:val="00934FF2"/>
    <w:rsid w:val="009358D7"/>
    <w:rsid w:val="00935BD4"/>
    <w:rsid w:val="00935DFE"/>
    <w:rsid w:val="00935F70"/>
    <w:rsid w:val="0093648B"/>
    <w:rsid w:val="009373B2"/>
    <w:rsid w:val="009375A6"/>
    <w:rsid w:val="0093799F"/>
    <w:rsid w:val="00937AE2"/>
    <w:rsid w:val="0094061F"/>
    <w:rsid w:val="00940F0F"/>
    <w:rsid w:val="00941C4A"/>
    <w:rsid w:val="00942263"/>
    <w:rsid w:val="0094257D"/>
    <w:rsid w:val="0094416B"/>
    <w:rsid w:val="0094427A"/>
    <w:rsid w:val="00944C7C"/>
    <w:rsid w:val="00945245"/>
    <w:rsid w:val="00945523"/>
    <w:rsid w:val="00950921"/>
    <w:rsid w:val="00951D68"/>
    <w:rsid w:val="00951E5B"/>
    <w:rsid w:val="00952B7B"/>
    <w:rsid w:val="00954D15"/>
    <w:rsid w:val="00954F39"/>
    <w:rsid w:val="0095517D"/>
    <w:rsid w:val="009555FD"/>
    <w:rsid w:val="0095664B"/>
    <w:rsid w:val="009568DC"/>
    <w:rsid w:val="00957140"/>
    <w:rsid w:val="00957445"/>
    <w:rsid w:val="0095759C"/>
    <w:rsid w:val="00961014"/>
    <w:rsid w:val="009618EE"/>
    <w:rsid w:val="00961DDD"/>
    <w:rsid w:val="009624D2"/>
    <w:rsid w:val="009628D9"/>
    <w:rsid w:val="009637AE"/>
    <w:rsid w:val="00963A06"/>
    <w:rsid w:val="00964068"/>
    <w:rsid w:val="009640F6"/>
    <w:rsid w:val="009645B8"/>
    <w:rsid w:val="0096469D"/>
    <w:rsid w:val="00964776"/>
    <w:rsid w:val="00964A4E"/>
    <w:rsid w:val="00964B35"/>
    <w:rsid w:val="009651C7"/>
    <w:rsid w:val="00965424"/>
    <w:rsid w:val="00965797"/>
    <w:rsid w:val="00965A10"/>
    <w:rsid w:val="00965AD0"/>
    <w:rsid w:val="009670A3"/>
    <w:rsid w:val="009674BE"/>
    <w:rsid w:val="00967E1E"/>
    <w:rsid w:val="0097058F"/>
    <w:rsid w:val="00970FB5"/>
    <w:rsid w:val="00971710"/>
    <w:rsid w:val="00971B87"/>
    <w:rsid w:val="00971C77"/>
    <w:rsid w:val="0097203A"/>
    <w:rsid w:val="0097219D"/>
    <w:rsid w:val="00972FCD"/>
    <w:rsid w:val="00973324"/>
    <w:rsid w:val="009736DF"/>
    <w:rsid w:val="009741AE"/>
    <w:rsid w:val="009741FC"/>
    <w:rsid w:val="00974782"/>
    <w:rsid w:val="00974923"/>
    <w:rsid w:val="009755D6"/>
    <w:rsid w:val="00975909"/>
    <w:rsid w:val="00977C3D"/>
    <w:rsid w:val="00980D3D"/>
    <w:rsid w:val="0098103E"/>
    <w:rsid w:val="0098157D"/>
    <w:rsid w:val="00983101"/>
    <w:rsid w:val="00983E41"/>
    <w:rsid w:val="009845E1"/>
    <w:rsid w:val="00984D1B"/>
    <w:rsid w:val="00986246"/>
    <w:rsid w:val="00987A30"/>
    <w:rsid w:val="00987C7A"/>
    <w:rsid w:val="00990312"/>
    <w:rsid w:val="0099182E"/>
    <w:rsid w:val="00992BB3"/>
    <w:rsid w:val="00992CF3"/>
    <w:rsid w:val="00993194"/>
    <w:rsid w:val="0099321E"/>
    <w:rsid w:val="00993879"/>
    <w:rsid w:val="00993D41"/>
    <w:rsid w:val="00994171"/>
    <w:rsid w:val="00994868"/>
    <w:rsid w:val="00994D28"/>
    <w:rsid w:val="00994E5B"/>
    <w:rsid w:val="00994F2C"/>
    <w:rsid w:val="009957CC"/>
    <w:rsid w:val="009968D6"/>
    <w:rsid w:val="00997953"/>
    <w:rsid w:val="009A03A5"/>
    <w:rsid w:val="009A0BFF"/>
    <w:rsid w:val="009A10A0"/>
    <w:rsid w:val="009A1CAB"/>
    <w:rsid w:val="009A20E7"/>
    <w:rsid w:val="009A2359"/>
    <w:rsid w:val="009A24F1"/>
    <w:rsid w:val="009A27E0"/>
    <w:rsid w:val="009A37D1"/>
    <w:rsid w:val="009A4D57"/>
    <w:rsid w:val="009A51A5"/>
    <w:rsid w:val="009A598B"/>
    <w:rsid w:val="009A5F39"/>
    <w:rsid w:val="009A60D1"/>
    <w:rsid w:val="009A6225"/>
    <w:rsid w:val="009A64F5"/>
    <w:rsid w:val="009A7F9B"/>
    <w:rsid w:val="009B00D2"/>
    <w:rsid w:val="009B05B3"/>
    <w:rsid w:val="009B1324"/>
    <w:rsid w:val="009B142D"/>
    <w:rsid w:val="009B284F"/>
    <w:rsid w:val="009B3764"/>
    <w:rsid w:val="009B52AC"/>
    <w:rsid w:val="009B59EA"/>
    <w:rsid w:val="009B66CE"/>
    <w:rsid w:val="009B6FD3"/>
    <w:rsid w:val="009B72BE"/>
    <w:rsid w:val="009B78A4"/>
    <w:rsid w:val="009B7DB2"/>
    <w:rsid w:val="009C03DB"/>
    <w:rsid w:val="009C0B29"/>
    <w:rsid w:val="009C15AF"/>
    <w:rsid w:val="009C1750"/>
    <w:rsid w:val="009C2E29"/>
    <w:rsid w:val="009C3E8F"/>
    <w:rsid w:val="009C4227"/>
    <w:rsid w:val="009C554B"/>
    <w:rsid w:val="009C55E4"/>
    <w:rsid w:val="009C5E83"/>
    <w:rsid w:val="009C7126"/>
    <w:rsid w:val="009C719E"/>
    <w:rsid w:val="009C7799"/>
    <w:rsid w:val="009C7CF4"/>
    <w:rsid w:val="009D07A9"/>
    <w:rsid w:val="009D0AE2"/>
    <w:rsid w:val="009D0D61"/>
    <w:rsid w:val="009D0D9F"/>
    <w:rsid w:val="009D0EBB"/>
    <w:rsid w:val="009D0F41"/>
    <w:rsid w:val="009D1A43"/>
    <w:rsid w:val="009D2746"/>
    <w:rsid w:val="009D2C46"/>
    <w:rsid w:val="009D3ACD"/>
    <w:rsid w:val="009D4254"/>
    <w:rsid w:val="009D4F21"/>
    <w:rsid w:val="009D587D"/>
    <w:rsid w:val="009D7731"/>
    <w:rsid w:val="009E1120"/>
    <w:rsid w:val="009E1393"/>
    <w:rsid w:val="009E1922"/>
    <w:rsid w:val="009E1A3D"/>
    <w:rsid w:val="009E3381"/>
    <w:rsid w:val="009E407B"/>
    <w:rsid w:val="009E4715"/>
    <w:rsid w:val="009E4A58"/>
    <w:rsid w:val="009E4E41"/>
    <w:rsid w:val="009E5273"/>
    <w:rsid w:val="009E57A8"/>
    <w:rsid w:val="009E5B85"/>
    <w:rsid w:val="009E5BFE"/>
    <w:rsid w:val="009E5DDB"/>
    <w:rsid w:val="009E6D57"/>
    <w:rsid w:val="009F2518"/>
    <w:rsid w:val="009F2921"/>
    <w:rsid w:val="009F42CF"/>
    <w:rsid w:val="009F4982"/>
    <w:rsid w:val="009F4CA7"/>
    <w:rsid w:val="009F4F6A"/>
    <w:rsid w:val="009F55BA"/>
    <w:rsid w:val="009F7D36"/>
    <w:rsid w:val="009F7D61"/>
    <w:rsid w:val="00A00E37"/>
    <w:rsid w:val="00A00E71"/>
    <w:rsid w:val="00A01B8A"/>
    <w:rsid w:val="00A02311"/>
    <w:rsid w:val="00A0306F"/>
    <w:rsid w:val="00A03B10"/>
    <w:rsid w:val="00A03E2E"/>
    <w:rsid w:val="00A04616"/>
    <w:rsid w:val="00A04717"/>
    <w:rsid w:val="00A056C0"/>
    <w:rsid w:val="00A05D8F"/>
    <w:rsid w:val="00A05EE4"/>
    <w:rsid w:val="00A06F99"/>
    <w:rsid w:val="00A1053B"/>
    <w:rsid w:val="00A10D66"/>
    <w:rsid w:val="00A113A4"/>
    <w:rsid w:val="00A13B40"/>
    <w:rsid w:val="00A14114"/>
    <w:rsid w:val="00A16413"/>
    <w:rsid w:val="00A16545"/>
    <w:rsid w:val="00A16AED"/>
    <w:rsid w:val="00A16C37"/>
    <w:rsid w:val="00A16E1D"/>
    <w:rsid w:val="00A171D5"/>
    <w:rsid w:val="00A17A15"/>
    <w:rsid w:val="00A17D34"/>
    <w:rsid w:val="00A17D5B"/>
    <w:rsid w:val="00A2016A"/>
    <w:rsid w:val="00A201E1"/>
    <w:rsid w:val="00A20FE1"/>
    <w:rsid w:val="00A21B4D"/>
    <w:rsid w:val="00A21F33"/>
    <w:rsid w:val="00A22073"/>
    <w:rsid w:val="00A223E0"/>
    <w:rsid w:val="00A22959"/>
    <w:rsid w:val="00A23158"/>
    <w:rsid w:val="00A2341B"/>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4400"/>
    <w:rsid w:val="00A35900"/>
    <w:rsid w:val="00A36CC1"/>
    <w:rsid w:val="00A40075"/>
    <w:rsid w:val="00A40EAC"/>
    <w:rsid w:val="00A418BC"/>
    <w:rsid w:val="00A41946"/>
    <w:rsid w:val="00A419FF"/>
    <w:rsid w:val="00A41FCF"/>
    <w:rsid w:val="00A428B2"/>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348"/>
    <w:rsid w:val="00A52A88"/>
    <w:rsid w:val="00A52CAD"/>
    <w:rsid w:val="00A53FC7"/>
    <w:rsid w:val="00A546EA"/>
    <w:rsid w:val="00A55569"/>
    <w:rsid w:val="00A566A0"/>
    <w:rsid w:val="00A601E7"/>
    <w:rsid w:val="00A60A11"/>
    <w:rsid w:val="00A60AC1"/>
    <w:rsid w:val="00A6236A"/>
    <w:rsid w:val="00A626FF"/>
    <w:rsid w:val="00A62CE1"/>
    <w:rsid w:val="00A65469"/>
    <w:rsid w:val="00A65528"/>
    <w:rsid w:val="00A655D3"/>
    <w:rsid w:val="00A662D9"/>
    <w:rsid w:val="00A66EDD"/>
    <w:rsid w:val="00A66F79"/>
    <w:rsid w:val="00A6741E"/>
    <w:rsid w:val="00A67A99"/>
    <w:rsid w:val="00A67E29"/>
    <w:rsid w:val="00A7016A"/>
    <w:rsid w:val="00A7018D"/>
    <w:rsid w:val="00A7191D"/>
    <w:rsid w:val="00A722F9"/>
    <w:rsid w:val="00A72D42"/>
    <w:rsid w:val="00A72F8E"/>
    <w:rsid w:val="00A746C9"/>
    <w:rsid w:val="00A74C2A"/>
    <w:rsid w:val="00A75E40"/>
    <w:rsid w:val="00A76818"/>
    <w:rsid w:val="00A77D1D"/>
    <w:rsid w:val="00A8119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3D5"/>
    <w:rsid w:val="00A925B1"/>
    <w:rsid w:val="00A92A3E"/>
    <w:rsid w:val="00A934F9"/>
    <w:rsid w:val="00A940E3"/>
    <w:rsid w:val="00A94983"/>
    <w:rsid w:val="00A95DA3"/>
    <w:rsid w:val="00A95F1A"/>
    <w:rsid w:val="00A96116"/>
    <w:rsid w:val="00A9614E"/>
    <w:rsid w:val="00A96422"/>
    <w:rsid w:val="00A96C0F"/>
    <w:rsid w:val="00A97075"/>
    <w:rsid w:val="00A97E05"/>
    <w:rsid w:val="00AA0E80"/>
    <w:rsid w:val="00AA17CD"/>
    <w:rsid w:val="00AA1D85"/>
    <w:rsid w:val="00AA212F"/>
    <w:rsid w:val="00AA26A9"/>
    <w:rsid w:val="00AA2996"/>
    <w:rsid w:val="00AA2AF4"/>
    <w:rsid w:val="00AA33FB"/>
    <w:rsid w:val="00AA41B7"/>
    <w:rsid w:val="00AA4282"/>
    <w:rsid w:val="00AA43F2"/>
    <w:rsid w:val="00AA4790"/>
    <w:rsid w:val="00AA52BF"/>
    <w:rsid w:val="00AA559A"/>
    <w:rsid w:val="00AA6C31"/>
    <w:rsid w:val="00AA6CDA"/>
    <w:rsid w:val="00AA7752"/>
    <w:rsid w:val="00AA7CE8"/>
    <w:rsid w:val="00AB0E44"/>
    <w:rsid w:val="00AB0F19"/>
    <w:rsid w:val="00AB1457"/>
    <w:rsid w:val="00AB2AF1"/>
    <w:rsid w:val="00AB345C"/>
    <w:rsid w:val="00AB3EC7"/>
    <w:rsid w:val="00AB5898"/>
    <w:rsid w:val="00AB5A64"/>
    <w:rsid w:val="00AB5CA1"/>
    <w:rsid w:val="00AB61AA"/>
    <w:rsid w:val="00AB6456"/>
    <w:rsid w:val="00AB75C5"/>
    <w:rsid w:val="00AC044E"/>
    <w:rsid w:val="00AC089C"/>
    <w:rsid w:val="00AC2118"/>
    <w:rsid w:val="00AC2395"/>
    <w:rsid w:val="00AC2960"/>
    <w:rsid w:val="00AC2AC4"/>
    <w:rsid w:val="00AC4284"/>
    <w:rsid w:val="00AC45BD"/>
    <w:rsid w:val="00AC4B69"/>
    <w:rsid w:val="00AC50BB"/>
    <w:rsid w:val="00AC597D"/>
    <w:rsid w:val="00AC6A7B"/>
    <w:rsid w:val="00AD066C"/>
    <w:rsid w:val="00AD0B22"/>
    <w:rsid w:val="00AD0EE7"/>
    <w:rsid w:val="00AD168E"/>
    <w:rsid w:val="00AD306C"/>
    <w:rsid w:val="00AD44CD"/>
    <w:rsid w:val="00AD583C"/>
    <w:rsid w:val="00AD5AD2"/>
    <w:rsid w:val="00AD6462"/>
    <w:rsid w:val="00AD6656"/>
    <w:rsid w:val="00AD66C5"/>
    <w:rsid w:val="00AD68C4"/>
    <w:rsid w:val="00AD71F9"/>
    <w:rsid w:val="00AD7D55"/>
    <w:rsid w:val="00AE09B3"/>
    <w:rsid w:val="00AE0C9E"/>
    <w:rsid w:val="00AE0DD4"/>
    <w:rsid w:val="00AE1A83"/>
    <w:rsid w:val="00AE2AE9"/>
    <w:rsid w:val="00AE2AFA"/>
    <w:rsid w:val="00AE30BE"/>
    <w:rsid w:val="00AE3E6A"/>
    <w:rsid w:val="00AE4A4F"/>
    <w:rsid w:val="00AE6414"/>
    <w:rsid w:val="00AE7269"/>
    <w:rsid w:val="00AE797C"/>
    <w:rsid w:val="00AE7CE7"/>
    <w:rsid w:val="00AE7FAB"/>
    <w:rsid w:val="00AE7FB6"/>
    <w:rsid w:val="00AF0DE4"/>
    <w:rsid w:val="00AF1E87"/>
    <w:rsid w:val="00AF22CD"/>
    <w:rsid w:val="00AF436B"/>
    <w:rsid w:val="00AF5179"/>
    <w:rsid w:val="00AF5CC2"/>
    <w:rsid w:val="00AF6776"/>
    <w:rsid w:val="00AF6883"/>
    <w:rsid w:val="00AF6F98"/>
    <w:rsid w:val="00AF75F2"/>
    <w:rsid w:val="00B00550"/>
    <w:rsid w:val="00B00913"/>
    <w:rsid w:val="00B01593"/>
    <w:rsid w:val="00B01FF9"/>
    <w:rsid w:val="00B023F2"/>
    <w:rsid w:val="00B026FE"/>
    <w:rsid w:val="00B038CA"/>
    <w:rsid w:val="00B05F00"/>
    <w:rsid w:val="00B06DB4"/>
    <w:rsid w:val="00B06EFE"/>
    <w:rsid w:val="00B0750D"/>
    <w:rsid w:val="00B0799C"/>
    <w:rsid w:val="00B102CE"/>
    <w:rsid w:val="00B10594"/>
    <w:rsid w:val="00B10A4D"/>
    <w:rsid w:val="00B10C90"/>
    <w:rsid w:val="00B11002"/>
    <w:rsid w:val="00B1114F"/>
    <w:rsid w:val="00B121B2"/>
    <w:rsid w:val="00B131B1"/>
    <w:rsid w:val="00B141B6"/>
    <w:rsid w:val="00B14BC1"/>
    <w:rsid w:val="00B14E32"/>
    <w:rsid w:val="00B162C3"/>
    <w:rsid w:val="00B16DD1"/>
    <w:rsid w:val="00B16EB8"/>
    <w:rsid w:val="00B17E71"/>
    <w:rsid w:val="00B17FDE"/>
    <w:rsid w:val="00B20632"/>
    <w:rsid w:val="00B22499"/>
    <w:rsid w:val="00B236B6"/>
    <w:rsid w:val="00B2379C"/>
    <w:rsid w:val="00B23D5D"/>
    <w:rsid w:val="00B23E6E"/>
    <w:rsid w:val="00B2450C"/>
    <w:rsid w:val="00B2687D"/>
    <w:rsid w:val="00B27948"/>
    <w:rsid w:val="00B27F6C"/>
    <w:rsid w:val="00B301DB"/>
    <w:rsid w:val="00B3108D"/>
    <w:rsid w:val="00B31693"/>
    <w:rsid w:val="00B32DDB"/>
    <w:rsid w:val="00B32F57"/>
    <w:rsid w:val="00B3345C"/>
    <w:rsid w:val="00B34528"/>
    <w:rsid w:val="00B34CC9"/>
    <w:rsid w:val="00B34CDA"/>
    <w:rsid w:val="00B3563B"/>
    <w:rsid w:val="00B36BDC"/>
    <w:rsid w:val="00B37499"/>
    <w:rsid w:val="00B37D3A"/>
    <w:rsid w:val="00B37D96"/>
    <w:rsid w:val="00B402FC"/>
    <w:rsid w:val="00B422E2"/>
    <w:rsid w:val="00B4236C"/>
    <w:rsid w:val="00B42D5F"/>
    <w:rsid w:val="00B43216"/>
    <w:rsid w:val="00B439DA"/>
    <w:rsid w:val="00B4411A"/>
    <w:rsid w:val="00B45FE8"/>
    <w:rsid w:val="00B46604"/>
    <w:rsid w:val="00B47089"/>
    <w:rsid w:val="00B47587"/>
    <w:rsid w:val="00B52151"/>
    <w:rsid w:val="00B530CD"/>
    <w:rsid w:val="00B53639"/>
    <w:rsid w:val="00B53C7D"/>
    <w:rsid w:val="00B53E56"/>
    <w:rsid w:val="00B5407D"/>
    <w:rsid w:val="00B54FC0"/>
    <w:rsid w:val="00B55A97"/>
    <w:rsid w:val="00B55F5E"/>
    <w:rsid w:val="00B5642C"/>
    <w:rsid w:val="00B5658D"/>
    <w:rsid w:val="00B56B6F"/>
    <w:rsid w:val="00B5752E"/>
    <w:rsid w:val="00B6074F"/>
    <w:rsid w:val="00B60AC1"/>
    <w:rsid w:val="00B61FF6"/>
    <w:rsid w:val="00B62316"/>
    <w:rsid w:val="00B623D7"/>
    <w:rsid w:val="00B63A11"/>
    <w:rsid w:val="00B64425"/>
    <w:rsid w:val="00B64C24"/>
    <w:rsid w:val="00B65CEF"/>
    <w:rsid w:val="00B65E90"/>
    <w:rsid w:val="00B6608F"/>
    <w:rsid w:val="00B67749"/>
    <w:rsid w:val="00B679FB"/>
    <w:rsid w:val="00B717C4"/>
    <w:rsid w:val="00B71FBF"/>
    <w:rsid w:val="00B72287"/>
    <w:rsid w:val="00B734A0"/>
    <w:rsid w:val="00B73A14"/>
    <w:rsid w:val="00B74433"/>
    <w:rsid w:val="00B748BD"/>
    <w:rsid w:val="00B74EA8"/>
    <w:rsid w:val="00B7680F"/>
    <w:rsid w:val="00B76B48"/>
    <w:rsid w:val="00B76D1E"/>
    <w:rsid w:val="00B77543"/>
    <w:rsid w:val="00B77584"/>
    <w:rsid w:val="00B80544"/>
    <w:rsid w:val="00B80D89"/>
    <w:rsid w:val="00B80EC6"/>
    <w:rsid w:val="00B81288"/>
    <w:rsid w:val="00B81D70"/>
    <w:rsid w:val="00B833B9"/>
    <w:rsid w:val="00B83AAF"/>
    <w:rsid w:val="00B83E07"/>
    <w:rsid w:val="00B84CF6"/>
    <w:rsid w:val="00B85016"/>
    <w:rsid w:val="00B8561A"/>
    <w:rsid w:val="00B86643"/>
    <w:rsid w:val="00B868F7"/>
    <w:rsid w:val="00B90131"/>
    <w:rsid w:val="00B9123C"/>
    <w:rsid w:val="00B92951"/>
    <w:rsid w:val="00B92C05"/>
    <w:rsid w:val="00B92D1D"/>
    <w:rsid w:val="00B92D7E"/>
    <w:rsid w:val="00B930CE"/>
    <w:rsid w:val="00B938C5"/>
    <w:rsid w:val="00B940A8"/>
    <w:rsid w:val="00B94ADB"/>
    <w:rsid w:val="00B9554A"/>
    <w:rsid w:val="00B95940"/>
    <w:rsid w:val="00B95ACA"/>
    <w:rsid w:val="00B96D74"/>
    <w:rsid w:val="00B9720E"/>
    <w:rsid w:val="00B97ACC"/>
    <w:rsid w:val="00B97FE2"/>
    <w:rsid w:val="00BA08E1"/>
    <w:rsid w:val="00BA0E0B"/>
    <w:rsid w:val="00BA201A"/>
    <w:rsid w:val="00BA361D"/>
    <w:rsid w:val="00BA3787"/>
    <w:rsid w:val="00BA403A"/>
    <w:rsid w:val="00BA46E8"/>
    <w:rsid w:val="00BA4AE9"/>
    <w:rsid w:val="00BA4E19"/>
    <w:rsid w:val="00BA6436"/>
    <w:rsid w:val="00BA64F2"/>
    <w:rsid w:val="00BA684E"/>
    <w:rsid w:val="00BA6C2B"/>
    <w:rsid w:val="00BA7AF6"/>
    <w:rsid w:val="00BA7B64"/>
    <w:rsid w:val="00BB02A3"/>
    <w:rsid w:val="00BB0351"/>
    <w:rsid w:val="00BB03DB"/>
    <w:rsid w:val="00BB069B"/>
    <w:rsid w:val="00BB15C3"/>
    <w:rsid w:val="00BB1948"/>
    <w:rsid w:val="00BB1AF4"/>
    <w:rsid w:val="00BB2202"/>
    <w:rsid w:val="00BB39E7"/>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1048"/>
    <w:rsid w:val="00BC17C7"/>
    <w:rsid w:val="00BC327F"/>
    <w:rsid w:val="00BC3512"/>
    <w:rsid w:val="00BC4B35"/>
    <w:rsid w:val="00BC50BE"/>
    <w:rsid w:val="00BC5332"/>
    <w:rsid w:val="00BC5715"/>
    <w:rsid w:val="00BC5C12"/>
    <w:rsid w:val="00BC641B"/>
    <w:rsid w:val="00BC65A2"/>
    <w:rsid w:val="00BC7154"/>
    <w:rsid w:val="00BC731E"/>
    <w:rsid w:val="00BC7614"/>
    <w:rsid w:val="00BC7AC9"/>
    <w:rsid w:val="00BC7E2C"/>
    <w:rsid w:val="00BD041B"/>
    <w:rsid w:val="00BD054B"/>
    <w:rsid w:val="00BD05DF"/>
    <w:rsid w:val="00BD177E"/>
    <w:rsid w:val="00BD1839"/>
    <w:rsid w:val="00BD25BB"/>
    <w:rsid w:val="00BD2AF8"/>
    <w:rsid w:val="00BD366B"/>
    <w:rsid w:val="00BD3C09"/>
    <w:rsid w:val="00BD410B"/>
    <w:rsid w:val="00BD4A73"/>
    <w:rsid w:val="00BD6C75"/>
    <w:rsid w:val="00BD6D50"/>
    <w:rsid w:val="00BD73D2"/>
    <w:rsid w:val="00BD7958"/>
    <w:rsid w:val="00BE04B0"/>
    <w:rsid w:val="00BE0AD1"/>
    <w:rsid w:val="00BE0EF9"/>
    <w:rsid w:val="00BE10A1"/>
    <w:rsid w:val="00BE12CC"/>
    <w:rsid w:val="00BE18B9"/>
    <w:rsid w:val="00BE190A"/>
    <w:rsid w:val="00BE2495"/>
    <w:rsid w:val="00BE24DD"/>
    <w:rsid w:val="00BE2A8A"/>
    <w:rsid w:val="00BE386D"/>
    <w:rsid w:val="00BE54BF"/>
    <w:rsid w:val="00BE557B"/>
    <w:rsid w:val="00BE6AB5"/>
    <w:rsid w:val="00BE7F5F"/>
    <w:rsid w:val="00BF02C8"/>
    <w:rsid w:val="00BF0996"/>
    <w:rsid w:val="00BF1578"/>
    <w:rsid w:val="00BF15CA"/>
    <w:rsid w:val="00BF1D12"/>
    <w:rsid w:val="00BF1D3A"/>
    <w:rsid w:val="00BF2B5B"/>
    <w:rsid w:val="00BF2D41"/>
    <w:rsid w:val="00BF3274"/>
    <w:rsid w:val="00BF32DC"/>
    <w:rsid w:val="00BF4329"/>
    <w:rsid w:val="00BF4E43"/>
    <w:rsid w:val="00BF5C4C"/>
    <w:rsid w:val="00BF77FC"/>
    <w:rsid w:val="00C0062B"/>
    <w:rsid w:val="00C006D6"/>
    <w:rsid w:val="00C00BD7"/>
    <w:rsid w:val="00C012F4"/>
    <w:rsid w:val="00C01410"/>
    <w:rsid w:val="00C04B78"/>
    <w:rsid w:val="00C052AA"/>
    <w:rsid w:val="00C06EE3"/>
    <w:rsid w:val="00C070A5"/>
    <w:rsid w:val="00C075AB"/>
    <w:rsid w:val="00C07749"/>
    <w:rsid w:val="00C11244"/>
    <w:rsid w:val="00C11D48"/>
    <w:rsid w:val="00C1246C"/>
    <w:rsid w:val="00C12617"/>
    <w:rsid w:val="00C12FBA"/>
    <w:rsid w:val="00C1493E"/>
    <w:rsid w:val="00C14F5C"/>
    <w:rsid w:val="00C15DBD"/>
    <w:rsid w:val="00C2010D"/>
    <w:rsid w:val="00C20376"/>
    <w:rsid w:val="00C20CB5"/>
    <w:rsid w:val="00C21430"/>
    <w:rsid w:val="00C21606"/>
    <w:rsid w:val="00C216DF"/>
    <w:rsid w:val="00C21775"/>
    <w:rsid w:val="00C21E61"/>
    <w:rsid w:val="00C21F94"/>
    <w:rsid w:val="00C234DB"/>
    <w:rsid w:val="00C2479A"/>
    <w:rsid w:val="00C24903"/>
    <w:rsid w:val="00C2590D"/>
    <w:rsid w:val="00C25D9C"/>
    <w:rsid w:val="00C27913"/>
    <w:rsid w:val="00C300E2"/>
    <w:rsid w:val="00C31F21"/>
    <w:rsid w:val="00C32073"/>
    <w:rsid w:val="00C32631"/>
    <w:rsid w:val="00C32C4E"/>
    <w:rsid w:val="00C33301"/>
    <w:rsid w:val="00C33311"/>
    <w:rsid w:val="00C33B68"/>
    <w:rsid w:val="00C347AE"/>
    <w:rsid w:val="00C35570"/>
    <w:rsid w:val="00C35A2A"/>
    <w:rsid w:val="00C36A79"/>
    <w:rsid w:val="00C401A9"/>
    <w:rsid w:val="00C401D2"/>
    <w:rsid w:val="00C4031A"/>
    <w:rsid w:val="00C405D4"/>
    <w:rsid w:val="00C419D5"/>
    <w:rsid w:val="00C41D54"/>
    <w:rsid w:val="00C42EBB"/>
    <w:rsid w:val="00C4513B"/>
    <w:rsid w:val="00C475E8"/>
    <w:rsid w:val="00C5051D"/>
    <w:rsid w:val="00C50E79"/>
    <w:rsid w:val="00C5197D"/>
    <w:rsid w:val="00C52484"/>
    <w:rsid w:val="00C525FB"/>
    <w:rsid w:val="00C5390B"/>
    <w:rsid w:val="00C54257"/>
    <w:rsid w:val="00C54697"/>
    <w:rsid w:val="00C54710"/>
    <w:rsid w:val="00C550CE"/>
    <w:rsid w:val="00C553A5"/>
    <w:rsid w:val="00C55402"/>
    <w:rsid w:val="00C55EFB"/>
    <w:rsid w:val="00C5603B"/>
    <w:rsid w:val="00C61F47"/>
    <w:rsid w:val="00C62828"/>
    <w:rsid w:val="00C63419"/>
    <w:rsid w:val="00C715CC"/>
    <w:rsid w:val="00C719A3"/>
    <w:rsid w:val="00C71D2F"/>
    <w:rsid w:val="00C72984"/>
    <w:rsid w:val="00C73885"/>
    <w:rsid w:val="00C73C93"/>
    <w:rsid w:val="00C7435A"/>
    <w:rsid w:val="00C747B1"/>
    <w:rsid w:val="00C74874"/>
    <w:rsid w:val="00C75510"/>
    <w:rsid w:val="00C755F9"/>
    <w:rsid w:val="00C756D8"/>
    <w:rsid w:val="00C75752"/>
    <w:rsid w:val="00C770C9"/>
    <w:rsid w:val="00C80E75"/>
    <w:rsid w:val="00C81070"/>
    <w:rsid w:val="00C8174E"/>
    <w:rsid w:val="00C81AC8"/>
    <w:rsid w:val="00C82191"/>
    <w:rsid w:val="00C83134"/>
    <w:rsid w:val="00C831E7"/>
    <w:rsid w:val="00C832F3"/>
    <w:rsid w:val="00C84307"/>
    <w:rsid w:val="00C844D4"/>
    <w:rsid w:val="00C845A4"/>
    <w:rsid w:val="00C85047"/>
    <w:rsid w:val="00C85545"/>
    <w:rsid w:val="00C855B5"/>
    <w:rsid w:val="00C85F0E"/>
    <w:rsid w:val="00C87F4F"/>
    <w:rsid w:val="00C90CF4"/>
    <w:rsid w:val="00C91C20"/>
    <w:rsid w:val="00C922DE"/>
    <w:rsid w:val="00C92843"/>
    <w:rsid w:val="00C92EB6"/>
    <w:rsid w:val="00C93389"/>
    <w:rsid w:val="00C948E6"/>
    <w:rsid w:val="00C94B0E"/>
    <w:rsid w:val="00C94CDD"/>
    <w:rsid w:val="00C9507E"/>
    <w:rsid w:val="00C95F09"/>
    <w:rsid w:val="00C96C69"/>
    <w:rsid w:val="00C972CB"/>
    <w:rsid w:val="00C97588"/>
    <w:rsid w:val="00CA0346"/>
    <w:rsid w:val="00CA0DA1"/>
    <w:rsid w:val="00CA14C2"/>
    <w:rsid w:val="00CA1BD6"/>
    <w:rsid w:val="00CA2D45"/>
    <w:rsid w:val="00CA37FF"/>
    <w:rsid w:val="00CA423A"/>
    <w:rsid w:val="00CA47BC"/>
    <w:rsid w:val="00CA5EAD"/>
    <w:rsid w:val="00CA6AB4"/>
    <w:rsid w:val="00CA7255"/>
    <w:rsid w:val="00CB1BEE"/>
    <w:rsid w:val="00CB2351"/>
    <w:rsid w:val="00CB3610"/>
    <w:rsid w:val="00CB3818"/>
    <w:rsid w:val="00CB39E6"/>
    <w:rsid w:val="00CB3BE4"/>
    <w:rsid w:val="00CB481D"/>
    <w:rsid w:val="00CB4930"/>
    <w:rsid w:val="00CB4BA9"/>
    <w:rsid w:val="00CB4C63"/>
    <w:rsid w:val="00CB5A48"/>
    <w:rsid w:val="00CB5E10"/>
    <w:rsid w:val="00CB5EAD"/>
    <w:rsid w:val="00CB613B"/>
    <w:rsid w:val="00CB6152"/>
    <w:rsid w:val="00CB632B"/>
    <w:rsid w:val="00CB64E1"/>
    <w:rsid w:val="00CB6E4D"/>
    <w:rsid w:val="00CB7BCB"/>
    <w:rsid w:val="00CC042C"/>
    <w:rsid w:val="00CC0834"/>
    <w:rsid w:val="00CC0AEA"/>
    <w:rsid w:val="00CC20FE"/>
    <w:rsid w:val="00CC2E7D"/>
    <w:rsid w:val="00CC3C55"/>
    <w:rsid w:val="00CC5BE8"/>
    <w:rsid w:val="00CC612B"/>
    <w:rsid w:val="00CC655F"/>
    <w:rsid w:val="00CC66F9"/>
    <w:rsid w:val="00CC6C2A"/>
    <w:rsid w:val="00CC6FE5"/>
    <w:rsid w:val="00CC7458"/>
    <w:rsid w:val="00CC76BD"/>
    <w:rsid w:val="00CC77E8"/>
    <w:rsid w:val="00CC7A87"/>
    <w:rsid w:val="00CD0D6B"/>
    <w:rsid w:val="00CD0EA7"/>
    <w:rsid w:val="00CD10A5"/>
    <w:rsid w:val="00CD1129"/>
    <w:rsid w:val="00CD128E"/>
    <w:rsid w:val="00CD1A80"/>
    <w:rsid w:val="00CD1CB5"/>
    <w:rsid w:val="00CD2076"/>
    <w:rsid w:val="00CD24CE"/>
    <w:rsid w:val="00CD29B5"/>
    <w:rsid w:val="00CD2B78"/>
    <w:rsid w:val="00CD3FAB"/>
    <w:rsid w:val="00CD4DF9"/>
    <w:rsid w:val="00CD5456"/>
    <w:rsid w:val="00CD5C3E"/>
    <w:rsid w:val="00CD5C57"/>
    <w:rsid w:val="00CD6331"/>
    <w:rsid w:val="00CE0FE9"/>
    <w:rsid w:val="00CE14BE"/>
    <w:rsid w:val="00CE17A4"/>
    <w:rsid w:val="00CE1BA9"/>
    <w:rsid w:val="00CE2383"/>
    <w:rsid w:val="00CE2D8F"/>
    <w:rsid w:val="00CE3E48"/>
    <w:rsid w:val="00CE47B8"/>
    <w:rsid w:val="00CE62FA"/>
    <w:rsid w:val="00CE6494"/>
    <w:rsid w:val="00CE670B"/>
    <w:rsid w:val="00CE6833"/>
    <w:rsid w:val="00CE6E27"/>
    <w:rsid w:val="00CF0081"/>
    <w:rsid w:val="00CF020B"/>
    <w:rsid w:val="00CF2E4D"/>
    <w:rsid w:val="00CF4205"/>
    <w:rsid w:val="00CF4908"/>
    <w:rsid w:val="00CF51EC"/>
    <w:rsid w:val="00CF545D"/>
    <w:rsid w:val="00CF5873"/>
    <w:rsid w:val="00CF73AE"/>
    <w:rsid w:val="00CF7777"/>
    <w:rsid w:val="00CF7E70"/>
    <w:rsid w:val="00D0085A"/>
    <w:rsid w:val="00D0197F"/>
    <w:rsid w:val="00D01B31"/>
    <w:rsid w:val="00D0242D"/>
    <w:rsid w:val="00D02716"/>
    <w:rsid w:val="00D02999"/>
    <w:rsid w:val="00D02A35"/>
    <w:rsid w:val="00D02B89"/>
    <w:rsid w:val="00D03A72"/>
    <w:rsid w:val="00D040DD"/>
    <w:rsid w:val="00D04101"/>
    <w:rsid w:val="00D04134"/>
    <w:rsid w:val="00D05C65"/>
    <w:rsid w:val="00D0686E"/>
    <w:rsid w:val="00D06B56"/>
    <w:rsid w:val="00D06D68"/>
    <w:rsid w:val="00D075BE"/>
    <w:rsid w:val="00D07AFF"/>
    <w:rsid w:val="00D07BC1"/>
    <w:rsid w:val="00D10BDD"/>
    <w:rsid w:val="00D10C15"/>
    <w:rsid w:val="00D11011"/>
    <w:rsid w:val="00D11476"/>
    <w:rsid w:val="00D12C25"/>
    <w:rsid w:val="00D133B4"/>
    <w:rsid w:val="00D13829"/>
    <w:rsid w:val="00D13986"/>
    <w:rsid w:val="00D14C5B"/>
    <w:rsid w:val="00D152E7"/>
    <w:rsid w:val="00D15FED"/>
    <w:rsid w:val="00D16712"/>
    <w:rsid w:val="00D16D59"/>
    <w:rsid w:val="00D2000D"/>
    <w:rsid w:val="00D2007D"/>
    <w:rsid w:val="00D202E5"/>
    <w:rsid w:val="00D205DA"/>
    <w:rsid w:val="00D214EF"/>
    <w:rsid w:val="00D215B0"/>
    <w:rsid w:val="00D21D6D"/>
    <w:rsid w:val="00D21D83"/>
    <w:rsid w:val="00D22A47"/>
    <w:rsid w:val="00D22AE8"/>
    <w:rsid w:val="00D235B7"/>
    <w:rsid w:val="00D23FAE"/>
    <w:rsid w:val="00D25F28"/>
    <w:rsid w:val="00D26071"/>
    <w:rsid w:val="00D260C7"/>
    <w:rsid w:val="00D2638A"/>
    <w:rsid w:val="00D269B9"/>
    <w:rsid w:val="00D27973"/>
    <w:rsid w:val="00D27F3A"/>
    <w:rsid w:val="00D31537"/>
    <w:rsid w:val="00D31E1E"/>
    <w:rsid w:val="00D322A0"/>
    <w:rsid w:val="00D32824"/>
    <w:rsid w:val="00D334E2"/>
    <w:rsid w:val="00D33FC5"/>
    <w:rsid w:val="00D34342"/>
    <w:rsid w:val="00D34835"/>
    <w:rsid w:val="00D34A5A"/>
    <w:rsid w:val="00D350B1"/>
    <w:rsid w:val="00D3546A"/>
    <w:rsid w:val="00D35AD6"/>
    <w:rsid w:val="00D35BBB"/>
    <w:rsid w:val="00D35E1A"/>
    <w:rsid w:val="00D3640A"/>
    <w:rsid w:val="00D36B0A"/>
    <w:rsid w:val="00D36DFB"/>
    <w:rsid w:val="00D36E1C"/>
    <w:rsid w:val="00D373AF"/>
    <w:rsid w:val="00D40556"/>
    <w:rsid w:val="00D406BB"/>
    <w:rsid w:val="00D40E6C"/>
    <w:rsid w:val="00D418B1"/>
    <w:rsid w:val="00D41A44"/>
    <w:rsid w:val="00D41F74"/>
    <w:rsid w:val="00D428C8"/>
    <w:rsid w:val="00D43034"/>
    <w:rsid w:val="00D43ED2"/>
    <w:rsid w:val="00D447B8"/>
    <w:rsid w:val="00D5040A"/>
    <w:rsid w:val="00D50F46"/>
    <w:rsid w:val="00D52084"/>
    <w:rsid w:val="00D5376B"/>
    <w:rsid w:val="00D5384E"/>
    <w:rsid w:val="00D544E7"/>
    <w:rsid w:val="00D545CD"/>
    <w:rsid w:val="00D5499F"/>
    <w:rsid w:val="00D5560A"/>
    <w:rsid w:val="00D56FBF"/>
    <w:rsid w:val="00D57677"/>
    <w:rsid w:val="00D5781F"/>
    <w:rsid w:val="00D60415"/>
    <w:rsid w:val="00D60DE7"/>
    <w:rsid w:val="00D60E3C"/>
    <w:rsid w:val="00D61FAB"/>
    <w:rsid w:val="00D63BE5"/>
    <w:rsid w:val="00D64735"/>
    <w:rsid w:val="00D6475F"/>
    <w:rsid w:val="00D655D4"/>
    <w:rsid w:val="00D66223"/>
    <w:rsid w:val="00D667B8"/>
    <w:rsid w:val="00D70289"/>
    <w:rsid w:val="00D70822"/>
    <w:rsid w:val="00D70BBF"/>
    <w:rsid w:val="00D72076"/>
    <w:rsid w:val="00D72084"/>
    <w:rsid w:val="00D721B4"/>
    <w:rsid w:val="00D726A9"/>
    <w:rsid w:val="00D72DBA"/>
    <w:rsid w:val="00D73BEB"/>
    <w:rsid w:val="00D743E0"/>
    <w:rsid w:val="00D7490C"/>
    <w:rsid w:val="00D75AC1"/>
    <w:rsid w:val="00D77252"/>
    <w:rsid w:val="00D8084C"/>
    <w:rsid w:val="00D81809"/>
    <w:rsid w:val="00D82EF1"/>
    <w:rsid w:val="00D84F43"/>
    <w:rsid w:val="00D85114"/>
    <w:rsid w:val="00D85821"/>
    <w:rsid w:val="00D8598C"/>
    <w:rsid w:val="00D86273"/>
    <w:rsid w:val="00D87C06"/>
    <w:rsid w:val="00D914D6"/>
    <w:rsid w:val="00D915EA"/>
    <w:rsid w:val="00D91620"/>
    <w:rsid w:val="00D919ED"/>
    <w:rsid w:val="00D922A1"/>
    <w:rsid w:val="00D928BE"/>
    <w:rsid w:val="00D932B8"/>
    <w:rsid w:val="00D95302"/>
    <w:rsid w:val="00D95C5D"/>
    <w:rsid w:val="00D96AFE"/>
    <w:rsid w:val="00D97D00"/>
    <w:rsid w:val="00DA096C"/>
    <w:rsid w:val="00DA1AB6"/>
    <w:rsid w:val="00DA1C5D"/>
    <w:rsid w:val="00DA2E65"/>
    <w:rsid w:val="00DA345F"/>
    <w:rsid w:val="00DA3ADF"/>
    <w:rsid w:val="00DA3D0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0138"/>
    <w:rsid w:val="00DC17D0"/>
    <w:rsid w:val="00DC2B41"/>
    <w:rsid w:val="00DC3128"/>
    <w:rsid w:val="00DC435B"/>
    <w:rsid w:val="00DC43C3"/>
    <w:rsid w:val="00DC53D8"/>
    <w:rsid w:val="00DC56FE"/>
    <w:rsid w:val="00DC5B3B"/>
    <w:rsid w:val="00DC6C2D"/>
    <w:rsid w:val="00DC7B1A"/>
    <w:rsid w:val="00DD0059"/>
    <w:rsid w:val="00DD04B0"/>
    <w:rsid w:val="00DD0E89"/>
    <w:rsid w:val="00DD129F"/>
    <w:rsid w:val="00DD13FC"/>
    <w:rsid w:val="00DD1A3F"/>
    <w:rsid w:val="00DD29B5"/>
    <w:rsid w:val="00DD2A4B"/>
    <w:rsid w:val="00DD2A77"/>
    <w:rsid w:val="00DD32DD"/>
    <w:rsid w:val="00DD33E8"/>
    <w:rsid w:val="00DD4463"/>
    <w:rsid w:val="00DD5287"/>
    <w:rsid w:val="00DD5B36"/>
    <w:rsid w:val="00DD7849"/>
    <w:rsid w:val="00DE03DE"/>
    <w:rsid w:val="00DE0D8B"/>
    <w:rsid w:val="00DE1237"/>
    <w:rsid w:val="00DE140F"/>
    <w:rsid w:val="00DE172A"/>
    <w:rsid w:val="00DE17E9"/>
    <w:rsid w:val="00DE2491"/>
    <w:rsid w:val="00DE31B8"/>
    <w:rsid w:val="00DE450F"/>
    <w:rsid w:val="00DE5CA6"/>
    <w:rsid w:val="00DE7AC8"/>
    <w:rsid w:val="00DF0830"/>
    <w:rsid w:val="00DF08DF"/>
    <w:rsid w:val="00DF1BCC"/>
    <w:rsid w:val="00DF2C5D"/>
    <w:rsid w:val="00DF3643"/>
    <w:rsid w:val="00DF42FF"/>
    <w:rsid w:val="00DF4369"/>
    <w:rsid w:val="00DF4423"/>
    <w:rsid w:val="00DF4ADF"/>
    <w:rsid w:val="00DF56C3"/>
    <w:rsid w:val="00DF5D1E"/>
    <w:rsid w:val="00DF5EAA"/>
    <w:rsid w:val="00DF77E4"/>
    <w:rsid w:val="00DF7F88"/>
    <w:rsid w:val="00E00B88"/>
    <w:rsid w:val="00E01C0E"/>
    <w:rsid w:val="00E02CF7"/>
    <w:rsid w:val="00E0368F"/>
    <w:rsid w:val="00E03D73"/>
    <w:rsid w:val="00E03F9A"/>
    <w:rsid w:val="00E040DA"/>
    <w:rsid w:val="00E044BF"/>
    <w:rsid w:val="00E04694"/>
    <w:rsid w:val="00E0510D"/>
    <w:rsid w:val="00E07FBC"/>
    <w:rsid w:val="00E1168B"/>
    <w:rsid w:val="00E12191"/>
    <w:rsid w:val="00E129E7"/>
    <w:rsid w:val="00E12ABE"/>
    <w:rsid w:val="00E12B1E"/>
    <w:rsid w:val="00E1394B"/>
    <w:rsid w:val="00E13995"/>
    <w:rsid w:val="00E1444C"/>
    <w:rsid w:val="00E14D38"/>
    <w:rsid w:val="00E15361"/>
    <w:rsid w:val="00E154E5"/>
    <w:rsid w:val="00E158D7"/>
    <w:rsid w:val="00E17262"/>
    <w:rsid w:val="00E17F36"/>
    <w:rsid w:val="00E20016"/>
    <w:rsid w:val="00E2009B"/>
    <w:rsid w:val="00E20BB9"/>
    <w:rsid w:val="00E20BCC"/>
    <w:rsid w:val="00E21413"/>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18F"/>
    <w:rsid w:val="00E357BF"/>
    <w:rsid w:val="00E35A53"/>
    <w:rsid w:val="00E3656B"/>
    <w:rsid w:val="00E3724A"/>
    <w:rsid w:val="00E378B1"/>
    <w:rsid w:val="00E37F74"/>
    <w:rsid w:val="00E40324"/>
    <w:rsid w:val="00E40BA3"/>
    <w:rsid w:val="00E417BE"/>
    <w:rsid w:val="00E41CD5"/>
    <w:rsid w:val="00E42054"/>
    <w:rsid w:val="00E4218B"/>
    <w:rsid w:val="00E4372D"/>
    <w:rsid w:val="00E43A9E"/>
    <w:rsid w:val="00E44243"/>
    <w:rsid w:val="00E444F5"/>
    <w:rsid w:val="00E453F9"/>
    <w:rsid w:val="00E45D7D"/>
    <w:rsid w:val="00E4623F"/>
    <w:rsid w:val="00E4665D"/>
    <w:rsid w:val="00E47854"/>
    <w:rsid w:val="00E47EBA"/>
    <w:rsid w:val="00E50156"/>
    <w:rsid w:val="00E504EB"/>
    <w:rsid w:val="00E5062B"/>
    <w:rsid w:val="00E5076C"/>
    <w:rsid w:val="00E50D2E"/>
    <w:rsid w:val="00E50D7D"/>
    <w:rsid w:val="00E51EF0"/>
    <w:rsid w:val="00E53470"/>
    <w:rsid w:val="00E5368D"/>
    <w:rsid w:val="00E53970"/>
    <w:rsid w:val="00E539F6"/>
    <w:rsid w:val="00E54698"/>
    <w:rsid w:val="00E54FB4"/>
    <w:rsid w:val="00E5539A"/>
    <w:rsid w:val="00E55791"/>
    <w:rsid w:val="00E55E1A"/>
    <w:rsid w:val="00E561A7"/>
    <w:rsid w:val="00E56BD7"/>
    <w:rsid w:val="00E578A2"/>
    <w:rsid w:val="00E579ED"/>
    <w:rsid w:val="00E57D86"/>
    <w:rsid w:val="00E60043"/>
    <w:rsid w:val="00E60A9D"/>
    <w:rsid w:val="00E60BEE"/>
    <w:rsid w:val="00E61740"/>
    <w:rsid w:val="00E61EB5"/>
    <w:rsid w:val="00E624E8"/>
    <w:rsid w:val="00E62F49"/>
    <w:rsid w:val="00E6324D"/>
    <w:rsid w:val="00E65084"/>
    <w:rsid w:val="00E6519D"/>
    <w:rsid w:val="00E66062"/>
    <w:rsid w:val="00E66341"/>
    <w:rsid w:val="00E6660E"/>
    <w:rsid w:val="00E66768"/>
    <w:rsid w:val="00E67305"/>
    <w:rsid w:val="00E67696"/>
    <w:rsid w:val="00E70C5F"/>
    <w:rsid w:val="00E71A58"/>
    <w:rsid w:val="00E71FB4"/>
    <w:rsid w:val="00E72A26"/>
    <w:rsid w:val="00E72A7A"/>
    <w:rsid w:val="00E7335A"/>
    <w:rsid w:val="00E7467D"/>
    <w:rsid w:val="00E747DC"/>
    <w:rsid w:val="00E74A2D"/>
    <w:rsid w:val="00E75C94"/>
    <w:rsid w:val="00E76A08"/>
    <w:rsid w:val="00E76B9B"/>
    <w:rsid w:val="00E76E61"/>
    <w:rsid w:val="00E77CC0"/>
    <w:rsid w:val="00E80B3D"/>
    <w:rsid w:val="00E80CA3"/>
    <w:rsid w:val="00E80F06"/>
    <w:rsid w:val="00E82618"/>
    <w:rsid w:val="00E844D4"/>
    <w:rsid w:val="00E84E09"/>
    <w:rsid w:val="00E85BB8"/>
    <w:rsid w:val="00E86048"/>
    <w:rsid w:val="00E86FB9"/>
    <w:rsid w:val="00E90CA8"/>
    <w:rsid w:val="00E930A1"/>
    <w:rsid w:val="00E93820"/>
    <w:rsid w:val="00E938CD"/>
    <w:rsid w:val="00E94A86"/>
    <w:rsid w:val="00E953F6"/>
    <w:rsid w:val="00E95F74"/>
    <w:rsid w:val="00E96143"/>
    <w:rsid w:val="00E96833"/>
    <w:rsid w:val="00E97506"/>
    <w:rsid w:val="00E97BB5"/>
    <w:rsid w:val="00E97F14"/>
    <w:rsid w:val="00EA0C68"/>
    <w:rsid w:val="00EA0E39"/>
    <w:rsid w:val="00EA156C"/>
    <w:rsid w:val="00EA1D0E"/>
    <w:rsid w:val="00EA1F81"/>
    <w:rsid w:val="00EA2072"/>
    <w:rsid w:val="00EA2841"/>
    <w:rsid w:val="00EA32BC"/>
    <w:rsid w:val="00EA35A7"/>
    <w:rsid w:val="00EA3B32"/>
    <w:rsid w:val="00EA3D05"/>
    <w:rsid w:val="00EA4402"/>
    <w:rsid w:val="00EA4B8D"/>
    <w:rsid w:val="00EA4F9E"/>
    <w:rsid w:val="00EA513E"/>
    <w:rsid w:val="00EA624A"/>
    <w:rsid w:val="00EA65E8"/>
    <w:rsid w:val="00EA6D0F"/>
    <w:rsid w:val="00EA7419"/>
    <w:rsid w:val="00EB0E32"/>
    <w:rsid w:val="00EB1632"/>
    <w:rsid w:val="00EB3E60"/>
    <w:rsid w:val="00EB4074"/>
    <w:rsid w:val="00EB4511"/>
    <w:rsid w:val="00EB48D7"/>
    <w:rsid w:val="00EB4A8E"/>
    <w:rsid w:val="00EB4BC5"/>
    <w:rsid w:val="00EB5BF7"/>
    <w:rsid w:val="00EB5E79"/>
    <w:rsid w:val="00EB6FAC"/>
    <w:rsid w:val="00EB7243"/>
    <w:rsid w:val="00EB7712"/>
    <w:rsid w:val="00EB7BAC"/>
    <w:rsid w:val="00EC03D7"/>
    <w:rsid w:val="00EC105F"/>
    <w:rsid w:val="00EC13A7"/>
    <w:rsid w:val="00EC24CE"/>
    <w:rsid w:val="00EC2EB6"/>
    <w:rsid w:val="00EC5A9F"/>
    <w:rsid w:val="00EC5E0C"/>
    <w:rsid w:val="00EC6267"/>
    <w:rsid w:val="00EC7221"/>
    <w:rsid w:val="00EC769F"/>
    <w:rsid w:val="00ED0EF0"/>
    <w:rsid w:val="00ED12B9"/>
    <w:rsid w:val="00ED16B8"/>
    <w:rsid w:val="00ED1A00"/>
    <w:rsid w:val="00ED1DF0"/>
    <w:rsid w:val="00ED2386"/>
    <w:rsid w:val="00ED2EA1"/>
    <w:rsid w:val="00ED3818"/>
    <w:rsid w:val="00ED3851"/>
    <w:rsid w:val="00ED3B4C"/>
    <w:rsid w:val="00ED3E51"/>
    <w:rsid w:val="00ED3F10"/>
    <w:rsid w:val="00ED4D04"/>
    <w:rsid w:val="00ED566D"/>
    <w:rsid w:val="00ED5907"/>
    <w:rsid w:val="00ED5F5B"/>
    <w:rsid w:val="00ED62C6"/>
    <w:rsid w:val="00ED64C1"/>
    <w:rsid w:val="00ED781F"/>
    <w:rsid w:val="00EE0735"/>
    <w:rsid w:val="00EE249F"/>
    <w:rsid w:val="00EE2EB4"/>
    <w:rsid w:val="00EE3446"/>
    <w:rsid w:val="00EE3E78"/>
    <w:rsid w:val="00EE40BD"/>
    <w:rsid w:val="00EE41FD"/>
    <w:rsid w:val="00EE420E"/>
    <w:rsid w:val="00EE460E"/>
    <w:rsid w:val="00EE4B1B"/>
    <w:rsid w:val="00EE5FBA"/>
    <w:rsid w:val="00EE6E06"/>
    <w:rsid w:val="00EE7179"/>
    <w:rsid w:val="00EE7D3F"/>
    <w:rsid w:val="00EF0D90"/>
    <w:rsid w:val="00EF150D"/>
    <w:rsid w:val="00EF1F5A"/>
    <w:rsid w:val="00EF23B5"/>
    <w:rsid w:val="00EF326A"/>
    <w:rsid w:val="00EF332E"/>
    <w:rsid w:val="00EF47BF"/>
    <w:rsid w:val="00EF59B1"/>
    <w:rsid w:val="00EF5A13"/>
    <w:rsid w:val="00EF5FF9"/>
    <w:rsid w:val="00EF77D4"/>
    <w:rsid w:val="00EF7CC7"/>
    <w:rsid w:val="00F00853"/>
    <w:rsid w:val="00F00866"/>
    <w:rsid w:val="00F00D29"/>
    <w:rsid w:val="00F00EC8"/>
    <w:rsid w:val="00F0160B"/>
    <w:rsid w:val="00F0193E"/>
    <w:rsid w:val="00F02F07"/>
    <w:rsid w:val="00F037FB"/>
    <w:rsid w:val="00F03E2F"/>
    <w:rsid w:val="00F03F8D"/>
    <w:rsid w:val="00F04811"/>
    <w:rsid w:val="00F0488C"/>
    <w:rsid w:val="00F05B75"/>
    <w:rsid w:val="00F073ED"/>
    <w:rsid w:val="00F07BC3"/>
    <w:rsid w:val="00F07C4C"/>
    <w:rsid w:val="00F10F11"/>
    <w:rsid w:val="00F11159"/>
    <w:rsid w:val="00F115E4"/>
    <w:rsid w:val="00F11AD8"/>
    <w:rsid w:val="00F12417"/>
    <w:rsid w:val="00F12931"/>
    <w:rsid w:val="00F12CFB"/>
    <w:rsid w:val="00F12EC0"/>
    <w:rsid w:val="00F13E60"/>
    <w:rsid w:val="00F13FDB"/>
    <w:rsid w:val="00F14055"/>
    <w:rsid w:val="00F15AAA"/>
    <w:rsid w:val="00F15BEF"/>
    <w:rsid w:val="00F17898"/>
    <w:rsid w:val="00F207C2"/>
    <w:rsid w:val="00F21337"/>
    <w:rsid w:val="00F219A1"/>
    <w:rsid w:val="00F23E20"/>
    <w:rsid w:val="00F240F7"/>
    <w:rsid w:val="00F24407"/>
    <w:rsid w:val="00F24FAA"/>
    <w:rsid w:val="00F25040"/>
    <w:rsid w:val="00F27071"/>
    <w:rsid w:val="00F27331"/>
    <w:rsid w:val="00F27EE5"/>
    <w:rsid w:val="00F27FB1"/>
    <w:rsid w:val="00F27FD6"/>
    <w:rsid w:val="00F307CB"/>
    <w:rsid w:val="00F30C5B"/>
    <w:rsid w:val="00F30C65"/>
    <w:rsid w:val="00F321D2"/>
    <w:rsid w:val="00F32649"/>
    <w:rsid w:val="00F33523"/>
    <w:rsid w:val="00F3364D"/>
    <w:rsid w:val="00F33914"/>
    <w:rsid w:val="00F349BF"/>
    <w:rsid w:val="00F34DDC"/>
    <w:rsid w:val="00F35211"/>
    <w:rsid w:val="00F36191"/>
    <w:rsid w:val="00F3629F"/>
    <w:rsid w:val="00F36DF3"/>
    <w:rsid w:val="00F37EDC"/>
    <w:rsid w:val="00F418D4"/>
    <w:rsid w:val="00F42F1C"/>
    <w:rsid w:val="00F42FF1"/>
    <w:rsid w:val="00F437CC"/>
    <w:rsid w:val="00F44537"/>
    <w:rsid w:val="00F44F17"/>
    <w:rsid w:val="00F458CC"/>
    <w:rsid w:val="00F45C94"/>
    <w:rsid w:val="00F46185"/>
    <w:rsid w:val="00F463A4"/>
    <w:rsid w:val="00F46423"/>
    <w:rsid w:val="00F4696A"/>
    <w:rsid w:val="00F47067"/>
    <w:rsid w:val="00F47234"/>
    <w:rsid w:val="00F51697"/>
    <w:rsid w:val="00F51ADD"/>
    <w:rsid w:val="00F525AB"/>
    <w:rsid w:val="00F525EB"/>
    <w:rsid w:val="00F529D3"/>
    <w:rsid w:val="00F52CB5"/>
    <w:rsid w:val="00F531E1"/>
    <w:rsid w:val="00F53378"/>
    <w:rsid w:val="00F53A68"/>
    <w:rsid w:val="00F54934"/>
    <w:rsid w:val="00F55A08"/>
    <w:rsid w:val="00F55A92"/>
    <w:rsid w:val="00F575D3"/>
    <w:rsid w:val="00F62720"/>
    <w:rsid w:val="00F62BFF"/>
    <w:rsid w:val="00F63AAE"/>
    <w:rsid w:val="00F63DDE"/>
    <w:rsid w:val="00F63FB7"/>
    <w:rsid w:val="00F6421B"/>
    <w:rsid w:val="00F6459D"/>
    <w:rsid w:val="00F647F1"/>
    <w:rsid w:val="00F649D2"/>
    <w:rsid w:val="00F6598D"/>
    <w:rsid w:val="00F65BCC"/>
    <w:rsid w:val="00F6602B"/>
    <w:rsid w:val="00F66638"/>
    <w:rsid w:val="00F6799D"/>
    <w:rsid w:val="00F70C75"/>
    <w:rsid w:val="00F7150B"/>
    <w:rsid w:val="00F717E4"/>
    <w:rsid w:val="00F71DE6"/>
    <w:rsid w:val="00F72D71"/>
    <w:rsid w:val="00F7381C"/>
    <w:rsid w:val="00F73A0C"/>
    <w:rsid w:val="00F74004"/>
    <w:rsid w:val="00F74052"/>
    <w:rsid w:val="00F7549F"/>
    <w:rsid w:val="00F756DB"/>
    <w:rsid w:val="00F757FC"/>
    <w:rsid w:val="00F767A8"/>
    <w:rsid w:val="00F77590"/>
    <w:rsid w:val="00F82A12"/>
    <w:rsid w:val="00F82D14"/>
    <w:rsid w:val="00F84E7D"/>
    <w:rsid w:val="00F85066"/>
    <w:rsid w:val="00F85575"/>
    <w:rsid w:val="00F86A3B"/>
    <w:rsid w:val="00F87619"/>
    <w:rsid w:val="00F87A4D"/>
    <w:rsid w:val="00F87C2D"/>
    <w:rsid w:val="00F92102"/>
    <w:rsid w:val="00F93688"/>
    <w:rsid w:val="00F939F3"/>
    <w:rsid w:val="00F93C6E"/>
    <w:rsid w:val="00F93F2C"/>
    <w:rsid w:val="00F94E96"/>
    <w:rsid w:val="00F962AD"/>
    <w:rsid w:val="00F9644E"/>
    <w:rsid w:val="00F97A10"/>
    <w:rsid w:val="00FA0105"/>
    <w:rsid w:val="00FA01D5"/>
    <w:rsid w:val="00FA05A0"/>
    <w:rsid w:val="00FA0AEF"/>
    <w:rsid w:val="00FA17CC"/>
    <w:rsid w:val="00FA1CFE"/>
    <w:rsid w:val="00FA1F01"/>
    <w:rsid w:val="00FA23E8"/>
    <w:rsid w:val="00FA26DF"/>
    <w:rsid w:val="00FA32BC"/>
    <w:rsid w:val="00FA34FF"/>
    <w:rsid w:val="00FA4059"/>
    <w:rsid w:val="00FA4574"/>
    <w:rsid w:val="00FA48A4"/>
    <w:rsid w:val="00FA4CB7"/>
    <w:rsid w:val="00FA50C4"/>
    <w:rsid w:val="00FA5112"/>
    <w:rsid w:val="00FA5526"/>
    <w:rsid w:val="00FA5D4D"/>
    <w:rsid w:val="00FA6084"/>
    <w:rsid w:val="00FA6831"/>
    <w:rsid w:val="00FA6CB6"/>
    <w:rsid w:val="00FA70D3"/>
    <w:rsid w:val="00FA7AEC"/>
    <w:rsid w:val="00FB062A"/>
    <w:rsid w:val="00FB0AEA"/>
    <w:rsid w:val="00FB0EE2"/>
    <w:rsid w:val="00FB1A79"/>
    <w:rsid w:val="00FB208B"/>
    <w:rsid w:val="00FB2B2D"/>
    <w:rsid w:val="00FB383D"/>
    <w:rsid w:val="00FB542E"/>
    <w:rsid w:val="00FB564F"/>
    <w:rsid w:val="00FB602B"/>
    <w:rsid w:val="00FB68F1"/>
    <w:rsid w:val="00FB7DBB"/>
    <w:rsid w:val="00FC05F8"/>
    <w:rsid w:val="00FC0E5F"/>
    <w:rsid w:val="00FC1266"/>
    <w:rsid w:val="00FC1A95"/>
    <w:rsid w:val="00FC1ED4"/>
    <w:rsid w:val="00FC35DD"/>
    <w:rsid w:val="00FC3BEC"/>
    <w:rsid w:val="00FC440B"/>
    <w:rsid w:val="00FC4431"/>
    <w:rsid w:val="00FC529C"/>
    <w:rsid w:val="00FC56DE"/>
    <w:rsid w:val="00FC59FE"/>
    <w:rsid w:val="00FC63D9"/>
    <w:rsid w:val="00FC64DE"/>
    <w:rsid w:val="00FC684B"/>
    <w:rsid w:val="00FC7D98"/>
    <w:rsid w:val="00FD03E1"/>
    <w:rsid w:val="00FD1135"/>
    <w:rsid w:val="00FD1B89"/>
    <w:rsid w:val="00FD30AD"/>
    <w:rsid w:val="00FD3265"/>
    <w:rsid w:val="00FD3CF7"/>
    <w:rsid w:val="00FD4916"/>
    <w:rsid w:val="00FD4D12"/>
    <w:rsid w:val="00FD4F73"/>
    <w:rsid w:val="00FD5049"/>
    <w:rsid w:val="00FD595E"/>
    <w:rsid w:val="00FD5A69"/>
    <w:rsid w:val="00FD5F69"/>
    <w:rsid w:val="00FD7802"/>
    <w:rsid w:val="00FE27C7"/>
    <w:rsid w:val="00FE2C7E"/>
    <w:rsid w:val="00FE2F78"/>
    <w:rsid w:val="00FE3137"/>
    <w:rsid w:val="00FE346B"/>
    <w:rsid w:val="00FE346F"/>
    <w:rsid w:val="00FE4602"/>
    <w:rsid w:val="00FE48E4"/>
    <w:rsid w:val="00FE634C"/>
    <w:rsid w:val="00FE6E69"/>
    <w:rsid w:val="00FE6E94"/>
    <w:rsid w:val="00FE6F59"/>
    <w:rsid w:val="00FE7036"/>
    <w:rsid w:val="00FF01B6"/>
    <w:rsid w:val="00FF1136"/>
    <w:rsid w:val="00FF22B6"/>
    <w:rsid w:val="00FF230E"/>
    <w:rsid w:val="00FF28CB"/>
    <w:rsid w:val="00FF3D76"/>
    <w:rsid w:val="00FF5B8C"/>
    <w:rsid w:val="00FF63E6"/>
    <w:rsid w:val="00FF70A2"/>
    <w:rsid w:val="00FF710A"/>
    <w:rsid w:val="00FF79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4.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eader" Target="header1.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2.xml"/><Relationship Id="rId28" Type="http://schemas.openxmlformats.org/officeDocument/2006/relationships/chart" Target="charts/chart16.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chart" Target="charts/chart15.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Q-makro-rok%202020\anglick&#225;%20verze\Grafy-trh%20pr&#225;ce-rok-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Q-makro-rok%202020\anglick&#225;%20verze\Grafy-trh%20pr&#225;ce-rok-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Q-makro-rok%202020\anglick&#225;%20verze\Grafy-trh%20pr&#225;ce-rok-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Q-makro-rok%202020\anglick&#225;%20verze\Grafy-st&#225;tn&#237;%20rozpo&#269;et-rok-20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Q-makro-rok%202020\anglick&#225;%20verze\Grafy-st&#225;tn&#237;%20rozpo&#269;et-rok-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Q-makro-rok%202020\anglick&#225;%20verze\Odv&#283;tv&#237;%20grafy-rok-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Q-makro-rok%202020\anglick&#225;%20verze\Odv&#283;tv&#237;%20grafy-rok-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Q-makro-rok%202020\anglick&#225;%20verze\Odv&#283;tv&#237;%20grafy-rok-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Q-makro-rok%202020\anglick&#225;%20verze\Odv&#283;tv&#237;%20grafy-rok-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1'!$C$17:$C$40</c:f>
              <c:numCache>
                <c:formatCode>#\ ##0.0</c:formatCode>
                <c:ptCount val="24"/>
                <c:pt idx="0">
                  <c:v>5.3541342799457112</c:v>
                </c:pt>
                <c:pt idx="1">
                  <c:v>5.7581302882289123</c:v>
                </c:pt>
                <c:pt idx="2">
                  <c:v>5.6783705866674694</c:v>
                </c:pt>
                <c:pt idx="3">
                  <c:v>5.0736450126825758</c:v>
                </c:pt>
                <c:pt idx="4">
                  <c:v>3.4010325671467712</c:v>
                </c:pt>
                <c:pt idx="5">
                  <c:v>2.318358207366316</c:v>
                </c:pt>
                <c:pt idx="6">
                  <c:v>1.9345991649110346</c:v>
                </c:pt>
                <c:pt idx="7">
                  <c:v>2.1527896621077645</c:v>
                </c:pt>
                <c:pt idx="8">
                  <c:v>3.6789885316907771</c:v>
                </c:pt>
                <c:pt idx="9">
                  <c:v>6.0785986760951261</c:v>
                </c:pt>
                <c:pt idx="10">
                  <c:v>5.8461947005677075</c:v>
                </c:pt>
                <c:pt idx="11">
                  <c:v>5.8135548231886673</c:v>
                </c:pt>
                <c:pt idx="12">
                  <c:v>4.7869834927605694</c:v>
                </c:pt>
                <c:pt idx="13" formatCode="General">
                  <c:v>2.7415834226192999</c:v>
                </c:pt>
                <c:pt idx="14" formatCode="General">
                  <c:v>2.7643077302550836</c:v>
                </c:pt>
                <c:pt idx="15">
                  <c:v>2.4875156373637139</c:v>
                </c:pt>
                <c:pt idx="16">
                  <c:v>2.4453078679892855</c:v>
                </c:pt>
                <c:pt idx="17" formatCode="General">
                  <c:v>2.2867115245575036</c:v>
                </c:pt>
                <c:pt idx="18" formatCode="General">
                  <c:v>2.2190751113612635</c:v>
                </c:pt>
                <c:pt idx="19" formatCode="General">
                  <c:v>2.0355846279957319</c:v>
                </c:pt>
                <c:pt idx="20" formatCode="General">
                  <c:v>-1.8023913120589157</c:v>
                </c:pt>
                <c:pt idx="21" formatCode="General">
                  <c:v>-10.813954309123361</c:v>
                </c:pt>
                <c:pt idx="22" formatCode="General">
                  <c:v>-4.9192233591565042</c:v>
                </c:pt>
                <c:pt idx="23" formatCode="General">
                  <c:v>-4.7233882874667756</c:v>
                </c:pt>
              </c:numCache>
            </c:numRef>
          </c:val>
          <c:extLst>
            <c:ext xmlns:c16="http://schemas.microsoft.com/office/drawing/2014/chart" uri="{C3380CC4-5D6E-409C-BE32-E72D297353CC}">
              <c16:uniqueId val="{00000000-71F6-482C-8AAE-0D5789FD4562}"/>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1'!$D$17:$D$40</c:f>
              <c:numCache>
                <c:formatCode>#\ ##0.0</c:formatCode>
                <c:ptCount val="24"/>
                <c:pt idx="0">
                  <c:v>2</c:v>
                </c:pt>
                <c:pt idx="1">
                  <c:v>2.2000000000000002</c:v>
                </c:pt>
                <c:pt idx="2">
                  <c:v>2.2000000000000002</c:v>
                </c:pt>
                <c:pt idx="3">
                  <c:v>2.2999999999999998</c:v>
                </c:pt>
                <c:pt idx="4">
                  <c:v>2</c:v>
                </c:pt>
                <c:pt idx="5">
                  <c:v>1.9</c:v>
                </c:pt>
                <c:pt idx="6">
                  <c:v>1.8</c:v>
                </c:pt>
                <c:pt idx="7">
                  <c:v>2.2000000000000002</c:v>
                </c:pt>
                <c:pt idx="8">
                  <c:v>2.4</c:v>
                </c:pt>
                <c:pt idx="9">
                  <c:v>2.9</c:v>
                </c:pt>
                <c:pt idx="10">
                  <c:v>3.2</c:v>
                </c:pt>
                <c:pt idx="11">
                  <c:v>3.2</c:v>
                </c:pt>
                <c:pt idx="12">
                  <c:v>2.7</c:v>
                </c:pt>
                <c:pt idx="13">
                  <c:v>2.5</c:v>
                </c:pt>
                <c:pt idx="14">
                  <c:v>1.8</c:v>
                </c:pt>
                <c:pt idx="15">
                  <c:v>1.5</c:v>
                </c:pt>
                <c:pt idx="16">
                  <c:v>1.8</c:v>
                </c:pt>
                <c:pt idx="17">
                  <c:v>1.5</c:v>
                </c:pt>
                <c:pt idx="18">
                  <c:v>1.6</c:v>
                </c:pt>
                <c:pt idx="19">
                  <c:v>1.3</c:v>
                </c:pt>
                <c:pt idx="20">
                  <c:v>-2.6</c:v>
                </c:pt>
                <c:pt idx="21">
                  <c:v>-13.9</c:v>
                </c:pt>
                <c:pt idx="22">
                  <c:v>-4.2</c:v>
                </c:pt>
                <c:pt idx="23">
                  <c:v>-4.8</c:v>
                </c:pt>
              </c:numCache>
            </c:numRef>
          </c:val>
          <c:extLst>
            <c:ext xmlns:c16="http://schemas.microsoft.com/office/drawing/2014/chart" uri="{C3380CC4-5D6E-409C-BE32-E72D297353CC}">
              <c16:uniqueId val="{00000001-71F6-482C-8AAE-0D5789FD4562}"/>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1'!$E$17:$E$40</c:f>
              <c:numCache>
                <c:formatCode>#\ ##0.0</c:formatCode>
                <c:ptCount val="24"/>
                <c:pt idx="0">
                  <c:v>1.7876510932120624</c:v>
                </c:pt>
                <c:pt idx="1">
                  <c:v>1.4339927833768797</c:v>
                </c:pt>
                <c:pt idx="2">
                  <c:v>1.1102105904154485</c:v>
                </c:pt>
                <c:pt idx="3">
                  <c:v>0.65148104049788458</c:v>
                </c:pt>
                <c:pt idx="4">
                  <c:v>0.16734666768449813</c:v>
                </c:pt>
                <c:pt idx="5">
                  <c:v>0.37191457709397469</c:v>
                </c:pt>
                <c:pt idx="6">
                  <c:v>0.73098287137804618</c:v>
                </c:pt>
                <c:pt idx="7">
                  <c:v>0.86692502979816766</c:v>
                </c:pt>
                <c:pt idx="8">
                  <c:v>1.6638823155019793</c:v>
                </c:pt>
                <c:pt idx="9">
                  <c:v>2.6949837721494561</c:v>
                </c:pt>
                <c:pt idx="10">
                  <c:v>0.51029480450817744</c:v>
                </c:pt>
                <c:pt idx="11">
                  <c:v>0.83582061386817941</c:v>
                </c:pt>
                <c:pt idx="12">
                  <c:v>0.67756986149267107</c:v>
                </c:pt>
                <c:pt idx="13">
                  <c:v>0.69041870109533932</c:v>
                </c:pt>
                <c:pt idx="14">
                  <c:v>0.53252559737329364</c:v>
                </c:pt>
                <c:pt idx="15">
                  <c:v>0.56422283403010454</c:v>
                </c:pt>
                <c:pt idx="16">
                  <c:v>0.63610748801757211</c:v>
                </c:pt>
                <c:pt idx="17" formatCode="General">
                  <c:v>0.53453911464139026</c:v>
                </c:pt>
                <c:pt idx="18" formatCode="General">
                  <c:v>0.46604912804879461</c:v>
                </c:pt>
                <c:pt idx="19" formatCode="General">
                  <c:v>0.38370292777005943</c:v>
                </c:pt>
                <c:pt idx="20" formatCode="General">
                  <c:v>-3.1492283891465149</c:v>
                </c:pt>
                <c:pt idx="21" formatCode="General">
                  <c:v>-8.6914832367938004</c:v>
                </c:pt>
                <c:pt idx="22" formatCode="General">
                  <c:v>7.1063292820614947</c:v>
                </c:pt>
                <c:pt idx="23" formatCode="General">
                  <c:v>0.59046028034825326</c:v>
                </c:pt>
              </c:numCache>
            </c:numRef>
          </c:val>
          <c:smooth val="0"/>
          <c:extLst>
            <c:ext xmlns:c16="http://schemas.microsoft.com/office/drawing/2014/chart" uri="{C3380CC4-5D6E-409C-BE32-E72D297353CC}">
              <c16:uniqueId val="{00000002-71F6-482C-8AAE-0D5789FD4562}"/>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1'!$F$17:$F$40</c:f>
              <c:numCache>
                <c:formatCode>#\ ##0.0</c:formatCode>
                <c:ptCount val="24"/>
                <c:pt idx="0">
                  <c:v>0.8</c:v>
                </c:pt>
                <c:pt idx="1">
                  <c:v>0.5</c:v>
                </c:pt>
                <c:pt idx="2">
                  <c:v>0.5</c:v>
                </c:pt>
                <c:pt idx="3">
                  <c:v>0.5</c:v>
                </c:pt>
                <c:pt idx="4">
                  <c:v>0.5</c:v>
                </c:pt>
                <c:pt idx="5">
                  <c:v>0.3</c:v>
                </c:pt>
                <c:pt idx="6">
                  <c:v>0.4</c:v>
                </c:pt>
                <c:pt idx="7">
                  <c:v>0.8</c:v>
                </c:pt>
                <c:pt idx="8">
                  <c:v>0.8</c:v>
                </c:pt>
                <c:pt idx="9">
                  <c:v>0.8</c:v>
                </c:pt>
                <c:pt idx="10">
                  <c:v>0.8</c:v>
                </c:pt>
                <c:pt idx="11">
                  <c:v>0.9</c:v>
                </c:pt>
                <c:pt idx="12">
                  <c:v>0.3</c:v>
                </c:pt>
                <c:pt idx="13">
                  <c:v>0.5</c:v>
                </c:pt>
                <c:pt idx="14">
                  <c:v>0.2</c:v>
                </c:pt>
                <c:pt idx="15">
                  <c:v>0.6</c:v>
                </c:pt>
                <c:pt idx="16">
                  <c:v>0.6</c:v>
                </c:pt>
                <c:pt idx="17">
                  <c:v>0.3</c:v>
                </c:pt>
                <c:pt idx="18">
                  <c:v>0.3</c:v>
                </c:pt>
                <c:pt idx="19">
                  <c:v>0.2</c:v>
                </c:pt>
                <c:pt idx="20">
                  <c:v>-3.3</c:v>
                </c:pt>
                <c:pt idx="21">
                  <c:v>-11.4</c:v>
                </c:pt>
                <c:pt idx="22">
                  <c:v>11.5</c:v>
                </c:pt>
                <c:pt idx="23">
                  <c:v>-0.4</c:v>
                </c:pt>
              </c:numCache>
            </c:numRef>
          </c:val>
          <c:smooth val="0"/>
          <c:extLst>
            <c:ext xmlns:c16="http://schemas.microsoft.com/office/drawing/2014/chart" uri="{C3380CC4-5D6E-409C-BE32-E72D297353CC}">
              <c16:uniqueId val="{00000003-71F6-482C-8AAE-0D5789FD4562}"/>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12"/>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majorUnit val="3"/>
      </c:valAx>
      <c:spPr>
        <a:ln>
          <a:solidFill>
            <a:schemeClr val="tx1"/>
          </a:solidFill>
        </a:ln>
      </c:spPr>
    </c:plotArea>
    <c:legend>
      <c:legendPos val="b"/>
      <c:layout>
        <c:manualLayout>
          <c:xMode val="edge"/>
          <c:yMode val="edge"/>
          <c:x val="5.0375530939407026E-2"/>
          <c:y val="0.89437255125717996"/>
          <c:w val="0.92644083516900477"/>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'Ceny 1'!$C$5</c:f>
              <c:strCache>
                <c:ptCount val="1"/>
                <c:pt idx="0">
                  <c:v>Realised prices of older flats, the CR</c:v>
                </c:pt>
              </c:strCache>
            </c:strRef>
          </c:tx>
          <c:spPr>
            <a:solidFill>
              <a:schemeClr val="bg1">
                <a:lumMod val="65000"/>
              </a:schemeClr>
            </a:solidFill>
            <a:ln w="19050">
              <a:noFill/>
            </a:ln>
          </c:spPr>
          <c:invertIfNegative val="0"/>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1'!$C$18:$C$41</c:f>
              <c:numCache>
                <c:formatCode>General</c:formatCode>
                <c:ptCount val="24"/>
                <c:pt idx="0">
                  <c:v>4.2999999999999972</c:v>
                </c:pt>
                <c:pt idx="1">
                  <c:v>4.9000000000000057</c:v>
                </c:pt>
                <c:pt idx="2">
                  <c:v>6</c:v>
                </c:pt>
                <c:pt idx="3">
                  <c:v>6.7999999999999972</c:v>
                </c:pt>
                <c:pt idx="4">
                  <c:v>8.9000000000000057</c:v>
                </c:pt>
                <c:pt idx="5">
                  <c:v>10.299999999999997</c:v>
                </c:pt>
                <c:pt idx="6">
                  <c:v>12.299999999999997</c:v>
                </c:pt>
                <c:pt idx="7">
                  <c:v>14.599999999999994</c:v>
                </c:pt>
                <c:pt idx="8">
                  <c:v>17.200000000000003</c:v>
                </c:pt>
                <c:pt idx="9">
                  <c:v>18.700000000000003</c:v>
                </c:pt>
                <c:pt idx="10">
                  <c:v>15.799999999999997</c:v>
                </c:pt>
                <c:pt idx="11">
                  <c:v>12</c:v>
                </c:pt>
                <c:pt idx="12">
                  <c:v>9.2000000000000028</c:v>
                </c:pt>
                <c:pt idx="13">
                  <c:v>8</c:v>
                </c:pt>
                <c:pt idx="14">
                  <c:v>9.4000000000000057</c:v>
                </c:pt>
                <c:pt idx="15">
                  <c:v>11.400000000000006</c:v>
                </c:pt>
                <c:pt idx="16">
                  <c:v>11.299999999999997</c:v>
                </c:pt>
                <c:pt idx="17">
                  <c:v>10.599999999999994</c:v>
                </c:pt>
                <c:pt idx="18">
                  <c:v>9.5</c:v>
                </c:pt>
                <c:pt idx="19">
                  <c:v>9.4000000000000057</c:v>
                </c:pt>
                <c:pt idx="20">
                  <c:v>10.599999999999994</c:v>
                </c:pt>
                <c:pt idx="21">
                  <c:v>10.200000000000003</c:v>
                </c:pt>
                <c:pt idx="22">
                  <c:v>11.200000000000003</c:v>
                </c:pt>
                <c:pt idx="23">
                  <c:v>12.599999999999994</c:v>
                </c:pt>
              </c:numCache>
            </c:numRef>
          </c:val>
          <c:extLst>
            <c:ext xmlns:c16="http://schemas.microsoft.com/office/drawing/2014/chart" uri="{C3380CC4-5D6E-409C-BE32-E72D297353CC}">
              <c16:uniqueId val="{00000000-9E9D-401A-B0BE-72D7737DCB92}"/>
            </c:ext>
          </c:extLst>
        </c:ser>
        <c:ser>
          <c:idx val="1"/>
          <c:order val="1"/>
          <c:tx>
            <c:strRef>
              <c:f>'Ceny 1'!$D$5</c:f>
              <c:strCache>
                <c:ptCount val="1"/>
                <c:pt idx="0">
                  <c:v>Realised prices of older flats, Prague</c:v>
                </c:pt>
              </c:strCache>
            </c:strRef>
          </c:tx>
          <c:spPr>
            <a:solidFill>
              <a:prstClr val="black">
                <a:lumMod val="50000"/>
                <a:lumOff val="50000"/>
              </a:prstClr>
            </a:solidFill>
            <a:ln w="19050">
              <a:noFill/>
            </a:ln>
          </c:spPr>
          <c:invertIfNegative val="0"/>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1'!$D$18:$D$41</c:f>
              <c:numCache>
                <c:formatCode>General</c:formatCode>
                <c:ptCount val="24"/>
                <c:pt idx="0">
                  <c:v>5</c:v>
                </c:pt>
                <c:pt idx="1">
                  <c:v>5.9000000000000057</c:v>
                </c:pt>
                <c:pt idx="2">
                  <c:v>5.5999999999999943</c:v>
                </c:pt>
                <c:pt idx="3">
                  <c:v>4.5999999999999943</c:v>
                </c:pt>
                <c:pt idx="4">
                  <c:v>5.7999999999999972</c:v>
                </c:pt>
                <c:pt idx="5">
                  <c:v>7.5</c:v>
                </c:pt>
                <c:pt idx="6">
                  <c:v>9.4000000000000057</c:v>
                </c:pt>
                <c:pt idx="7">
                  <c:v>13.900000000000006</c:v>
                </c:pt>
                <c:pt idx="8">
                  <c:v>16.200000000000003</c:v>
                </c:pt>
                <c:pt idx="9">
                  <c:v>19</c:v>
                </c:pt>
                <c:pt idx="10">
                  <c:v>16.400000000000006</c:v>
                </c:pt>
                <c:pt idx="11">
                  <c:v>11.099999999999994</c:v>
                </c:pt>
                <c:pt idx="12">
                  <c:v>8.2999999999999972</c:v>
                </c:pt>
                <c:pt idx="13">
                  <c:v>4</c:v>
                </c:pt>
                <c:pt idx="14">
                  <c:v>6</c:v>
                </c:pt>
                <c:pt idx="15">
                  <c:v>8.7000000000000028</c:v>
                </c:pt>
                <c:pt idx="16">
                  <c:v>9.4000000000000057</c:v>
                </c:pt>
                <c:pt idx="17">
                  <c:v>8.7000000000000028</c:v>
                </c:pt>
                <c:pt idx="18">
                  <c:v>6.5</c:v>
                </c:pt>
                <c:pt idx="19">
                  <c:v>7.0999999999999943</c:v>
                </c:pt>
                <c:pt idx="20">
                  <c:v>6.2000000000000028</c:v>
                </c:pt>
                <c:pt idx="21">
                  <c:v>8</c:v>
                </c:pt>
                <c:pt idx="22">
                  <c:v>9.4000000000000057</c:v>
                </c:pt>
                <c:pt idx="23">
                  <c:v>9.5999999999999943</c:v>
                </c:pt>
              </c:numCache>
            </c:numRef>
          </c:val>
          <c:extLst>
            <c:ext xmlns:c16="http://schemas.microsoft.com/office/drawing/2014/chart" uri="{C3380CC4-5D6E-409C-BE32-E72D297353CC}">
              <c16:uniqueId val="{00000001-9E9D-401A-B0BE-72D7737DCB92}"/>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1'!$E$18:$E$41</c:f>
              <c:numCache>
                <c:formatCode>0.0</c:formatCode>
                <c:ptCount val="24"/>
                <c:pt idx="0">
                  <c:v>3.6253776435045406</c:v>
                </c:pt>
                <c:pt idx="1">
                  <c:v>4.9701789264413518</c:v>
                </c:pt>
                <c:pt idx="2">
                  <c:v>6.0843964671246207</c:v>
                </c:pt>
                <c:pt idx="3">
                  <c:v>9.5849802371541539</c:v>
                </c:pt>
                <c:pt idx="4">
                  <c:v>10.204081632653059</c:v>
                </c:pt>
                <c:pt idx="5">
                  <c:v>10.321969696969703</c:v>
                </c:pt>
                <c:pt idx="6">
                  <c:v>9.8982423681776162</c:v>
                </c:pt>
                <c:pt idx="7">
                  <c:v>9.9188458070333638</c:v>
                </c:pt>
                <c:pt idx="8">
                  <c:v>9.5238095238095184</c:v>
                </c:pt>
                <c:pt idx="9" formatCode="General">
                  <c:v>9.5278969957081472</c:v>
                </c:pt>
                <c:pt idx="10" formatCode="General">
                  <c:v>12.542087542087543</c:v>
                </c:pt>
                <c:pt idx="11" formatCode="General">
                  <c:v>12.469237079573418</c:v>
                </c:pt>
                <c:pt idx="12" formatCode="General">
                  <c:v>12.801932367149746</c:v>
                </c:pt>
                <c:pt idx="13" formatCode="General">
                  <c:v>12.225705329153584</c:v>
                </c:pt>
                <c:pt idx="14" formatCode="General">
                  <c:v>9.498878085265531</c:v>
                </c:pt>
                <c:pt idx="15" formatCode="General">
                  <c:v>8.4609773887673185</c:v>
                </c:pt>
                <c:pt idx="16" formatCode="General">
                  <c:v>7.4232690935046435</c:v>
                </c:pt>
                <c:pt idx="17" formatCode="General">
                  <c:v>5.7262569832402335</c:v>
                </c:pt>
                <c:pt idx="18" formatCode="General">
                  <c:v>5.1912568306010911</c:v>
                </c:pt>
                <c:pt idx="19" formatCode="General">
                  <c:v>5.5144586415601964</c:v>
                </c:pt>
                <c:pt idx="20" formatCode="General">
                  <c:v>6.0465116279069662</c:v>
                </c:pt>
                <c:pt idx="21" formatCode="General">
                  <c:v>7.1334214002641829</c:v>
                </c:pt>
                <c:pt idx="22" formatCode="General">
                  <c:v>7.9870129870129887</c:v>
                </c:pt>
                <c:pt idx="23" formatCode="General">
                  <c:v>7.6481835564053569</c:v>
                </c:pt>
              </c:numCache>
            </c:numRef>
          </c:val>
          <c:smooth val="0"/>
          <c:extLst>
            <c:ext xmlns:c16="http://schemas.microsoft.com/office/drawing/2014/chart" uri="{C3380CC4-5D6E-409C-BE32-E72D297353CC}">
              <c16:uniqueId val="{00000002-9E9D-401A-B0BE-72D7737DCB92}"/>
            </c:ext>
          </c:extLst>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1'!$F$18:$F$41</c:f>
              <c:numCache>
                <c:formatCode>0.0</c:formatCode>
                <c:ptCount val="24"/>
                <c:pt idx="0">
                  <c:v>5.7710501419110631</c:v>
                </c:pt>
                <c:pt idx="1">
                  <c:v>6.4995357474466111</c:v>
                </c:pt>
                <c:pt idx="2">
                  <c:v>6.7089755213055353</c:v>
                </c:pt>
                <c:pt idx="3">
                  <c:v>8.7862318840579601</c:v>
                </c:pt>
                <c:pt idx="4">
                  <c:v>10.196779964221831</c:v>
                </c:pt>
                <c:pt idx="5">
                  <c:v>10.549258936355706</c:v>
                </c:pt>
                <c:pt idx="6">
                  <c:v>9.7706032285471416</c:v>
                </c:pt>
                <c:pt idx="7">
                  <c:v>11.323896752706073</c:v>
                </c:pt>
                <c:pt idx="8">
                  <c:v>13.636363636363626</c:v>
                </c:pt>
                <c:pt idx="9" formatCode="General">
                  <c:v>14.589905362776051</c:v>
                </c:pt>
                <c:pt idx="10" formatCode="General">
                  <c:v>18.266253869969049</c:v>
                </c:pt>
                <c:pt idx="11" formatCode="General">
                  <c:v>18.773373223635019</c:v>
                </c:pt>
                <c:pt idx="12" formatCode="General">
                  <c:v>15.071428571428555</c:v>
                </c:pt>
                <c:pt idx="13" formatCode="General">
                  <c:v>14.24638678596007</c:v>
                </c:pt>
                <c:pt idx="14" formatCode="General">
                  <c:v>10.732984293193695</c:v>
                </c:pt>
                <c:pt idx="15" formatCode="General">
                  <c:v>8.7531486146095574</c:v>
                </c:pt>
                <c:pt idx="16" formatCode="General">
                  <c:v>8.3178150217256359</c:v>
                </c:pt>
                <c:pt idx="17" formatCode="General">
                  <c:v>4.9397590361445651</c:v>
                </c:pt>
                <c:pt idx="18" formatCode="General">
                  <c:v>3.3096926713947994</c:v>
                </c:pt>
                <c:pt idx="19" formatCode="General">
                  <c:v>2.9530978575564575</c:v>
                </c:pt>
                <c:pt idx="20" formatCode="General">
                  <c:v>3.5530085959885298</c:v>
                </c:pt>
                <c:pt idx="21" formatCode="General">
                  <c:v>5.2812858783008068</c:v>
                </c:pt>
                <c:pt idx="22" formatCode="General">
                  <c:v>6.2356979405034281</c:v>
                </c:pt>
                <c:pt idx="23" formatCode="General">
                  <c:v>5.1743532058492718</c:v>
                </c:pt>
              </c:numCache>
            </c:numRef>
          </c:val>
          <c:smooth val="0"/>
          <c:extLst>
            <c:ext xmlns:c16="http://schemas.microsoft.com/office/drawing/2014/chart" uri="{C3380CC4-5D6E-409C-BE32-E72D297353CC}">
              <c16:uniqueId val="{00000003-9E9D-401A-B0BE-72D7737DCB92}"/>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89142432050272657"/>
          <c:h val="0.71663233141956562"/>
        </c:manualLayout>
      </c:layout>
      <c:barChart>
        <c:barDir val="col"/>
        <c:grouping val="clustered"/>
        <c:varyColors val="0"/>
        <c:ser>
          <c:idx val="0"/>
          <c:order val="0"/>
          <c:tx>
            <c:strRef>
              <c:f>'Ceny 4'!$C$5</c:f>
              <c:strCache>
                <c:ptCount val="1"/>
                <c:pt idx="0">
                  <c:v>Total</c:v>
                </c:pt>
              </c:strCache>
            </c:strRef>
          </c:tx>
          <c:spPr>
            <a:solidFill>
              <a:schemeClr val="bg1">
                <a:lumMod val="65000"/>
              </a:schemeClr>
            </a:solidFill>
            <a:ln w="19050">
              <a:noFill/>
            </a:ln>
          </c:spPr>
          <c:invertIfNegative val="0"/>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4'!$C$30:$C$101</c:f>
              <c:numCache>
                <c:formatCode>0.0</c:formatCode>
                <c:ptCount val="72"/>
                <c:pt idx="0">
                  <c:v>-3.5</c:v>
                </c:pt>
                <c:pt idx="1">
                  <c:v>-3.5999999999999943</c:v>
                </c:pt>
                <c:pt idx="2">
                  <c:v>-2.9000000000000057</c:v>
                </c:pt>
                <c:pt idx="3">
                  <c:v>-2.5999999999999943</c:v>
                </c:pt>
                <c:pt idx="4">
                  <c:v>-2.0999999999999943</c:v>
                </c:pt>
                <c:pt idx="5">
                  <c:v>-2.2999999999999972</c:v>
                </c:pt>
                <c:pt idx="6">
                  <c:v>-3</c:v>
                </c:pt>
                <c:pt idx="7">
                  <c:v>-3.7000000000000028</c:v>
                </c:pt>
                <c:pt idx="8">
                  <c:v>-4.2000000000000028</c:v>
                </c:pt>
                <c:pt idx="9">
                  <c:v>-3.9000000000000057</c:v>
                </c:pt>
                <c:pt idx="10">
                  <c:v>-3.7000000000000028</c:v>
                </c:pt>
                <c:pt idx="11">
                  <c:v>-2.9000000000000057</c:v>
                </c:pt>
                <c:pt idx="12">
                  <c:v>-3.4000000000000057</c:v>
                </c:pt>
                <c:pt idx="13">
                  <c:v>-4</c:v>
                </c:pt>
                <c:pt idx="14">
                  <c:v>-4.5</c:v>
                </c:pt>
                <c:pt idx="15">
                  <c:v>-4.7000000000000028</c:v>
                </c:pt>
                <c:pt idx="16">
                  <c:v>-4.7999999999999972</c:v>
                </c:pt>
                <c:pt idx="17">
                  <c:v>-4.4000000000000057</c:v>
                </c:pt>
                <c:pt idx="18">
                  <c:v>-4</c:v>
                </c:pt>
                <c:pt idx="19">
                  <c:v>-3.4000000000000057</c:v>
                </c:pt>
                <c:pt idx="20">
                  <c:v>-2.4000000000000057</c:v>
                </c:pt>
                <c:pt idx="21">
                  <c:v>-1.7000000000000028</c:v>
                </c:pt>
                <c:pt idx="22">
                  <c:v>-1.2999999999999972</c:v>
                </c:pt>
                <c:pt idx="23">
                  <c:v>-0.40000000000000568</c:v>
                </c:pt>
                <c:pt idx="24" formatCode="General">
                  <c:v>2.0999999999999943</c:v>
                </c:pt>
                <c:pt idx="25" formatCode="General">
                  <c:v>3.0999999999999943</c:v>
                </c:pt>
                <c:pt idx="26">
                  <c:v>3</c:v>
                </c:pt>
                <c:pt idx="27">
                  <c:v>3.2000000000000028</c:v>
                </c:pt>
                <c:pt idx="28" formatCode="General">
                  <c:v>2.2999999999999972</c:v>
                </c:pt>
                <c:pt idx="29" formatCode="General">
                  <c:v>1.2999999999999972</c:v>
                </c:pt>
                <c:pt idx="30" formatCode="General">
                  <c:v>1.1000000000000001</c:v>
                </c:pt>
                <c:pt idx="31" formatCode="General">
                  <c:v>1.4</c:v>
                </c:pt>
                <c:pt idx="32" formatCode="General">
                  <c:v>1.7</c:v>
                </c:pt>
                <c:pt idx="33" formatCode="General">
                  <c:v>1.1000000000000001</c:v>
                </c:pt>
                <c:pt idx="34" formatCode="General">
                  <c:v>0.9</c:v>
                </c:pt>
                <c:pt idx="35" formatCode="General">
                  <c:v>0.7</c:v>
                </c:pt>
                <c:pt idx="36" formatCode="General">
                  <c:v>0.5</c:v>
                </c:pt>
                <c:pt idx="37" formatCode="General">
                  <c:v>-0.3</c:v>
                </c:pt>
                <c:pt idx="38" formatCode="General">
                  <c:v>0.1</c:v>
                </c:pt>
                <c:pt idx="39" formatCode="General">
                  <c:v>0</c:v>
                </c:pt>
                <c:pt idx="40" formatCode="General">
                  <c:v>1.5</c:v>
                </c:pt>
                <c:pt idx="41" formatCode="General">
                  <c:v>2.9</c:v>
                </c:pt>
                <c:pt idx="42" formatCode="General">
                  <c:v>3.4</c:v>
                </c:pt>
                <c:pt idx="43" formatCode="General">
                  <c:v>3.3</c:v>
                </c:pt>
                <c:pt idx="44" formatCode="General">
                  <c:v>3.2</c:v>
                </c:pt>
                <c:pt idx="45" formatCode="General">
                  <c:v>3.9</c:v>
                </c:pt>
                <c:pt idx="46" formatCode="General">
                  <c:v>3.9</c:v>
                </c:pt>
                <c:pt idx="47" formatCode="General">
                  <c:v>2.4</c:v>
                </c:pt>
                <c:pt idx="48" formatCode="General">
                  <c:v>2.9</c:v>
                </c:pt>
                <c:pt idx="49" formatCode="General">
                  <c:v>3.6</c:v>
                </c:pt>
                <c:pt idx="50" formatCode="General">
                  <c:v>3.8</c:v>
                </c:pt>
                <c:pt idx="51" formatCode="General">
                  <c:v>4.3</c:v>
                </c:pt>
                <c:pt idx="52" formatCode="General">
                  <c:v>3.8</c:v>
                </c:pt>
                <c:pt idx="53" formatCode="General">
                  <c:v>2.5</c:v>
                </c:pt>
                <c:pt idx="54" formatCode="General">
                  <c:v>2.1</c:v>
                </c:pt>
                <c:pt idx="55" formatCode="General">
                  <c:v>2.1</c:v>
                </c:pt>
                <c:pt idx="56" formatCode="General">
                  <c:v>1.9</c:v>
                </c:pt>
                <c:pt idx="57" formatCode="General">
                  <c:v>0.9</c:v>
                </c:pt>
                <c:pt idx="58" formatCode="General">
                  <c:v>0.9</c:v>
                </c:pt>
                <c:pt idx="59" formatCode="General">
                  <c:v>2.1</c:v>
                </c:pt>
                <c:pt idx="60" formatCode="General">
                  <c:v>2.4</c:v>
                </c:pt>
                <c:pt idx="61" formatCode="General">
                  <c:v>1.4</c:v>
                </c:pt>
                <c:pt idx="62" formatCode="General">
                  <c:v>0.4</c:v>
                </c:pt>
                <c:pt idx="63" formatCode="General">
                  <c:v>-0.8</c:v>
                </c:pt>
                <c:pt idx="64" formatCode="General">
                  <c:v>-0.9</c:v>
                </c:pt>
                <c:pt idx="65" formatCode="General">
                  <c:v>-0.3</c:v>
                </c:pt>
                <c:pt idx="66" formatCode="General">
                  <c:v>-0.1</c:v>
                </c:pt>
                <c:pt idx="67" formatCode="General">
                  <c:v>-0.5</c:v>
                </c:pt>
                <c:pt idx="68" formatCode="General">
                  <c:v>-0.4</c:v>
                </c:pt>
                <c:pt idx="69" formatCode="General">
                  <c:v>0.3</c:v>
                </c:pt>
                <c:pt idx="70" formatCode="General">
                  <c:v>-0.1</c:v>
                </c:pt>
                <c:pt idx="71" formatCode="General">
                  <c:v>0</c:v>
                </c:pt>
              </c:numCache>
            </c:numRef>
          </c:val>
          <c:extLst>
            <c:ext xmlns:c16="http://schemas.microsoft.com/office/drawing/2014/chart" uri="{C3380CC4-5D6E-409C-BE32-E72D297353CC}">
              <c16:uniqueId val="{00000000-B669-4BAF-8498-469EF213CDC6}"/>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'Ceny 4'!$D$5</c:f>
              <c:strCache>
                <c:ptCount val="1"/>
                <c:pt idx="0">
                  <c:v>Mining and quarrying,</c:v>
                </c:pt>
              </c:strCache>
            </c:strRef>
          </c:tx>
          <c:spPr>
            <a:ln w="19050">
              <a:solidFill>
                <a:srgbClr val="7DBB2D"/>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4'!$D$30:$D$101</c:f>
              <c:numCache>
                <c:formatCode>0.0</c:formatCode>
                <c:ptCount val="72"/>
                <c:pt idx="0">
                  <c:v>-0.90000000000000568</c:v>
                </c:pt>
                <c:pt idx="1">
                  <c:v>-1.5</c:v>
                </c:pt>
                <c:pt idx="2">
                  <c:v>-0.90000000000000568</c:v>
                </c:pt>
                <c:pt idx="3">
                  <c:v>-0.90000000000000568</c:v>
                </c:pt>
                <c:pt idx="4">
                  <c:v>0.29999999999999716</c:v>
                </c:pt>
                <c:pt idx="5">
                  <c:v>0.59999999999999432</c:v>
                </c:pt>
                <c:pt idx="6">
                  <c:v>0.40000000000000568</c:v>
                </c:pt>
                <c:pt idx="7">
                  <c:v>-0.29999999999999716</c:v>
                </c:pt>
                <c:pt idx="8">
                  <c:v>-1.7000000000000028</c:v>
                </c:pt>
                <c:pt idx="9">
                  <c:v>-1.4000000000000057</c:v>
                </c:pt>
                <c:pt idx="10">
                  <c:v>-0.59999999999999432</c:v>
                </c:pt>
                <c:pt idx="11">
                  <c:v>-0.5</c:v>
                </c:pt>
                <c:pt idx="12">
                  <c:v>-6.5999999999999943</c:v>
                </c:pt>
                <c:pt idx="13">
                  <c:v>-6.0999999999999943</c:v>
                </c:pt>
                <c:pt idx="14">
                  <c:v>-6.5</c:v>
                </c:pt>
                <c:pt idx="15">
                  <c:v>-7</c:v>
                </c:pt>
                <c:pt idx="16">
                  <c:v>-7.0999999999999943</c:v>
                </c:pt>
                <c:pt idx="17">
                  <c:v>-7.2999999999999972</c:v>
                </c:pt>
                <c:pt idx="18">
                  <c:v>-6.5999999999999943</c:v>
                </c:pt>
                <c:pt idx="19">
                  <c:v>-6</c:v>
                </c:pt>
                <c:pt idx="20">
                  <c:v>-4.9000000000000057</c:v>
                </c:pt>
                <c:pt idx="21">
                  <c:v>-5.2000000000000028</c:v>
                </c:pt>
                <c:pt idx="22">
                  <c:v>-5.2999999999999972</c:v>
                </c:pt>
                <c:pt idx="23">
                  <c:v>-5.0999999999999943</c:v>
                </c:pt>
                <c:pt idx="24" formatCode="General">
                  <c:v>2.2999999999999972</c:v>
                </c:pt>
                <c:pt idx="25" formatCode="General">
                  <c:v>5.7999999999999972</c:v>
                </c:pt>
                <c:pt idx="26">
                  <c:v>6.2000000000000028</c:v>
                </c:pt>
                <c:pt idx="27">
                  <c:v>6.4000000000000057</c:v>
                </c:pt>
                <c:pt idx="28" formatCode="General">
                  <c:v>4.2999999999999972</c:v>
                </c:pt>
                <c:pt idx="29" formatCode="General">
                  <c:v>4.0999999999999943</c:v>
                </c:pt>
                <c:pt idx="30" formatCode="General">
                  <c:v>2.9</c:v>
                </c:pt>
                <c:pt idx="31" formatCode="General">
                  <c:v>1.7</c:v>
                </c:pt>
                <c:pt idx="32" formatCode="General">
                  <c:v>1.9</c:v>
                </c:pt>
                <c:pt idx="33" formatCode="General">
                  <c:v>3.4</c:v>
                </c:pt>
                <c:pt idx="34" formatCode="General">
                  <c:v>3.3</c:v>
                </c:pt>
                <c:pt idx="35" formatCode="General">
                  <c:v>3.6</c:v>
                </c:pt>
                <c:pt idx="36" formatCode="General">
                  <c:v>6.7</c:v>
                </c:pt>
                <c:pt idx="37" formatCode="General">
                  <c:v>5</c:v>
                </c:pt>
                <c:pt idx="38" formatCode="General">
                  <c:v>4.3</c:v>
                </c:pt>
                <c:pt idx="39" formatCode="General">
                  <c:v>4.5999999999999996</c:v>
                </c:pt>
                <c:pt idx="40" formatCode="General">
                  <c:v>7.4</c:v>
                </c:pt>
                <c:pt idx="41" formatCode="General">
                  <c:v>8</c:v>
                </c:pt>
                <c:pt idx="42" formatCode="General">
                  <c:v>8.4</c:v>
                </c:pt>
                <c:pt idx="43" formatCode="General">
                  <c:v>10.1</c:v>
                </c:pt>
                <c:pt idx="44" formatCode="General">
                  <c:v>9.9</c:v>
                </c:pt>
                <c:pt idx="45" formatCode="General">
                  <c:v>9</c:v>
                </c:pt>
                <c:pt idx="46" formatCode="General">
                  <c:v>9.1999999999999993</c:v>
                </c:pt>
                <c:pt idx="47" formatCode="General">
                  <c:v>8.3000000000000007</c:v>
                </c:pt>
                <c:pt idx="48" formatCode="General">
                  <c:v>7.9</c:v>
                </c:pt>
                <c:pt idx="49" formatCode="General">
                  <c:v>7.4</c:v>
                </c:pt>
                <c:pt idx="50" formatCode="General">
                  <c:v>8</c:v>
                </c:pt>
                <c:pt idx="51" formatCode="General">
                  <c:v>8.4</c:v>
                </c:pt>
                <c:pt idx="52" formatCode="General">
                  <c:v>7.5</c:v>
                </c:pt>
                <c:pt idx="53" formatCode="General">
                  <c:v>7.1</c:v>
                </c:pt>
                <c:pt idx="54" formatCode="General">
                  <c:v>6.9</c:v>
                </c:pt>
                <c:pt idx="55" formatCode="General">
                  <c:v>6.8</c:v>
                </c:pt>
                <c:pt idx="56" formatCode="General">
                  <c:v>6.6</c:v>
                </c:pt>
                <c:pt idx="57" formatCode="General">
                  <c:v>3.6</c:v>
                </c:pt>
                <c:pt idx="58" formatCode="General">
                  <c:v>3.2</c:v>
                </c:pt>
                <c:pt idx="59" formatCode="General">
                  <c:v>4.3</c:v>
                </c:pt>
                <c:pt idx="60" formatCode="General">
                  <c:v>-2.1</c:v>
                </c:pt>
                <c:pt idx="61" formatCode="General">
                  <c:v>-1.8</c:v>
                </c:pt>
                <c:pt idx="62" formatCode="General">
                  <c:v>-2.6</c:v>
                </c:pt>
                <c:pt idx="63" formatCode="General">
                  <c:v>-3.7</c:v>
                </c:pt>
                <c:pt idx="64" formatCode="General">
                  <c:v>-3.1</c:v>
                </c:pt>
                <c:pt idx="65" formatCode="General">
                  <c:v>-3.6</c:v>
                </c:pt>
                <c:pt idx="66" formatCode="General">
                  <c:v>-3.5</c:v>
                </c:pt>
                <c:pt idx="67" formatCode="General">
                  <c:v>-3.5</c:v>
                </c:pt>
                <c:pt idx="68" formatCode="General">
                  <c:v>-3.7</c:v>
                </c:pt>
                <c:pt idx="69" formatCode="General">
                  <c:v>-1.9</c:v>
                </c:pt>
                <c:pt idx="70" formatCode="General">
                  <c:v>-1.8</c:v>
                </c:pt>
                <c:pt idx="71" formatCode="General">
                  <c:v>-2.2000000000000002</c:v>
                </c:pt>
              </c:numCache>
            </c:numRef>
          </c:val>
          <c:smooth val="0"/>
          <c:extLst>
            <c:ext xmlns:c16="http://schemas.microsoft.com/office/drawing/2014/chart" uri="{C3380CC4-5D6E-409C-BE32-E72D297353CC}">
              <c16:uniqueId val="{00000001-B669-4BAF-8498-469EF213CDC6}"/>
            </c:ext>
          </c:extLst>
        </c:ser>
        <c:ser>
          <c:idx val="2"/>
          <c:order val="2"/>
          <c:tx>
            <c:strRef>
              <c:f>'Ceny 4'!$E$5</c:f>
              <c:strCache>
                <c:ptCount val="1"/>
                <c:pt idx="0">
                  <c:v>Manufacturing</c:v>
                </c:pt>
              </c:strCache>
            </c:strRef>
          </c:tx>
          <c:spPr>
            <a:ln w="19050">
              <a:solidFill>
                <a:srgbClr val="BD1B21"/>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4'!$E$30:$E$101</c:f>
              <c:numCache>
                <c:formatCode>0.0</c:formatCode>
                <c:ptCount val="72"/>
                <c:pt idx="0">
                  <c:v>-4.2999999999999972</c:v>
                </c:pt>
                <c:pt idx="1">
                  <c:v>-4.4000000000000057</c:v>
                </c:pt>
                <c:pt idx="2">
                  <c:v>-3.5</c:v>
                </c:pt>
                <c:pt idx="3">
                  <c:v>-3.0999999999999943</c:v>
                </c:pt>
                <c:pt idx="4">
                  <c:v>-2.7000000000000028</c:v>
                </c:pt>
                <c:pt idx="5">
                  <c:v>-2.7999999999999972</c:v>
                </c:pt>
                <c:pt idx="6">
                  <c:v>-3.5999999999999943</c:v>
                </c:pt>
                <c:pt idx="7">
                  <c:v>-4.7000000000000028</c:v>
                </c:pt>
                <c:pt idx="8">
                  <c:v>-5.2000000000000028</c:v>
                </c:pt>
                <c:pt idx="9">
                  <c:v>-4.9000000000000057</c:v>
                </c:pt>
                <c:pt idx="10">
                  <c:v>-4.5999999999999943</c:v>
                </c:pt>
                <c:pt idx="11">
                  <c:v>-3.5</c:v>
                </c:pt>
                <c:pt idx="12">
                  <c:v>-3.2999999999999972</c:v>
                </c:pt>
                <c:pt idx="13">
                  <c:v>-4.0999999999999943</c:v>
                </c:pt>
                <c:pt idx="14">
                  <c:v>-4.5999999999999943</c:v>
                </c:pt>
                <c:pt idx="15">
                  <c:v>-4.9000000000000057</c:v>
                </c:pt>
                <c:pt idx="16">
                  <c:v>-5</c:v>
                </c:pt>
                <c:pt idx="17">
                  <c:v>-4.5</c:v>
                </c:pt>
                <c:pt idx="18">
                  <c:v>-4</c:v>
                </c:pt>
                <c:pt idx="19">
                  <c:v>-3.2000000000000028</c:v>
                </c:pt>
                <c:pt idx="20">
                  <c:v>-2</c:v>
                </c:pt>
                <c:pt idx="21">
                  <c:v>-1.0999999999999943</c:v>
                </c:pt>
                <c:pt idx="22">
                  <c:v>-0.59999999999999432</c:v>
                </c:pt>
                <c:pt idx="23">
                  <c:v>0.59999999999999432</c:v>
                </c:pt>
                <c:pt idx="24" formatCode="General">
                  <c:v>2.5999999999999943</c:v>
                </c:pt>
                <c:pt idx="25" formatCode="General">
                  <c:v>4</c:v>
                </c:pt>
                <c:pt idx="26">
                  <c:v>3.7999999999999972</c:v>
                </c:pt>
                <c:pt idx="27">
                  <c:v>4</c:v>
                </c:pt>
                <c:pt idx="28" formatCode="General">
                  <c:v>2.7999999999999972</c:v>
                </c:pt>
                <c:pt idx="29" formatCode="General">
                  <c:v>1.5</c:v>
                </c:pt>
                <c:pt idx="30" formatCode="General">
                  <c:v>1.4</c:v>
                </c:pt>
                <c:pt idx="31" formatCode="General">
                  <c:v>2</c:v>
                </c:pt>
                <c:pt idx="32" formatCode="General">
                  <c:v>2.1</c:v>
                </c:pt>
                <c:pt idx="33" formatCode="General">
                  <c:v>1.4</c:v>
                </c:pt>
                <c:pt idx="34" formatCode="General">
                  <c:v>1.1000000000000001</c:v>
                </c:pt>
                <c:pt idx="35" formatCode="General">
                  <c:v>0.9</c:v>
                </c:pt>
                <c:pt idx="36" formatCode="General">
                  <c:v>0.2</c:v>
                </c:pt>
                <c:pt idx="37" formatCode="General">
                  <c:v>-0.9</c:v>
                </c:pt>
                <c:pt idx="38" formatCode="General">
                  <c:v>-0.5</c:v>
                </c:pt>
                <c:pt idx="39" formatCode="General">
                  <c:v>-0.5</c:v>
                </c:pt>
                <c:pt idx="40" formatCode="General">
                  <c:v>1.3</c:v>
                </c:pt>
                <c:pt idx="41" formatCode="General">
                  <c:v>2.8</c:v>
                </c:pt>
                <c:pt idx="42" formatCode="General">
                  <c:v>3.4</c:v>
                </c:pt>
                <c:pt idx="43" formatCode="General">
                  <c:v>3.2</c:v>
                </c:pt>
                <c:pt idx="44" formatCode="General">
                  <c:v>3</c:v>
                </c:pt>
                <c:pt idx="45" formatCode="General">
                  <c:v>3.8</c:v>
                </c:pt>
                <c:pt idx="46" formatCode="General">
                  <c:v>3.9</c:v>
                </c:pt>
                <c:pt idx="47" formatCode="General">
                  <c:v>2.2000000000000002</c:v>
                </c:pt>
                <c:pt idx="48" formatCode="General">
                  <c:v>1.9</c:v>
                </c:pt>
                <c:pt idx="49" formatCode="General">
                  <c:v>2.9</c:v>
                </c:pt>
                <c:pt idx="50" formatCode="General">
                  <c:v>3</c:v>
                </c:pt>
                <c:pt idx="51" formatCode="General">
                  <c:v>3.5</c:v>
                </c:pt>
                <c:pt idx="52" formatCode="General">
                  <c:v>2.9</c:v>
                </c:pt>
                <c:pt idx="53" formatCode="General">
                  <c:v>1.4</c:v>
                </c:pt>
                <c:pt idx="54" formatCode="General">
                  <c:v>0.9</c:v>
                </c:pt>
                <c:pt idx="55" formatCode="General">
                  <c:v>0.8</c:v>
                </c:pt>
                <c:pt idx="56" formatCode="General">
                  <c:v>0.7</c:v>
                </c:pt>
                <c:pt idx="57" formatCode="General">
                  <c:v>-0.4</c:v>
                </c:pt>
                <c:pt idx="58" formatCode="General">
                  <c:v>-0.7</c:v>
                </c:pt>
                <c:pt idx="59" formatCode="General">
                  <c:v>0.8</c:v>
                </c:pt>
                <c:pt idx="60" formatCode="General">
                  <c:v>1.2</c:v>
                </c:pt>
                <c:pt idx="61" formatCode="General">
                  <c:v>-0.1</c:v>
                </c:pt>
                <c:pt idx="62" formatCode="General">
                  <c:v>-1.2</c:v>
                </c:pt>
                <c:pt idx="63" formatCode="General">
                  <c:v>-2.5</c:v>
                </c:pt>
                <c:pt idx="64" formatCode="General">
                  <c:v>-2.6</c:v>
                </c:pt>
                <c:pt idx="65" formatCode="General">
                  <c:v>-1.9</c:v>
                </c:pt>
                <c:pt idx="66" formatCode="General">
                  <c:v>-1.6</c:v>
                </c:pt>
                <c:pt idx="67" formatCode="General">
                  <c:v>-2</c:v>
                </c:pt>
                <c:pt idx="68" formatCode="General">
                  <c:v>-1.9</c:v>
                </c:pt>
                <c:pt idx="69" formatCode="General">
                  <c:v>-1.1000000000000001</c:v>
                </c:pt>
                <c:pt idx="70" formatCode="General">
                  <c:v>-1.4</c:v>
                </c:pt>
                <c:pt idx="71" formatCode="General">
                  <c:v>-1.2</c:v>
                </c:pt>
              </c:numCache>
            </c:numRef>
          </c:val>
          <c:smooth val="0"/>
          <c:extLst>
            <c:ext xmlns:c16="http://schemas.microsoft.com/office/drawing/2014/chart" uri="{C3380CC4-5D6E-409C-BE32-E72D297353CC}">
              <c16:uniqueId val="{00000002-B669-4BAF-8498-469EF213CDC6}"/>
            </c:ext>
          </c:extLst>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4'!$F$30:$F$101</c:f>
              <c:numCache>
                <c:formatCode>0.0</c:formatCode>
                <c:ptCount val="72"/>
                <c:pt idx="0">
                  <c:v>-0.79999999999999716</c:v>
                </c:pt>
                <c:pt idx="1">
                  <c:v>-0.79999999999999716</c:v>
                </c:pt>
                <c:pt idx="2">
                  <c:v>-0.79999999999999716</c:v>
                </c:pt>
                <c:pt idx="3">
                  <c:v>-0.70000000000000284</c:v>
                </c:pt>
                <c:pt idx="4">
                  <c:v>-0.70000000000000284</c:v>
                </c:pt>
                <c:pt idx="5">
                  <c:v>-0.70000000000000284</c:v>
                </c:pt>
                <c:pt idx="6">
                  <c:v>-0.70000000000000284</c:v>
                </c:pt>
                <c:pt idx="7">
                  <c:v>-0.79999999999999716</c:v>
                </c:pt>
                <c:pt idx="8">
                  <c:v>-0.79999999999999716</c:v>
                </c:pt>
                <c:pt idx="9">
                  <c:v>-0.90000000000000568</c:v>
                </c:pt>
                <c:pt idx="10">
                  <c:v>-0.90000000000000568</c:v>
                </c:pt>
                <c:pt idx="11">
                  <c:v>-0.90000000000000568</c:v>
                </c:pt>
                <c:pt idx="12">
                  <c:v>-4</c:v>
                </c:pt>
                <c:pt idx="13">
                  <c:v>-4.0999999999999943</c:v>
                </c:pt>
                <c:pt idx="14">
                  <c:v>-4.0999999999999943</c:v>
                </c:pt>
                <c:pt idx="15">
                  <c:v>-4</c:v>
                </c:pt>
                <c:pt idx="16">
                  <c:v>-4</c:v>
                </c:pt>
                <c:pt idx="17">
                  <c:v>-4.0999999999999943</c:v>
                </c:pt>
                <c:pt idx="18">
                  <c:v>-4</c:v>
                </c:pt>
                <c:pt idx="19">
                  <c:v>-4</c:v>
                </c:pt>
                <c:pt idx="20">
                  <c:v>-4.0999999999999943</c:v>
                </c:pt>
                <c:pt idx="21">
                  <c:v>-4.0999999999999943</c:v>
                </c:pt>
                <c:pt idx="22">
                  <c:v>-4.0999999999999943</c:v>
                </c:pt>
                <c:pt idx="23">
                  <c:v>-4.0999999999999943</c:v>
                </c:pt>
                <c:pt idx="24" formatCode="General">
                  <c:v>-1.0999999999999943</c:v>
                </c:pt>
                <c:pt idx="25" formatCode="General">
                  <c:v>-1.2000000000000028</c:v>
                </c:pt>
                <c:pt idx="26">
                  <c:v>-1.2000000000000028</c:v>
                </c:pt>
                <c:pt idx="27">
                  <c:v>-1.4000000000000057</c:v>
                </c:pt>
                <c:pt idx="28" formatCode="General">
                  <c:v>-1.2999999999999972</c:v>
                </c:pt>
                <c:pt idx="29" formatCode="General">
                  <c:v>-1.0999999999999943</c:v>
                </c:pt>
                <c:pt idx="30" formatCode="General">
                  <c:v>-1.1000000000000001</c:v>
                </c:pt>
                <c:pt idx="31" formatCode="General">
                  <c:v>-1.3</c:v>
                </c:pt>
                <c:pt idx="32" formatCode="General">
                  <c:v>-1.1000000000000001</c:v>
                </c:pt>
                <c:pt idx="33" formatCode="General">
                  <c:v>-1.1000000000000001</c:v>
                </c:pt>
                <c:pt idx="34" formatCode="General">
                  <c:v>-1.1000000000000001</c:v>
                </c:pt>
                <c:pt idx="35" formatCode="General">
                  <c:v>-1.1000000000000001</c:v>
                </c:pt>
                <c:pt idx="36" formatCode="General">
                  <c:v>1.5</c:v>
                </c:pt>
                <c:pt idx="37" formatCode="General">
                  <c:v>1.6</c:v>
                </c:pt>
                <c:pt idx="38" formatCode="General">
                  <c:v>1.6</c:v>
                </c:pt>
                <c:pt idx="39" formatCode="General">
                  <c:v>1.7</c:v>
                </c:pt>
                <c:pt idx="40" formatCode="General">
                  <c:v>1.7</c:v>
                </c:pt>
                <c:pt idx="41" formatCode="General">
                  <c:v>2.2999999999999998</c:v>
                </c:pt>
                <c:pt idx="42" formatCode="General">
                  <c:v>2.2999999999999998</c:v>
                </c:pt>
                <c:pt idx="43" formatCode="General">
                  <c:v>2.6</c:v>
                </c:pt>
                <c:pt idx="44" formatCode="General">
                  <c:v>2.7</c:v>
                </c:pt>
                <c:pt idx="45" formatCode="General">
                  <c:v>2.8</c:v>
                </c:pt>
                <c:pt idx="46" formatCode="General">
                  <c:v>2.8</c:v>
                </c:pt>
                <c:pt idx="47" formatCode="General">
                  <c:v>2.8</c:v>
                </c:pt>
                <c:pt idx="48" formatCode="General">
                  <c:v>7.2</c:v>
                </c:pt>
                <c:pt idx="49" formatCode="General">
                  <c:v>7.5</c:v>
                </c:pt>
                <c:pt idx="50" formatCode="General">
                  <c:v>8.4</c:v>
                </c:pt>
                <c:pt idx="51" formatCode="General">
                  <c:v>8.1999999999999993</c:v>
                </c:pt>
                <c:pt idx="52" formatCode="General">
                  <c:v>8.6</c:v>
                </c:pt>
                <c:pt idx="53" formatCode="General">
                  <c:v>7.9</c:v>
                </c:pt>
                <c:pt idx="54" formatCode="General">
                  <c:v>8</c:v>
                </c:pt>
                <c:pt idx="55" formatCode="General">
                  <c:v>7.7</c:v>
                </c:pt>
                <c:pt idx="56" formatCode="General">
                  <c:v>7.7</c:v>
                </c:pt>
                <c:pt idx="57" formatCode="General">
                  <c:v>7.5</c:v>
                </c:pt>
                <c:pt idx="58" formatCode="General">
                  <c:v>8.6999999999999993</c:v>
                </c:pt>
                <c:pt idx="59" formatCode="General">
                  <c:v>8.8000000000000007</c:v>
                </c:pt>
                <c:pt idx="60" formatCode="General">
                  <c:v>9.3000000000000007</c:v>
                </c:pt>
                <c:pt idx="61" formatCode="General">
                  <c:v>9</c:v>
                </c:pt>
                <c:pt idx="62" formatCode="General">
                  <c:v>8.3000000000000007</c:v>
                </c:pt>
                <c:pt idx="63" formatCode="General">
                  <c:v>8.6</c:v>
                </c:pt>
                <c:pt idx="64" formatCode="General">
                  <c:v>8</c:v>
                </c:pt>
                <c:pt idx="65" formatCode="General">
                  <c:v>8</c:v>
                </c:pt>
                <c:pt idx="66" formatCode="General">
                  <c:v>7.7</c:v>
                </c:pt>
                <c:pt idx="67" formatCode="General">
                  <c:v>7.9</c:v>
                </c:pt>
                <c:pt idx="68" formatCode="General">
                  <c:v>7.7</c:v>
                </c:pt>
                <c:pt idx="69" formatCode="General">
                  <c:v>7</c:v>
                </c:pt>
                <c:pt idx="70" formatCode="General">
                  <c:v>5.8</c:v>
                </c:pt>
                <c:pt idx="71" formatCode="General">
                  <c:v>5.6</c:v>
                </c:pt>
              </c:numCache>
            </c:numRef>
          </c:val>
          <c:smooth val="0"/>
          <c:extLst>
            <c:ext xmlns:c16="http://schemas.microsoft.com/office/drawing/2014/chart" uri="{C3380CC4-5D6E-409C-BE32-E72D297353CC}">
              <c16:uniqueId val="{00000003-B669-4BAF-8498-469EF213CDC6}"/>
            </c:ext>
          </c:extLst>
        </c:ser>
        <c:ser>
          <c:idx val="4"/>
          <c:order val="4"/>
          <c:tx>
            <c:strRef>
              <c:f>'Ceny 4'!$G$5</c:f>
              <c:strCache>
                <c:ptCount val="1"/>
                <c:pt idx="0">
                  <c:v>Water supply, sewerage</c:v>
                </c:pt>
              </c:strCache>
            </c:strRef>
          </c:tx>
          <c:spPr>
            <a:ln w="19050">
              <a:solidFill>
                <a:schemeClr val="accent1"/>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4'!$G$30:$G$101</c:f>
              <c:numCache>
                <c:formatCode>General</c:formatCode>
                <c:ptCount val="72"/>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0.5</c:v>
                </c:pt>
                <c:pt idx="13">
                  <c:v>0.5</c:v>
                </c:pt>
                <c:pt idx="14">
                  <c:v>0.5</c:v>
                </c:pt>
                <c:pt idx="15">
                  <c:v>1.5999999999999943</c:v>
                </c:pt>
                <c:pt idx="16">
                  <c:v>1.5999999999999943</c:v>
                </c:pt>
                <c:pt idx="17">
                  <c:v>1.5999999999999943</c:v>
                </c:pt>
                <c:pt idx="18">
                  <c:v>1.5999999999999943</c:v>
                </c:pt>
                <c:pt idx="19">
                  <c:v>1.5999999999999943</c:v>
                </c:pt>
                <c:pt idx="20">
                  <c:v>1.5999999999999943</c:v>
                </c:pt>
                <c:pt idx="21">
                  <c:v>1.5999999999999943</c:v>
                </c:pt>
                <c:pt idx="22">
                  <c:v>1.5999999999999943</c:v>
                </c:pt>
                <c:pt idx="23">
                  <c:v>1.5999999999999943</c:v>
                </c:pt>
                <c:pt idx="24">
                  <c:v>2.0999999999999943</c:v>
                </c:pt>
                <c:pt idx="25">
                  <c:v>2.0999999999999943</c:v>
                </c:pt>
                <c:pt idx="26" formatCode="0.0">
                  <c:v>2.0999999999999943</c:v>
                </c:pt>
                <c:pt idx="27" formatCode="0.0">
                  <c:v>1</c:v>
                </c:pt>
                <c:pt idx="28">
                  <c:v>1</c:v>
                </c:pt>
                <c:pt idx="29">
                  <c:v>1</c:v>
                </c:pt>
                <c:pt idx="30">
                  <c:v>1</c:v>
                </c:pt>
                <c:pt idx="31">
                  <c:v>1</c:v>
                </c:pt>
                <c:pt idx="32">
                  <c:v>1</c:v>
                </c:pt>
                <c:pt idx="33">
                  <c:v>1</c:v>
                </c:pt>
                <c:pt idx="34">
                  <c:v>1</c:v>
                </c:pt>
                <c:pt idx="35">
                  <c:v>1</c:v>
                </c:pt>
                <c:pt idx="36">
                  <c:v>1.9</c:v>
                </c:pt>
                <c:pt idx="37">
                  <c:v>1.9</c:v>
                </c:pt>
                <c:pt idx="38">
                  <c:v>1.9</c:v>
                </c:pt>
                <c:pt idx="39">
                  <c:v>1.9</c:v>
                </c:pt>
                <c:pt idx="40">
                  <c:v>1.9</c:v>
                </c:pt>
                <c:pt idx="41">
                  <c:v>1.9</c:v>
                </c:pt>
                <c:pt idx="42">
                  <c:v>1.9</c:v>
                </c:pt>
                <c:pt idx="43">
                  <c:v>1.9</c:v>
                </c:pt>
                <c:pt idx="44">
                  <c:v>1.9</c:v>
                </c:pt>
                <c:pt idx="45">
                  <c:v>1.9</c:v>
                </c:pt>
                <c:pt idx="46">
                  <c:v>1.9</c:v>
                </c:pt>
                <c:pt idx="47">
                  <c:v>1.9</c:v>
                </c:pt>
                <c:pt idx="48">
                  <c:v>2.9</c:v>
                </c:pt>
                <c:pt idx="49">
                  <c:v>2.9</c:v>
                </c:pt>
                <c:pt idx="50">
                  <c:v>2.9</c:v>
                </c:pt>
                <c:pt idx="51">
                  <c:v>2.9</c:v>
                </c:pt>
                <c:pt idx="52">
                  <c:v>2.9</c:v>
                </c:pt>
                <c:pt idx="53">
                  <c:v>2.9</c:v>
                </c:pt>
                <c:pt idx="54">
                  <c:v>2.9</c:v>
                </c:pt>
                <c:pt idx="55">
                  <c:v>2.9</c:v>
                </c:pt>
                <c:pt idx="56">
                  <c:v>2.9</c:v>
                </c:pt>
                <c:pt idx="57">
                  <c:v>2.9</c:v>
                </c:pt>
                <c:pt idx="58">
                  <c:v>2.9</c:v>
                </c:pt>
                <c:pt idx="59">
                  <c:v>2.9</c:v>
                </c:pt>
                <c:pt idx="60">
                  <c:v>5.4</c:v>
                </c:pt>
                <c:pt idx="61">
                  <c:v>5.4</c:v>
                </c:pt>
                <c:pt idx="62">
                  <c:v>5.4</c:v>
                </c:pt>
                <c:pt idx="63">
                  <c:v>5.4</c:v>
                </c:pt>
                <c:pt idx="64">
                  <c:v>6.4</c:v>
                </c:pt>
                <c:pt idx="65">
                  <c:v>6.4</c:v>
                </c:pt>
                <c:pt idx="66">
                  <c:v>6.4</c:v>
                </c:pt>
                <c:pt idx="67">
                  <c:v>6.4</c:v>
                </c:pt>
                <c:pt idx="68">
                  <c:v>6.4</c:v>
                </c:pt>
                <c:pt idx="69">
                  <c:v>6.4</c:v>
                </c:pt>
                <c:pt idx="70">
                  <c:v>6.4</c:v>
                </c:pt>
                <c:pt idx="71">
                  <c:v>6.4</c:v>
                </c:pt>
              </c:numCache>
            </c:numRef>
          </c:val>
          <c:smooth val="0"/>
          <c:extLst>
            <c:ext xmlns:c16="http://schemas.microsoft.com/office/drawing/2014/chart" uri="{C3380CC4-5D6E-409C-BE32-E72D297353CC}">
              <c16:uniqueId val="{00000004-B669-4BAF-8498-469EF213CDC6}"/>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2"/>
      </c:valAx>
      <c:spPr>
        <a:ln>
          <a:solidFill>
            <a:schemeClr val="tx1"/>
          </a:solidFill>
        </a:ln>
      </c:spPr>
    </c:plotArea>
    <c:legend>
      <c:legendPos val="b"/>
      <c:layout>
        <c:manualLayout>
          <c:xMode val="edge"/>
          <c:yMode val="edge"/>
          <c:x val="5.0596282132642133E-2"/>
          <c:y val="0.86223931272106069"/>
          <c:w val="0.89560705842620769"/>
          <c:h val="0.1210940242576512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6549886621315374E-2"/>
          <c:w val="0.83420125451377358"/>
          <c:h val="0.65992692395395358"/>
        </c:manualLayout>
      </c:layout>
      <c:barChart>
        <c:barDir val="col"/>
        <c:grouping val="stacked"/>
        <c:varyColors val="0"/>
        <c:ser>
          <c:idx val="0"/>
          <c:order val="0"/>
          <c:tx>
            <c:strRef>
              <c:f>'Trh práce 1'!$AC$7</c:f>
              <c:strCache>
                <c:ptCount val="1"/>
                <c:pt idx="0">
                  <c:v>Agriculture, forestry and fishing</c:v>
                </c:pt>
              </c:strCache>
            </c:strRef>
          </c:tx>
          <c:spPr>
            <a:solidFill>
              <a:srgbClr val="7DBB2D"/>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1'!$AC$28:$AC$52</c:f>
              <c:numCache>
                <c:formatCode>#,##0.0</c:formatCode>
                <c:ptCount val="25"/>
                <c:pt idx="0">
                  <c:v>-6.3775886113478369E-2</c:v>
                </c:pt>
                <c:pt idx="1">
                  <c:v>-5.3530554883726662E-2</c:v>
                </c:pt>
                <c:pt idx="2">
                  <c:v>-6.4075390166381849E-2</c:v>
                </c:pt>
                <c:pt idx="3">
                  <c:v>-0.13844304699479693</c:v>
                </c:pt>
                <c:pt idx="4">
                  <c:v>-0.13446730863002626</c:v>
                </c:pt>
                <c:pt idx="5">
                  <c:v>-4.2544545507820601E-2</c:v>
                </c:pt>
                <c:pt idx="6">
                  <c:v>-3.3191194580390673E-2</c:v>
                </c:pt>
                <c:pt idx="7">
                  <c:v>6.6309323471769377E-2</c:v>
                </c:pt>
                <c:pt idx="8">
                  <c:v>9.8066936941412233E-2</c:v>
                </c:pt>
                <c:pt idx="9">
                  <c:v>2.5196330912572437E-2</c:v>
                </c:pt>
                <c:pt idx="10">
                  <c:v>2.0639846638534198E-2</c:v>
                </c:pt>
                <c:pt idx="11">
                  <c:v>-8.3455519417103677E-2</c:v>
                </c:pt>
                <c:pt idx="12">
                  <c:v>2.5494598026070365E-2</c:v>
                </c:pt>
                <c:pt idx="13">
                  <c:v>2.6684441302942768E-2</c:v>
                </c:pt>
                <c:pt idx="14">
                  <c:v>1.9708592256982422E-2</c:v>
                </c:pt>
                <c:pt idx="15">
                  <c:v>8.7635855137036173E-2</c:v>
                </c:pt>
                <c:pt idx="16">
                  <c:v>-1.7993164823325757E-2</c:v>
                </c:pt>
                <c:pt idx="17">
                  <c:v>-7.0820472864832854E-2</c:v>
                </c:pt>
                <c:pt idx="18">
                  <c:v>-0.10170278786374146</c:v>
                </c:pt>
                <c:pt idx="19">
                  <c:v>-0.11671422849704614</c:v>
                </c:pt>
                <c:pt idx="20">
                  <c:v>-0.13192229045620107</c:v>
                </c:pt>
                <c:pt idx="21">
                  <c:v>-6.1309960075012639E-2</c:v>
                </c:pt>
                <c:pt idx="22">
                  <c:v>2.592734961307994E-2</c:v>
                </c:pt>
                <c:pt idx="23">
                  <c:v>1.8337259316546568E-2</c:v>
                </c:pt>
              </c:numCache>
            </c:numRef>
          </c:val>
          <c:extLst>
            <c:ext xmlns:c16="http://schemas.microsoft.com/office/drawing/2014/chart" uri="{C3380CC4-5D6E-409C-BE32-E72D297353CC}">
              <c16:uniqueId val="{00000000-1F3B-411C-AF0A-F4BF36DB9DE5}"/>
            </c:ext>
          </c:extLst>
        </c:ser>
        <c:ser>
          <c:idx val="1"/>
          <c:order val="1"/>
          <c:tx>
            <c:strRef>
              <c:f>'Trh práce 1'!$AD$7</c:f>
              <c:strCache>
                <c:ptCount val="1"/>
                <c:pt idx="0">
                  <c:v>Manufacturing </c:v>
                </c:pt>
              </c:strCache>
            </c:strRef>
          </c:tx>
          <c:spPr>
            <a:solidFill>
              <a:srgbClr val="A6CDE8"/>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1'!$AD$28:$AD$52</c:f>
              <c:numCache>
                <c:formatCode>#,##0.0</c:formatCode>
                <c:ptCount val="25"/>
                <c:pt idx="0">
                  <c:v>0.87384359543532464</c:v>
                </c:pt>
                <c:pt idx="1">
                  <c:v>0.93524489787512044</c:v>
                </c:pt>
                <c:pt idx="2">
                  <c:v>0.78267698384636852</c:v>
                </c:pt>
                <c:pt idx="3">
                  <c:v>0.94962455048902517</c:v>
                </c:pt>
                <c:pt idx="4">
                  <c:v>0.84718285167324348</c:v>
                </c:pt>
                <c:pt idx="5">
                  <c:v>0.62908867154608861</c:v>
                </c:pt>
                <c:pt idx="6">
                  <c:v>0.67775956738111331</c:v>
                </c:pt>
                <c:pt idx="7">
                  <c:v>0.54172812831113937</c:v>
                </c:pt>
                <c:pt idx="8">
                  <c:v>0.26867627785059034</c:v>
                </c:pt>
                <c:pt idx="9">
                  <c:v>0.39386843676908101</c:v>
                </c:pt>
                <c:pt idx="10">
                  <c:v>0.49256509811427385</c:v>
                </c:pt>
                <c:pt idx="11">
                  <c:v>0.47713964802096459</c:v>
                </c:pt>
                <c:pt idx="12">
                  <c:v>0.36434303678320645</c:v>
                </c:pt>
                <c:pt idx="13">
                  <c:v>0.28695143937637824</c:v>
                </c:pt>
                <c:pt idx="14">
                  <c:v>9.8952780783639532E-2</c:v>
                </c:pt>
                <c:pt idx="15">
                  <c:v>7.558219904144467E-2</c:v>
                </c:pt>
                <c:pt idx="16">
                  <c:v>-2.3335465306952373E-2</c:v>
                </c:pt>
                <c:pt idx="17">
                  <c:v>-0.19164270518730264</c:v>
                </c:pt>
                <c:pt idx="18">
                  <c:v>-0.35809202690016206</c:v>
                </c:pt>
                <c:pt idx="19">
                  <c:v>-0.74585932300225566</c:v>
                </c:pt>
                <c:pt idx="20">
                  <c:v>-0.68716111979198968</c:v>
                </c:pt>
                <c:pt idx="21">
                  <c:v>-0.95806001759904347</c:v>
                </c:pt>
                <c:pt idx="22">
                  <c:v>-0.98623436481310467</c:v>
                </c:pt>
                <c:pt idx="23">
                  <c:v>-0.79348811235920402</c:v>
                </c:pt>
              </c:numCache>
            </c:numRef>
          </c:val>
          <c:extLst>
            <c:ext xmlns:c16="http://schemas.microsoft.com/office/drawing/2014/chart" uri="{C3380CC4-5D6E-409C-BE32-E72D297353CC}">
              <c16:uniqueId val="{00000001-1F3B-411C-AF0A-F4BF36DB9DE5}"/>
            </c:ext>
          </c:extLst>
        </c:ser>
        <c:ser>
          <c:idx val="2"/>
          <c:order val="2"/>
          <c:tx>
            <c:strRef>
              <c:f>'Trh práce 1'!$AE$7</c:f>
              <c:strCache>
                <c:ptCount val="1"/>
                <c:pt idx="0">
                  <c:v>Construction</c:v>
                </c:pt>
              </c:strCache>
            </c:strRef>
          </c:tx>
          <c:spPr>
            <a:solidFill>
              <a:srgbClr val="48AEE7"/>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1'!$AE$28:$AE$52</c:f>
              <c:numCache>
                <c:formatCode>#,##0.0</c:formatCode>
                <c:ptCount val="25"/>
                <c:pt idx="0">
                  <c:v>-0.11694210540586052</c:v>
                </c:pt>
                <c:pt idx="1">
                  <c:v>-0.10810072845885586</c:v>
                </c:pt>
                <c:pt idx="2">
                  <c:v>-0.15839123886250733</c:v>
                </c:pt>
                <c:pt idx="3">
                  <c:v>-0.17189865446459995</c:v>
                </c:pt>
                <c:pt idx="4">
                  <c:v>-0.11151278826793087</c:v>
                </c:pt>
                <c:pt idx="5">
                  <c:v>-0.12826978061125432</c:v>
                </c:pt>
                <c:pt idx="6">
                  <c:v>-3.014577719148143E-2</c:v>
                </c:pt>
                <c:pt idx="7">
                  <c:v>1.7024586966207105E-2</c:v>
                </c:pt>
                <c:pt idx="8">
                  <c:v>-6.5148695688723116E-3</c:v>
                </c:pt>
                <c:pt idx="9">
                  <c:v>1.4289321905169284E-2</c:v>
                </c:pt>
                <c:pt idx="10">
                  <c:v>6.6438659970773833E-2</c:v>
                </c:pt>
                <c:pt idx="11">
                  <c:v>-6.4943430456315621E-2</c:v>
                </c:pt>
                <c:pt idx="12">
                  <c:v>0.11291809775653174</c:v>
                </c:pt>
                <c:pt idx="13">
                  <c:v>6.2607246062592548E-2</c:v>
                </c:pt>
                <c:pt idx="14">
                  <c:v>5.182353842998591E-2</c:v>
                </c:pt>
                <c:pt idx="15">
                  <c:v>0.12116998337824897</c:v>
                </c:pt>
                <c:pt idx="16">
                  <c:v>3.1719909121533031E-2</c:v>
                </c:pt>
                <c:pt idx="17">
                  <c:v>5.5381462391177826E-2</c:v>
                </c:pt>
                <c:pt idx="18">
                  <c:v>8.9850693144459925E-2</c:v>
                </c:pt>
                <c:pt idx="19">
                  <c:v>0.15065541085764433</c:v>
                </c:pt>
                <c:pt idx="20">
                  <c:v>0.22462444050650451</c:v>
                </c:pt>
                <c:pt idx="21">
                  <c:v>-3.6664679361405939E-2</c:v>
                </c:pt>
                <c:pt idx="22">
                  <c:v>8.483974244393748E-2</c:v>
                </c:pt>
                <c:pt idx="23">
                  <c:v>0.17742637211820689</c:v>
                </c:pt>
              </c:numCache>
            </c:numRef>
          </c:val>
          <c:extLst>
            <c:ext xmlns:c16="http://schemas.microsoft.com/office/drawing/2014/chart" uri="{C3380CC4-5D6E-409C-BE32-E72D297353CC}">
              <c16:uniqueId val="{00000002-1F3B-411C-AF0A-F4BF36DB9DE5}"/>
            </c:ext>
          </c:extLst>
        </c:ser>
        <c:ser>
          <c:idx val="3"/>
          <c:order val="3"/>
          <c:tx>
            <c:strRef>
              <c:f>'Trh práce 1'!$AF$7</c:f>
              <c:strCache>
                <c:ptCount val="1"/>
                <c:pt idx="0">
                  <c:v>Trade, transport, accommod.,food service</c:v>
                </c:pt>
              </c:strCache>
            </c:strRef>
          </c:tx>
          <c:spPr>
            <a:solidFill>
              <a:srgbClr val="FDDEB3"/>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1'!$AF$28:$AF$52</c:f>
              <c:numCache>
                <c:formatCode>#,##0.0</c:formatCode>
                <c:ptCount val="25"/>
                <c:pt idx="0">
                  <c:v>0.22879550024382489</c:v>
                </c:pt>
                <c:pt idx="1">
                  <c:v>0.47330112084625897</c:v>
                </c:pt>
                <c:pt idx="2">
                  <c:v>0.33213712914903176</c:v>
                </c:pt>
                <c:pt idx="3">
                  <c:v>0.17959968299057444</c:v>
                </c:pt>
                <c:pt idx="4">
                  <c:v>8.0583366917820948E-2</c:v>
                </c:pt>
                <c:pt idx="5">
                  <c:v>0.20992754897152985</c:v>
                </c:pt>
                <c:pt idx="6">
                  <c:v>-8.6158327395090793E-3</c:v>
                </c:pt>
                <c:pt idx="7">
                  <c:v>9.5260739725036819E-2</c:v>
                </c:pt>
                <c:pt idx="8">
                  <c:v>0.16015880233389024</c:v>
                </c:pt>
                <c:pt idx="9">
                  <c:v>-9.025834979993895E-3</c:v>
                </c:pt>
                <c:pt idx="10">
                  <c:v>0.34149737055569235</c:v>
                </c:pt>
                <c:pt idx="11">
                  <c:v>0.22106834398785968</c:v>
                </c:pt>
                <c:pt idx="12">
                  <c:v>0.14583136020082346</c:v>
                </c:pt>
                <c:pt idx="13">
                  <c:v>0.38632474852631182</c:v>
                </c:pt>
                <c:pt idx="14">
                  <c:v>0.20625097681409202</c:v>
                </c:pt>
                <c:pt idx="15">
                  <c:v>0.2575234748212693</c:v>
                </c:pt>
                <c:pt idx="16">
                  <c:v>0.39403175997637707</c:v>
                </c:pt>
                <c:pt idx="17">
                  <c:v>4.5764322215464309E-2</c:v>
                </c:pt>
                <c:pt idx="18">
                  <c:v>-7.2257163132816132E-2</c:v>
                </c:pt>
                <c:pt idx="19">
                  <c:v>-0.11883095082430688</c:v>
                </c:pt>
                <c:pt idx="20">
                  <c:v>-0.26494730276074041</c:v>
                </c:pt>
                <c:pt idx="21">
                  <c:v>-0.76201884729923541</c:v>
                </c:pt>
                <c:pt idx="22">
                  <c:v>-0.57071495726133536</c:v>
                </c:pt>
                <c:pt idx="23">
                  <c:v>-1.1510369692443747</c:v>
                </c:pt>
              </c:numCache>
            </c:numRef>
          </c:val>
          <c:extLst>
            <c:ext xmlns:c16="http://schemas.microsoft.com/office/drawing/2014/chart" uri="{C3380CC4-5D6E-409C-BE32-E72D297353CC}">
              <c16:uniqueId val="{00000003-1F3B-411C-AF0A-F4BF36DB9DE5}"/>
            </c:ext>
          </c:extLst>
        </c:ser>
        <c:ser>
          <c:idx val="4"/>
          <c:order val="4"/>
          <c:tx>
            <c:strRef>
              <c:f>'Trh práce 1'!$AG$7</c:f>
              <c:strCache>
                <c:ptCount val="1"/>
                <c:pt idx="0">
                  <c:v>Information and communication</c:v>
                </c:pt>
              </c:strCache>
            </c:strRef>
          </c:tx>
          <c:spPr>
            <a:solidFill>
              <a:srgbClr val="F8A124"/>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1'!$AG$28:$AG$52</c:f>
              <c:numCache>
                <c:formatCode>#,##0.0</c:formatCode>
                <c:ptCount val="25"/>
                <c:pt idx="0">
                  <c:v>7.3874717124669956E-3</c:v>
                </c:pt>
                <c:pt idx="1">
                  <c:v>5.6060947547706408E-2</c:v>
                </c:pt>
                <c:pt idx="2">
                  <c:v>7.3237389552977303E-2</c:v>
                </c:pt>
                <c:pt idx="3">
                  <c:v>0.10393464068853153</c:v>
                </c:pt>
                <c:pt idx="4">
                  <c:v>0.12034144994565989</c:v>
                </c:pt>
                <c:pt idx="5">
                  <c:v>0.11313726215922026</c:v>
                </c:pt>
                <c:pt idx="6">
                  <c:v>0.12927604067983756</c:v>
                </c:pt>
                <c:pt idx="7">
                  <c:v>0.16693713637598337</c:v>
                </c:pt>
                <c:pt idx="8">
                  <c:v>0.13971624972775135</c:v>
                </c:pt>
                <c:pt idx="9">
                  <c:v>0.13821878661994863</c:v>
                </c:pt>
                <c:pt idx="10">
                  <c:v>0.13496598887461</c:v>
                </c:pt>
                <c:pt idx="11">
                  <c:v>0.11698506830016364</c:v>
                </c:pt>
                <c:pt idx="12">
                  <c:v>0.11058328966551791</c:v>
                </c:pt>
                <c:pt idx="13">
                  <c:v>0.13540854835327559</c:v>
                </c:pt>
                <c:pt idx="14">
                  <c:v>0.13011769084595673</c:v>
                </c:pt>
                <c:pt idx="15">
                  <c:v>0.1533068562760779</c:v>
                </c:pt>
                <c:pt idx="16">
                  <c:v>0.14101447318239424</c:v>
                </c:pt>
                <c:pt idx="17">
                  <c:v>7.4984215546272034E-2</c:v>
                </c:pt>
                <c:pt idx="18">
                  <c:v>0.12791770141729253</c:v>
                </c:pt>
                <c:pt idx="19">
                  <c:v>0.14299839791729246</c:v>
                </c:pt>
                <c:pt idx="20">
                  <c:v>0.13885105940325984</c:v>
                </c:pt>
                <c:pt idx="21">
                  <c:v>9.7239508020651039E-2</c:v>
                </c:pt>
                <c:pt idx="22">
                  <c:v>0.10343298747563447</c:v>
                </c:pt>
                <c:pt idx="23">
                  <c:v>8.1141910812593782E-2</c:v>
                </c:pt>
              </c:numCache>
            </c:numRef>
          </c:val>
          <c:extLst>
            <c:ext xmlns:c16="http://schemas.microsoft.com/office/drawing/2014/chart" uri="{C3380CC4-5D6E-409C-BE32-E72D297353CC}">
              <c16:uniqueId val="{00000004-1F3B-411C-AF0A-F4BF36DB9DE5}"/>
            </c:ext>
          </c:extLst>
        </c:ser>
        <c:ser>
          <c:idx val="5"/>
          <c:order val="5"/>
          <c:tx>
            <c:strRef>
              <c:f>'Trh práce 1'!$AH$7</c:f>
              <c:strCache>
                <c:ptCount val="1"/>
                <c:pt idx="0">
                  <c:v>Professional, scientific, technic.,admin. act.</c:v>
                </c:pt>
              </c:strCache>
            </c:strRef>
          </c:tx>
          <c:spPr>
            <a:solidFill>
              <a:srgbClr val="E8C0BE"/>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1'!$AH$28:$AH$52</c:f>
              <c:numCache>
                <c:formatCode>#,##0.0</c:formatCode>
                <c:ptCount val="25"/>
                <c:pt idx="0">
                  <c:v>0.11379850042183202</c:v>
                </c:pt>
                <c:pt idx="1">
                  <c:v>0.11820268366776726</c:v>
                </c:pt>
                <c:pt idx="2">
                  <c:v>0.23129653035669548</c:v>
                </c:pt>
                <c:pt idx="3">
                  <c:v>0.37241784026117603</c:v>
                </c:pt>
                <c:pt idx="4">
                  <c:v>0.26699425205615607</c:v>
                </c:pt>
                <c:pt idx="5">
                  <c:v>0.23716608218519117</c:v>
                </c:pt>
                <c:pt idx="6">
                  <c:v>0.24081927124703897</c:v>
                </c:pt>
                <c:pt idx="7">
                  <c:v>0.25506101535021469</c:v>
                </c:pt>
                <c:pt idx="8">
                  <c:v>0.4253197253437988</c:v>
                </c:pt>
                <c:pt idx="9">
                  <c:v>0.3617364642403027</c:v>
                </c:pt>
                <c:pt idx="10">
                  <c:v>0.29161615885428543</c:v>
                </c:pt>
                <c:pt idx="11">
                  <c:v>0.14112634349596684</c:v>
                </c:pt>
                <c:pt idx="12">
                  <c:v>0.15102819111308005</c:v>
                </c:pt>
                <c:pt idx="13">
                  <c:v>0.15512205414730354</c:v>
                </c:pt>
                <c:pt idx="14">
                  <c:v>7.7586282372714338E-2</c:v>
                </c:pt>
                <c:pt idx="15">
                  <c:v>0.21983484069239514</c:v>
                </c:pt>
                <c:pt idx="16">
                  <c:v>0.20886910918623508</c:v>
                </c:pt>
                <c:pt idx="17">
                  <c:v>0.16389670307116369</c:v>
                </c:pt>
                <c:pt idx="18">
                  <c:v>0.15468645117267918</c:v>
                </c:pt>
                <c:pt idx="19">
                  <c:v>5.7611659863705152E-3</c:v>
                </c:pt>
                <c:pt idx="20">
                  <c:v>-0.24247015575211209</c:v>
                </c:pt>
                <c:pt idx="21">
                  <c:v>-0.40867793231056837</c:v>
                </c:pt>
                <c:pt idx="22">
                  <c:v>-0.60095431811070577</c:v>
                </c:pt>
                <c:pt idx="23">
                  <c:v>-0.38602423842204375</c:v>
                </c:pt>
              </c:numCache>
            </c:numRef>
          </c:val>
          <c:extLst>
            <c:ext xmlns:c16="http://schemas.microsoft.com/office/drawing/2014/chart" uri="{C3380CC4-5D6E-409C-BE32-E72D297353CC}">
              <c16:uniqueId val="{00000005-1F3B-411C-AF0A-F4BF36DB9DE5}"/>
            </c:ext>
          </c:extLst>
        </c:ser>
        <c:ser>
          <c:idx val="6"/>
          <c:order val="6"/>
          <c:tx>
            <c:strRef>
              <c:f>'Trh práce 1'!$AI$7</c:f>
              <c:strCache>
                <c:ptCount val="1"/>
                <c:pt idx="0">
                  <c:v>Public admin, education, health, soc.work</c:v>
                </c:pt>
              </c:strCache>
            </c:strRef>
          </c:tx>
          <c:spPr>
            <a:solidFill>
              <a:srgbClr val="D58D8B"/>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1'!$AI$28:$AI$52</c:f>
              <c:numCache>
                <c:formatCode>#,##0.0</c:formatCode>
                <c:ptCount val="25"/>
                <c:pt idx="0">
                  <c:v>0.25561438026381811</c:v>
                </c:pt>
                <c:pt idx="1">
                  <c:v>0.23618959741845097</c:v>
                </c:pt>
                <c:pt idx="2">
                  <c:v>0.10591974557381781</c:v>
                </c:pt>
                <c:pt idx="3">
                  <c:v>9.8709639055718459E-2</c:v>
                </c:pt>
                <c:pt idx="4">
                  <c:v>0.36242141278378515</c:v>
                </c:pt>
                <c:pt idx="5">
                  <c:v>0.34758527415111612</c:v>
                </c:pt>
                <c:pt idx="6">
                  <c:v>0.42951950059780825</c:v>
                </c:pt>
                <c:pt idx="7">
                  <c:v>0.52568461923790011</c:v>
                </c:pt>
                <c:pt idx="8">
                  <c:v>0.43143338593628888</c:v>
                </c:pt>
                <c:pt idx="9">
                  <c:v>0.47637406936515148</c:v>
                </c:pt>
                <c:pt idx="10">
                  <c:v>0.54554133741649136</c:v>
                </c:pt>
                <c:pt idx="11">
                  <c:v>0.54623885355011015</c:v>
                </c:pt>
                <c:pt idx="12">
                  <c:v>0.39194649373019252</c:v>
                </c:pt>
                <c:pt idx="13">
                  <c:v>0.44662708849321481</c:v>
                </c:pt>
                <c:pt idx="14">
                  <c:v>0.31647379381273566</c:v>
                </c:pt>
                <c:pt idx="15">
                  <c:v>0.28796501123579255</c:v>
                </c:pt>
                <c:pt idx="16">
                  <c:v>0.30898159429086303</c:v>
                </c:pt>
                <c:pt idx="17">
                  <c:v>0.22102841127976061</c:v>
                </c:pt>
                <c:pt idx="18">
                  <c:v>0.30448068256247734</c:v>
                </c:pt>
                <c:pt idx="19">
                  <c:v>0.31027468061421015</c:v>
                </c:pt>
                <c:pt idx="20">
                  <c:v>0.38801106103529076</c:v>
                </c:pt>
                <c:pt idx="21">
                  <c:v>0.28629692987066752</c:v>
                </c:pt>
                <c:pt idx="22">
                  <c:v>0.49787145120553933</c:v>
                </c:pt>
                <c:pt idx="23">
                  <c:v>0.38063201312452954</c:v>
                </c:pt>
              </c:numCache>
            </c:numRef>
          </c:val>
          <c:extLst>
            <c:ext xmlns:c16="http://schemas.microsoft.com/office/drawing/2014/chart" uri="{C3380CC4-5D6E-409C-BE32-E72D297353CC}">
              <c16:uniqueId val="{00000006-1F3B-411C-AF0A-F4BF36DB9DE5}"/>
            </c:ext>
          </c:extLst>
        </c:ser>
        <c:ser>
          <c:idx val="7"/>
          <c:order val="7"/>
          <c:tx>
            <c:strRef>
              <c:f>'Trh práce 1'!$AJ$7</c:f>
              <c:strCache>
                <c:ptCount val="1"/>
                <c:pt idx="0">
                  <c:v>Other branches*</c:v>
                </c:pt>
              </c:strCache>
            </c:strRef>
          </c:tx>
          <c:spPr>
            <a:solidFill>
              <a:schemeClr val="bg1">
                <a:lumMod val="85000"/>
              </a:schemeClr>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1'!$AJ$28:$AJ$52</c:f>
              <c:numCache>
                <c:formatCode>#,##0.0</c:formatCode>
                <c:ptCount val="25"/>
                <c:pt idx="0">
                  <c:v>-4.1849241349879537E-2</c:v>
                </c:pt>
                <c:pt idx="1">
                  <c:v>9.7841849673883707E-2</c:v>
                </c:pt>
                <c:pt idx="2">
                  <c:v>4.8115148164572803E-2</c:v>
                </c:pt>
                <c:pt idx="3">
                  <c:v>-4.5211861143632473E-2</c:v>
                </c:pt>
                <c:pt idx="4">
                  <c:v>0.13066419283038919</c:v>
                </c:pt>
                <c:pt idx="5">
                  <c:v>8.2910779442291055E-2</c:v>
                </c:pt>
                <c:pt idx="6">
                  <c:v>0.10551022017018508</c:v>
                </c:pt>
                <c:pt idx="7">
                  <c:v>0.16861073984045793</c:v>
                </c:pt>
                <c:pt idx="8">
                  <c:v>-5.0552331024152901E-2</c:v>
                </c:pt>
                <c:pt idx="9">
                  <c:v>1.1401054711570741E-3</c:v>
                </c:pt>
                <c:pt idx="10">
                  <c:v>3.7899847185385735E-2</c:v>
                </c:pt>
                <c:pt idx="11">
                  <c:v>4.0443247413313496E-2</c:v>
                </c:pt>
                <c:pt idx="12">
                  <c:v>0.20431453706121822</c:v>
                </c:pt>
                <c:pt idx="13">
                  <c:v>0.21238866413451776</c:v>
                </c:pt>
                <c:pt idx="14">
                  <c:v>3.4275812620838987E-3</c:v>
                </c:pt>
                <c:pt idx="15">
                  <c:v>1.2817489016641342E-2</c:v>
                </c:pt>
                <c:pt idx="16">
                  <c:v>-0.11309724322455375</c:v>
                </c:pt>
                <c:pt idx="17">
                  <c:v>-5.1807276195606156E-2</c:v>
                </c:pt>
                <c:pt idx="18">
                  <c:v>3.8583922061212472E-2</c:v>
                </c:pt>
                <c:pt idx="19">
                  <c:v>4.5481920614445746E-2</c:v>
                </c:pt>
                <c:pt idx="20">
                  <c:v>9.7168173536073502E-2</c:v>
                </c:pt>
                <c:pt idx="21">
                  <c:v>-0.13635511552222562</c:v>
                </c:pt>
                <c:pt idx="22">
                  <c:v>-0.11424987036325199</c:v>
                </c:pt>
                <c:pt idx="23">
                  <c:v>-0.2069543455795945</c:v>
                </c:pt>
              </c:numCache>
            </c:numRef>
          </c:val>
          <c:extLst>
            <c:ext xmlns:c16="http://schemas.microsoft.com/office/drawing/2014/chart" uri="{C3380CC4-5D6E-409C-BE32-E72D297353CC}">
              <c16:uniqueId val="{00000007-1F3B-411C-AF0A-F4BF36DB9DE5}"/>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Total employment</c:v>
                </c:pt>
              </c:strCache>
            </c:strRef>
          </c:tx>
          <c:spPr>
            <a:ln w="22225">
              <a:solidFill>
                <a:schemeClr val="tx1">
                  <a:lumMod val="95000"/>
                  <a:lumOff val="5000"/>
                </a:schemeClr>
              </a:solidFill>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1'!$AK$28:$AK$52</c:f>
              <c:numCache>
                <c:formatCode>#,##0.0</c:formatCode>
                <c:ptCount val="25"/>
                <c:pt idx="0">
                  <c:v>1.2568722152080483</c:v>
                </c:pt>
                <c:pt idx="1">
                  <c:v>1.755209813686605</c:v>
                </c:pt>
                <c:pt idx="2">
                  <c:v>1.3509162976145745</c:v>
                </c:pt>
                <c:pt idx="3">
                  <c:v>1.3487327908819964</c:v>
                </c:pt>
                <c:pt idx="4">
                  <c:v>1.5622074293090975</c:v>
                </c:pt>
                <c:pt idx="5">
                  <c:v>1.4490012923363622</c:v>
                </c:pt>
                <c:pt idx="6">
                  <c:v>1.510931795564602</c:v>
                </c:pt>
                <c:pt idx="7">
                  <c:v>1.8366162892787088</c:v>
                </c:pt>
                <c:pt idx="8">
                  <c:v>1.4663041775407066</c:v>
                </c:pt>
                <c:pt idx="9">
                  <c:v>1.4017976803033889</c:v>
                </c:pt>
                <c:pt idx="10">
                  <c:v>1.9311643076100466</c:v>
                </c:pt>
                <c:pt idx="11">
                  <c:v>1.3946025548949592</c:v>
                </c:pt>
                <c:pt idx="12">
                  <c:v>1.5064596043366407</c:v>
                </c:pt>
                <c:pt idx="13">
                  <c:v>1.7121142303965371</c:v>
                </c:pt>
                <c:pt idx="14">
                  <c:v>0.90434123657819043</c:v>
                </c:pt>
                <c:pt idx="15">
                  <c:v>1.2158357095989061</c:v>
                </c:pt>
                <c:pt idx="16">
                  <c:v>0.93019097240257054</c:v>
                </c:pt>
                <c:pt idx="17">
                  <c:v>0.2467846602560968</c:v>
                </c:pt>
                <c:pt idx="18">
                  <c:v>0.18346747246140183</c:v>
                </c:pt>
                <c:pt idx="19">
                  <c:v>-0.32623292633364542</c:v>
                </c:pt>
                <c:pt idx="20">
                  <c:v>-0.47784613427991474</c:v>
                </c:pt>
                <c:pt idx="21">
                  <c:v>-1.9795501142761793</c:v>
                </c:pt>
                <c:pt idx="22">
                  <c:v>-1.5600819798102066</c:v>
                </c:pt>
                <c:pt idx="23">
                  <c:v>-1.8799661102333403</c:v>
                </c:pt>
              </c:numCache>
            </c:numRef>
          </c:val>
          <c:smooth val="0"/>
          <c:extLst>
            <c:ext xmlns:c16="http://schemas.microsoft.com/office/drawing/2014/chart" uri="{C3380CC4-5D6E-409C-BE32-E72D297353CC}">
              <c16:uniqueId val="{00000008-1F3B-411C-AF0A-F4BF36DB9DE5}"/>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1'!$AL$28:$AL$52</c:f>
              <c:numCache>
                <c:formatCode>General</c:formatCode>
                <c:ptCount val="25"/>
              </c:numCache>
            </c:numRef>
          </c:val>
          <c:smooth val="0"/>
          <c:extLst>
            <c:ext xmlns:c16="http://schemas.microsoft.com/office/drawing/2014/chart" uri="{C3380CC4-5D6E-409C-BE32-E72D297353CC}">
              <c16:uniqueId val="{00000009-1F3B-411C-AF0A-F4BF36DB9DE5}"/>
            </c:ext>
          </c:extLst>
        </c:ser>
        <c:ser>
          <c:idx val="10"/>
          <c:order val="10"/>
          <c:tx>
            <c:strRef>
              <c:f>'Trh práce 1'!$AM$7</c:f>
              <c:strCache>
                <c:ptCount val="1"/>
                <c:pt idx="0">
                  <c:v>Employment expectation (industry)</c:v>
                </c:pt>
              </c:strCache>
            </c:strRef>
          </c:tx>
          <c:spPr>
            <a:ln w="15875">
              <a:solidFill>
                <a:schemeClr val="tx1">
                  <a:lumMod val="95000"/>
                  <a:lumOff val="5000"/>
                </a:schemeClr>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1'!$AM$28:$AM$52</c:f>
              <c:numCache>
                <c:formatCode>General</c:formatCode>
                <c:ptCount val="25"/>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formatCode="#,##0.0">
                  <c:v>-5.9</c:v>
                </c:pt>
                <c:pt idx="24" formatCode="#,##0.0">
                  <c:v>0.1</c:v>
                </c:pt>
              </c:numCache>
            </c:numRef>
          </c:val>
          <c:smooth val="0"/>
          <c:extLst>
            <c:ext xmlns:c16="http://schemas.microsoft.com/office/drawing/2014/chart" uri="{C3380CC4-5D6E-409C-BE32-E72D297353CC}">
              <c16:uniqueId val="{0000000A-1F3B-411C-AF0A-F4BF36DB9DE5}"/>
            </c:ext>
          </c:extLst>
        </c:ser>
        <c:ser>
          <c:idx val="11"/>
          <c:order val="11"/>
          <c:tx>
            <c:strRef>
              <c:f>'Trh práce 1'!$AN$7</c:f>
              <c:strCache>
                <c:ptCount val="1"/>
                <c:pt idx="0">
                  <c:v>Employment expectation (construction)</c:v>
                </c:pt>
              </c:strCache>
            </c:strRef>
          </c:tx>
          <c:spPr>
            <a:ln w="15875">
              <a:solidFill>
                <a:srgbClr val="00B0F0"/>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1'!$AN$28:$AN$52</c:f>
              <c:numCache>
                <c:formatCode>General</c:formatCode>
                <c:ptCount val="25"/>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formatCode="#,##0.0">
                  <c:v>-3.1</c:v>
                </c:pt>
                <c:pt idx="24" formatCode="#,##0.0">
                  <c:v>2.1</c:v>
                </c:pt>
              </c:numCache>
            </c:numRef>
          </c:val>
          <c:smooth val="0"/>
          <c:extLst>
            <c:ext xmlns:c16="http://schemas.microsoft.com/office/drawing/2014/chart" uri="{C3380CC4-5D6E-409C-BE32-E72D297353CC}">
              <c16:uniqueId val="{0000000B-1F3B-411C-AF0A-F4BF36DB9DE5}"/>
            </c:ext>
          </c:extLst>
        </c:ser>
        <c:ser>
          <c:idx val="12"/>
          <c:order val="12"/>
          <c:tx>
            <c:strRef>
              <c:f>'Trh práce 1'!$AO$7</c:f>
              <c:strCache>
                <c:ptCount val="1"/>
                <c:pt idx="0">
                  <c:v>Employment expectation (trade)</c:v>
                </c:pt>
              </c:strCache>
            </c:strRef>
          </c:tx>
          <c:spPr>
            <a:ln w="15875">
              <a:solidFill>
                <a:schemeClr val="accent6">
                  <a:lumMod val="75000"/>
                </a:schemeClr>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1'!$AO$28:$AO$52</c:f>
              <c:numCache>
                <c:formatCode>General</c:formatCode>
                <c:ptCount val="25"/>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formatCode="#,##0.0">
                  <c:v>1.3</c:v>
                </c:pt>
                <c:pt idx="24" formatCode="#,##0.0">
                  <c:v>4.2</c:v>
                </c:pt>
              </c:numCache>
            </c:numRef>
          </c:val>
          <c:smooth val="0"/>
          <c:extLst>
            <c:ext xmlns:c16="http://schemas.microsoft.com/office/drawing/2014/chart" uri="{C3380CC4-5D6E-409C-BE32-E72D297353CC}">
              <c16:uniqueId val="{0000000C-1F3B-411C-AF0A-F4BF36DB9DE5}"/>
            </c:ext>
          </c:extLst>
        </c:ser>
        <c:ser>
          <c:idx val="13"/>
          <c:order val="13"/>
          <c:tx>
            <c:strRef>
              <c:f>'Trh práce 1'!$AP$7</c:f>
              <c:strCache>
                <c:ptCount val="1"/>
                <c:pt idx="0">
                  <c:v>Employment expectation (selected ervices)</c:v>
                </c:pt>
              </c:strCache>
            </c:strRef>
          </c:tx>
          <c:spPr>
            <a:ln w="15875">
              <a:solidFill>
                <a:srgbClr val="C00000"/>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1'!$AP$28:$AP$52</c:f>
              <c:numCache>
                <c:formatCode>General</c:formatCode>
                <c:ptCount val="25"/>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formatCode="#,##0.0">
                  <c:v>-27.3</c:v>
                </c:pt>
                <c:pt idx="24" formatCode="#,##0.0">
                  <c:v>-28</c:v>
                </c:pt>
              </c:numCache>
            </c:numRef>
          </c:val>
          <c:smooth val="0"/>
          <c:extLst>
            <c:ext xmlns:c16="http://schemas.microsoft.com/office/drawing/2014/chart" uri="{C3380CC4-5D6E-409C-BE32-E72D297353CC}">
              <c16:uniqueId val="{0000000D-1F3B-411C-AF0A-F4BF36DB9DE5}"/>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Contribution to the employment growth</a:t>
                </a:r>
                <a:endParaRPr lang="cs-CZ" sz="700">
                  <a:effectLst/>
                </a:endParaRPr>
              </a:p>
            </c:rich>
          </c:tx>
          <c:layout>
            <c:manualLayout>
              <c:xMode val="edge"/>
              <c:yMode val="edge"/>
              <c:x val="0"/>
              <c:y val="0.14009437139360989"/>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i="1">
                    <a:effectLst/>
                  </a:rPr>
                  <a:t>E</a:t>
                </a:r>
                <a:r>
                  <a:rPr lang="en-GB" sz="700" i="1">
                    <a:effectLst/>
                  </a:rPr>
                  <a:t>mployment</a:t>
                </a:r>
                <a:r>
                  <a:rPr lang="cs-CZ" sz="700" i="1">
                    <a:effectLst/>
                  </a:rPr>
                  <a:t> </a:t>
                </a:r>
                <a:r>
                  <a:rPr lang="cs-CZ" sz="700" b="0" i="1" u="none" strike="noStrike" baseline="0">
                    <a:effectLst/>
                  </a:rPr>
                  <a:t>e</a:t>
                </a:r>
                <a:r>
                  <a:rPr lang="en-GB" sz="700" b="0" i="1" u="none" strike="noStrike" baseline="0">
                    <a:effectLst/>
                  </a:rPr>
                  <a:t>xpectations</a:t>
                </a:r>
                <a:endParaRPr lang="cs-CZ" sz="700">
                  <a:effectLst/>
                </a:endParaRPr>
              </a:p>
            </c:rich>
          </c:tx>
          <c:layout>
            <c:manualLayout>
              <c:xMode val="edge"/>
              <c:yMode val="edge"/>
              <c:x val="0.97040343782834393"/>
              <c:y val="0.19420735772001382"/>
            </c:manualLayout>
          </c:layout>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1.7769787283994094E-2"/>
          <c:y val="0.77373500098719084"/>
          <c:w val="0.96005692595618608"/>
          <c:h val="0.21928875432130848"/>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1703714123441684"/>
          <c:h val="0.69215328369473861"/>
        </c:manualLayout>
      </c:layout>
      <c:barChart>
        <c:barDir val="col"/>
        <c:grouping val="clustered"/>
        <c:varyColors val="0"/>
        <c:ser>
          <c:idx val="0"/>
          <c:order val="0"/>
          <c:tx>
            <c:strRef>
              <c:f>'Trh práce-2b'!$A$29</c:f>
              <c:strCache>
                <c:ptCount val="1"/>
                <c:pt idx="0">
                  <c:v>Male unemployment rate (left axis)</c:v>
                </c:pt>
              </c:strCache>
            </c:strRef>
          </c:tx>
          <c:spPr>
            <a:solidFill>
              <a:srgbClr val="BCBCBC"/>
            </a:solidFill>
          </c:spPr>
          <c:invertIfNegative val="0"/>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práce-2b'!$B$29:$Z$29</c:f>
              <c:numCache>
                <c:formatCode>0.0</c:formatCode>
                <c:ptCount val="25"/>
                <c:pt idx="0">
                  <c:v>5.0286804860428278</c:v>
                </c:pt>
                <c:pt idx="1">
                  <c:v>4.316189756466537</c:v>
                </c:pt>
                <c:pt idx="2">
                  <c:v>4.0483559079327902</c:v>
                </c:pt>
                <c:pt idx="3">
                  <c:v>3.7938067129619806</c:v>
                </c:pt>
                <c:pt idx="4">
                  <c:v>3.6581491320606965</c:v>
                </c:pt>
                <c:pt idx="5">
                  <c:v>3.5653416289764519</c:v>
                </c:pt>
                <c:pt idx="6">
                  <c:v>3.3804885792890111</c:v>
                </c:pt>
                <c:pt idx="7">
                  <c:v>3.1582180433962712</c:v>
                </c:pt>
                <c:pt idx="8">
                  <c:v>2.7008048652386436</c:v>
                </c:pt>
                <c:pt idx="9">
                  <c:v>2.4863499145951189</c:v>
                </c:pt>
                <c:pt idx="10">
                  <c:v>2.2428273248500514</c:v>
                </c:pt>
                <c:pt idx="11">
                  <c:v>2.0854185882996998</c:v>
                </c:pt>
                <c:pt idx="12">
                  <c:v>1.9000315854162355</c:v>
                </c:pt>
                <c:pt idx="13">
                  <c:v>1.825963200573766</c:v>
                </c:pt>
                <c:pt idx="14">
                  <c:v>1.8816328699437612</c:v>
                </c:pt>
                <c:pt idx="15">
                  <c:v>1.6834916277315468</c:v>
                </c:pt>
                <c:pt idx="16">
                  <c:v>1.8084001962578264</c:v>
                </c:pt>
                <c:pt idx="17">
                  <c:v>1.6727707429959271</c:v>
                </c:pt>
                <c:pt idx="18">
                  <c:v>1.7588619454428518</c:v>
                </c:pt>
                <c:pt idx="19">
                  <c:v>1.8612935738959582</c:v>
                </c:pt>
                <c:pt idx="20">
                  <c:v>1.8486553661079945</c:v>
                </c:pt>
                <c:pt idx="21">
                  <c:v>2.2738946541465075</c:v>
                </c:pt>
                <c:pt idx="22">
                  <c:v>2.4978108144062401</c:v>
                </c:pt>
                <c:pt idx="23">
                  <c:v>2.5588415507262603</c:v>
                </c:pt>
              </c:numCache>
            </c:numRef>
          </c:val>
          <c:extLst>
            <c:ext xmlns:c16="http://schemas.microsoft.com/office/drawing/2014/chart" uri="{C3380CC4-5D6E-409C-BE32-E72D297353CC}">
              <c16:uniqueId val="{00000000-7C96-4F21-9E1A-A1CC892CB519}"/>
            </c:ext>
          </c:extLst>
        </c:ser>
        <c:ser>
          <c:idx val="1"/>
          <c:order val="1"/>
          <c:tx>
            <c:strRef>
              <c:f>'Trh práce-2b'!$A$30</c:f>
              <c:strCache>
                <c:ptCount val="1"/>
                <c:pt idx="0">
                  <c:v>Female unemployment rate (left axis)</c:v>
                </c:pt>
              </c:strCache>
            </c:strRef>
          </c:tx>
          <c:spPr>
            <a:solidFill>
              <a:schemeClr val="bg1">
                <a:lumMod val="95000"/>
              </a:schemeClr>
            </a:solidFill>
            <a:ln>
              <a:solidFill>
                <a:schemeClr val="bg1">
                  <a:lumMod val="65000"/>
                </a:schemeClr>
              </a:solidFill>
            </a:ln>
          </c:spPr>
          <c:invertIfNegative val="0"/>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práce-2b'!$B$30:$Z$30</c:f>
              <c:numCache>
                <c:formatCode>0.0</c:formatCode>
                <c:ptCount val="25"/>
                <c:pt idx="0">
                  <c:v>6.9464142792555421</c:v>
                </c:pt>
                <c:pt idx="1">
                  <c:v>6.1780480257613553</c:v>
                </c:pt>
                <c:pt idx="2">
                  <c:v>5.9663172944605627</c:v>
                </c:pt>
                <c:pt idx="3">
                  <c:v>5.6518697540759959</c:v>
                </c:pt>
                <c:pt idx="4">
                  <c:v>5.0903150386124132</c:v>
                </c:pt>
                <c:pt idx="5">
                  <c:v>4.8068294324681693</c:v>
                </c:pt>
                <c:pt idx="6">
                  <c:v>4.7737722718859779</c:v>
                </c:pt>
                <c:pt idx="7">
                  <c:v>4.3467086506009425</c:v>
                </c:pt>
                <c:pt idx="8">
                  <c:v>4.2815491287587832</c:v>
                </c:pt>
                <c:pt idx="9">
                  <c:v>3.9220946704954631</c:v>
                </c:pt>
                <c:pt idx="10">
                  <c:v>3.3875401119422448</c:v>
                </c:pt>
                <c:pt idx="11">
                  <c:v>2.9892052270397369</c:v>
                </c:pt>
                <c:pt idx="12">
                  <c:v>2.9423657180632605</c:v>
                </c:pt>
                <c:pt idx="13">
                  <c:v>2.9361315203544063</c:v>
                </c:pt>
                <c:pt idx="14">
                  <c:v>2.8590055663589014</c:v>
                </c:pt>
                <c:pt idx="15">
                  <c:v>2.647035820666332</c:v>
                </c:pt>
                <c:pt idx="16">
                  <c:v>2.2517208267218964</c:v>
                </c:pt>
                <c:pt idx="17">
                  <c:v>2.5021629449511704</c:v>
                </c:pt>
                <c:pt idx="18">
                  <c:v>2.543841804974909</c:v>
                </c:pt>
                <c:pt idx="19">
                  <c:v>2.43984632107458</c:v>
                </c:pt>
                <c:pt idx="20">
                  <c:v>2.0721336765050933</c:v>
                </c:pt>
                <c:pt idx="21">
                  <c:v>2.8192930682979447</c:v>
                </c:pt>
                <c:pt idx="22">
                  <c:v>3.3444461950950886</c:v>
                </c:pt>
                <c:pt idx="23">
                  <c:v>3.8830773318477259</c:v>
                </c:pt>
              </c:numCache>
            </c:numRef>
          </c:val>
          <c:extLst>
            <c:ext xmlns:c16="http://schemas.microsoft.com/office/drawing/2014/chart" uri="{C3380CC4-5D6E-409C-BE32-E72D297353CC}">
              <c16:uniqueId val="{00000001-7C96-4F21-9E1A-A1CC892CB519}"/>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práce-2b'!$A$31</c:f>
              <c:strCache>
                <c:ptCount val="1"/>
                <c:pt idx="0">
                  <c:v>Ratio of unemployed with duration of more than 1 year (right axis)</c:v>
                </c:pt>
              </c:strCache>
            </c:strRef>
          </c:tx>
          <c:spPr>
            <a:ln w="19050">
              <a:solidFill>
                <a:srgbClr val="66330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práce-2b'!$B$31:$Z$31</c:f>
              <c:numCache>
                <c:formatCode>0.0</c:formatCode>
                <c:ptCount val="25"/>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27.049952874646561</c:v>
                </c:pt>
                <c:pt idx="21">
                  <c:v>20.823436262866192</c:v>
                </c:pt>
                <c:pt idx="22">
                  <c:v>20.012995451591941</c:v>
                </c:pt>
                <c:pt idx="23">
                  <c:v>21.521335807050093</c:v>
                </c:pt>
              </c:numCache>
            </c:numRef>
          </c:val>
          <c:smooth val="0"/>
          <c:extLst>
            <c:ext xmlns:c16="http://schemas.microsoft.com/office/drawing/2014/chart" uri="{C3380CC4-5D6E-409C-BE32-E72D297353CC}">
              <c16:uniqueId val="{00000002-7C96-4F21-9E1A-A1CC892CB519}"/>
            </c:ext>
          </c:extLst>
        </c:ser>
        <c:ser>
          <c:idx val="3"/>
          <c:order val="3"/>
          <c:tx>
            <c:strRef>
              <c:f>'Trh práce-2b'!$A$32</c:f>
              <c:strCache>
                <c:ptCount val="1"/>
                <c:pt idx="0">
                  <c:v>Ratio of unemployed aged up to 25 (right axis)</c:v>
                </c:pt>
              </c:strCache>
            </c:strRef>
          </c:tx>
          <c:spPr>
            <a:ln w="19050">
              <a:solidFill>
                <a:srgbClr val="00B05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práce-2b'!$B$32:$Z$32</c:f>
              <c:numCache>
                <c:formatCode>0.0</c:formatCode>
                <c:ptCount val="25"/>
                <c:pt idx="0">
                  <c:v>15.50632911392405</c:v>
                </c:pt>
                <c:pt idx="1">
                  <c:v>15.648854961832063</c:v>
                </c:pt>
                <c:pt idx="2">
                  <c:v>17.509727626459142</c:v>
                </c:pt>
                <c:pt idx="3">
                  <c:v>16.455696202531644</c:v>
                </c:pt>
                <c:pt idx="4">
                  <c:v>13.852813852813853</c:v>
                </c:pt>
                <c:pt idx="5">
                  <c:v>15.238095238095239</c:v>
                </c:pt>
                <c:pt idx="6">
                  <c:v>18.30985915492958</c:v>
                </c:pt>
                <c:pt idx="7">
                  <c:v>18.75</c:v>
                </c:pt>
                <c:pt idx="8">
                  <c:v>14.673913043478262</c:v>
                </c:pt>
                <c:pt idx="9">
                  <c:v>16.352201257861633</c:v>
                </c:pt>
                <c:pt idx="10">
                  <c:v>18.666666666666668</c:v>
                </c:pt>
                <c:pt idx="11">
                  <c:v>14.728682170542637</c:v>
                </c:pt>
                <c:pt idx="12">
                  <c:v>14.615384615384617</c:v>
                </c:pt>
                <c:pt idx="13">
                  <c:v>16.949152542372879</c:v>
                </c:pt>
                <c:pt idx="14">
                  <c:v>18.110236220472441</c:v>
                </c:pt>
                <c:pt idx="15">
                  <c:v>16.216216216216218</c:v>
                </c:pt>
                <c:pt idx="16">
                  <c:v>14.545454545454545</c:v>
                </c:pt>
                <c:pt idx="17">
                  <c:v>15.686274509803921</c:v>
                </c:pt>
                <c:pt idx="18">
                  <c:v>15.65217391304348</c:v>
                </c:pt>
                <c:pt idx="19">
                  <c:v>13.761467889908257</c:v>
                </c:pt>
                <c:pt idx="20">
                  <c:v>13.20754716981132</c:v>
                </c:pt>
                <c:pt idx="21">
                  <c:v>14.285714285714285</c:v>
                </c:pt>
                <c:pt idx="22">
                  <c:v>16.883116883116884</c:v>
                </c:pt>
                <c:pt idx="23">
                  <c:v>15.873015873015875</c:v>
                </c:pt>
              </c:numCache>
            </c:numRef>
          </c:val>
          <c:smooth val="0"/>
          <c:extLst>
            <c:ext xmlns:c16="http://schemas.microsoft.com/office/drawing/2014/chart" uri="{C3380CC4-5D6E-409C-BE32-E72D297353CC}">
              <c16:uniqueId val="{00000003-7C96-4F21-9E1A-A1CC892CB519}"/>
            </c:ext>
          </c:extLst>
        </c:ser>
        <c:ser>
          <c:idx val="6"/>
          <c:order val="4"/>
          <c:tx>
            <c:strRef>
              <c:f>'Trh práce-2b'!$A$33</c:f>
              <c:strCache>
                <c:ptCount val="1"/>
                <c:pt idx="0">
                  <c:v>Ratio of unemployed aged 50+ (right axis)</c:v>
                </c:pt>
              </c:strCache>
            </c:strRef>
          </c:tx>
          <c:spPr>
            <a:ln w="19050">
              <a:solidFill>
                <a:srgbClr val="0070C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práce-2b'!$B$33:$Z$33</c:f>
              <c:numCache>
                <c:formatCode>0.0</c:formatCode>
                <c:ptCount val="25"/>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24.609374999999996</c:v>
                </c:pt>
                <c:pt idx="18">
                  <c:v>26.02262837249782</c:v>
                </c:pt>
                <c:pt idx="19">
                  <c:v>25.596330275229356</c:v>
                </c:pt>
                <c:pt idx="20">
                  <c:v>24.976437323279928</c:v>
                </c:pt>
                <c:pt idx="21">
                  <c:v>21.61520190023753</c:v>
                </c:pt>
                <c:pt idx="22">
                  <c:v>22.157244964262507</c:v>
                </c:pt>
              </c:numCache>
            </c:numRef>
          </c:val>
          <c:smooth val="0"/>
          <c:extLst>
            <c:ext xmlns:c16="http://schemas.microsoft.com/office/drawing/2014/chart" uri="{C3380CC4-5D6E-409C-BE32-E72D297353CC}">
              <c16:uniqueId val="{00000004-7C96-4F21-9E1A-A1CC892CB519}"/>
            </c:ext>
          </c:extLst>
        </c:ser>
        <c:ser>
          <c:idx val="7"/>
          <c:order val="5"/>
          <c:tx>
            <c:strRef>
              <c:f>'Trh práce-2b'!$A$34</c:f>
              <c:strCache>
                <c:ptCount val="1"/>
                <c:pt idx="0">
                  <c:v>Economically inactive seeking employment (right axis)*</c:v>
                </c:pt>
              </c:strCache>
            </c:strRef>
          </c:tx>
          <c:spPr>
            <a:ln w="19050">
              <a:solidFill>
                <a:schemeClr val="accent2">
                  <a:lumMod val="60000"/>
                  <a:lumOff val="40000"/>
                </a:schemeClr>
              </a:solidFill>
              <a:prstDash val="solid"/>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práce-2b'!$B$34:$Z$34</c:f>
              <c:numCache>
                <c:formatCode>General</c:formatCode>
                <c:ptCount val="25"/>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pt idx="23" formatCode="0.0">
                  <c:v>95.7</c:v>
                </c:pt>
              </c:numCache>
            </c:numRef>
          </c:val>
          <c:smooth val="0"/>
          <c:extLst>
            <c:ext xmlns:c16="http://schemas.microsoft.com/office/drawing/2014/chart" uri="{C3380CC4-5D6E-409C-BE32-E72D297353CC}">
              <c16:uniqueId val="{00000005-7C96-4F21-9E1A-A1CC892CB519}"/>
            </c:ext>
          </c:extLst>
        </c:ser>
        <c:ser>
          <c:idx val="4"/>
          <c:order val="6"/>
          <c:tx>
            <c:strRef>
              <c:f>'Trh práce-2b'!$A$35</c:f>
              <c:strCache>
                <c:ptCount val="1"/>
                <c:pt idx="0">
                  <c:v>Balance of unemployment development expectations (right axis)**</c:v>
                </c:pt>
              </c:strCache>
            </c:strRef>
          </c:tx>
          <c:spPr>
            <a:ln w="9525">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práce-2b'!$B$35:$Z$35</c:f>
              <c:numCache>
                <c:formatCode>#,##0.0</c:formatCode>
                <c:ptCount val="25"/>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59.5</c:v>
                </c:pt>
                <c:pt idx="24">
                  <c:v>51.5</c:v>
                </c:pt>
              </c:numCache>
            </c:numRef>
          </c:val>
          <c:smooth val="0"/>
          <c:extLst>
            <c:ext xmlns:c16="http://schemas.microsoft.com/office/drawing/2014/chart" uri="{C3380CC4-5D6E-409C-BE32-E72D297353CC}">
              <c16:uniqueId val="{00000006-7C96-4F21-9E1A-A1CC892CB519}"/>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Unemployment rate</a:t>
                </a:r>
                <a:endParaRPr lang="cs-CZ" sz="700">
                  <a:effectLst/>
                </a:endParaRP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en-GB" sz="700" b="0" i="1" u="none" strike="noStrike" baseline="0">
                    <a:effectLst/>
                  </a:rPr>
                  <a:t>Number of ec. inactive, Selected groups of unemployed, </a:t>
                </a:r>
                <a:endParaRPr lang="cs-CZ" sz="700" b="0" i="1" u="none" strike="noStrike" baseline="0">
                  <a:effectLst/>
                </a:endParaRPr>
              </a:p>
              <a:p>
                <a:pPr>
                  <a:defRPr sz="700" b="0" i="1"/>
                </a:pPr>
                <a:r>
                  <a:rPr lang="en-GB" sz="700" b="0" i="1" u="none" strike="noStrike" baseline="0">
                    <a:effectLst/>
                  </a:rPr>
                  <a:t>Unemployment expectations</a:t>
                </a:r>
                <a:endParaRPr lang="cs-CZ" sz="700" b="0" i="1"/>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9499396614909165E-2"/>
          <c:y val="0.79067295802844506"/>
          <c:w val="0.82041377092942469"/>
          <c:h val="0.20562903804257643"/>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Wage, total (real)</c:v>
                </c:pt>
              </c:strCache>
            </c:strRef>
          </c:tx>
          <c:spPr>
            <a:solidFill>
              <a:srgbClr val="DBDBDB"/>
            </a:solidFill>
            <a:ln w="19050">
              <a:noFill/>
            </a:ln>
          </c:spPr>
          <c:invertIfNegative val="0"/>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3'!$D$29:$D$52</c:f>
              <c:numCache>
                <c:formatCode>#,##0.0</c:formatCode>
                <c:ptCount val="24"/>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3.9000000000000057</c:v>
                </c:pt>
                <c:pt idx="17">
                  <c:v>3.7000000000000028</c:v>
                </c:pt>
                <c:pt idx="18">
                  <c:v>3.4000000000000057</c:v>
                </c:pt>
                <c:pt idx="19">
                  <c:v>3.0999999999999943</c:v>
                </c:pt>
                <c:pt idx="20">
                  <c:v>1.5</c:v>
                </c:pt>
                <c:pt idx="21">
                  <c:v>-2.2999999999999972</c:v>
                </c:pt>
                <c:pt idx="22" formatCode="0.0">
                  <c:v>1.7999999999999972</c:v>
                </c:pt>
                <c:pt idx="23" formatCode="0.0">
                  <c:v>3.7999999999999972</c:v>
                </c:pt>
              </c:numCache>
            </c:numRef>
          </c:val>
          <c:extLst>
            <c:ext xmlns:c16="http://schemas.microsoft.com/office/drawing/2014/chart" uri="{C3380CC4-5D6E-409C-BE32-E72D297353CC}">
              <c16:uniqueId val="{00000000-C7C0-4685-8952-837BB2CEF270}"/>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Wage, total (nominal)</c:v>
                </c:pt>
              </c:strCache>
            </c:strRef>
          </c:tx>
          <c:spPr>
            <a:ln w="19050">
              <a:solidFill>
                <a:schemeClr val="tx1">
                  <a:lumMod val="95000"/>
                  <a:lumOff val="5000"/>
                </a:schemeClr>
              </a:solidFill>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3'!$C$29:$C$52</c:f>
              <c:numCache>
                <c:formatCode>0.0</c:formatCode>
                <c:ptCount val="24"/>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6.7000000000000028</c:v>
                </c:pt>
                <c:pt idx="17">
                  <c:v>6.5999999999999943</c:v>
                </c:pt>
                <c:pt idx="18">
                  <c:v>6.2999999999999972</c:v>
                </c:pt>
                <c:pt idx="19">
                  <c:v>6.2000000000000028</c:v>
                </c:pt>
                <c:pt idx="20">
                  <c:v>5.2000000000000028</c:v>
                </c:pt>
                <c:pt idx="21">
                  <c:v>0.70000000000000284</c:v>
                </c:pt>
                <c:pt idx="22">
                  <c:v>5.2000000000000028</c:v>
                </c:pt>
                <c:pt idx="23">
                  <c:v>6.5</c:v>
                </c:pt>
              </c:numCache>
            </c:numRef>
          </c:val>
          <c:smooth val="0"/>
          <c:extLst>
            <c:ext xmlns:c16="http://schemas.microsoft.com/office/drawing/2014/chart" uri="{C3380CC4-5D6E-409C-BE32-E72D297353CC}">
              <c16:uniqueId val="{00000001-C7C0-4685-8952-837BB2CEF270}"/>
            </c:ext>
          </c:extLst>
        </c:ser>
        <c:ser>
          <c:idx val="5"/>
          <c:order val="2"/>
          <c:tx>
            <c:strRef>
              <c:f>'Trh práce 3'!$E$8</c:f>
              <c:strCache>
                <c:ptCount val="1"/>
                <c:pt idx="0">
                  <c:v>Wage in industry (nominal)</c:v>
                </c:pt>
              </c:strCache>
            </c:strRef>
          </c:tx>
          <c:spPr>
            <a:ln w="9525">
              <a:solidFill>
                <a:srgbClr val="C0000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3'!$E$29:$E$52</c:f>
              <c:numCache>
                <c:formatCode>0.0</c:formatCode>
                <c:ptCount val="24"/>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5.8906444633842483</c:v>
                </c:pt>
                <c:pt idx="17">
                  <c:v>5.883790554163852</c:v>
                </c:pt>
                <c:pt idx="18">
                  <c:v>5.5271271016749779</c:v>
                </c:pt>
                <c:pt idx="19">
                  <c:v>4.4163668801731433</c:v>
                </c:pt>
                <c:pt idx="20">
                  <c:v>4.4918428628919855</c:v>
                </c:pt>
                <c:pt idx="21">
                  <c:v>-3.8517022504327798</c:v>
                </c:pt>
                <c:pt idx="22">
                  <c:v>2.5781579422926342</c:v>
                </c:pt>
                <c:pt idx="23" formatCode="#,##0.0">
                  <c:v>3.6413545839052261</c:v>
                </c:pt>
              </c:numCache>
            </c:numRef>
          </c:val>
          <c:smooth val="0"/>
          <c:extLst>
            <c:ext xmlns:c16="http://schemas.microsoft.com/office/drawing/2014/chart" uri="{C3380CC4-5D6E-409C-BE32-E72D297353CC}">
              <c16:uniqueId val="{00000002-C7C0-4685-8952-837BB2CEF270}"/>
            </c:ext>
          </c:extLst>
        </c:ser>
        <c:ser>
          <c:idx val="1"/>
          <c:order val="3"/>
          <c:tx>
            <c:strRef>
              <c:f>'Trh práce 3'!$F$8</c:f>
              <c:strCache>
                <c:ptCount val="1"/>
                <c:pt idx="0">
                  <c:v>Wage in trade (nominal)</c:v>
                </c:pt>
              </c:strCache>
            </c:strRef>
          </c:tx>
          <c:spPr>
            <a:ln w="9525">
              <a:solidFill>
                <a:srgbClr val="0070C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3'!$F$29:$F$52</c:f>
              <c:numCache>
                <c:formatCode>0.0</c:formatCode>
                <c:ptCount val="24"/>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7.819417814188597</c:v>
                </c:pt>
                <c:pt idx="17">
                  <c:v>5.5341966815054491</c:v>
                </c:pt>
                <c:pt idx="18">
                  <c:v>6.4442351674963021</c:v>
                </c:pt>
                <c:pt idx="19">
                  <c:v>4.3541090726313172</c:v>
                </c:pt>
                <c:pt idx="20">
                  <c:v>4.2324107604759291</c:v>
                </c:pt>
                <c:pt idx="21">
                  <c:v>-0.76374908126418006</c:v>
                </c:pt>
                <c:pt idx="22">
                  <c:v>2.7711071789686486</c:v>
                </c:pt>
                <c:pt idx="23">
                  <c:v>0.50273947859594159</c:v>
                </c:pt>
              </c:numCache>
            </c:numRef>
          </c:val>
          <c:smooth val="0"/>
          <c:extLst>
            <c:ext xmlns:c16="http://schemas.microsoft.com/office/drawing/2014/chart" uri="{C3380CC4-5D6E-409C-BE32-E72D297353CC}">
              <c16:uniqueId val="{00000003-C7C0-4685-8952-837BB2CEF270}"/>
            </c:ext>
          </c:extLst>
        </c:ser>
        <c:ser>
          <c:idx val="2"/>
          <c:order val="4"/>
          <c:tx>
            <c:strRef>
              <c:f>'Trh práce 3'!$G$8</c:f>
              <c:strCache>
                <c:ptCount val="1"/>
                <c:pt idx="0">
                  <c:v>Wage in public services (nominal)*</c:v>
                </c:pt>
              </c:strCache>
            </c:strRef>
          </c:tx>
          <c:spPr>
            <a:ln w="9525">
              <a:solidFill>
                <a:srgbClr val="00B05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3'!$G$29:$G$52</c:f>
              <c:numCache>
                <c:formatCode>0.0</c:formatCode>
                <c:ptCount val="24"/>
                <c:pt idx="0">
                  <c:v>3.2969862362055835</c:v>
                </c:pt>
                <c:pt idx="1">
                  <c:v>4.3911756253133944</c:v>
                </c:pt>
                <c:pt idx="2">
                  <c:v>3.8219222561767907</c:v>
                </c:pt>
                <c:pt idx="3">
                  <c:v>3.619515486346188</c:v>
                </c:pt>
                <c:pt idx="4">
                  <c:v>4.5289177350120013</c:v>
                </c:pt>
                <c:pt idx="5">
                  <c:v>3.6719023287164134</c:v>
                </c:pt>
                <c:pt idx="6">
                  <c:v>4.7653279531701003</c:v>
                </c:pt>
                <c:pt idx="7">
                  <c:v>6.0966410162312883</c:v>
                </c:pt>
                <c:pt idx="8">
                  <c:v>5.5247766356738168</c:v>
                </c:pt>
                <c:pt idx="9">
                  <c:v>7.3063245418352665</c:v>
                </c:pt>
                <c:pt idx="10">
                  <c:v>7.9641633982088251</c:v>
                </c:pt>
                <c:pt idx="11">
                  <c:v>10.355070231119569</c:v>
                </c:pt>
                <c:pt idx="12">
                  <c:v>12.053862599189841</c:v>
                </c:pt>
                <c:pt idx="13">
                  <c:v>11.764894122513709</c:v>
                </c:pt>
                <c:pt idx="14">
                  <c:v>11.368398747819299</c:v>
                </c:pt>
                <c:pt idx="15">
                  <c:v>6.0821398053785032</c:v>
                </c:pt>
                <c:pt idx="16">
                  <c:v>7.8518279760411787</c:v>
                </c:pt>
                <c:pt idx="17">
                  <c:v>8.194498985588865</c:v>
                </c:pt>
                <c:pt idx="18">
                  <c:v>7.1812776904979643</c:v>
                </c:pt>
                <c:pt idx="19">
                  <c:v>10.074376758144311</c:v>
                </c:pt>
                <c:pt idx="20">
                  <c:v>5.4989356032211703</c:v>
                </c:pt>
                <c:pt idx="21">
                  <c:v>5.3862795833745167</c:v>
                </c:pt>
                <c:pt idx="22">
                  <c:v>8.9263995666425018</c:v>
                </c:pt>
                <c:pt idx="23" formatCode="#,##0.0">
                  <c:v>14.527315278329837</c:v>
                </c:pt>
              </c:numCache>
            </c:numRef>
          </c:val>
          <c:smooth val="0"/>
          <c:extLst>
            <c:ext xmlns:c16="http://schemas.microsoft.com/office/drawing/2014/chart" uri="{C3380CC4-5D6E-409C-BE32-E72D297353CC}">
              <c16:uniqueId val="{00000004-C7C0-4685-8952-837BB2CEF270}"/>
            </c:ext>
          </c:extLst>
        </c:ser>
        <c:ser>
          <c:idx val="3"/>
          <c:order val="5"/>
          <c:tx>
            <c:strRef>
              <c:f>'Trh práce 3'!$H$8</c:f>
              <c:strCache>
                <c:ptCount val="1"/>
                <c:pt idx="0">
                  <c:v>Total median wage (nominal)</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3'!$H$29:$H$52</c:f>
              <c:numCache>
                <c:formatCode>0.0</c:formatCode>
                <c:ptCount val="24"/>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7.0999999999999943</c:v>
                </c:pt>
                <c:pt idx="17">
                  <c:v>6.5999999999999943</c:v>
                </c:pt>
                <c:pt idx="18">
                  <c:v>7.2000000000000028</c:v>
                </c:pt>
                <c:pt idx="19">
                  <c:v>6.5</c:v>
                </c:pt>
                <c:pt idx="20">
                  <c:v>6</c:v>
                </c:pt>
                <c:pt idx="21">
                  <c:v>0</c:v>
                </c:pt>
                <c:pt idx="22">
                  <c:v>5.2000000000000028</c:v>
                </c:pt>
                <c:pt idx="23" formatCode="#,##0.0">
                  <c:v>5.4000000000000057</c:v>
                </c:pt>
              </c:numCache>
            </c:numRef>
          </c:val>
          <c:smooth val="0"/>
          <c:extLst>
            <c:ext xmlns:c16="http://schemas.microsoft.com/office/drawing/2014/chart" uri="{C3380CC4-5D6E-409C-BE32-E72D297353CC}">
              <c16:uniqueId val="{00000005-C7C0-4685-8952-837BB2CEF270}"/>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6"/>
          <c:min val="-4"/>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4.4585535014236267E-2"/>
          <c:y val="0.87578174603174608"/>
          <c:w val="0.94198822026318074"/>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'Měnové podmínky 1'!$C$5</c:f>
              <c:strCache>
                <c:ptCount val="1"/>
                <c:pt idx="0">
                  <c:v>2W repo rate</c:v>
                </c:pt>
              </c:strCache>
            </c:strRef>
          </c:tx>
          <c:spPr>
            <a:solidFill>
              <a:schemeClr val="bg1">
                <a:lumMod val="65000"/>
              </a:schemeClr>
            </a:solidFill>
          </c:spPr>
          <c:invertIfNegative val="0"/>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1'!$C$42:$C$113</c:f>
              <c:numCache>
                <c:formatCode>0.00</c:formatCode>
                <c:ptCount val="72"/>
                <c:pt idx="0">
                  <c:v>0.05</c:v>
                </c:pt>
                <c:pt idx="1">
                  <c:v>0.05</c:v>
                </c:pt>
                <c:pt idx="2">
                  <c:v>0.05</c:v>
                </c:pt>
                <c:pt idx="3">
                  <c:v>0.05</c:v>
                </c:pt>
                <c:pt idx="4">
                  <c:v>0.05</c:v>
                </c:pt>
                <c:pt idx="5">
                  <c:v>0.05</c:v>
                </c:pt>
                <c:pt idx="6">
                  <c:v>0.05</c:v>
                </c:pt>
                <c:pt idx="7">
                  <c:v>0.05</c:v>
                </c:pt>
                <c:pt idx="8">
                  <c:v>0.05</c:v>
                </c:pt>
                <c:pt idx="9">
                  <c:v>0.05</c:v>
                </c:pt>
                <c:pt idx="10">
                  <c:v>0.05</c:v>
                </c:pt>
                <c:pt idx="11">
                  <c:v>0.05</c:v>
                </c:pt>
                <c:pt idx="12" formatCode="General">
                  <c:v>0.05</c:v>
                </c:pt>
                <c:pt idx="13" formatCode="General">
                  <c:v>0.05</c:v>
                </c:pt>
                <c:pt idx="14" formatCode="General">
                  <c:v>0.05</c:v>
                </c:pt>
                <c:pt idx="15" formatCode="General">
                  <c:v>0.05</c:v>
                </c:pt>
                <c:pt idx="16" formatCode="General">
                  <c:v>0.05</c:v>
                </c:pt>
                <c:pt idx="17" formatCode="General">
                  <c:v>0.05</c:v>
                </c:pt>
                <c:pt idx="18" formatCode="General">
                  <c:v>0.05</c:v>
                </c:pt>
                <c:pt idx="19" formatCode="General">
                  <c:v>0.05</c:v>
                </c:pt>
                <c:pt idx="20" formatCode="General">
                  <c:v>0.05</c:v>
                </c:pt>
                <c:pt idx="21" formatCode="General">
                  <c:v>0.05</c:v>
                </c:pt>
                <c:pt idx="22" formatCode="General">
                  <c:v>0.05</c:v>
                </c:pt>
                <c:pt idx="23" formatCode="General">
                  <c:v>0.05</c:v>
                </c:pt>
                <c:pt idx="24" formatCode="General">
                  <c:v>0.05</c:v>
                </c:pt>
                <c:pt idx="25" formatCode="General">
                  <c:v>0.05</c:v>
                </c:pt>
                <c:pt idx="26" formatCode="General">
                  <c:v>0.05</c:v>
                </c:pt>
                <c:pt idx="27" formatCode="General">
                  <c:v>0.05</c:v>
                </c:pt>
                <c:pt idx="28" formatCode="General">
                  <c:v>0.05</c:v>
                </c:pt>
                <c:pt idx="29" formatCode="General">
                  <c:v>0.05</c:v>
                </c:pt>
                <c:pt idx="30" formatCode="General">
                  <c:v>0.05</c:v>
                </c:pt>
                <c:pt idx="31" formatCode="General">
                  <c:v>0.25</c:v>
                </c:pt>
                <c:pt idx="32" formatCode="General">
                  <c:v>0.25</c:v>
                </c:pt>
                <c:pt idx="33" formatCode="General">
                  <c:v>0.25</c:v>
                </c:pt>
                <c:pt idx="34" formatCode="General">
                  <c:v>0.5</c:v>
                </c:pt>
                <c:pt idx="35" formatCode="General">
                  <c:v>0.5</c:v>
                </c:pt>
                <c:pt idx="36" formatCode="General">
                  <c:v>0.5</c:v>
                </c:pt>
                <c:pt idx="37" formatCode="General">
                  <c:v>0.75</c:v>
                </c:pt>
                <c:pt idx="38" formatCode="General">
                  <c:v>0.75</c:v>
                </c:pt>
                <c:pt idx="39" formatCode="General">
                  <c:v>0.75</c:v>
                </c:pt>
                <c:pt idx="40" formatCode="General">
                  <c:v>0.75</c:v>
                </c:pt>
                <c:pt idx="41" formatCode="General">
                  <c:v>1</c:v>
                </c:pt>
                <c:pt idx="42" formatCode="General">
                  <c:v>1</c:v>
                </c:pt>
                <c:pt idx="43" formatCode="General">
                  <c:v>1.25</c:v>
                </c:pt>
                <c:pt idx="44" formatCode="General">
                  <c:v>1.5</c:v>
                </c:pt>
                <c:pt idx="45" formatCode="General">
                  <c:v>1.5</c:v>
                </c:pt>
                <c:pt idx="46" formatCode="General">
                  <c:v>1.75</c:v>
                </c:pt>
                <c:pt idx="47" formatCode="General">
                  <c:v>1.75</c:v>
                </c:pt>
                <c:pt idx="48" formatCode="General">
                  <c:v>1.75</c:v>
                </c:pt>
                <c:pt idx="49" formatCode="General">
                  <c:v>1.75</c:v>
                </c:pt>
                <c:pt idx="50" formatCode="General">
                  <c:v>1.75</c:v>
                </c:pt>
                <c:pt idx="51" formatCode="General">
                  <c:v>1.75</c:v>
                </c:pt>
                <c:pt idx="52" formatCode="General">
                  <c:v>2</c:v>
                </c:pt>
                <c:pt idx="53" formatCode="General">
                  <c:v>2</c:v>
                </c:pt>
                <c:pt idx="54" formatCode="General">
                  <c:v>2</c:v>
                </c:pt>
                <c:pt idx="55" formatCode="General">
                  <c:v>2</c:v>
                </c:pt>
                <c:pt idx="56" formatCode="General">
                  <c:v>2</c:v>
                </c:pt>
                <c:pt idx="57" formatCode="General">
                  <c:v>2</c:v>
                </c:pt>
                <c:pt idx="58" formatCode="General">
                  <c:v>2</c:v>
                </c:pt>
                <c:pt idx="59" formatCode="General">
                  <c:v>2</c:v>
                </c:pt>
                <c:pt idx="60" formatCode="General">
                  <c:v>2</c:v>
                </c:pt>
                <c:pt idx="61" formatCode="General">
                  <c:v>2.25</c:v>
                </c:pt>
                <c:pt idx="62" formatCode="General">
                  <c:v>1</c:v>
                </c:pt>
                <c:pt idx="63" formatCode="General">
                  <c:v>1</c:v>
                </c:pt>
                <c:pt idx="64" formatCode="General">
                  <c:v>0.25</c:v>
                </c:pt>
                <c:pt idx="65" formatCode="General">
                  <c:v>0.25</c:v>
                </c:pt>
                <c:pt idx="66" formatCode="General">
                  <c:v>0.25</c:v>
                </c:pt>
                <c:pt idx="67" formatCode="General">
                  <c:v>0.25</c:v>
                </c:pt>
                <c:pt idx="68" formatCode="General">
                  <c:v>0.25</c:v>
                </c:pt>
                <c:pt idx="69" formatCode="General">
                  <c:v>0.25</c:v>
                </c:pt>
                <c:pt idx="70" formatCode="General">
                  <c:v>0.25</c:v>
                </c:pt>
                <c:pt idx="71" formatCode="General">
                  <c:v>0.25</c:v>
                </c:pt>
              </c:numCache>
            </c:numRef>
          </c:val>
          <c:extLst>
            <c:ext xmlns:c16="http://schemas.microsoft.com/office/drawing/2014/chart" uri="{C3380CC4-5D6E-409C-BE32-E72D297353CC}">
              <c16:uniqueId val="{00000000-E8D5-401A-9DB2-C88E153869ED}"/>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1'!$F$42:$F$113</c:f>
              <c:numCache>
                <c:formatCode>General</c:formatCode>
                <c:ptCount val="72"/>
                <c:pt idx="0">
                  <c:v>0.09</c:v>
                </c:pt>
                <c:pt idx="1">
                  <c:v>0.06</c:v>
                </c:pt>
                <c:pt idx="2">
                  <c:v>0.04</c:v>
                </c:pt>
                <c:pt idx="3">
                  <c:v>-0.03</c:v>
                </c:pt>
                <c:pt idx="4">
                  <c:v>0.04</c:v>
                </c:pt>
                <c:pt idx="5">
                  <c:v>0.11</c:v>
                </c:pt>
                <c:pt idx="6">
                  <c:v>0.02</c:v>
                </c:pt>
                <c:pt idx="7">
                  <c:v>-7.0000000000000007E-2</c:v>
                </c:pt>
                <c:pt idx="8">
                  <c:v>-0.3</c:v>
                </c:pt>
                <c:pt idx="9">
                  <c:v>-0.28000000000000003</c:v>
                </c:pt>
                <c:pt idx="10">
                  <c:v>-0.33</c:v>
                </c:pt>
                <c:pt idx="11">
                  <c:v>-0.38</c:v>
                </c:pt>
                <c:pt idx="12">
                  <c:v>-0.21</c:v>
                </c:pt>
                <c:pt idx="13">
                  <c:v>-0.18</c:v>
                </c:pt>
                <c:pt idx="14">
                  <c:v>-0.17</c:v>
                </c:pt>
                <c:pt idx="15">
                  <c:v>-0.08</c:v>
                </c:pt>
                <c:pt idx="16">
                  <c:v>-0.04</c:v>
                </c:pt>
                <c:pt idx="17">
                  <c:v>-0.05</c:v>
                </c:pt>
                <c:pt idx="18">
                  <c:v>-0.13</c:v>
                </c:pt>
                <c:pt idx="19">
                  <c:v>-0.22</c:v>
                </c:pt>
                <c:pt idx="20">
                  <c:v>-0.5</c:v>
                </c:pt>
                <c:pt idx="21">
                  <c:v>-0.74</c:v>
                </c:pt>
                <c:pt idx="22">
                  <c:v>-0.73</c:v>
                </c:pt>
                <c:pt idx="23">
                  <c:v>-0.81</c:v>
                </c:pt>
                <c:pt idx="24">
                  <c:v>-0.88</c:v>
                </c:pt>
                <c:pt idx="25">
                  <c:v>-0.53</c:v>
                </c:pt>
                <c:pt idx="26">
                  <c:v>-0.44</c:v>
                </c:pt>
                <c:pt idx="27">
                  <c:v>-0.23</c:v>
                </c:pt>
                <c:pt idx="28">
                  <c:v>-0.24</c:v>
                </c:pt>
                <c:pt idx="29">
                  <c:v>-0.25</c:v>
                </c:pt>
                <c:pt idx="30">
                  <c:v>-0.28999999999999998</c:v>
                </c:pt>
                <c:pt idx="31">
                  <c:v>-0.33</c:v>
                </c:pt>
                <c:pt idx="32">
                  <c:v>-0.28999999999999998</c:v>
                </c:pt>
                <c:pt idx="33">
                  <c:v>0.12</c:v>
                </c:pt>
                <c:pt idx="34">
                  <c:v>0.31</c:v>
                </c:pt>
                <c:pt idx="35">
                  <c:v>0.19</c:v>
                </c:pt>
                <c:pt idx="36">
                  <c:v>0.46</c:v>
                </c:pt>
                <c:pt idx="37">
                  <c:v>0.55000000000000004</c:v>
                </c:pt>
                <c:pt idx="38">
                  <c:v>0.62</c:v>
                </c:pt>
                <c:pt idx="39">
                  <c:v>0.6</c:v>
                </c:pt>
                <c:pt idx="40">
                  <c:v>0.7</c:v>
                </c:pt>
                <c:pt idx="41">
                  <c:v>0.89</c:v>
                </c:pt>
                <c:pt idx="42">
                  <c:v>1.0900000000000001</c:v>
                </c:pt>
                <c:pt idx="43">
                  <c:v>1.26</c:v>
                </c:pt>
                <c:pt idx="44">
                  <c:v>1.34</c:v>
                </c:pt>
                <c:pt idx="45">
                  <c:v>1.44</c:v>
                </c:pt>
                <c:pt idx="46">
                  <c:v>1.49</c:v>
                </c:pt>
                <c:pt idx="47">
                  <c:v>1.52</c:v>
                </c:pt>
                <c:pt idx="48">
                  <c:v>1.66</c:v>
                </c:pt>
                <c:pt idx="49">
                  <c:v>1.74</c:v>
                </c:pt>
                <c:pt idx="50">
                  <c:v>1.71</c:v>
                </c:pt>
                <c:pt idx="51">
                  <c:v>1.63</c:v>
                </c:pt>
                <c:pt idx="52">
                  <c:v>1.62</c:v>
                </c:pt>
                <c:pt idx="53">
                  <c:v>1.52</c:v>
                </c:pt>
                <c:pt idx="54">
                  <c:v>1.35</c:v>
                </c:pt>
                <c:pt idx="55">
                  <c:v>0.85</c:v>
                </c:pt>
                <c:pt idx="56">
                  <c:v>1.07</c:v>
                </c:pt>
                <c:pt idx="57">
                  <c:v>1.17</c:v>
                </c:pt>
                <c:pt idx="58">
                  <c:v>1.33</c:v>
                </c:pt>
                <c:pt idx="59">
                  <c:v>1.36</c:v>
                </c:pt>
                <c:pt idx="60">
                  <c:v>1.55</c:v>
                </c:pt>
                <c:pt idx="61">
                  <c:v>1.57</c:v>
                </c:pt>
                <c:pt idx="62">
                  <c:v>1.27</c:v>
                </c:pt>
                <c:pt idx="63">
                  <c:v>0.71</c:v>
                </c:pt>
                <c:pt idx="64">
                  <c:v>0.13</c:v>
                </c:pt>
                <c:pt idx="65">
                  <c:v>0.08</c:v>
                </c:pt>
                <c:pt idx="66">
                  <c:v>0.02</c:v>
                </c:pt>
                <c:pt idx="67">
                  <c:v>0.04</c:v>
                </c:pt>
                <c:pt idx="68">
                  <c:v>0.05</c:v>
                </c:pt>
                <c:pt idx="69">
                  <c:v>0</c:v>
                </c:pt>
                <c:pt idx="70">
                  <c:v>0.06</c:v>
                </c:pt>
                <c:pt idx="71">
                  <c:v>0.16</c:v>
                </c:pt>
              </c:numCache>
            </c:numRef>
          </c:val>
          <c:smooth val="0"/>
          <c:extLst>
            <c:ext xmlns:c16="http://schemas.microsoft.com/office/drawing/2014/chart" uri="{C3380CC4-5D6E-409C-BE32-E72D297353CC}">
              <c16:uniqueId val="{00000001-E8D5-401A-9DB2-C88E153869ED}"/>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1'!$D$42:$D$113</c:f>
              <c:numCache>
                <c:formatCode>General</c:formatCode>
                <c:ptCount val="72"/>
                <c:pt idx="0">
                  <c:v>0.33</c:v>
                </c:pt>
                <c:pt idx="1">
                  <c:v>0.33</c:v>
                </c:pt>
                <c:pt idx="2">
                  <c:v>0.32</c:v>
                </c:pt>
                <c:pt idx="3">
                  <c:v>0.31</c:v>
                </c:pt>
                <c:pt idx="4">
                  <c:v>0.31</c:v>
                </c:pt>
                <c:pt idx="5">
                  <c:v>0.31</c:v>
                </c:pt>
                <c:pt idx="6">
                  <c:v>0.31</c:v>
                </c:pt>
                <c:pt idx="7">
                  <c:v>0.31</c:v>
                </c:pt>
                <c:pt idx="8">
                  <c:v>0.3</c:v>
                </c:pt>
                <c:pt idx="9">
                  <c:v>0.28999999999999998</c:v>
                </c:pt>
                <c:pt idx="10">
                  <c:v>0.28999999999999998</c:v>
                </c:pt>
                <c:pt idx="11">
                  <c:v>0.28999999999999998</c:v>
                </c:pt>
                <c:pt idx="12">
                  <c:v>0.28999999999999998</c:v>
                </c:pt>
                <c:pt idx="13">
                  <c:v>0.28000000000000003</c:v>
                </c:pt>
                <c:pt idx="14">
                  <c:v>0.28999999999999998</c:v>
                </c:pt>
                <c:pt idx="15">
                  <c:v>0.28999999999999998</c:v>
                </c:pt>
                <c:pt idx="16">
                  <c:v>0.28999999999999998</c:v>
                </c:pt>
                <c:pt idx="17">
                  <c:v>0.28999999999999998</c:v>
                </c:pt>
                <c:pt idx="18">
                  <c:v>0.28999999999999998</c:v>
                </c:pt>
                <c:pt idx="19">
                  <c:v>0.28999999999999998</c:v>
                </c:pt>
                <c:pt idx="20">
                  <c:v>0.28999999999999998</c:v>
                </c:pt>
                <c:pt idx="21">
                  <c:v>0.28999999999999998</c:v>
                </c:pt>
                <c:pt idx="22">
                  <c:v>0.28999999999999998</c:v>
                </c:pt>
                <c:pt idx="23">
                  <c:v>0.28999999999999998</c:v>
                </c:pt>
                <c:pt idx="24">
                  <c:v>0.28000000000000003</c:v>
                </c:pt>
                <c:pt idx="25">
                  <c:v>0.28000000000000003</c:v>
                </c:pt>
                <c:pt idx="26">
                  <c:v>0.28000000000000003</c:v>
                </c:pt>
                <c:pt idx="27">
                  <c:v>0.28999999999999998</c:v>
                </c:pt>
                <c:pt idx="28">
                  <c:v>0.3</c:v>
                </c:pt>
                <c:pt idx="29">
                  <c:v>0.3</c:v>
                </c:pt>
                <c:pt idx="30">
                  <c:v>0.3</c:v>
                </c:pt>
                <c:pt idx="31">
                  <c:v>0.43</c:v>
                </c:pt>
                <c:pt idx="32">
                  <c:v>0.46</c:v>
                </c:pt>
                <c:pt idx="33">
                  <c:v>0.51</c:v>
                </c:pt>
                <c:pt idx="34">
                  <c:v>0.71</c:v>
                </c:pt>
                <c:pt idx="35">
                  <c:v>0.75</c:v>
                </c:pt>
                <c:pt idx="36">
                  <c:v>0.77</c:v>
                </c:pt>
                <c:pt idx="37">
                  <c:v>0.9</c:v>
                </c:pt>
                <c:pt idx="38">
                  <c:v>0.9</c:v>
                </c:pt>
                <c:pt idx="39">
                  <c:v>0.9</c:v>
                </c:pt>
                <c:pt idx="40">
                  <c:v>0.9</c:v>
                </c:pt>
                <c:pt idx="41">
                  <c:v>0.93</c:v>
                </c:pt>
                <c:pt idx="42">
                  <c:v>1.18</c:v>
                </c:pt>
                <c:pt idx="43">
                  <c:v>1.45</c:v>
                </c:pt>
                <c:pt idx="44">
                  <c:v>1.54</c:v>
                </c:pt>
                <c:pt idx="45">
                  <c:v>1.76</c:v>
                </c:pt>
                <c:pt idx="46">
                  <c:v>1.99</c:v>
                </c:pt>
                <c:pt idx="47">
                  <c:v>2.0099999999999998</c:v>
                </c:pt>
                <c:pt idx="48">
                  <c:v>2.0099999999999998</c:v>
                </c:pt>
                <c:pt idx="49">
                  <c:v>2.0099999999999998</c:v>
                </c:pt>
                <c:pt idx="50">
                  <c:v>2.0299999999999998</c:v>
                </c:pt>
                <c:pt idx="51">
                  <c:v>2.02</c:v>
                </c:pt>
                <c:pt idx="52">
                  <c:v>2.19</c:v>
                </c:pt>
                <c:pt idx="53">
                  <c:v>2.17</c:v>
                </c:pt>
                <c:pt idx="54">
                  <c:v>2.16</c:v>
                </c:pt>
                <c:pt idx="55">
                  <c:v>2.14</c:v>
                </c:pt>
                <c:pt idx="56">
                  <c:v>2.14</c:v>
                </c:pt>
                <c:pt idx="57">
                  <c:v>2.17</c:v>
                </c:pt>
                <c:pt idx="58">
                  <c:v>2.1800000000000002</c:v>
                </c:pt>
                <c:pt idx="59">
                  <c:v>2.1800000000000002</c:v>
                </c:pt>
                <c:pt idx="60">
                  <c:v>2.17</c:v>
                </c:pt>
                <c:pt idx="61">
                  <c:v>2.34</c:v>
                </c:pt>
                <c:pt idx="62">
                  <c:v>2</c:v>
                </c:pt>
                <c:pt idx="63">
                  <c:v>0.97</c:v>
                </c:pt>
                <c:pt idx="64">
                  <c:v>0.46</c:v>
                </c:pt>
                <c:pt idx="65">
                  <c:v>0.34</c:v>
                </c:pt>
                <c:pt idx="66">
                  <c:v>0.34</c:v>
                </c:pt>
                <c:pt idx="67">
                  <c:v>0.34</c:v>
                </c:pt>
                <c:pt idx="68">
                  <c:v>0.34</c:v>
                </c:pt>
                <c:pt idx="69">
                  <c:v>0.35</c:v>
                </c:pt>
                <c:pt idx="70">
                  <c:v>0.35</c:v>
                </c:pt>
                <c:pt idx="71">
                  <c:v>0.35</c:v>
                </c:pt>
              </c:numCache>
            </c:numRef>
          </c:val>
          <c:smooth val="0"/>
          <c:extLst>
            <c:ext xmlns:c16="http://schemas.microsoft.com/office/drawing/2014/chart" uri="{C3380CC4-5D6E-409C-BE32-E72D297353CC}">
              <c16:uniqueId val="{00000002-E8D5-401A-9DB2-C88E153869ED}"/>
            </c:ext>
          </c:extLst>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1'!$G$42:$G$113</c:f>
              <c:numCache>
                <c:formatCode>General</c:formatCode>
                <c:ptCount val="72"/>
                <c:pt idx="0">
                  <c:v>0.13</c:v>
                </c:pt>
                <c:pt idx="1">
                  <c:v>0.17</c:v>
                </c:pt>
                <c:pt idx="2">
                  <c:v>0.14000000000000001</c:v>
                </c:pt>
                <c:pt idx="3">
                  <c:v>0.05</c:v>
                </c:pt>
                <c:pt idx="4">
                  <c:v>0.22</c:v>
                </c:pt>
                <c:pt idx="5">
                  <c:v>0.43</c:v>
                </c:pt>
                <c:pt idx="6">
                  <c:v>0.35</c:v>
                </c:pt>
                <c:pt idx="7">
                  <c:v>0.2</c:v>
                </c:pt>
                <c:pt idx="8">
                  <c:v>0.06</c:v>
                </c:pt>
                <c:pt idx="9">
                  <c:v>-0.05</c:v>
                </c:pt>
                <c:pt idx="10">
                  <c:v>-0.05</c:v>
                </c:pt>
                <c:pt idx="11">
                  <c:v>-0.11</c:v>
                </c:pt>
                <c:pt idx="12">
                  <c:v>0.04</c:v>
                </c:pt>
                <c:pt idx="13">
                  <c:v>-0.08</c:v>
                </c:pt>
                <c:pt idx="14">
                  <c:v>-0.1</c:v>
                </c:pt>
                <c:pt idx="15">
                  <c:v>0.04</c:v>
                </c:pt>
                <c:pt idx="16">
                  <c:v>7.0000000000000007E-2</c:v>
                </c:pt>
                <c:pt idx="17">
                  <c:v>0.05</c:v>
                </c:pt>
                <c:pt idx="18">
                  <c:v>-0.02</c:v>
                </c:pt>
                <c:pt idx="19">
                  <c:v>-0.09</c:v>
                </c:pt>
                <c:pt idx="20">
                  <c:v>-0.19</c:v>
                </c:pt>
                <c:pt idx="21">
                  <c:v>-0.17</c:v>
                </c:pt>
                <c:pt idx="22">
                  <c:v>-0.17</c:v>
                </c:pt>
                <c:pt idx="23">
                  <c:v>-0.21</c:v>
                </c:pt>
                <c:pt idx="24">
                  <c:v>-0.22</c:v>
                </c:pt>
                <c:pt idx="25">
                  <c:v>0.09</c:v>
                </c:pt>
                <c:pt idx="26">
                  <c:v>0.1</c:v>
                </c:pt>
                <c:pt idx="27">
                  <c:v>0.16</c:v>
                </c:pt>
                <c:pt idx="28">
                  <c:v>0.04</c:v>
                </c:pt>
                <c:pt idx="29">
                  <c:v>-0.03</c:v>
                </c:pt>
                <c:pt idx="30">
                  <c:v>0.14000000000000001</c:v>
                </c:pt>
                <c:pt idx="31">
                  <c:v>0.09</c:v>
                </c:pt>
                <c:pt idx="32">
                  <c:v>0.1</c:v>
                </c:pt>
                <c:pt idx="33">
                  <c:v>0.63</c:v>
                </c:pt>
                <c:pt idx="34">
                  <c:v>0.87</c:v>
                </c:pt>
                <c:pt idx="35">
                  <c:v>0.68</c:v>
                </c:pt>
                <c:pt idx="36">
                  <c:v>0.99</c:v>
                </c:pt>
                <c:pt idx="37">
                  <c:v>1.07</c:v>
                </c:pt>
                <c:pt idx="38">
                  <c:v>1.0900000000000001</c:v>
                </c:pt>
                <c:pt idx="39">
                  <c:v>1.05</c:v>
                </c:pt>
                <c:pt idx="40">
                  <c:v>1.21</c:v>
                </c:pt>
                <c:pt idx="41">
                  <c:v>1.41</c:v>
                </c:pt>
                <c:pt idx="42">
                  <c:v>1.44</c:v>
                </c:pt>
                <c:pt idx="43">
                  <c:v>1.55</c:v>
                </c:pt>
                <c:pt idx="44">
                  <c:v>1.7</c:v>
                </c:pt>
                <c:pt idx="45">
                  <c:v>1.81</c:v>
                </c:pt>
                <c:pt idx="46">
                  <c:v>1.79</c:v>
                </c:pt>
                <c:pt idx="47">
                  <c:v>1.71</c:v>
                </c:pt>
                <c:pt idx="48">
                  <c:v>1.6</c:v>
                </c:pt>
                <c:pt idx="49">
                  <c:v>1.61</c:v>
                </c:pt>
                <c:pt idx="50">
                  <c:v>1.7</c:v>
                </c:pt>
                <c:pt idx="51">
                  <c:v>1.63</c:v>
                </c:pt>
                <c:pt idx="52">
                  <c:v>1.57</c:v>
                </c:pt>
                <c:pt idx="53">
                  <c:v>1.43</c:v>
                </c:pt>
                <c:pt idx="54">
                  <c:v>1.31</c:v>
                </c:pt>
                <c:pt idx="55">
                  <c:v>0.89</c:v>
                </c:pt>
                <c:pt idx="56">
                  <c:v>1.1299999999999999</c:v>
                </c:pt>
                <c:pt idx="57">
                  <c:v>1.23</c:v>
                </c:pt>
                <c:pt idx="58">
                  <c:v>1.32</c:v>
                </c:pt>
                <c:pt idx="59">
                  <c:v>1.31</c:v>
                </c:pt>
                <c:pt idx="60">
                  <c:v>1.51</c:v>
                </c:pt>
                <c:pt idx="61">
                  <c:v>1.52</c:v>
                </c:pt>
                <c:pt idx="62">
                  <c:v>1.23</c:v>
                </c:pt>
                <c:pt idx="63">
                  <c:v>1.06</c:v>
                </c:pt>
                <c:pt idx="64">
                  <c:v>0.56999999999999995</c:v>
                </c:pt>
                <c:pt idx="65">
                  <c:v>0.52</c:v>
                </c:pt>
                <c:pt idx="66">
                  <c:v>0.52</c:v>
                </c:pt>
                <c:pt idx="67">
                  <c:v>0.57999999999999996</c:v>
                </c:pt>
                <c:pt idx="68">
                  <c:v>0.57999999999999996</c:v>
                </c:pt>
                <c:pt idx="69">
                  <c:v>0.54</c:v>
                </c:pt>
                <c:pt idx="70">
                  <c:v>0.66</c:v>
                </c:pt>
                <c:pt idx="71">
                  <c:v>0.8</c:v>
                </c:pt>
              </c:numCache>
            </c:numRef>
          </c:val>
          <c:smooth val="0"/>
          <c:extLst>
            <c:ext xmlns:c16="http://schemas.microsoft.com/office/drawing/2014/chart" uri="{C3380CC4-5D6E-409C-BE32-E72D297353CC}">
              <c16:uniqueId val="{00000003-E8D5-401A-9DB2-C88E153869ED}"/>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1'!$E$42:$E$113</c:f>
              <c:numCache>
                <c:formatCode>General</c:formatCode>
                <c:ptCount val="72"/>
                <c:pt idx="0">
                  <c:v>0.51</c:v>
                </c:pt>
                <c:pt idx="1">
                  <c:v>0.51</c:v>
                </c:pt>
                <c:pt idx="2">
                  <c:v>0.49</c:v>
                </c:pt>
                <c:pt idx="3">
                  <c:v>0.48</c:v>
                </c:pt>
                <c:pt idx="4">
                  <c:v>0.48</c:v>
                </c:pt>
                <c:pt idx="5">
                  <c:v>0.48</c:v>
                </c:pt>
                <c:pt idx="6">
                  <c:v>0.48</c:v>
                </c:pt>
                <c:pt idx="7">
                  <c:v>0.48</c:v>
                </c:pt>
                <c:pt idx="8">
                  <c:v>0.47</c:v>
                </c:pt>
                <c:pt idx="9">
                  <c:v>0.46</c:v>
                </c:pt>
                <c:pt idx="10">
                  <c:v>0.46</c:v>
                </c:pt>
                <c:pt idx="11">
                  <c:v>0.46</c:v>
                </c:pt>
                <c:pt idx="12">
                  <c:v>0.45</c:v>
                </c:pt>
                <c:pt idx="13">
                  <c:v>0.45</c:v>
                </c:pt>
                <c:pt idx="14">
                  <c:v>0.45</c:v>
                </c:pt>
                <c:pt idx="15">
                  <c:v>0.45</c:v>
                </c:pt>
                <c:pt idx="16">
                  <c:v>0.45</c:v>
                </c:pt>
                <c:pt idx="17">
                  <c:v>0.45</c:v>
                </c:pt>
                <c:pt idx="18">
                  <c:v>0.45</c:v>
                </c:pt>
                <c:pt idx="19">
                  <c:v>0.45</c:v>
                </c:pt>
                <c:pt idx="20">
                  <c:v>0.45</c:v>
                </c:pt>
                <c:pt idx="21">
                  <c:v>0.45</c:v>
                </c:pt>
                <c:pt idx="22">
                  <c:v>0.45</c:v>
                </c:pt>
                <c:pt idx="23">
                  <c:v>0.45</c:v>
                </c:pt>
                <c:pt idx="24">
                  <c:v>0.44</c:v>
                </c:pt>
                <c:pt idx="25">
                  <c:v>0.44</c:v>
                </c:pt>
                <c:pt idx="26">
                  <c:v>0.44</c:v>
                </c:pt>
                <c:pt idx="27">
                  <c:v>0.45</c:v>
                </c:pt>
                <c:pt idx="28">
                  <c:v>0.46</c:v>
                </c:pt>
                <c:pt idx="29">
                  <c:v>0.46</c:v>
                </c:pt>
                <c:pt idx="30">
                  <c:v>0.47</c:v>
                </c:pt>
                <c:pt idx="31">
                  <c:v>0.6</c:v>
                </c:pt>
                <c:pt idx="32">
                  <c:v>0.64</c:v>
                </c:pt>
                <c:pt idx="33">
                  <c:v>0.69</c:v>
                </c:pt>
                <c:pt idx="34">
                  <c:v>0.91</c:v>
                </c:pt>
                <c:pt idx="35">
                  <c:v>0.96</c:v>
                </c:pt>
                <c:pt idx="36">
                  <c:v>0.98</c:v>
                </c:pt>
                <c:pt idx="37">
                  <c:v>1.1100000000000001</c:v>
                </c:pt>
                <c:pt idx="38">
                  <c:v>1.1200000000000001</c:v>
                </c:pt>
                <c:pt idx="39">
                  <c:v>1.1200000000000001</c:v>
                </c:pt>
                <c:pt idx="40">
                  <c:v>1.1200000000000001</c:v>
                </c:pt>
                <c:pt idx="41">
                  <c:v>1.1499999999999999</c:v>
                </c:pt>
                <c:pt idx="42">
                  <c:v>1.39</c:v>
                </c:pt>
                <c:pt idx="43">
                  <c:v>1.67</c:v>
                </c:pt>
                <c:pt idx="44">
                  <c:v>1.79</c:v>
                </c:pt>
                <c:pt idx="45">
                  <c:v>1.95</c:v>
                </c:pt>
                <c:pt idx="46">
                  <c:v>2.1800000000000002</c:v>
                </c:pt>
                <c:pt idx="47">
                  <c:v>2.21</c:v>
                </c:pt>
                <c:pt idx="48">
                  <c:v>2.21</c:v>
                </c:pt>
                <c:pt idx="49">
                  <c:v>2.2000000000000002</c:v>
                </c:pt>
                <c:pt idx="50">
                  <c:v>2.2000000000000002</c:v>
                </c:pt>
                <c:pt idx="51">
                  <c:v>2.21</c:v>
                </c:pt>
                <c:pt idx="52">
                  <c:v>2.3199999999999998</c:v>
                </c:pt>
                <c:pt idx="53">
                  <c:v>2.29</c:v>
                </c:pt>
                <c:pt idx="54">
                  <c:v>2.2799999999999998</c:v>
                </c:pt>
                <c:pt idx="55">
                  <c:v>2.2200000000000002</c:v>
                </c:pt>
                <c:pt idx="56">
                  <c:v>2.2000000000000002</c:v>
                </c:pt>
                <c:pt idx="57">
                  <c:v>2.2799999999999998</c:v>
                </c:pt>
                <c:pt idx="58">
                  <c:v>2.2799999999999998</c:v>
                </c:pt>
                <c:pt idx="59">
                  <c:v>2.27</c:v>
                </c:pt>
                <c:pt idx="60">
                  <c:v>2.27</c:v>
                </c:pt>
                <c:pt idx="61">
                  <c:v>2.42</c:v>
                </c:pt>
                <c:pt idx="62">
                  <c:v>2.0099999999999998</c:v>
                </c:pt>
                <c:pt idx="63">
                  <c:v>0.92</c:v>
                </c:pt>
                <c:pt idx="64">
                  <c:v>0.51</c:v>
                </c:pt>
                <c:pt idx="65">
                  <c:v>0.43</c:v>
                </c:pt>
                <c:pt idx="66">
                  <c:v>0.43</c:v>
                </c:pt>
                <c:pt idx="67">
                  <c:v>0.43</c:v>
                </c:pt>
                <c:pt idx="68">
                  <c:v>0.44</c:v>
                </c:pt>
                <c:pt idx="69">
                  <c:v>0.43</c:v>
                </c:pt>
                <c:pt idx="70">
                  <c:v>0.44</c:v>
                </c:pt>
                <c:pt idx="71">
                  <c:v>0.49</c:v>
                </c:pt>
              </c:numCache>
            </c:numRef>
          </c:val>
          <c:smooth val="0"/>
          <c:extLst>
            <c:ext xmlns:c16="http://schemas.microsoft.com/office/drawing/2014/chart" uri="{C3380CC4-5D6E-409C-BE32-E72D297353CC}">
              <c16:uniqueId val="{00000004-E8D5-401A-9DB2-C88E153869ED}"/>
            </c:ext>
          </c:extLst>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1'!$H$42:$H$113</c:f>
              <c:numCache>
                <c:formatCode>General</c:formatCode>
                <c:ptCount val="72"/>
                <c:pt idx="0">
                  <c:v>0.35</c:v>
                </c:pt>
                <c:pt idx="1">
                  <c:v>0.4</c:v>
                </c:pt>
                <c:pt idx="2">
                  <c:v>0.35</c:v>
                </c:pt>
                <c:pt idx="3">
                  <c:v>0.26</c:v>
                </c:pt>
                <c:pt idx="4">
                  <c:v>0.6</c:v>
                </c:pt>
                <c:pt idx="5">
                  <c:v>1.01</c:v>
                </c:pt>
                <c:pt idx="6">
                  <c:v>0.97</c:v>
                </c:pt>
                <c:pt idx="7">
                  <c:v>0.74</c:v>
                </c:pt>
                <c:pt idx="8">
                  <c:v>0.68</c:v>
                </c:pt>
                <c:pt idx="9">
                  <c:v>0.56000000000000005</c:v>
                </c:pt>
                <c:pt idx="10">
                  <c:v>0.49</c:v>
                </c:pt>
                <c:pt idx="11">
                  <c:v>0.49</c:v>
                </c:pt>
                <c:pt idx="12">
                  <c:v>0.62</c:v>
                </c:pt>
                <c:pt idx="13">
                  <c:v>0.46</c:v>
                </c:pt>
                <c:pt idx="14">
                  <c:v>0.35</c:v>
                </c:pt>
                <c:pt idx="15">
                  <c:v>0.43</c:v>
                </c:pt>
                <c:pt idx="16">
                  <c:v>0.46</c:v>
                </c:pt>
                <c:pt idx="17">
                  <c:v>0.45</c:v>
                </c:pt>
                <c:pt idx="18">
                  <c:v>0.37</c:v>
                </c:pt>
                <c:pt idx="19">
                  <c:v>0.28999999999999998</c:v>
                </c:pt>
                <c:pt idx="20">
                  <c:v>0.25</c:v>
                </c:pt>
                <c:pt idx="21">
                  <c:v>0.37</c:v>
                </c:pt>
                <c:pt idx="22">
                  <c:v>0.55000000000000004</c:v>
                </c:pt>
                <c:pt idx="23">
                  <c:v>0.53</c:v>
                </c:pt>
                <c:pt idx="24">
                  <c:v>0.47</c:v>
                </c:pt>
                <c:pt idx="25">
                  <c:v>0.63</c:v>
                </c:pt>
                <c:pt idx="26">
                  <c:v>0.87</c:v>
                </c:pt>
                <c:pt idx="27">
                  <c:v>0.96</c:v>
                </c:pt>
                <c:pt idx="28">
                  <c:v>0.74</c:v>
                </c:pt>
                <c:pt idx="29">
                  <c:v>0.77</c:v>
                </c:pt>
                <c:pt idx="30">
                  <c:v>0.9</c:v>
                </c:pt>
                <c:pt idx="31">
                  <c:v>0.83</c:v>
                </c:pt>
                <c:pt idx="32">
                  <c:v>0.97</c:v>
                </c:pt>
                <c:pt idx="33">
                  <c:v>1.45</c:v>
                </c:pt>
                <c:pt idx="34">
                  <c:v>1.68</c:v>
                </c:pt>
                <c:pt idx="35">
                  <c:v>1.5</c:v>
                </c:pt>
                <c:pt idx="36">
                  <c:v>1.77</c:v>
                </c:pt>
                <c:pt idx="37">
                  <c:v>1.82</c:v>
                </c:pt>
                <c:pt idx="38">
                  <c:v>1.81</c:v>
                </c:pt>
                <c:pt idx="39">
                  <c:v>1.74</c:v>
                </c:pt>
                <c:pt idx="40">
                  <c:v>1.89</c:v>
                </c:pt>
                <c:pt idx="41">
                  <c:v>2.14</c:v>
                </c:pt>
                <c:pt idx="42">
                  <c:v>2.11</c:v>
                </c:pt>
                <c:pt idx="43">
                  <c:v>2.14</c:v>
                </c:pt>
                <c:pt idx="44">
                  <c:v>2.14</c:v>
                </c:pt>
                <c:pt idx="45">
                  <c:v>2.14</c:v>
                </c:pt>
                <c:pt idx="46">
                  <c:v>2.0699999999999998</c:v>
                </c:pt>
                <c:pt idx="47">
                  <c:v>2.0099999999999998</c:v>
                </c:pt>
                <c:pt idx="48">
                  <c:v>1.85</c:v>
                </c:pt>
                <c:pt idx="49">
                  <c:v>1.76</c:v>
                </c:pt>
                <c:pt idx="50">
                  <c:v>1.82</c:v>
                </c:pt>
                <c:pt idx="51">
                  <c:v>1.82</c:v>
                </c:pt>
                <c:pt idx="52">
                  <c:v>1.86</c:v>
                </c:pt>
                <c:pt idx="53">
                  <c:v>1.58</c:v>
                </c:pt>
                <c:pt idx="54">
                  <c:v>1.36</c:v>
                </c:pt>
                <c:pt idx="55">
                  <c:v>0.99</c:v>
                </c:pt>
                <c:pt idx="56">
                  <c:v>1.24</c:v>
                </c:pt>
                <c:pt idx="57">
                  <c:v>1.32</c:v>
                </c:pt>
                <c:pt idx="58">
                  <c:v>1.47</c:v>
                </c:pt>
                <c:pt idx="59">
                  <c:v>1.51</c:v>
                </c:pt>
                <c:pt idx="60">
                  <c:v>1.62</c:v>
                </c:pt>
                <c:pt idx="61">
                  <c:v>1.47</c:v>
                </c:pt>
                <c:pt idx="62">
                  <c:v>1.28</c:v>
                </c:pt>
                <c:pt idx="63">
                  <c:v>1.28</c:v>
                </c:pt>
                <c:pt idx="64">
                  <c:v>0.92</c:v>
                </c:pt>
                <c:pt idx="65">
                  <c:v>0.86</c:v>
                </c:pt>
                <c:pt idx="66">
                  <c:v>0.86</c:v>
                </c:pt>
                <c:pt idx="67">
                  <c:v>0.95</c:v>
                </c:pt>
                <c:pt idx="68">
                  <c:v>0.98</c:v>
                </c:pt>
                <c:pt idx="69">
                  <c:v>0.94</c:v>
                </c:pt>
                <c:pt idx="70">
                  <c:v>1.1200000000000001</c:v>
                </c:pt>
                <c:pt idx="71">
                  <c:v>1.26</c:v>
                </c:pt>
              </c:numCache>
            </c:numRef>
          </c:val>
          <c:smooth val="0"/>
          <c:extLst>
            <c:ext xmlns:c16="http://schemas.microsoft.com/office/drawing/2014/chart" uri="{C3380CC4-5D6E-409C-BE32-E72D297353CC}">
              <c16:uniqueId val="{00000005-E8D5-401A-9DB2-C88E153869ED}"/>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942877158265147E-2"/>
          <c:y val="1.7107238390107405E-2"/>
          <c:w val="0.82774936889255546"/>
          <c:h val="0.80775796042812997"/>
        </c:manualLayout>
      </c:layout>
      <c:barChart>
        <c:barDir val="col"/>
        <c:grouping val="clustered"/>
        <c:varyColors val="0"/>
        <c:ser>
          <c:idx val="2"/>
          <c:order val="4"/>
          <c:tx>
            <c:strRef>
              <c:f>'G1-Státní rozpočet-příjmy'!$A$38</c:f>
              <c:strCache>
                <c:ptCount val="1"/>
                <c:pt idx="0">
                  <c:v>State budget balance (SB)</c:v>
                </c:pt>
              </c:strCache>
            </c:strRef>
          </c:tx>
          <c:spPr>
            <a:solidFill>
              <a:schemeClr val="bg1">
                <a:lumMod val="65000"/>
              </a:schemeClr>
            </a:solidFill>
            <a:ln w="28575">
              <a:noFill/>
            </a:ln>
          </c:spPr>
          <c:invertIfNegative val="0"/>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rozpočet-příjmy'!$B$38:$Q$38</c:f>
              <c:numCache>
                <c:formatCode>0.0</c:formatCode>
                <c:ptCount val="16"/>
                <c:pt idx="0">
                  <c:v>-56.36</c:v>
                </c:pt>
                <c:pt idx="1">
                  <c:v>-97.3</c:v>
                </c:pt>
                <c:pt idx="2">
                  <c:v>-66.391999999999996</c:v>
                </c:pt>
                <c:pt idx="3">
                  <c:v>-20.003</c:v>
                </c:pt>
                <c:pt idx="4">
                  <c:v>-192.39400000000001</c:v>
                </c:pt>
                <c:pt idx="5">
                  <c:v>-156.416</c:v>
                </c:pt>
                <c:pt idx="6">
                  <c:v>-142.77099999999999</c:v>
                </c:pt>
                <c:pt idx="7">
                  <c:v>-101</c:v>
                </c:pt>
                <c:pt idx="8">
                  <c:v>-81.263999999999996</c:v>
                </c:pt>
                <c:pt idx="9">
                  <c:v>-77.78</c:v>
                </c:pt>
                <c:pt idx="10">
                  <c:v>-62.8</c:v>
                </c:pt>
                <c:pt idx="11">
                  <c:v>61.77</c:v>
                </c:pt>
                <c:pt idx="12">
                  <c:v>-6.15</c:v>
                </c:pt>
                <c:pt idx="13">
                  <c:v>2.94</c:v>
                </c:pt>
                <c:pt idx="14">
                  <c:v>-28.52</c:v>
                </c:pt>
                <c:pt idx="15">
                  <c:v>-367.44914888590029</c:v>
                </c:pt>
              </c:numCache>
            </c:numRef>
          </c:val>
          <c:extLst>
            <c:ext xmlns:c16="http://schemas.microsoft.com/office/drawing/2014/chart" uri="{C3380CC4-5D6E-409C-BE32-E72D297353CC}">
              <c16:uniqueId val="{00000000-B342-4A7B-B242-CBA00D331486}"/>
            </c:ext>
          </c:extLst>
        </c:ser>
        <c:ser>
          <c:idx val="5"/>
          <c:order val="5"/>
          <c:tx>
            <c:strRef>
              <c:f>'G1-Státní rozpočet-příjmy'!$A$39</c:f>
              <c:strCache>
                <c:ptCount val="1"/>
                <c:pt idx="0">
                  <c:v>SB balance, adjusted for EU and FM* effect</c:v>
                </c:pt>
              </c:strCache>
            </c:strRef>
          </c:tx>
          <c:spPr>
            <a:solidFill>
              <a:schemeClr val="bg1">
                <a:lumMod val="85000"/>
              </a:schemeClr>
            </a:solidFill>
            <a:ln w="28575">
              <a:noFill/>
            </a:ln>
          </c:spPr>
          <c:invertIfNegative val="0"/>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rozpočet-příjmy'!$B$39:$Q$39</c:f>
              <c:numCache>
                <c:formatCode>General</c:formatCode>
                <c:ptCount val="16"/>
                <c:pt idx="8" formatCode="#,##0.0">
                  <c:v>-81.7</c:v>
                </c:pt>
                <c:pt idx="9" formatCode="#,##0.0">
                  <c:v>-64.099999999999994</c:v>
                </c:pt>
                <c:pt idx="10" formatCode="#,##0.0">
                  <c:v>-41.7</c:v>
                </c:pt>
                <c:pt idx="11" formatCode="#,##0.0">
                  <c:v>-13.6</c:v>
                </c:pt>
                <c:pt idx="12" formatCode="#,##0.0">
                  <c:v>-1.3</c:v>
                </c:pt>
                <c:pt idx="13" formatCode="#,##0.0">
                  <c:v>-3.5</c:v>
                </c:pt>
                <c:pt idx="14" formatCode="#,##0.0">
                  <c:v>-29.2</c:v>
                </c:pt>
                <c:pt idx="15" formatCode="#,##0.0">
                  <c:v>-363.7</c:v>
                </c:pt>
              </c:numCache>
            </c:numRef>
          </c:val>
          <c:extLst>
            <c:ext xmlns:c16="http://schemas.microsoft.com/office/drawing/2014/chart" uri="{C3380CC4-5D6E-409C-BE32-E72D297353CC}">
              <c16:uniqueId val="{00000001-B342-4A7B-B242-CBA00D331486}"/>
            </c:ext>
          </c:extLst>
        </c:ser>
        <c:dLbls>
          <c:showLegendKey val="0"/>
          <c:showVal val="0"/>
          <c:showCatName val="0"/>
          <c:showSerName val="0"/>
          <c:showPercent val="0"/>
          <c:showBubbleSize val="0"/>
        </c:dLbls>
        <c:gapWidth val="65"/>
        <c:axId val="486345536"/>
        <c:axId val="486350944"/>
      </c:barChart>
      <c:lineChart>
        <c:grouping val="standard"/>
        <c:varyColors val="0"/>
        <c:ser>
          <c:idx val="0"/>
          <c:order val="0"/>
          <c:tx>
            <c:strRef>
              <c:f>'G1-Státní rozpočet-příjmy'!$A$34</c:f>
              <c:strCache>
                <c:ptCount val="1"/>
                <c:pt idx="0">
                  <c:v>Valua added tax</c:v>
                </c:pt>
              </c:strCache>
            </c:strRef>
          </c:tx>
          <c:spPr>
            <a:ln w="19050">
              <a:solidFill>
                <a:srgbClr val="C00000"/>
              </a:solidFill>
            </a:ln>
          </c:spPr>
          <c:marker>
            <c:symbol val="none"/>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rozpočet-příjmy'!$B$34:$Q$34</c:f>
              <c:numCache>
                <c:formatCode>0.0</c:formatCode>
                <c:ptCount val="16"/>
                <c:pt idx="0">
                  <c:v>13.155608643718097</c:v>
                </c:pt>
                <c:pt idx="1">
                  <c:v>4.4959454920589224</c:v>
                </c:pt>
                <c:pt idx="2">
                  <c:v>8.540729176232901</c:v>
                </c:pt>
                <c:pt idx="3">
                  <c:v>7.9575260174295579</c:v>
                </c:pt>
                <c:pt idx="4">
                  <c:v>-0.61914651828048761</c:v>
                </c:pt>
                <c:pt idx="5">
                  <c:v>6.2852411182524435</c:v>
                </c:pt>
                <c:pt idx="6">
                  <c:v>2.1665739194954341</c:v>
                </c:pt>
                <c:pt idx="7">
                  <c:v>1.0312647518065461</c:v>
                </c:pt>
                <c:pt idx="8">
                  <c:v>10.865111598317938</c:v>
                </c:pt>
                <c:pt idx="9">
                  <c:v>4.674836283472743</c:v>
                </c:pt>
                <c:pt idx="10">
                  <c:v>2.7750247770069336</c:v>
                </c:pt>
                <c:pt idx="11">
                  <c:v>5.3881388621022381</c:v>
                </c:pt>
                <c:pt idx="12">
                  <c:v>9.138739563079028</c:v>
                </c:pt>
                <c:pt idx="13">
                  <c:v>8.2844267449172122</c:v>
                </c:pt>
                <c:pt idx="14">
                  <c:v>4.4229373336559235</c:v>
                </c:pt>
                <c:pt idx="15">
                  <c:v>-1.1882103979308738</c:v>
                </c:pt>
              </c:numCache>
            </c:numRef>
          </c:val>
          <c:smooth val="0"/>
          <c:extLst>
            <c:ext xmlns:c16="http://schemas.microsoft.com/office/drawing/2014/chart" uri="{C3380CC4-5D6E-409C-BE32-E72D297353CC}">
              <c16:uniqueId val="{00000002-B342-4A7B-B242-CBA00D331486}"/>
            </c:ext>
          </c:extLst>
        </c:ser>
        <c:ser>
          <c:idx val="1"/>
          <c:order val="1"/>
          <c:tx>
            <c:strRef>
              <c:f>'G1-Státní rozpočet-příjmy'!$A$35</c:f>
              <c:strCache>
                <c:ptCount val="1"/>
                <c:pt idx="0">
                  <c:v>Consumption taxes</c:v>
                </c:pt>
              </c:strCache>
            </c:strRef>
          </c:tx>
          <c:spPr>
            <a:ln w="19050">
              <a:solidFill>
                <a:schemeClr val="accent6">
                  <a:lumMod val="75000"/>
                </a:schemeClr>
              </a:solidFill>
              <a:prstDash val="sysDash"/>
            </a:ln>
          </c:spPr>
          <c:marker>
            <c:symbol val="none"/>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rozpočet-příjmy'!$B$35:$Q$35</c:f>
              <c:numCache>
                <c:formatCode>0.0</c:formatCode>
                <c:ptCount val="16"/>
                <c:pt idx="0">
                  <c:v>15.148989372785991</c:v>
                </c:pt>
                <c:pt idx="1">
                  <c:v>8.1704668838219305</c:v>
                </c:pt>
                <c:pt idx="2">
                  <c:v>16.227519866164769</c:v>
                </c:pt>
                <c:pt idx="3">
                  <c:v>-4.2605253688377047</c:v>
                </c:pt>
                <c:pt idx="4">
                  <c:v>-1.4733518755167978</c:v>
                </c:pt>
                <c:pt idx="5">
                  <c:v>5.4932478828107207</c:v>
                </c:pt>
                <c:pt idx="6">
                  <c:v>6.0099804729876354</c:v>
                </c:pt>
                <c:pt idx="7">
                  <c:v>0.13644426251875075</c:v>
                </c:pt>
                <c:pt idx="8">
                  <c:v>-2.2891402098378535</c:v>
                </c:pt>
                <c:pt idx="9">
                  <c:v>-1.4712034583739921</c:v>
                </c:pt>
                <c:pt idx="10">
                  <c:v>6.5034321704055031</c:v>
                </c:pt>
                <c:pt idx="11">
                  <c:v>5.1362126245847008</c:v>
                </c:pt>
                <c:pt idx="12">
                  <c:v>2.9071604626177248</c:v>
                </c:pt>
                <c:pt idx="13">
                  <c:v>2.8495977399742003</c:v>
                </c:pt>
                <c:pt idx="14">
                  <c:v>-0.19705021794949573</c:v>
                </c:pt>
                <c:pt idx="15">
                  <c:v>-2.7815291742491297</c:v>
                </c:pt>
              </c:numCache>
            </c:numRef>
          </c:val>
          <c:smooth val="0"/>
          <c:extLst>
            <c:ext xmlns:c16="http://schemas.microsoft.com/office/drawing/2014/chart" uri="{C3380CC4-5D6E-409C-BE32-E72D297353CC}">
              <c16:uniqueId val="{00000003-B342-4A7B-B242-CBA00D331486}"/>
            </c:ext>
          </c:extLst>
        </c:ser>
        <c:ser>
          <c:idx val="3"/>
          <c:order val="2"/>
          <c:tx>
            <c:strRef>
              <c:f>'G1-Státní rozpočet-příjmy'!$A$36</c:f>
              <c:strCache>
                <c:ptCount val="1"/>
                <c:pt idx="0">
                  <c:v>Income tax of natural persons from employment</c:v>
                </c:pt>
              </c:strCache>
            </c:strRef>
          </c:tx>
          <c:spPr>
            <a:ln w="19050">
              <a:solidFill>
                <a:srgbClr val="0071BC"/>
              </a:solidFill>
              <a:prstDash val="sysDot"/>
            </a:ln>
          </c:spPr>
          <c:marker>
            <c:symbol val="diamond"/>
            <c:size val="5"/>
            <c:spPr>
              <a:solidFill>
                <a:schemeClr val="bg1"/>
              </a:solidFill>
              <a:ln>
                <a:solidFill>
                  <a:srgbClr val="0071BC"/>
                </a:solidFill>
              </a:ln>
            </c:spPr>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rozpočet-příjmy'!$B$36:$Q$36</c:f>
              <c:numCache>
                <c:formatCode>0.0</c:formatCode>
                <c:ptCount val="16"/>
                <c:pt idx="0">
                  <c:v>7.8339666764104123</c:v>
                </c:pt>
                <c:pt idx="1">
                  <c:v>0.86744375169422483</c:v>
                </c:pt>
                <c:pt idx="2">
                  <c:v>13.222252082773451</c:v>
                </c:pt>
                <c:pt idx="3">
                  <c:v>-8.8693725769443859</c:v>
                </c:pt>
                <c:pt idx="4">
                  <c:v>-3.5943740232679318</c:v>
                </c:pt>
                <c:pt idx="5">
                  <c:v>0.72046109510085898</c:v>
                </c:pt>
                <c:pt idx="6">
                  <c:v>6.7328326180257534</c:v>
                </c:pt>
                <c:pt idx="7">
                  <c:v>0.35184719778837348</c:v>
                </c:pt>
                <c:pt idx="8">
                  <c:v>5.2925953752399835</c:v>
                </c:pt>
                <c:pt idx="9">
                  <c:v>3.7580274320145861</c:v>
                </c:pt>
                <c:pt idx="10">
                  <c:v>4.011614579353548</c:v>
                </c:pt>
                <c:pt idx="11">
                  <c:v>9.7487511019688498</c:v>
                </c:pt>
                <c:pt idx="12">
                  <c:v>13.2873686324386</c:v>
                </c:pt>
                <c:pt idx="13">
                  <c:v>14.441030489246032</c:v>
                </c:pt>
                <c:pt idx="14">
                  <c:v>11.673895084675763</c:v>
                </c:pt>
                <c:pt idx="15">
                  <c:v>-5.2524401043645241</c:v>
                </c:pt>
              </c:numCache>
            </c:numRef>
          </c:val>
          <c:smooth val="0"/>
          <c:extLst>
            <c:ext xmlns:c16="http://schemas.microsoft.com/office/drawing/2014/chart" uri="{C3380CC4-5D6E-409C-BE32-E72D297353CC}">
              <c16:uniqueId val="{00000004-B342-4A7B-B242-CBA00D331486}"/>
            </c:ext>
          </c:extLst>
        </c:ser>
        <c:ser>
          <c:idx val="4"/>
          <c:order val="3"/>
          <c:tx>
            <c:strRef>
              <c:f>'G1-Státní rozpočet-příjmy'!$A$37</c:f>
              <c:strCache>
                <c:ptCount val="1"/>
                <c:pt idx="0">
                  <c:v>Income tax of legal persons (corporate tax)</c:v>
                </c:pt>
              </c:strCache>
            </c:strRef>
          </c:tx>
          <c:spPr>
            <a:ln w="19050">
              <a:noFill/>
            </a:ln>
          </c:spPr>
          <c:marker>
            <c:symbol val="circle"/>
            <c:size val="5"/>
            <c:spPr>
              <a:solidFill>
                <a:srgbClr val="00B050"/>
              </a:solidFill>
              <a:ln>
                <a:noFill/>
              </a:ln>
            </c:spPr>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rozpočet-příjmy'!$B$37:$Q$37</c:f>
              <c:numCache>
                <c:formatCode>0.0</c:formatCode>
                <c:ptCount val="16"/>
                <c:pt idx="0">
                  <c:v>26.963584434130652</c:v>
                </c:pt>
                <c:pt idx="1">
                  <c:v>-4.7873462214411262</c:v>
                </c:pt>
                <c:pt idx="2">
                  <c:v>20.193443591258116</c:v>
                </c:pt>
                <c:pt idx="3">
                  <c:v>12.113766201855157</c:v>
                </c:pt>
                <c:pt idx="4">
                  <c:v>-34.469344145526264</c:v>
                </c:pt>
                <c:pt idx="5">
                  <c:v>3.5618729096990052</c:v>
                </c:pt>
                <c:pt idx="6">
                  <c:v>-4.6423381236880346</c:v>
                </c:pt>
                <c:pt idx="7">
                  <c:v>8.3735500804335032</c:v>
                </c:pt>
                <c:pt idx="8">
                  <c:v>-5.6875</c:v>
                </c:pt>
                <c:pt idx="9">
                  <c:v>9.6752816434725162</c:v>
                </c:pt>
                <c:pt idx="10">
                  <c:v>11.412386706948624</c:v>
                </c:pt>
                <c:pt idx="11">
                  <c:v>11.667005626737165</c:v>
                </c:pt>
                <c:pt idx="12">
                  <c:v>3.6000485672656595</c:v>
                </c:pt>
                <c:pt idx="13">
                  <c:v>1.9689422795194673</c:v>
                </c:pt>
                <c:pt idx="14">
                  <c:v>5.1089017872536004</c:v>
                </c:pt>
                <c:pt idx="15">
                  <c:v>-12.219312902832144</c:v>
                </c:pt>
              </c:numCache>
            </c:numRef>
          </c:val>
          <c:smooth val="0"/>
          <c:extLst>
            <c:ext xmlns:c16="http://schemas.microsoft.com/office/drawing/2014/chart" uri="{C3380CC4-5D6E-409C-BE32-E72D297353CC}">
              <c16:uniqueId val="{00000005-B342-4A7B-B242-CBA00D331486}"/>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w="6350">
            <a:solidFill>
              <a:schemeClr val="tx1"/>
            </a:solidFill>
          </a:ln>
        </c:spPr>
        <c:crossAx val="66855296"/>
        <c:crosses val="autoZero"/>
        <c:auto val="1"/>
        <c:lblAlgn val="ctr"/>
        <c:lblOffset val="0"/>
        <c:noMultiLvlLbl val="0"/>
      </c:catAx>
      <c:valAx>
        <c:axId val="66855296"/>
        <c:scaling>
          <c:orientation val="minMax"/>
          <c:max val="30"/>
          <c:min val="-4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u="none" strike="noStrike" baseline="0">
                    <a:effectLst/>
                  </a:rPr>
                  <a:t>Main types of incomes (year-on-year change in %</a:t>
                </a:r>
                <a:r>
                  <a:rPr lang="cs-CZ" sz="700" b="0" i="1" u="none" strike="noStrike" baseline="0">
                    <a:effectLst/>
                  </a:rPr>
                  <a:t>)</a:t>
                </a:r>
                <a:endParaRPr lang="cs-CZ" sz="700" b="0" i="1">
                  <a:effectLst/>
                </a:endParaRPr>
              </a:p>
            </c:rich>
          </c:tx>
          <c:overlay val="0"/>
        </c:title>
        <c:numFmt formatCode="0" sourceLinked="0"/>
        <c:majorTickMark val="out"/>
        <c:minorTickMark val="none"/>
        <c:tickLblPos val="nextTo"/>
        <c:spPr>
          <a:ln w="6350">
            <a:solidFill>
              <a:schemeClr val="tx1"/>
            </a:solidFill>
          </a:ln>
        </c:spPr>
        <c:crossAx val="79288576"/>
        <c:crosses val="autoZero"/>
        <c:crossBetween val="between"/>
        <c:majorUnit val="5"/>
      </c:valAx>
      <c:valAx>
        <c:axId val="486350944"/>
        <c:scaling>
          <c:orientation val="minMax"/>
          <c:max val="300"/>
          <c:min val="-4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State budget balance (in CZK bn)</a:t>
                </a:r>
                <a:endParaRPr lang="cs-CZ" sz="700">
                  <a:effectLst/>
                </a:endParaRPr>
              </a:p>
            </c:rich>
          </c:tx>
          <c:overlay val="0"/>
        </c:title>
        <c:numFmt formatCode="0" sourceLinked="0"/>
        <c:majorTickMark val="out"/>
        <c:minorTickMark val="none"/>
        <c:tickLblPos val="nextTo"/>
        <c:crossAx val="486345536"/>
        <c:crosses val="max"/>
        <c:crossBetween val="between"/>
        <c:majorUnit val="50"/>
      </c:valAx>
      <c:catAx>
        <c:axId val="486345536"/>
        <c:scaling>
          <c:orientation val="minMax"/>
        </c:scaling>
        <c:delete val="1"/>
        <c:axPos val="b"/>
        <c:numFmt formatCode="General" sourceLinked="1"/>
        <c:majorTickMark val="out"/>
        <c:minorTickMark val="none"/>
        <c:tickLblPos val="nextTo"/>
        <c:crossAx val="486350944"/>
        <c:crosses val="autoZero"/>
        <c:auto val="1"/>
        <c:lblAlgn val="ctr"/>
        <c:lblOffset val="100"/>
        <c:noMultiLvlLbl val="0"/>
      </c:catAx>
      <c:spPr>
        <a:ln w="6350">
          <a:solidFill>
            <a:schemeClr val="tx1"/>
          </a:solidFill>
        </a:ln>
      </c:spPr>
    </c:plotArea>
    <c:legend>
      <c:legendPos val="b"/>
      <c:layout>
        <c:manualLayout>
          <c:xMode val="edge"/>
          <c:yMode val="edge"/>
          <c:x val="3.9895768291627904E-3"/>
          <c:y val="0.87964736703817581"/>
          <c:w val="0.98968645202537442"/>
          <c:h val="0.10542251356201496"/>
        </c:manualLayout>
      </c:layout>
      <c:overlay val="0"/>
      <c:spPr>
        <a:ln w="6350">
          <a:solidFill>
            <a:schemeClr val="tx1"/>
          </a:solidFill>
        </a:ln>
      </c:spPr>
      <c:txPr>
        <a:bodyPr/>
        <a:lstStyle/>
        <a:p>
          <a:pPr>
            <a:defRPr sz="70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60484943049881E-2"/>
          <c:y val="1.7112323287741892E-2"/>
          <c:w val="0.82719862375806086"/>
          <c:h val="0.7751075308524743"/>
        </c:manualLayout>
      </c:layout>
      <c:barChart>
        <c:barDir val="col"/>
        <c:grouping val="clustered"/>
        <c:varyColors val="0"/>
        <c:ser>
          <c:idx val="0"/>
          <c:order val="0"/>
          <c:tx>
            <c:strRef>
              <c:f>'G2-Stání rozpočet-výdaje'!$B$31</c:f>
              <c:strCache>
                <c:ptCount val="1"/>
                <c:pt idx="0">
                  <c:v>Total current expenditures</c:v>
                </c:pt>
              </c:strCache>
            </c:strRef>
          </c:tx>
          <c:spPr>
            <a:solidFill>
              <a:schemeClr val="bg1">
                <a:lumMod val="85000"/>
              </a:schemeClr>
            </a:solidFill>
            <a:ln>
              <a:noFill/>
            </a:ln>
          </c:spPr>
          <c:invertIfNegative val="0"/>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rozpočet-výdaje'!$B$32:$B$47</c:f>
              <c:numCache>
                <c:formatCode>0.0</c:formatCode>
                <c:ptCount val="16"/>
                <c:pt idx="0">
                  <c:v>840.86</c:v>
                </c:pt>
                <c:pt idx="1">
                  <c:v>912.08</c:v>
                </c:pt>
                <c:pt idx="2">
                  <c:v>973.85</c:v>
                </c:pt>
                <c:pt idx="3">
                  <c:v>975.86</c:v>
                </c:pt>
                <c:pt idx="4">
                  <c:v>1032.78</c:v>
                </c:pt>
                <c:pt idx="5">
                  <c:v>1021.89</c:v>
                </c:pt>
                <c:pt idx="6">
                  <c:v>1031.83</c:v>
                </c:pt>
                <c:pt idx="7">
                  <c:v>1038.76</c:v>
                </c:pt>
                <c:pt idx="8">
                  <c:v>1070.8130000000001</c:v>
                </c:pt>
                <c:pt idx="9">
                  <c:v>1100.1020000000001</c:v>
                </c:pt>
                <c:pt idx="10">
                  <c:v>1121.6600000000001</c:v>
                </c:pt>
                <c:pt idx="11">
                  <c:v>1135.57</c:v>
                </c:pt>
                <c:pt idx="12">
                  <c:v>1198.05</c:v>
                </c:pt>
                <c:pt idx="13">
                  <c:v>1284.5</c:v>
                </c:pt>
                <c:pt idx="14">
                  <c:v>1412.5989294339895</c:v>
                </c:pt>
                <c:pt idx="15">
                  <c:v>1670.2422474235602</c:v>
                </c:pt>
              </c:numCache>
            </c:numRef>
          </c:val>
          <c:extLst>
            <c:ext xmlns:c16="http://schemas.microsoft.com/office/drawing/2014/chart" uri="{C3380CC4-5D6E-409C-BE32-E72D297353CC}">
              <c16:uniqueId val="{00000000-6447-4F75-BB36-32B0A5771F41}"/>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'G2-Stání rozpočet-výdaje'!$C$31</c:f>
              <c:strCache>
                <c:ptCount val="1"/>
                <c:pt idx="0">
                  <c:v>Wages of employees in publ. admin.*</c:v>
                </c:pt>
              </c:strCache>
            </c:strRef>
          </c:tx>
          <c:spPr>
            <a:ln w="15875">
              <a:solidFill>
                <a:srgbClr val="984807"/>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rozpočet-výdaje'!$C$32:$C$47</c:f>
              <c:numCache>
                <c:formatCode>0.0</c:formatCode>
                <c:ptCount val="16"/>
                <c:pt idx="0">
                  <c:v>88.07</c:v>
                </c:pt>
                <c:pt idx="1">
                  <c:v>89.99</c:v>
                </c:pt>
                <c:pt idx="2">
                  <c:v>95.76</c:v>
                </c:pt>
                <c:pt idx="3">
                  <c:v>97.33</c:v>
                </c:pt>
                <c:pt idx="4">
                  <c:v>100.19</c:v>
                </c:pt>
                <c:pt idx="5">
                  <c:v>97.67</c:v>
                </c:pt>
                <c:pt idx="6">
                  <c:v>89.6</c:v>
                </c:pt>
                <c:pt idx="7">
                  <c:v>90.45</c:v>
                </c:pt>
                <c:pt idx="8">
                  <c:v>92.375</c:v>
                </c:pt>
                <c:pt idx="9">
                  <c:v>96.582999999999998</c:v>
                </c:pt>
                <c:pt idx="10">
                  <c:v>104.19</c:v>
                </c:pt>
                <c:pt idx="11">
                  <c:v>109.86</c:v>
                </c:pt>
                <c:pt idx="12">
                  <c:v>120.08</c:v>
                </c:pt>
                <c:pt idx="13">
                  <c:v>133.9</c:v>
                </c:pt>
                <c:pt idx="14">
                  <c:v>143.72754730148006</c:v>
                </c:pt>
                <c:pt idx="15">
                  <c:v>150.14703694872</c:v>
                </c:pt>
              </c:numCache>
            </c:numRef>
          </c:val>
          <c:smooth val="0"/>
          <c:extLst>
            <c:ext xmlns:c16="http://schemas.microsoft.com/office/drawing/2014/chart" uri="{C3380CC4-5D6E-409C-BE32-E72D297353CC}">
              <c16:uniqueId val="{00000001-6447-4F75-BB36-32B0A5771F41}"/>
            </c:ext>
          </c:extLst>
        </c:ser>
        <c:ser>
          <c:idx val="6"/>
          <c:order val="2"/>
          <c:tx>
            <c:strRef>
              <c:f>'G2-Stání rozpočet-výdaje'!$D$31</c:f>
              <c:strCache>
                <c:ptCount val="1"/>
                <c:pt idx="0">
                  <c:v>Unemployment benefits</c:v>
                </c:pt>
              </c:strCache>
            </c:strRef>
          </c:tx>
          <c:spPr>
            <a:ln w="15875">
              <a:solidFill>
                <a:srgbClr val="0070C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rozpočet-výdaje'!$D$32:$D$47</c:f>
              <c:numCache>
                <c:formatCode>0.0</c:formatCode>
                <c:ptCount val="16"/>
                <c:pt idx="0">
                  <c:v>7.11</c:v>
                </c:pt>
                <c:pt idx="1">
                  <c:v>7.36</c:v>
                </c:pt>
                <c:pt idx="2">
                  <c:v>7.24</c:v>
                </c:pt>
                <c:pt idx="3">
                  <c:v>7.11</c:v>
                </c:pt>
                <c:pt idx="4">
                  <c:v>15.077999999999999</c:v>
                </c:pt>
                <c:pt idx="5">
                  <c:v>13.355</c:v>
                </c:pt>
                <c:pt idx="6">
                  <c:v>10.349</c:v>
                </c:pt>
                <c:pt idx="7">
                  <c:v>8.76</c:v>
                </c:pt>
                <c:pt idx="8">
                  <c:v>9.65</c:v>
                </c:pt>
                <c:pt idx="9">
                  <c:v>9.2620000000000005</c:v>
                </c:pt>
                <c:pt idx="10">
                  <c:v>8.2759999999999998</c:v>
                </c:pt>
                <c:pt idx="11">
                  <c:v>8.2200000000000006</c:v>
                </c:pt>
                <c:pt idx="12">
                  <c:v>7.82</c:v>
                </c:pt>
                <c:pt idx="13">
                  <c:v>7.51</c:v>
                </c:pt>
                <c:pt idx="14">
                  <c:v>8.1136251569399995</c:v>
                </c:pt>
                <c:pt idx="15">
                  <c:v>10.51943784599</c:v>
                </c:pt>
              </c:numCache>
            </c:numRef>
          </c:val>
          <c:smooth val="0"/>
          <c:extLst>
            <c:ext xmlns:c16="http://schemas.microsoft.com/office/drawing/2014/chart" uri="{C3380CC4-5D6E-409C-BE32-E72D297353CC}">
              <c16:uniqueId val="{00000002-6447-4F75-BB36-32B0A5771F41}"/>
            </c:ext>
          </c:extLst>
        </c:ser>
        <c:ser>
          <c:idx val="7"/>
          <c:order val="3"/>
          <c:tx>
            <c:strRef>
              <c:f>'G2-Stání rozpočet-výdaje'!$E$31</c:f>
              <c:strCache>
                <c:ptCount val="1"/>
                <c:pt idx="0">
                  <c:v>State social support**</c:v>
                </c:pt>
              </c:strCache>
            </c:strRef>
          </c:tx>
          <c:spPr>
            <a:ln w="15875">
              <a:solidFill>
                <a:srgbClr val="00B05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rozpočet-výdaje'!$E$32:$E$47</c:f>
              <c:numCache>
                <c:formatCode>0.0</c:formatCode>
                <c:ptCount val="16"/>
                <c:pt idx="0">
                  <c:v>33.14</c:v>
                </c:pt>
                <c:pt idx="1">
                  <c:v>34.35</c:v>
                </c:pt>
                <c:pt idx="2">
                  <c:v>49.47</c:v>
                </c:pt>
                <c:pt idx="3">
                  <c:v>41.97</c:v>
                </c:pt>
                <c:pt idx="4">
                  <c:v>41.167999999999999</c:v>
                </c:pt>
                <c:pt idx="5">
                  <c:v>40.881</c:v>
                </c:pt>
                <c:pt idx="6">
                  <c:v>36.094000000000001</c:v>
                </c:pt>
                <c:pt idx="7">
                  <c:v>35.554000000000002</c:v>
                </c:pt>
                <c:pt idx="8">
                  <c:v>37.423000000000002</c:v>
                </c:pt>
                <c:pt idx="9">
                  <c:v>37.543999999999997</c:v>
                </c:pt>
                <c:pt idx="10">
                  <c:v>37.65</c:v>
                </c:pt>
                <c:pt idx="11">
                  <c:v>37.78</c:v>
                </c:pt>
                <c:pt idx="12">
                  <c:v>37.22</c:v>
                </c:pt>
                <c:pt idx="13">
                  <c:v>39.22</c:v>
                </c:pt>
                <c:pt idx="14">
                  <c:v>37.87859106618</c:v>
                </c:pt>
                <c:pt idx="15">
                  <c:v>51.69938713877</c:v>
                </c:pt>
              </c:numCache>
            </c:numRef>
          </c:val>
          <c:smooth val="0"/>
          <c:extLst>
            <c:ext xmlns:c16="http://schemas.microsoft.com/office/drawing/2014/chart" uri="{C3380CC4-5D6E-409C-BE32-E72D297353CC}">
              <c16:uniqueId val="{00000003-6447-4F75-BB36-32B0A5771F41}"/>
            </c:ext>
          </c:extLst>
        </c:ser>
        <c:ser>
          <c:idx val="2"/>
          <c:order val="4"/>
          <c:tx>
            <c:strRef>
              <c:f>'G2-Stání rozpočet-výdaje'!$F$31</c:f>
              <c:strCache>
                <c:ptCount val="1"/>
                <c:pt idx="0">
                  <c:v>Sickness benefits</c:v>
                </c:pt>
              </c:strCache>
            </c:strRef>
          </c:tx>
          <c:spPr>
            <a:ln w="15875">
              <a:solidFill>
                <a:srgbClr val="00B0F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rozpočet-výdaje'!$F$32:$F$47</c:f>
              <c:numCache>
                <c:formatCode>0.0</c:formatCode>
                <c:ptCount val="16"/>
                <c:pt idx="0">
                  <c:v>31.66</c:v>
                </c:pt>
                <c:pt idx="1">
                  <c:v>32.773000000000003</c:v>
                </c:pt>
                <c:pt idx="2">
                  <c:v>34.670999999999999</c:v>
                </c:pt>
                <c:pt idx="3">
                  <c:v>31.882000000000001</c:v>
                </c:pt>
                <c:pt idx="4">
                  <c:v>26.233000000000001</c:v>
                </c:pt>
                <c:pt idx="5">
                  <c:v>22.995999999999999</c:v>
                </c:pt>
                <c:pt idx="6">
                  <c:v>21.734000000000002</c:v>
                </c:pt>
                <c:pt idx="7">
                  <c:v>19.602</c:v>
                </c:pt>
                <c:pt idx="8">
                  <c:v>20.350000000000001</c:v>
                </c:pt>
                <c:pt idx="9">
                  <c:v>22.283000000000001</c:v>
                </c:pt>
                <c:pt idx="10">
                  <c:v>24.31</c:v>
                </c:pt>
                <c:pt idx="11">
                  <c:v>26.5</c:v>
                </c:pt>
                <c:pt idx="12">
                  <c:v>28.57</c:v>
                </c:pt>
                <c:pt idx="13">
                  <c:v>34.173699999999997</c:v>
                </c:pt>
                <c:pt idx="14">
                  <c:v>39.094712799999996</c:v>
                </c:pt>
                <c:pt idx="15">
                  <c:v>55.4</c:v>
                </c:pt>
              </c:numCache>
            </c:numRef>
          </c:val>
          <c:smooth val="0"/>
          <c:extLst>
            <c:ext xmlns:c16="http://schemas.microsoft.com/office/drawing/2014/chart" uri="{C3380CC4-5D6E-409C-BE32-E72D297353CC}">
              <c16:uniqueId val="{00000004-6447-4F75-BB36-32B0A5771F41}"/>
            </c:ext>
          </c:extLst>
        </c:ser>
        <c:ser>
          <c:idx val="3"/>
          <c:order val="5"/>
          <c:tx>
            <c:strRef>
              <c:f>'G2-Stání rozpočet-výdaje'!$G$31</c:f>
              <c:strCache>
                <c:ptCount val="1"/>
                <c:pt idx="0">
                  <c:v>Social care benefits***</c:v>
                </c:pt>
              </c:strCache>
            </c:strRef>
          </c:tx>
          <c:spPr>
            <a:ln w="15875">
              <a:solidFill>
                <a:srgbClr val="7030A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rozpočet-výdaje'!$G$32:$G$47</c:f>
              <c:numCache>
                <c:formatCode>General</c:formatCode>
                <c:ptCount val="16"/>
                <c:pt idx="2" formatCode="0.0">
                  <c:v>20.811</c:v>
                </c:pt>
                <c:pt idx="3" formatCode="0.0">
                  <c:v>23.542000000000002</c:v>
                </c:pt>
                <c:pt idx="4" formatCode="0.0">
                  <c:v>24.256</c:v>
                </c:pt>
                <c:pt idx="5" formatCode="0.0">
                  <c:v>25.292000000000002</c:v>
                </c:pt>
                <c:pt idx="6" formatCode="0.0">
                  <c:v>24.966999999999999</c:v>
                </c:pt>
                <c:pt idx="7" formatCode="0.0">
                  <c:v>27.695499999999999</c:v>
                </c:pt>
                <c:pt idx="8" formatCode="0.0">
                  <c:v>31.978999999999999</c:v>
                </c:pt>
                <c:pt idx="9" formatCode="0.0">
                  <c:v>33.622</c:v>
                </c:pt>
                <c:pt idx="10" formatCode="0.0">
                  <c:v>33.621000000000002</c:v>
                </c:pt>
                <c:pt idx="11" formatCode="0.0">
                  <c:v>34.295000000000002</c:v>
                </c:pt>
                <c:pt idx="12" formatCode="0.0">
                  <c:v>34.439</c:v>
                </c:pt>
                <c:pt idx="13" formatCode="0.0">
                  <c:v>33.990400000000001</c:v>
                </c:pt>
                <c:pt idx="14" formatCode="0.0">
                  <c:v>36.831099999999999</c:v>
                </c:pt>
                <c:pt idx="15" formatCode="0.0">
                  <c:v>40.510199999999998</c:v>
                </c:pt>
              </c:numCache>
            </c:numRef>
          </c:val>
          <c:smooth val="0"/>
          <c:extLst>
            <c:ext xmlns:c16="http://schemas.microsoft.com/office/drawing/2014/chart" uri="{C3380CC4-5D6E-409C-BE32-E72D297353CC}">
              <c16:uniqueId val="{00000005-6447-4F75-BB36-32B0A5771F41}"/>
            </c:ext>
          </c:extLst>
        </c:ser>
        <c:ser>
          <c:idx val="4"/>
          <c:order val="6"/>
          <c:tx>
            <c:strRef>
              <c:f>'G2-Stání rozpočet-výdaje'!$H$31</c:f>
              <c:strCache>
                <c:ptCount val="1"/>
                <c:pt idx="0">
                  <c:v>Non-investment purchases****</c:v>
                </c:pt>
              </c:strCache>
            </c:strRef>
          </c:tx>
          <c:spPr>
            <a:ln w="15875">
              <a:solidFill>
                <a:srgbClr val="F8A124"/>
              </a:solidFill>
              <a:prstDash val="solid"/>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rozpočet-výdaje'!$H$32:$H$47</c:f>
              <c:numCache>
                <c:formatCode>0.0</c:formatCode>
                <c:ptCount val="16"/>
                <c:pt idx="0">
                  <c:v>55.461999999999989</c:v>
                </c:pt>
                <c:pt idx="1">
                  <c:v>61.525000000000006</c:v>
                </c:pt>
                <c:pt idx="2">
                  <c:v>63.827000000000005</c:v>
                </c:pt>
                <c:pt idx="3">
                  <c:v>71.581999999999994</c:v>
                </c:pt>
                <c:pt idx="4">
                  <c:v>69.73</c:v>
                </c:pt>
                <c:pt idx="5">
                  <c:v>65.116</c:v>
                </c:pt>
                <c:pt idx="6">
                  <c:v>57.98</c:v>
                </c:pt>
                <c:pt idx="7">
                  <c:v>53.174999999999997</c:v>
                </c:pt>
                <c:pt idx="8">
                  <c:v>54.192999999999998</c:v>
                </c:pt>
                <c:pt idx="9">
                  <c:v>54.751000000000005</c:v>
                </c:pt>
                <c:pt idx="10">
                  <c:v>62.36</c:v>
                </c:pt>
                <c:pt idx="11">
                  <c:v>57.560000000000009</c:v>
                </c:pt>
                <c:pt idx="12">
                  <c:v>62.76</c:v>
                </c:pt>
                <c:pt idx="13">
                  <c:v>68.41</c:v>
                </c:pt>
                <c:pt idx="14">
                  <c:v>66.430000000000007</c:v>
                </c:pt>
                <c:pt idx="15">
                  <c:v>77.830108773489997</c:v>
                </c:pt>
              </c:numCache>
            </c:numRef>
          </c:val>
          <c:smooth val="0"/>
          <c:extLst>
            <c:ext xmlns:c16="http://schemas.microsoft.com/office/drawing/2014/chart" uri="{C3380CC4-5D6E-409C-BE32-E72D297353CC}">
              <c16:uniqueId val="{00000006-6447-4F75-BB36-32B0A5771F41}"/>
            </c:ext>
          </c:extLst>
        </c:ser>
        <c:ser>
          <c:idx val="5"/>
          <c:order val="7"/>
          <c:tx>
            <c:strRef>
              <c:f>'G2-Stání rozpočet-výdaje'!$I$31</c:f>
              <c:strCache>
                <c:ptCount val="1"/>
                <c:pt idx="0">
                  <c:v>State debt (net expenditures) ****</c:v>
                </c:pt>
              </c:strCache>
            </c:strRef>
          </c:tx>
          <c:spPr>
            <a:ln w="15875">
              <a:solidFill>
                <a:srgbClr val="BD1B25"/>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rozpočet-výdaje'!$I$32:$I$47</c:f>
              <c:numCache>
                <c:formatCode>0.0</c:formatCode>
                <c:ptCount val="16"/>
                <c:pt idx="0">
                  <c:v>25.43</c:v>
                </c:pt>
                <c:pt idx="1">
                  <c:v>31.61</c:v>
                </c:pt>
                <c:pt idx="2">
                  <c:v>34.130000000000003</c:v>
                </c:pt>
                <c:pt idx="3">
                  <c:v>37.64</c:v>
                </c:pt>
                <c:pt idx="4">
                  <c:v>44.46</c:v>
                </c:pt>
                <c:pt idx="5">
                  <c:v>35.840000000000003</c:v>
                </c:pt>
                <c:pt idx="6">
                  <c:v>45.120000000000005</c:v>
                </c:pt>
                <c:pt idx="7">
                  <c:v>41.400000000000006</c:v>
                </c:pt>
                <c:pt idx="8">
                  <c:v>50.89</c:v>
                </c:pt>
                <c:pt idx="9">
                  <c:v>48.49</c:v>
                </c:pt>
                <c:pt idx="10">
                  <c:v>45.28</c:v>
                </c:pt>
                <c:pt idx="11">
                  <c:v>40.65</c:v>
                </c:pt>
                <c:pt idx="12">
                  <c:v>39.769999999999996</c:v>
                </c:pt>
                <c:pt idx="13">
                  <c:v>40.729999999999997</c:v>
                </c:pt>
                <c:pt idx="14">
                  <c:v>39.550577993799998</c:v>
                </c:pt>
                <c:pt idx="15">
                  <c:v>40.145474011320005</c:v>
                </c:pt>
              </c:numCache>
            </c:numRef>
          </c:val>
          <c:smooth val="0"/>
          <c:extLst>
            <c:ext xmlns:c16="http://schemas.microsoft.com/office/drawing/2014/chart" uri="{C3380CC4-5D6E-409C-BE32-E72D297353CC}">
              <c16:uniqueId val="{00000007-6447-4F75-BB36-32B0A5771F41}"/>
            </c:ext>
          </c:extLst>
        </c:ser>
        <c:ser>
          <c:idx val="8"/>
          <c:order val="8"/>
          <c:tx>
            <c:strRef>
              <c:f>'G2-Stání rozpočet-výdaje'!$J$31</c:f>
              <c:strCache>
                <c:ptCount val="1"/>
                <c:pt idx="0">
                  <c:v>Non-investment transfers to business entities</c:v>
                </c:pt>
              </c:strCache>
            </c:strRef>
          </c:tx>
          <c:spPr>
            <a:ln w="15875">
              <a:solidFill>
                <a:schemeClr val="bg2">
                  <a:lumMod val="25000"/>
                </a:schemeClr>
              </a:solidFill>
              <a:prstDash val="sysDash"/>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rozpočet-výdaje'!$J$32:$J$47</c:f>
              <c:numCache>
                <c:formatCode>0.00</c:formatCode>
                <c:ptCount val="16"/>
                <c:pt idx="0">
                  <c:v>23.306999999999999</c:v>
                </c:pt>
                <c:pt idx="1">
                  <c:v>22.056999999999999</c:v>
                </c:pt>
                <c:pt idx="2">
                  <c:v>23.696000000000002</c:v>
                </c:pt>
                <c:pt idx="3">
                  <c:v>26.108000000000001</c:v>
                </c:pt>
                <c:pt idx="4">
                  <c:v>28.491</c:v>
                </c:pt>
                <c:pt idx="5">
                  <c:v>28.100999999999999</c:v>
                </c:pt>
                <c:pt idx="6">
                  <c:v>33.262999999999998</c:v>
                </c:pt>
                <c:pt idx="7">
                  <c:v>35.61</c:v>
                </c:pt>
                <c:pt idx="8">
                  <c:v>35.03</c:v>
                </c:pt>
                <c:pt idx="9">
                  <c:v>41.23</c:v>
                </c:pt>
                <c:pt idx="10">
                  <c:v>39.14</c:v>
                </c:pt>
                <c:pt idx="11">
                  <c:v>44.23</c:v>
                </c:pt>
                <c:pt idx="12">
                  <c:v>48.3</c:v>
                </c:pt>
                <c:pt idx="13">
                  <c:v>57.32</c:v>
                </c:pt>
                <c:pt idx="14">
                  <c:v>57.932912725290002</c:v>
                </c:pt>
                <c:pt idx="15">
                  <c:v>106.74829459395001</c:v>
                </c:pt>
              </c:numCache>
            </c:numRef>
          </c:val>
          <c:smooth val="0"/>
          <c:extLst>
            <c:ext xmlns:c16="http://schemas.microsoft.com/office/drawing/2014/chart" uri="{C3380CC4-5D6E-409C-BE32-E72D297353CC}">
              <c16:uniqueId val="{00000008-6447-4F75-BB36-32B0A5771F41}"/>
            </c:ext>
          </c:extLst>
        </c:ser>
        <c:ser>
          <c:idx val="9"/>
          <c:order val="9"/>
          <c:tx>
            <c:strRef>
              <c:f>'G2-Stání rozpočet-výdaje'!$K$31</c:f>
              <c:strCache>
                <c:ptCount val="1"/>
                <c:pt idx="0">
                  <c:v>Capital expenditures</c:v>
                </c:pt>
              </c:strCache>
            </c:strRef>
          </c:tx>
          <c:spPr>
            <a:ln w="15875">
              <a:solidFill>
                <a:schemeClr val="tx1">
                  <a:lumMod val="95000"/>
                  <a:lumOff val="5000"/>
                </a:schemeClr>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rozpočet-výdaje'!$K$32:$K$47</c:f>
              <c:numCache>
                <c:formatCode>0.0</c:formatCode>
                <c:ptCount val="16"/>
                <c:pt idx="0">
                  <c:v>81.99</c:v>
                </c:pt>
                <c:pt idx="1">
                  <c:v>108.54</c:v>
                </c:pt>
                <c:pt idx="2">
                  <c:v>118.42</c:v>
                </c:pt>
                <c:pt idx="3">
                  <c:v>108.08</c:v>
                </c:pt>
                <c:pt idx="4">
                  <c:v>134.22999999999999</c:v>
                </c:pt>
                <c:pt idx="5">
                  <c:v>134.91</c:v>
                </c:pt>
                <c:pt idx="6">
                  <c:v>123.69</c:v>
                </c:pt>
                <c:pt idx="7">
                  <c:v>113.62</c:v>
                </c:pt>
                <c:pt idx="8">
                  <c:v>102.315</c:v>
                </c:pt>
                <c:pt idx="9">
                  <c:v>111.50700000000001</c:v>
                </c:pt>
                <c:pt idx="10">
                  <c:v>175.66</c:v>
                </c:pt>
                <c:pt idx="11">
                  <c:v>84.27</c:v>
                </c:pt>
                <c:pt idx="12">
                  <c:v>81.75</c:v>
                </c:pt>
                <c:pt idx="13">
                  <c:v>116.46</c:v>
                </c:pt>
                <c:pt idx="14">
                  <c:v>139.13928546782003</c:v>
                </c:pt>
                <c:pt idx="15">
                  <c:v>172.68713515186002</c:v>
                </c:pt>
              </c:numCache>
            </c:numRef>
          </c:val>
          <c:smooth val="0"/>
          <c:extLst>
            <c:ext xmlns:c16="http://schemas.microsoft.com/office/drawing/2014/chart" uri="{C3380CC4-5D6E-409C-BE32-E72D297353CC}">
              <c16:uniqueId val="{00000009-6447-4F75-BB36-32B0A5771F41}"/>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180"/>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a:effectLst/>
                  </a:rPr>
                  <a:t>Other expenditures (in CZK bn)</a:t>
                </a:r>
                <a:endParaRPr lang="cs-CZ" sz="700" b="0">
                  <a:effectLst/>
                </a:endParaRPr>
              </a:p>
            </c:rich>
          </c:tx>
          <c:layout>
            <c:manualLayout>
              <c:xMode val="edge"/>
              <c:yMode val="edge"/>
              <c:x val="0"/>
              <c:y val="0.22613499913827934"/>
            </c:manualLayout>
          </c:layout>
          <c:overlay val="0"/>
        </c:title>
        <c:numFmt formatCode="0" sourceLinked="0"/>
        <c:majorTickMark val="out"/>
        <c:minorTickMark val="none"/>
        <c:tickLblPos val="nextTo"/>
        <c:spPr>
          <a:ln w="6350">
            <a:solidFill>
              <a:schemeClr val="tx1"/>
            </a:solidFill>
          </a:ln>
        </c:spPr>
        <c:crossAx val="72827648"/>
        <c:crosses val="autoZero"/>
        <c:crossBetween val="between"/>
        <c:majorUnit val="20"/>
      </c:valAx>
      <c:valAx>
        <c:axId val="72835072"/>
        <c:scaling>
          <c:orientation val="minMax"/>
          <c:max val="180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a:effectLst/>
                  </a:rPr>
                  <a:t>Total current expenditures (in CZK bn)</a:t>
                </a:r>
                <a:endParaRPr lang="cs-CZ" sz="700" b="0">
                  <a:effectLst/>
                </a:endParaRPr>
              </a:p>
            </c:rich>
          </c:tx>
          <c:layout>
            <c:manualLayout>
              <c:xMode val="edge"/>
              <c:yMode val="edge"/>
              <c:x val="0.97053252534685275"/>
              <c:y val="0.18723667800453514"/>
            </c:manualLayout>
          </c:layout>
          <c:overlay val="0"/>
        </c:title>
        <c:numFmt formatCode="0" sourceLinked="0"/>
        <c:majorTickMark val="out"/>
        <c:minorTickMark val="none"/>
        <c:tickLblPos val="nextTo"/>
        <c:spPr>
          <a:ln w="6350">
            <a:solidFill>
              <a:schemeClr val="tx1"/>
            </a:solidFill>
          </a:ln>
        </c:spPr>
        <c:crossAx val="72836608"/>
        <c:crosses val="max"/>
        <c:crossBetween val="between"/>
        <c:majorUnit val="20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1.835084240454073E-2"/>
          <c:y val="0.84073931541828562"/>
          <c:w val="0.94411430422398157"/>
          <c:h val="0.15553841203261182"/>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3'!$D$18:$D$41</c:f>
              <c:numCache>
                <c:formatCode>#\ ##0.0</c:formatCode>
                <c:ptCount val="24"/>
                <c:pt idx="0">
                  <c:v>1.0004416838991848</c:v>
                </c:pt>
                <c:pt idx="1">
                  <c:v>1.1245121794719866</c:v>
                </c:pt>
                <c:pt idx="2">
                  <c:v>1.2521979797185689</c:v>
                </c:pt>
                <c:pt idx="3">
                  <c:v>1.5140922770621217</c:v>
                </c:pt>
                <c:pt idx="4">
                  <c:v>1.011033178528604</c:v>
                </c:pt>
                <c:pt idx="5">
                  <c:v>0.84092037321111202</c:v>
                </c:pt>
                <c:pt idx="6">
                  <c:v>1.0599389176360645</c:v>
                </c:pt>
                <c:pt idx="7">
                  <c:v>0.97961312874423945</c:v>
                </c:pt>
                <c:pt idx="8">
                  <c:v>1.0820067439812537</c:v>
                </c:pt>
                <c:pt idx="9">
                  <c:v>1.4390025136660056</c:v>
                </c:pt>
                <c:pt idx="10">
                  <c:v>1.3061872269069228</c:v>
                </c:pt>
                <c:pt idx="11">
                  <c:v>1.0872722376357689</c:v>
                </c:pt>
                <c:pt idx="12">
                  <c:v>1.4946157705821075</c:v>
                </c:pt>
                <c:pt idx="13">
                  <c:v>1.2142838411264594</c:v>
                </c:pt>
                <c:pt idx="14">
                  <c:v>1.0289002157801086</c:v>
                </c:pt>
                <c:pt idx="15">
                  <c:v>0.93050000708627612</c:v>
                </c:pt>
                <c:pt idx="16">
                  <c:v>0.95628944982116215</c:v>
                </c:pt>
                <c:pt idx="17">
                  <c:v>1.3437109083643106</c:v>
                </c:pt>
                <c:pt idx="18">
                  <c:v>1.1786413228066261</c:v>
                </c:pt>
                <c:pt idx="19">
                  <c:v>1.3244967154849818</c:v>
                </c:pt>
                <c:pt idx="20">
                  <c:v>9.3839745310128411E-3</c:v>
                </c:pt>
                <c:pt idx="21">
                  <c:v>-2.4845497640166503</c:v>
                </c:pt>
                <c:pt idx="22">
                  <c:v>-1.2126293776774095</c:v>
                </c:pt>
                <c:pt idx="23">
                  <c:v>-3.826671297981906</c:v>
                </c:pt>
              </c:numCache>
            </c:numRef>
          </c:val>
          <c:extLst>
            <c:ext xmlns:c16="http://schemas.microsoft.com/office/drawing/2014/chart" uri="{C3380CC4-5D6E-409C-BE32-E72D297353CC}">
              <c16:uniqueId val="{00000000-8BF0-4FC6-9C17-BC4FB2558C0E}"/>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3'!$E$18:$E$41</c:f>
              <c:numCache>
                <c:formatCode>#\ ##0.0</c:formatCode>
                <c:ptCount val="24"/>
                <c:pt idx="0">
                  <c:v>0.36711313994295081</c:v>
                </c:pt>
                <c:pt idx="1">
                  <c:v>0.38184726381267609</c:v>
                </c:pt>
                <c:pt idx="2">
                  <c:v>0.5911601763482196</c:v>
                </c:pt>
                <c:pt idx="3">
                  <c:v>0.43670380992842678</c:v>
                </c:pt>
                <c:pt idx="4">
                  <c:v>0.42501610259126504</c:v>
                </c:pt>
                <c:pt idx="5">
                  <c:v>0.47017789747807115</c:v>
                </c:pt>
                <c:pt idx="6">
                  <c:v>0.42973407124759544</c:v>
                </c:pt>
                <c:pt idx="7">
                  <c:v>0.47700779378045444</c:v>
                </c:pt>
                <c:pt idx="8">
                  <c:v>0.4285629075979569</c:v>
                </c:pt>
                <c:pt idx="9">
                  <c:v>0.36487116628719296</c:v>
                </c:pt>
                <c:pt idx="10">
                  <c:v>0.22397478701370191</c:v>
                </c:pt>
                <c:pt idx="11">
                  <c:v>0.25198788808759842</c:v>
                </c:pt>
                <c:pt idx="12">
                  <c:v>0.55545322397874786</c:v>
                </c:pt>
                <c:pt idx="13">
                  <c:v>0.56563297121642442</c:v>
                </c:pt>
                <c:pt idx="14">
                  <c:v>0.85620414943517464</c:v>
                </c:pt>
                <c:pt idx="15">
                  <c:v>0.79947731678211598</c:v>
                </c:pt>
                <c:pt idx="16">
                  <c:v>0.35314674266144058</c:v>
                </c:pt>
                <c:pt idx="17">
                  <c:v>0.47275530186714843</c:v>
                </c:pt>
                <c:pt idx="18">
                  <c:v>0.3752076605407596</c:v>
                </c:pt>
                <c:pt idx="19">
                  <c:v>0.38684117827578673</c:v>
                </c:pt>
                <c:pt idx="20">
                  <c:v>0.91372459235104686</c:v>
                </c:pt>
                <c:pt idx="21">
                  <c:v>0.39882296048191224</c:v>
                </c:pt>
                <c:pt idx="22">
                  <c:v>3.4369404238827783E-2</c:v>
                </c:pt>
                <c:pt idx="23">
                  <c:v>0.96111087898256808</c:v>
                </c:pt>
              </c:numCache>
            </c:numRef>
          </c:val>
          <c:extLst>
            <c:ext xmlns:c16="http://schemas.microsoft.com/office/drawing/2014/chart" uri="{C3380CC4-5D6E-409C-BE32-E72D297353CC}">
              <c16:uniqueId val="{00000001-8BF0-4FC6-9C17-BC4FB2558C0E}"/>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3'!$G$18:$G$41</c:f>
              <c:numCache>
                <c:formatCode>#\ ##0.0</c:formatCode>
                <c:ptCount val="24"/>
                <c:pt idx="0">
                  <c:v>3.1310050244124823</c:v>
                </c:pt>
                <c:pt idx="1">
                  <c:v>3.7310848346723087</c:v>
                </c:pt>
                <c:pt idx="2">
                  <c:v>2.34505813454797</c:v>
                </c:pt>
                <c:pt idx="3">
                  <c:v>1.0284887473308018</c:v>
                </c:pt>
                <c:pt idx="4">
                  <c:v>0.1426787206126395</c:v>
                </c:pt>
                <c:pt idx="5">
                  <c:v>-1.4507925661177268</c:v>
                </c:pt>
                <c:pt idx="6">
                  <c:v>-0.98123446043739548</c:v>
                </c:pt>
                <c:pt idx="7">
                  <c:v>-0.61353806390597054</c:v>
                </c:pt>
                <c:pt idx="8">
                  <c:v>-0.96942712410588472</c:v>
                </c:pt>
                <c:pt idx="9">
                  <c:v>0.73262216993952523</c:v>
                </c:pt>
                <c:pt idx="10">
                  <c:v>1.5238713260674783</c:v>
                </c:pt>
                <c:pt idx="11">
                  <c:v>2.2323726403134958</c:v>
                </c:pt>
                <c:pt idx="12">
                  <c:v>3.0952033404087724</c:v>
                </c:pt>
                <c:pt idx="13">
                  <c:v>1.6598485290447111</c:v>
                </c:pt>
                <c:pt idx="14">
                  <c:v>1.8068887705851226</c:v>
                </c:pt>
                <c:pt idx="15">
                  <c:v>0.39151322871173594</c:v>
                </c:pt>
                <c:pt idx="16">
                  <c:v>0.95030598176660519</c:v>
                </c:pt>
                <c:pt idx="17">
                  <c:v>-1.1488329075459902</c:v>
                </c:pt>
                <c:pt idx="18">
                  <c:v>-1.1907175426027021</c:v>
                </c:pt>
                <c:pt idx="19">
                  <c:v>1.1321774143229344</c:v>
                </c:pt>
                <c:pt idx="20">
                  <c:v>-2.021875914902854</c:v>
                </c:pt>
                <c:pt idx="21">
                  <c:v>-0.73793514725012954</c:v>
                </c:pt>
                <c:pt idx="22">
                  <c:v>-4.1653196081506154</c:v>
                </c:pt>
                <c:pt idx="23">
                  <c:v>-5.2923682225688644</c:v>
                </c:pt>
              </c:numCache>
            </c:numRef>
          </c:val>
          <c:extLst>
            <c:ext xmlns:c16="http://schemas.microsoft.com/office/drawing/2014/chart" uri="{C3380CC4-5D6E-409C-BE32-E72D297353CC}">
              <c16:uniqueId val="{00000002-8BF0-4FC6-9C17-BC4FB2558C0E}"/>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3'!$F$18:$F$41</c:f>
              <c:numCache>
                <c:formatCode>#\ ##0.0</c:formatCode>
                <c:ptCount val="24"/>
                <c:pt idx="0">
                  <c:v>0.85358800053760486</c:v>
                </c:pt>
                <c:pt idx="1">
                  <c:v>0.50682849323072787</c:v>
                </c:pt>
                <c:pt idx="2">
                  <c:v>1.4713169429104394</c:v>
                </c:pt>
                <c:pt idx="3">
                  <c:v>2.0731040792572153</c:v>
                </c:pt>
                <c:pt idx="4">
                  <c:v>1.7620830562499514</c:v>
                </c:pt>
                <c:pt idx="5">
                  <c:v>2.3990552594367274</c:v>
                </c:pt>
                <c:pt idx="6">
                  <c:v>1.370993307029881</c:v>
                </c:pt>
                <c:pt idx="7">
                  <c:v>1.2526206333504177</c:v>
                </c:pt>
                <c:pt idx="8">
                  <c:v>3.0648181369329626</c:v>
                </c:pt>
                <c:pt idx="9">
                  <c:v>3.4601141630489307</c:v>
                </c:pt>
                <c:pt idx="10">
                  <c:v>2.7091491429512415</c:v>
                </c:pt>
                <c:pt idx="11">
                  <c:v>2.1602088091475098</c:v>
                </c:pt>
                <c:pt idx="12">
                  <c:v>-0.47609047269948945</c:v>
                </c:pt>
                <c:pt idx="13">
                  <c:v>-0.80874071873919284</c:v>
                </c:pt>
                <c:pt idx="14">
                  <c:v>-1.037162889607357</c:v>
                </c:pt>
                <c:pt idx="15">
                  <c:v>0.25724717059829372</c:v>
                </c:pt>
                <c:pt idx="16">
                  <c:v>0.10748557741256393</c:v>
                </c:pt>
                <c:pt idx="17">
                  <c:v>1.5467605826471411</c:v>
                </c:pt>
                <c:pt idx="18">
                  <c:v>1.7784931462823457</c:v>
                </c:pt>
                <c:pt idx="19">
                  <c:v>-0.8906917898123291</c:v>
                </c:pt>
                <c:pt idx="20">
                  <c:v>-0.72640054906946128</c:v>
                </c:pt>
                <c:pt idx="21">
                  <c:v>-7.98196403817456</c:v>
                </c:pt>
                <c:pt idx="22">
                  <c:v>0.46787430757374082</c:v>
                </c:pt>
                <c:pt idx="23">
                  <c:v>3.4436686230568054</c:v>
                </c:pt>
              </c:numCache>
            </c:numRef>
          </c:val>
          <c:extLst>
            <c:ext xmlns:c16="http://schemas.microsoft.com/office/drawing/2014/chart" uri="{C3380CC4-5D6E-409C-BE32-E72D297353CC}">
              <c16:uniqueId val="{00000003-8BF0-4FC6-9C17-BC4FB2558C0E}"/>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3'!$C$18:$C$41</c:f>
              <c:numCache>
                <c:formatCode>#\ ##0.0</c:formatCode>
                <c:ptCount val="24"/>
                <c:pt idx="0">
                  <c:v>5.3541479116968844</c:v>
                </c:pt>
                <c:pt idx="1">
                  <c:v>5.7580987456543795</c:v>
                </c:pt>
                <c:pt idx="2">
                  <c:v>5.6783364148190572</c:v>
                </c:pt>
                <c:pt idx="3">
                  <c:v>5.0736477020698771</c:v>
                </c:pt>
                <c:pt idx="4">
                  <c:v>3.4010558338826229</c:v>
                </c:pt>
                <c:pt idx="5">
                  <c:v>2.3184007606832324</c:v>
                </c:pt>
                <c:pt idx="6">
                  <c:v>1.9346258296187244</c:v>
                </c:pt>
                <c:pt idx="7">
                  <c:v>2.1527861842497913</c:v>
                </c:pt>
                <c:pt idx="8">
                  <c:v>3.6789755923611835</c:v>
                </c:pt>
                <c:pt idx="9">
                  <c:v>6.0785791748313187</c:v>
                </c:pt>
                <c:pt idx="10">
                  <c:v>5.8461673142579968</c:v>
                </c:pt>
                <c:pt idx="11">
                  <c:v>5.8135294348367665</c:v>
                </c:pt>
                <c:pt idx="12">
                  <c:v>4.7870310097690947</c:v>
                </c:pt>
                <c:pt idx="13">
                  <c:v>2.7415951273320331</c:v>
                </c:pt>
                <c:pt idx="14">
                  <c:v>2.7643378154414791</c:v>
                </c:pt>
                <c:pt idx="15">
                  <c:v>2.4875508102028903</c:v>
                </c:pt>
                <c:pt idx="16">
                  <c:v>2.4452702840320768</c:v>
                </c:pt>
                <c:pt idx="17">
                  <c:v>2.2867541286130972</c:v>
                </c:pt>
                <c:pt idx="18">
                  <c:v>2.2190768640245579</c:v>
                </c:pt>
                <c:pt idx="19">
                  <c:v>2.0355599675258418</c:v>
                </c:pt>
                <c:pt idx="20">
                  <c:v>-1.8023935566208138</c:v>
                </c:pt>
                <c:pt idx="21">
                  <c:v>-10.813978605851133</c:v>
                </c:pt>
                <c:pt idx="22">
                  <c:v>-4.919224243855794</c:v>
                </c:pt>
                <c:pt idx="23">
                  <c:v>-4.723341129019488</c:v>
                </c:pt>
              </c:numCache>
            </c:numRef>
          </c:val>
          <c:smooth val="0"/>
          <c:extLst>
            <c:ext xmlns:c16="http://schemas.microsoft.com/office/drawing/2014/chart" uri="{C3380CC4-5D6E-409C-BE32-E72D297353CC}">
              <c16:uniqueId val="{00000004-8BF0-4FC6-9C17-BC4FB2558C0E}"/>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3"/>
      </c:valAx>
      <c:spPr>
        <a:ln>
          <a:solidFill>
            <a:schemeClr val="tx1"/>
          </a:solidFill>
        </a:ln>
      </c:spPr>
    </c:plotArea>
    <c:legend>
      <c:legendPos val="b"/>
      <c:layout>
        <c:manualLayout>
          <c:xMode val="edge"/>
          <c:yMode val="edge"/>
          <c:x val="5.5599658512421081E-2"/>
          <c:y val="0.79301446583361457"/>
          <c:w val="0.9297882566215917"/>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4'!$C$18:$C$41</c:f>
              <c:numCache>
                <c:formatCode>#\ ##0.0</c:formatCode>
                <c:ptCount val="24"/>
                <c:pt idx="0">
                  <c:v>0.30368485614942081</c:v>
                </c:pt>
                <c:pt idx="1">
                  <c:v>0.2304988905076614</c:v>
                </c:pt>
                <c:pt idx="2">
                  <c:v>0.11798809635792069</c:v>
                </c:pt>
                <c:pt idx="3">
                  <c:v>7.2282252647939291E-2</c:v>
                </c:pt>
                <c:pt idx="4">
                  <c:v>5.3855687366031392E-2</c:v>
                </c:pt>
                <c:pt idx="5">
                  <c:v>0.14849879547587463</c:v>
                </c:pt>
                <c:pt idx="6">
                  <c:v>0.21032935295139474</c:v>
                </c:pt>
                <c:pt idx="7">
                  <c:v>0.10195129284322399</c:v>
                </c:pt>
                <c:pt idx="8">
                  <c:v>-9.6443702202456318E-3</c:v>
                </c:pt>
                <c:pt idx="9">
                  <c:v>-0.1183984267345688</c:v>
                </c:pt>
                <c:pt idx="10">
                  <c:v>-0.19416190528766372</c:v>
                </c:pt>
                <c:pt idx="11">
                  <c:v>-3.0322150838633197E-2</c:v>
                </c:pt>
                <c:pt idx="12">
                  <c:v>5.0044921066203105E-2</c:v>
                </c:pt>
                <c:pt idx="13">
                  <c:v>6.4956526264887057E-2</c:v>
                </c:pt>
                <c:pt idx="14">
                  <c:v>0.12486105995197894</c:v>
                </c:pt>
                <c:pt idx="15">
                  <c:v>0.13154654151227857</c:v>
                </c:pt>
                <c:pt idx="16">
                  <c:v>7.081167345092805E-2</c:v>
                </c:pt>
                <c:pt idx="17">
                  <c:v>6.3206484217815842E-2</c:v>
                </c:pt>
                <c:pt idx="18">
                  <c:v>0.13939824971947998</c:v>
                </c:pt>
                <c:pt idx="19">
                  <c:v>0.20779550254411278</c:v>
                </c:pt>
                <c:pt idx="20">
                  <c:v>0.1520890419728918</c:v>
                </c:pt>
                <c:pt idx="21">
                  <c:v>6.2061719606766791E-2</c:v>
                </c:pt>
                <c:pt idx="22">
                  <c:v>8.8928348206652005E-2</c:v>
                </c:pt>
                <c:pt idx="23">
                  <c:v>0.10903228788820159</c:v>
                </c:pt>
              </c:numCache>
            </c:numRef>
          </c:val>
          <c:extLst>
            <c:ext xmlns:c16="http://schemas.microsoft.com/office/drawing/2014/chart" uri="{C3380CC4-5D6E-409C-BE32-E72D297353CC}">
              <c16:uniqueId val="{00000000-B199-4330-B6D4-D5ABFCE38F47}"/>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4'!$D$18:$D$41</c:f>
              <c:numCache>
                <c:formatCode>#\ ##0.0</c:formatCode>
                <c:ptCount val="24"/>
                <c:pt idx="0">
                  <c:v>2.2974970288931655</c:v>
                </c:pt>
                <c:pt idx="1">
                  <c:v>2.1003819539683337</c:v>
                </c:pt>
                <c:pt idx="2">
                  <c:v>2.161753605301608</c:v>
                </c:pt>
                <c:pt idx="3">
                  <c:v>1.6515907003433452</c:v>
                </c:pt>
                <c:pt idx="4">
                  <c:v>1.5749274984416446</c:v>
                </c:pt>
                <c:pt idx="5">
                  <c:v>0.83208666717303936</c:v>
                </c:pt>
                <c:pt idx="6">
                  <c:v>0.93499427724552242</c:v>
                </c:pt>
                <c:pt idx="7">
                  <c:v>1.2180600651181106</c:v>
                </c:pt>
                <c:pt idx="8">
                  <c:v>1.3791245235480027</c:v>
                </c:pt>
                <c:pt idx="9">
                  <c:v>3.156295399272143</c:v>
                </c:pt>
                <c:pt idx="10">
                  <c:v>3.0056722211992475</c:v>
                </c:pt>
                <c:pt idx="11">
                  <c:v>2.3263082145418474</c:v>
                </c:pt>
                <c:pt idx="12">
                  <c:v>1.5335167130194982</c:v>
                </c:pt>
                <c:pt idx="13">
                  <c:v>0.19981038241166935</c:v>
                </c:pt>
                <c:pt idx="14">
                  <c:v>1.4811571147741608E-2</c:v>
                </c:pt>
                <c:pt idx="15">
                  <c:v>0.23183920009067607</c:v>
                </c:pt>
                <c:pt idx="16">
                  <c:v>0.65901524280795287</c:v>
                </c:pt>
                <c:pt idx="17">
                  <c:v>0.87998369250049879</c:v>
                </c:pt>
                <c:pt idx="18">
                  <c:v>0.90491958201141753</c:v>
                </c:pt>
                <c:pt idx="19">
                  <c:v>0.38172687932398586</c:v>
                </c:pt>
                <c:pt idx="20">
                  <c:v>-0.74488821313914733</c:v>
                </c:pt>
                <c:pt idx="21">
                  <c:v>-4.6997602454486875</c:v>
                </c:pt>
                <c:pt idx="22">
                  <c:v>-1.1464837603400306</c:v>
                </c:pt>
                <c:pt idx="23">
                  <c:v>-0.26974562009014308</c:v>
                </c:pt>
              </c:numCache>
            </c:numRef>
          </c:val>
          <c:extLst>
            <c:ext xmlns:c16="http://schemas.microsoft.com/office/drawing/2014/chart" uri="{C3380CC4-5D6E-409C-BE32-E72D297353CC}">
              <c16:uniqueId val="{00000001-B199-4330-B6D4-D5ABFCE38F47}"/>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4'!$E$18:$E$41</c:f>
              <c:numCache>
                <c:formatCode>#\ ##0.0</c:formatCode>
                <c:ptCount val="24"/>
                <c:pt idx="0">
                  <c:v>-0.2238083391325838</c:v>
                </c:pt>
                <c:pt idx="1">
                  <c:v>-0.23838971368947015</c:v>
                </c:pt>
                <c:pt idx="2">
                  <c:v>-0.2053609549377069</c:v>
                </c:pt>
                <c:pt idx="3">
                  <c:v>-0.35147060330963598</c:v>
                </c:pt>
                <c:pt idx="4">
                  <c:v>-0.61869060635239537</c:v>
                </c:pt>
                <c:pt idx="5">
                  <c:v>-0.25512934357205408</c:v>
                </c:pt>
                <c:pt idx="6">
                  <c:v>-0.19959002476284948</c:v>
                </c:pt>
                <c:pt idx="7">
                  <c:v>3.2746825671393198E-2</c:v>
                </c:pt>
                <c:pt idx="8">
                  <c:v>0.18450614676852783</c:v>
                </c:pt>
                <c:pt idx="9">
                  <c:v>9.0995210938591864E-2</c:v>
                </c:pt>
                <c:pt idx="10">
                  <c:v>9.3791960410576802E-2</c:v>
                </c:pt>
                <c:pt idx="11">
                  <c:v>9.7481504130754182E-3</c:v>
                </c:pt>
                <c:pt idx="12">
                  <c:v>-0.12069430817929794</c:v>
                </c:pt>
                <c:pt idx="13">
                  <c:v>-5.5819651243370877E-2</c:v>
                </c:pt>
                <c:pt idx="14" formatCode="General">
                  <c:v>7.5358871745050016E-2</c:v>
                </c:pt>
                <c:pt idx="15" formatCode="General">
                  <c:v>-1.4282054294332547E-2</c:v>
                </c:pt>
                <c:pt idx="16" formatCode="General">
                  <c:v>-5.059819013915523E-2</c:v>
                </c:pt>
                <c:pt idx="17" formatCode="General">
                  <c:v>-0.12947450207232991</c:v>
                </c:pt>
                <c:pt idx="18" formatCode="General">
                  <c:v>-0.16950374479973207</c:v>
                </c:pt>
                <c:pt idx="19" formatCode="General">
                  <c:v>-1.133243621179153E-2</c:v>
                </c:pt>
                <c:pt idx="20" formatCode="General">
                  <c:v>-0.25671162568053629</c:v>
                </c:pt>
                <c:pt idx="21" formatCode="General">
                  <c:v>-0.70252226402466178</c:v>
                </c:pt>
                <c:pt idx="22" formatCode="General">
                  <c:v>-0.40182325222037685</c:v>
                </c:pt>
                <c:pt idx="23" formatCode="General">
                  <c:v>-0.12835773095106762</c:v>
                </c:pt>
              </c:numCache>
            </c:numRef>
          </c:val>
          <c:extLst>
            <c:ext xmlns:c16="http://schemas.microsoft.com/office/drawing/2014/chart" uri="{C3380CC4-5D6E-409C-BE32-E72D297353CC}">
              <c16:uniqueId val="{00000002-B199-4330-B6D4-D5ABFCE38F47}"/>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4'!$F$18:$F$41</c:f>
              <c:numCache>
                <c:formatCode>#\ ##0.0</c:formatCode>
                <c:ptCount val="24"/>
                <c:pt idx="0">
                  <c:v>0.13087923173458302</c:v>
                </c:pt>
                <c:pt idx="1">
                  <c:v>0.16519036862091754</c:v>
                </c:pt>
                <c:pt idx="2">
                  <c:v>0.21120786680843179</c:v>
                </c:pt>
                <c:pt idx="3">
                  <c:v>-1.2415147928913664E-2</c:v>
                </c:pt>
                <c:pt idx="4">
                  <c:v>-0.10952448541686127</c:v>
                </c:pt>
                <c:pt idx="5">
                  <c:v>-0.28214741197780213</c:v>
                </c:pt>
                <c:pt idx="6">
                  <c:v>-0.27168672817032663</c:v>
                </c:pt>
                <c:pt idx="7">
                  <c:v>-0.20754684715757324</c:v>
                </c:pt>
                <c:pt idx="8">
                  <c:v>-8.524394743114426E-2</c:v>
                </c:pt>
                <c:pt idx="9">
                  <c:v>0.11383434006711636</c:v>
                </c:pt>
                <c:pt idx="10">
                  <c:v>4.3349635308544285E-2</c:v>
                </c:pt>
                <c:pt idx="11">
                  <c:v>0.17858744375528909</c:v>
                </c:pt>
                <c:pt idx="12">
                  <c:v>0.11784079575472811</c:v>
                </c:pt>
                <c:pt idx="13">
                  <c:v>3.4351403274769446E-2</c:v>
                </c:pt>
                <c:pt idx="14">
                  <c:v>6.4292065770569871E-3</c:v>
                </c:pt>
                <c:pt idx="15">
                  <c:v>-0.14625229498792841</c:v>
                </c:pt>
                <c:pt idx="16">
                  <c:v>-0.21512252328197207</c:v>
                </c:pt>
                <c:pt idx="17">
                  <c:v>-0.18844102026698162</c:v>
                </c:pt>
                <c:pt idx="18">
                  <c:v>-0.14303462630376634</c:v>
                </c:pt>
                <c:pt idx="19">
                  <c:v>-6.4393486585439266E-2</c:v>
                </c:pt>
                <c:pt idx="20">
                  <c:v>9.5177000113816995E-2</c:v>
                </c:pt>
                <c:pt idx="21">
                  <c:v>-0.33344327566547693</c:v>
                </c:pt>
                <c:pt idx="22">
                  <c:v>-0.22899979934020714</c:v>
                </c:pt>
                <c:pt idx="23">
                  <c:v>-0.30022172178457024</c:v>
                </c:pt>
              </c:numCache>
            </c:numRef>
          </c:val>
          <c:extLst>
            <c:ext xmlns:c16="http://schemas.microsoft.com/office/drawing/2014/chart" uri="{C3380CC4-5D6E-409C-BE32-E72D297353CC}">
              <c16:uniqueId val="{00000003-B199-4330-B6D4-D5ABFCE38F47}"/>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4'!$G$18:$G$41</c:f>
              <c:numCache>
                <c:formatCode>#\ ##0.0</c:formatCode>
                <c:ptCount val="24"/>
                <c:pt idx="0">
                  <c:v>2.2069915595993166</c:v>
                </c:pt>
                <c:pt idx="1">
                  <c:v>2.8395836710030271</c:v>
                </c:pt>
                <c:pt idx="2">
                  <c:v>2.9673304933717439</c:v>
                </c:pt>
                <c:pt idx="3">
                  <c:v>3.1996488393000861</c:v>
                </c:pt>
                <c:pt idx="4">
                  <c:v>2.2669828358604827</c:v>
                </c:pt>
                <c:pt idx="5">
                  <c:v>1.7472095584606271</c:v>
                </c:pt>
                <c:pt idx="6">
                  <c:v>1.2199893940422677</c:v>
                </c:pt>
                <c:pt idx="7">
                  <c:v>1.2038927401746593</c:v>
                </c:pt>
                <c:pt idx="8">
                  <c:v>2.1828063096576567</c:v>
                </c:pt>
                <c:pt idx="9">
                  <c:v>3.1402341655549573</c:v>
                </c:pt>
                <c:pt idx="10">
                  <c:v>2.9649621789836469</c:v>
                </c:pt>
                <c:pt idx="11">
                  <c:v>3.2019367955598788</c:v>
                </c:pt>
                <c:pt idx="12">
                  <c:v>3.3049533952383974</c:v>
                </c:pt>
                <c:pt idx="13">
                  <c:v>2.5891316897173389</c:v>
                </c:pt>
                <c:pt idx="14" formatCode="General">
                  <c:v>2.8718259229432168</c:v>
                </c:pt>
                <c:pt idx="15" formatCode="General">
                  <c:v>2.4174879675858536</c:v>
                </c:pt>
                <c:pt idx="16" formatCode="General">
                  <c:v>2.1162989981981855</c:v>
                </c:pt>
                <c:pt idx="17" formatCode="General">
                  <c:v>1.491444737244932</c:v>
                </c:pt>
                <c:pt idx="18" formatCode="General">
                  <c:v>1.2523982293970002</c:v>
                </c:pt>
                <c:pt idx="19" formatCode="General">
                  <c:v>1.2983334838140204</c:v>
                </c:pt>
                <c:pt idx="20" formatCode="General">
                  <c:v>-0.56281287556262882</c:v>
                </c:pt>
                <c:pt idx="21" formatCode="General">
                  <c:v>-5.4163206925814062</c:v>
                </c:pt>
                <c:pt idx="22" formatCode="General">
                  <c:v>-3.1727368023564675</c:v>
                </c:pt>
                <c:pt idx="23" formatCode="General">
                  <c:v>-4.0821671637072932</c:v>
                </c:pt>
              </c:numCache>
            </c:numRef>
          </c:val>
          <c:extLst>
            <c:ext xmlns:c16="http://schemas.microsoft.com/office/drawing/2014/chart" uri="{C3380CC4-5D6E-409C-BE32-E72D297353CC}">
              <c16:uniqueId val="{00000004-B199-4330-B6D4-D5ABFCE38F47}"/>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4'!$H$18:$H$41</c:f>
              <c:numCache>
                <c:formatCode>#\ ##0.0</c:formatCode>
                <c:ptCount val="24"/>
                <c:pt idx="0">
                  <c:v>4.715513587220201</c:v>
                </c:pt>
                <c:pt idx="1">
                  <c:v>5.0971004057791305</c:v>
                </c:pt>
                <c:pt idx="2">
                  <c:v>5.2530196431134613</c:v>
                </c:pt>
                <c:pt idx="3">
                  <c:v>4.5592485406007199</c:v>
                </c:pt>
                <c:pt idx="4">
                  <c:v>3.1674424411731508</c:v>
                </c:pt>
                <c:pt idx="5">
                  <c:v>2.1906580742636379</c:v>
                </c:pt>
                <c:pt idx="6">
                  <c:v>1.8939325302629584</c:v>
                </c:pt>
                <c:pt idx="7">
                  <c:v>2.3492580716968376</c:v>
                </c:pt>
                <c:pt idx="8">
                  <c:v>3.6516543205207768</c:v>
                </c:pt>
                <c:pt idx="9">
                  <c:v>6.3830027976023729</c:v>
                </c:pt>
                <c:pt idx="10">
                  <c:v>5.9135095065788903</c:v>
                </c:pt>
                <c:pt idx="11">
                  <c:v>5.6861848632479877</c:v>
                </c:pt>
                <c:pt idx="12">
                  <c:v>4.9727813716583285</c:v>
                </c:pt>
                <c:pt idx="13">
                  <c:v>2.8323610276482327</c:v>
                </c:pt>
                <c:pt idx="14">
                  <c:v>3.0934986686980182</c:v>
                </c:pt>
                <c:pt idx="15">
                  <c:v>2.6205519578609966</c:v>
                </c:pt>
                <c:pt idx="16">
                  <c:v>2.5805834944496269</c:v>
                </c:pt>
                <c:pt idx="17">
                  <c:v>2.1167003676946052</c:v>
                </c:pt>
                <c:pt idx="18">
                  <c:v>1.9840477282370585</c:v>
                </c:pt>
                <c:pt idx="19">
                  <c:v>1.812161862338499</c:v>
                </c:pt>
                <c:pt idx="20">
                  <c:v>-1.3172127946681229</c:v>
                </c:pt>
                <c:pt idx="21">
                  <c:v>-11.089756575171336</c:v>
                </c:pt>
                <c:pt idx="22">
                  <c:v>-4.8611011883999282</c:v>
                </c:pt>
                <c:pt idx="23">
                  <c:v>-4.6718788764692789</c:v>
                </c:pt>
              </c:numCache>
            </c:numRef>
          </c:val>
          <c:smooth val="0"/>
          <c:extLst>
            <c:ext xmlns:c16="http://schemas.microsoft.com/office/drawing/2014/chart" uri="{C3380CC4-5D6E-409C-BE32-E72D297353CC}">
              <c16:uniqueId val="{00000005-B199-4330-B6D4-D5ABFCE38F47}"/>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3"/>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1911425331511469"/>
        </c:manualLayout>
      </c:layout>
      <c:barChart>
        <c:barDir val="col"/>
        <c:grouping val="stacked"/>
        <c:varyColors val="0"/>
        <c:ser>
          <c:idx val="0"/>
          <c:order val="0"/>
          <c:tx>
            <c:strRef>
              <c:f>'GRAF příspěvky IPP'!$A$27</c:f>
              <c:strCache>
                <c:ptCount val="1"/>
                <c:pt idx="0">
                  <c:v>Manufacture of transport equipment (29, 30)</c:v>
                </c:pt>
              </c:strCache>
            </c:strRef>
          </c:tx>
          <c:spPr>
            <a:solidFill>
              <a:srgbClr val="E8AFB2"/>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IPP'!$R$27:$AP$27</c:f>
              <c:numCache>
                <c:formatCode>0.0</c:formatCode>
                <c:ptCount val="25"/>
                <c:pt idx="0">
                  <c:v>1.5427636659570074</c:v>
                </c:pt>
                <c:pt idx="1">
                  <c:v>2.1744189951095638</c:v>
                </c:pt>
                <c:pt idx="2">
                  <c:v>2.3615471800975762</c:v>
                </c:pt>
                <c:pt idx="3">
                  <c:v>2.8763334479914366</c:v>
                </c:pt>
                <c:pt idx="4">
                  <c:v>3.3202050006794548</c:v>
                </c:pt>
                <c:pt idx="5">
                  <c:v>2.7215746370676146</c:v>
                </c:pt>
                <c:pt idx="6">
                  <c:v>1.4745844536226125</c:v>
                </c:pt>
                <c:pt idx="7">
                  <c:v>1.029783660919984</c:v>
                </c:pt>
                <c:pt idx="8">
                  <c:v>1.7559630278375791</c:v>
                </c:pt>
                <c:pt idx="9">
                  <c:v>2.1219731026483708</c:v>
                </c:pt>
                <c:pt idx="10">
                  <c:v>1.5886047244911885</c:v>
                </c:pt>
                <c:pt idx="11">
                  <c:v>1.6809067081071383</c:v>
                </c:pt>
                <c:pt idx="12">
                  <c:v>0.74493678680711439</c:v>
                </c:pt>
                <c:pt idx="13">
                  <c:v>0.54513887708297193</c:v>
                </c:pt>
                <c:pt idx="14">
                  <c:v>0.23957305284254377</c:v>
                </c:pt>
                <c:pt idx="15">
                  <c:v>0.98330989831368998</c:v>
                </c:pt>
                <c:pt idx="16">
                  <c:v>-0.22713691763850202</c:v>
                </c:pt>
                <c:pt idx="17">
                  <c:v>0.47985653560762392</c:v>
                </c:pt>
                <c:pt idx="18">
                  <c:v>0.8344461496640414</c:v>
                </c:pt>
                <c:pt idx="19">
                  <c:v>-1.0997917317679555</c:v>
                </c:pt>
                <c:pt idx="20">
                  <c:v>-1.5348710107361396</c:v>
                </c:pt>
                <c:pt idx="21">
                  <c:v>-9.4028858120272236</c:v>
                </c:pt>
                <c:pt idx="22">
                  <c:v>-0.19477939440515324</c:v>
                </c:pt>
                <c:pt idx="23">
                  <c:v>2.0397409461843927</c:v>
                </c:pt>
              </c:numCache>
            </c:numRef>
          </c:val>
          <c:extLst>
            <c:ext xmlns:c16="http://schemas.microsoft.com/office/drawing/2014/chart" uri="{C3380CC4-5D6E-409C-BE32-E72D297353CC}">
              <c16:uniqueId val="{00000000-74A3-415F-9546-54BFE5F01EDD}"/>
            </c:ext>
          </c:extLst>
        </c:ser>
        <c:ser>
          <c:idx val="1"/>
          <c:order val="1"/>
          <c:tx>
            <c:strRef>
              <c:f>'GRAF příspěvky IPP'!$A$28</c:f>
              <c:strCache>
                <c:ptCount val="1"/>
                <c:pt idx="0">
                  <c:v>Rubber, electro technical ind. (22, 27)</c:v>
                </c:pt>
              </c:strCache>
            </c:strRef>
          </c:tx>
          <c:spPr>
            <a:solidFill>
              <a:srgbClr val="BD1B21"/>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IPP'!$R$28:$AP$28</c:f>
              <c:numCache>
                <c:formatCode>0.0</c:formatCode>
                <c:ptCount val="25"/>
                <c:pt idx="0">
                  <c:v>1.0347997790234529</c:v>
                </c:pt>
                <c:pt idx="1">
                  <c:v>1.2402910045199831</c:v>
                </c:pt>
                <c:pt idx="2">
                  <c:v>1.3933850782064026</c:v>
                </c:pt>
                <c:pt idx="3">
                  <c:v>0.63791581718355739</c:v>
                </c:pt>
                <c:pt idx="4">
                  <c:v>0.79388932110213228</c:v>
                </c:pt>
                <c:pt idx="5">
                  <c:v>0.2019149020372687</c:v>
                </c:pt>
                <c:pt idx="6">
                  <c:v>0.26167949554629399</c:v>
                </c:pt>
                <c:pt idx="7">
                  <c:v>0.42926870670931194</c:v>
                </c:pt>
                <c:pt idx="8">
                  <c:v>0.85659869546738754</c:v>
                </c:pt>
                <c:pt idx="9">
                  <c:v>1.3986573982823201</c:v>
                </c:pt>
                <c:pt idx="10">
                  <c:v>0.8549510762484176</c:v>
                </c:pt>
                <c:pt idx="11">
                  <c:v>1.6528406324124423</c:v>
                </c:pt>
                <c:pt idx="12">
                  <c:v>0.96832999064458503</c:v>
                </c:pt>
                <c:pt idx="13">
                  <c:v>0.34047285731155275</c:v>
                </c:pt>
                <c:pt idx="14">
                  <c:v>0.42906491790818274</c:v>
                </c:pt>
                <c:pt idx="15">
                  <c:v>-3.9817228444367067E-2</c:v>
                </c:pt>
                <c:pt idx="16">
                  <c:v>0.52468173088796888</c:v>
                </c:pt>
                <c:pt idx="17">
                  <c:v>0.40691877027439094</c:v>
                </c:pt>
                <c:pt idx="18">
                  <c:v>0.23892033299114637</c:v>
                </c:pt>
                <c:pt idx="19">
                  <c:v>0.39269794616476111</c:v>
                </c:pt>
                <c:pt idx="20">
                  <c:v>-0.53345760227133399</c:v>
                </c:pt>
                <c:pt idx="21">
                  <c:v>-4.058016774523308</c:v>
                </c:pt>
                <c:pt idx="22">
                  <c:v>-0.43406125814937391</c:v>
                </c:pt>
                <c:pt idx="23">
                  <c:v>0.56914780428489253</c:v>
                </c:pt>
              </c:numCache>
            </c:numRef>
          </c:val>
          <c:extLst>
            <c:ext xmlns:c16="http://schemas.microsoft.com/office/drawing/2014/chart" uri="{C3380CC4-5D6E-409C-BE32-E72D297353CC}">
              <c16:uniqueId val="{00000001-74A3-415F-9546-54BFE5F01EDD}"/>
            </c:ext>
          </c:extLst>
        </c:ser>
        <c:ser>
          <c:idx val="2"/>
          <c:order val="2"/>
          <c:tx>
            <c:strRef>
              <c:f>'GRAF příspěvky IPP'!$A$29</c:f>
              <c:strCache>
                <c:ptCount val="1"/>
                <c:pt idx="0">
                  <c:v>Machinery industry (28)</c:v>
                </c:pt>
              </c:strCache>
            </c:strRef>
          </c:tx>
          <c:spPr>
            <a:solidFill>
              <a:srgbClr val="BFE3F7"/>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IPP'!$R$29:$AP$29</c:f>
              <c:numCache>
                <c:formatCode>0.0</c:formatCode>
                <c:ptCount val="25"/>
                <c:pt idx="0">
                  <c:v>0.27270263761758856</c:v>
                </c:pt>
                <c:pt idx="1">
                  <c:v>0.29403078857932563</c:v>
                </c:pt>
                <c:pt idx="2">
                  <c:v>0.39049498716950576</c:v>
                </c:pt>
                <c:pt idx="3">
                  <c:v>1.6706731853184675E-2</c:v>
                </c:pt>
                <c:pt idx="4">
                  <c:v>0.36627927553744222</c:v>
                </c:pt>
                <c:pt idx="5">
                  <c:v>-7.6147331102472113E-2</c:v>
                </c:pt>
                <c:pt idx="6">
                  <c:v>0.19818384395915697</c:v>
                </c:pt>
                <c:pt idx="7">
                  <c:v>0.31987625685574234</c:v>
                </c:pt>
                <c:pt idx="8">
                  <c:v>0.35138012672655355</c:v>
                </c:pt>
                <c:pt idx="9">
                  <c:v>1.0806762781542611</c:v>
                </c:pt>
                <c:pt idx="10">
                  <c:v>0.85235463515891896</c:v>
                </c:pt>
                <c:pt idx="11">
                  <c:v>0.80092971170041016</c:v>
                </c:pt>
                <c:pt idx="12">
                  <c:v>0.47838436231758868</c:v>
                </c:pt>
                <c:pt idx="13">
                  <c:v>0.14272649937017898</c:v>
                </c:pt>
                <c:pt idx="14">
                  <c:v>0.18566799065513268</c:v>
                </c:pt>
                <c:pt idx="15">
                  <c:v>-0.19544287053044684</c:v>
                </c:pt>
                <c:pt idx="16">
                  <c:v>0.1426091932774885</c:v>
                </c:pt>
                <c:pt idx="17">
                  <c:v>-1.8219579710844171E-2</c:v>
                </c:pt>
                <c:pt idx="18">
                  <c:v>-0.26667324098505646</c:v>
                </c:pt>
                <c:pt idx="19">
                  <c:v>-0.13523495726290005</c:v>
                </c:pt>
                <c:pt idx="20">
                  <c:v>-0.69982847866990527</c:v>
                </c:pt>
                <c:pt idx="21">
                  <c:v>-2.143736621030647</c:v>
                </c:pt>
                <c:pt idx="22">
                  <c:v>-0.79829937749052238</c:v>
                </c:pt>
                <c:pt idx="23">
                  <c:v>-0.5332703437119769</c:v>
                </c:pt>
              </c:numCache>
            </c:numRef>
          </c:val>
          <c:extLst>
            <c:ext xmlns:c16="http://schemas.microsoft.com/office/drawing/2014/chart" uri="{C3380CC4-5D6E-409C-BE32-E72D297353CC}">
              <c16:uniqueId val="{00000002-74A3-415F-9546-54BFE5F01EDD}"/>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IPP'!$R$30:$AP$30</c:f>
              <c:numCache>
                <c:formatCode>0.0</c:formatCode>
                <c:ptCount val="25"/>
                <c:pt idx="0">
                  <c:v>0.69596551057470069</c:v>
                </c:pt>
                <c:pt idx="1">
                  <c:v>0.78519852193461859</c:v>
                </c:pt>
                <c:pt idx="2">
                  <c:v>0.97872609478998152</c:v>
                </c:pt>
                <c:pt idx="3">
                  <c:v>0.60562900795012453</c:v>
                </c:pt>
                <c:pt idx="4">
                  <c:v>0.79779807743663034</c:v>
                </c:pt>
                <c:pt idx="5">
                  <c:v>0.39331000455464687</c:v>
                </c:pt>
                <c:pt idx="6">
                  <c:v>0.22346669872664385</c:v>
                </c:pt>
                <c:pt idx="7">
                  <c:v>0.2509263227159737</c:v>
                </c:pt>
                <c:pt idx="8">
                  <c:v>0.41949121934029482</c:v>
                </c:pt>
                <c:pt idx="9">
                  <c:v>0.915656554291014</c:v>
                </c:pt>
                <c:pt idx="10">
                  <c:v>0.85101791279413608</c:v>
                </c:pt>
                <c:pt idx="11">
                  <c:v>0.96460683383824763</c:v>
                </c:pt>
                <c:pt idx="12">
                  <c:v>0.6503458160203307</c:v>
                </c:pt>
                <c:pt idx="13">
                  <c:v>0.47166305832842809</c:v>
                </c:pt>
                <c:pt idx="14">
                  <c:v>0.40339784198569495</c:v>
                </c:pt>
                <c:pt idx="15">
                  <c:v>0.15238419304014436</c:v>
                </c:pt>
                <c:pt idx="16">
                  <c:v>0.25794422279958196</c:v>
                </c:pt>
                <c:pt idx="17">
                  <c:v>8.4966698962352285E-3</c:v>
                </c:pt>
                <c:pt idx="18">
                  <c:v>-0.23776981739408756</c:v>
                </c:pt>
                <c:pt idx="19">
                  <c:v>-0.35660248428239738</c:v>
                </c:pt>
                <c:pt idx="20">
                  <c:v>-0.60191683272527741</c:v>
                </c:pt>
                <c:pt idx="21">
                  <c:v>-2.0876186338676583</c:v>
                </c:pt>
                <c:pt idx="22">
                  <c:v>-0.54558510517083125</c:v>
                </c:pt>
                <c:pt idx="23">
                  <c:v>0.14207590001489598</c:v>
                </c:pt>
              </c:numCache>
            </c:numRef>
          </c:val>
          <c:extLst>
            <c:ext xmlns:c16="http://schemas.microsoft.com/office/drawing/2014/chart" uri="{C3380CC4-5D6E-409C-BE32-E72D297353CC}">
              <c16:uniqueId val="{00000003-74A3-415F-9546-54BFE5F01EDD}"/>
            </c:ext>
          </c:extLst>
        </c:ser>
        <c:ser>
          <c:idx val="4"/>
          <c:order val="4"/>
          <c:tx>
            <c:strRef>
              <c:f>'GRAF příspěvky IPP'!$A$31</c:f>
              <c:strCache>
                <c:ptCount val="1"/>
                <c:pt idx="0">
                  <c:v>Manufact. of PC, electron., optical prod. (26)</c:v>
                </c:pt>
              </c:strCache>
            </c:strRef>
          </c:tx>
          <c:spPr>
            <a:solidFill>
              <a:srgbClr val="FDDEB3"/>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IPP'!$R$31:$AP$31</c:f>
              <c:numCache>
                <c:formatCode>0.0</c:formatCode>
                <c:ptCount val="25"/>
                <c:pt idx="0">
                  <c:v>0.10170488438327828</c:v>
                </c:pt>
                <c:pt idx="1">
                  <c:v>1.5778276536074189E-2</c:v>
                </c:pt>
                <c:pt idx="2">
                  <c:v>4.1438955080881863E-2</c:v>
                </c:pt>
                <c:pt idx="3">
                  <c:v>-7.3024462330519888E-2</c:v>
                </c:pt>
                <c:pt idx="4">
                  <c:v>-4.9806451474101454E-3</c:v>
                </c:pt>
                <c:pt idx="5">
                  <c:v>5.957617604494695E-2</c:v>
                </c:pt>
                <c:pt idx="6">
                  <c:v>5.0898250959063439E-2</c:v>
                </c:pt>
                <c:pt idx="7">
                  <c:v>0.16208766562248597</c:v>
                </c:pt>
                <c:pt idx="8">
                  <c:v>0.14070745650190031</c:v>
                </c:pt>
                <c:pt idx="9">
                  <c:v>0.36181300424777024</c:v>
                </c:pt>
                <c:pt idx="10">
                  <c:v>0.23055137883893681</c:v>
                </c:pt>
                <c:pt idx="11">
                  <c:v>0.23490764813394466</c:v>
                </c:pt>
                <c:pt idx="12">
                  <c:v>0.39572929891866881</c:v>
                </c:pt>
                <c:pt idx="13">
                  <c:v>0.15494190944138145</c:v>
                </c:pt>
                <c:pt idx="14">
                  <c:v>0.63675141042476269</c:v>
                </c:pt>
                <c:pt idx="15">
                  <c:v>0.31197941341144203</c:v>
                </c:pt>
                <c:pt idx="16">
                  <c:v>-0.1138094906464448</c:v>
                </c:pt>
                <c:pt idx="17">
                  <c:v>-4.3015769550027276E-2</c:v>
                </c:pt>
                <c:pt idx="18">
                  <c:v>-0.61199925873530214</c:v>
                </c:pt>
                <c:pt idx="19">
                  <c:v>-0.34608902926122082</c:v>
                </c:pt>
                <c:pt idx="20">
                  <c:v>-9.4244777563469689E-2</c:v>
                </c:pt>
                <c:pt idx="21">
                  <c:v>-0.28016760614498631</c:v>
                </c:pt>
                <c:pt idx="22">
                  <c:v>4.1733310663326162E-3</c:v>
                </c:pt>
                <c:pt idx="23">
                  <c:v>-5.8819144540146794E-3</c:v>
                </c:pt>
              </c:numCache>
            </c:numRef>
          </c:val>
          <c:extLst>
            <c:ext xmlns:c16="http://schemas.microsoft.com/office/drawing/2014/chart" uri="{C3380CC4-5D6E-409C-BE32-E72D297353CC}">
              <c16:uniqueId val="{00000004-74A3-415F-9546-54BFE5F01EDD}"/>
            </c:ext>
          </c:extLst>
        </c:ser>
        <c:ser>
          <c:idx val="5"/>
          <c:order val="5"/>
          <c:tx>
            <c:strRef>
              <c:f>'GRAF příspěvky IPP'!$A$32</c:f>
              <c:strCache>
                <c:ptCount val="1"/>
                <c:pt idx="0">
                  <c:v>Chemical and pharmaceutical ind. (20, 21)</c:v>
                </c:pt>
              </c:strCache>
            </c:strRef>
          </c:tx>
          <c:spPr>
            <a:solidFill>
              <a:srgbClr val="F8A124"/>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IPP'!$R$32:$AP$32</c:f>
              <c:numCache>
                <c:formatCode>0.0</c:formatCode>
                <c:ptCount val="25"/>
                <c:pt idx="0">
                  <c:v>7.7145180063932006E-2</c:v>
                </c:pt>
                <c:pt idx="1">
                  <c:v>0.23592734761971534</c:v>
                </c:pt>
                <c:pt idx="2">
                  <c:v>-0.16190483408394998</c:v>
                </c:pt>
                <c:pt idx="3">
                  <c:v>-0.33492372911335988</c:v>
                </c:pt>
                <c:pt idx="4">
                  <c:v>-0.41681031625325043</c:v>
                </c:pt>
                <c:pt idx="5">
                  <c:v>-0.42807091512785361</c:v>
                </c:pt>
                <c:pt idx="6">
                  <c:v>-0.10710300214484272</c:v>
                </c:pt>
                <c:pt idx="7">
                  <c:v>0.23735256894613982</c:v>
                </c:pt>
                <c:pt idx="8">
                  <c:v>0.52023701192457539</c:v>
                </c:pt>
                <c:pt idx="9">
                  <c:v>0.8265323370449118</c:v>
                </c:pt>
                <c:pt idx="10">
                  <c:v>0.65153742268467851</c:v>
                </c:pt>
                <c:pt idx="11">
                  <c:v>0.50476336901670693</c:v>
                </c:pt>
                <c:pt idx="12">
                  <c:v>0.40498332734603759</c:v>
                </c:pt>
                <c:pt idx="13">
                  <c:v>7.959649597511656E-2</c:v>
                </c:pt>
                <c:pt idx="14">
                  <c:v>-5.3166653427509744E-2</c:v>
                </c:pt>
                <c:pt idx="15">
                  <c:v>-6.9022660855142706E-2</c:v>
                </c:pt>
                <c:pt idx="16">
                  <c:v>0.10388406561335245</c:v>
                </c:pt>
                <c:pt idx="17">
                  <c:v>4.8446934125945446E-2</c:v>
                </c:pt>
                <c:pt idx="18">
                  <c:v>0.22806927156168727</c:v>
                </c:pt>
                <c:pt idx="19">
                  <c:v>3.1408071024151746E-2</c:v>
                </c:pt>
                <c:pt idx="20">
                  <c:v>-3.2158631476948973E-2</c:v>
                </c:pt>
                <c:pt idx="21">
                  <c:v>-0.54857219231072263</c:v>
                </c:pt>
                <c:pt idx="22">
                  <c:v>-0.21329862089654433</c:v>
                </c:pt>
                <c:pt idx="23">
                  <c:v>0.43262887365676678</c:v>
                </c:pt>
              </c:numCache>
            </c:numRef>
          </c:val>
          <c:extLst>
            <c:ext xmlns:c16="http://schemas.microsoft.com/office/drawing/2014/chart" uri="{C3380CC4-5D6E-409C-BE32-E72D297353CC}">
              <c16:uniqueId val="{00000005-74A3-415F-9546-54BFE5F01EDD}"/>
            </c:ext>
          </c:extLst>
        </c:ser>
        <c:ser>
          <c:idx val="6"/>
          <c:order val="6"/>
          <c:tx>
            <c:strRef>
              <c:f>'GRAF příspěvky IPP'!$A$33</c:f>
              <c:strCache>
                <c:ptCount val="1"/>
                <c:pt idx="0">
                  <c:v>Remaining manufacturing industries</c:v>
                </c:pt>
              </c:strCache>
            </c:strRef>
          </c:tx>
          <c:spPr>
            <a:solidFill>
              <a:schemeClr val="bg1">
                <a:lumMod val="85000"/>
              </a:schemeClr>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IPP'!$R$33:$AP$33</c:f>
              <c:numCache>
                <c:formatCode>0.0</c:formatCode>
                <c:ptCount val="25"/>
                <c:pt idx="0">
                  <c:v>0.99791732990160331</c:v>
                </c:pt>
                <c:pt idx="1">
                  <c:v>0.89879889524708523</c:v>
                </c:pt>
                <c:pt idx="2">
                  <c:v>1.0131351242508335</c:v>
                </c:pt>
                <c:pt idx="3">
                  <c:v>-0.23058687737441785</c:v>
                </c:pt>
                <c:pt idx="4">
                  <c:v>0.26302900768530285</c:v>
                </c:pt>
                <c:pt idx="5">
                  <c:v>-0.36259040041020835</c:v>
                </c:pt>
                <c:pt idx="6">
                  <c:v>6.0042066841197061E-2</c:v>
                </c:pt>
                <c:pt idx="7">
                  <c:v>0.57478968559379218</c:v>
                </c:pt>
                <c:pt idx="8">
                  <c:v>7.0362086300343754E-2</c:v>
                </c:pt>
                <c:pt idx="9">
                  <c:v>1.4963530143159023</c:v>
                </c:pt>
                <c:pt idx="10">
                  <c:v>0.75566150983946234</c:v>
                </c:pt>
                <c:pt idx="11">
                  <c:v>0.97333538176673595</c:v>
                </c:pt>
                <c:pt idx="12">
                  <c:v>1.1566595398624029</c:v>
                </c:pt>
                <c:pt idx="13">
                  <c:v>0.67218569394475614</c:v>
                </c:pt>
                <c:pt idx="14">
                  <c:v>1.1044934074231074</c:v>
                </c:pt>
                <c:pt idx="15">
                  <c:v>0.4900555089476254</c:v>
                </c:pt>
                <c:pt idx="16">
                  <c:v>-4.5141994532615914E-2</c:v>
                </c:pt>
                <c:pt idx="17">
                  <c:v>4.2037649083112624E-2</c:v>
                </c:pt>
                <c:pt idx="18">
                  <c:v>-0.66085160777663721</c:v>
                </c:pt>
                <c:pt idx="19">
                  <c:v>-0.22518150415497493</c:v>
                </c:pt>
                <c:pt idx="20">
                  <c:v>7.944029876236916E-2</c:v>
                </c:pt>
                <c:pt idx="21">
                  <c:v>-2.8342049584608784</c:v>
                </c:pt>
                <c:pt idx="22">
                  <c:v>8.3831795339215309E-2</c:v>
                </c:pt>
                <c:pt idx="23">
                  <c:v>9.7608445372536962E-2</c:v>
                </c:pt>
              </c:numCache>
            </c:numRef>
          </c:val>
          <c:extLst>
            <c:ext xmlns:c16="http://schemas.microsoft.com/office/drawing/2014/chart" uri="{C3380CC4-5D6E-409C-BE32-E72D297353CC}">
              <c16:uniqueId val="{00000006-74A3-415F-9546-54BFE5F01EDD}"/>
            </c:ext>
          </c:extLst>
        </c:ser>
        <c:ser>
          <c:idx val="7"/>
          <c:order val="7"/>
          <c:tx>
            <c:strRef>
              <c:f>'GRAF příspěvky IPP'!$A$34</c:f>
              <c:strCache>
                <c:ptCount val="1"/>
                <c:pt idx="0">
                  <c:v>Mining and energetics (B, D)</c:v>
                </c:pt>
              </c:strCache>
            </c:strRef>
          </c:tx>
          <c:spPr>
            <a:solidFill>
              <a:srgbClr val="808080"/>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IPP'!$R$34:$AP$34</c:f>
              <c:numCache>
                <c:formatCode>0.0</c:formatCode>
                <c:ptCount val="25"/>
                <c:pt idx="0">
                  <c:v>0.14533349397844122</c:v>
                </c:pt>
                <c:pt idx="1">
                  <c:v>-0.33982009504636901</c:v>
                </c:pt>
                <c:pt idx="2">
                  <c:v>-0.39704286301123137</c:v>
                </c:pt>
                <c:pt idx="3">
                  <c:v>-1.1146952173599984</c:v>
                </c:pt>
                <c:pt idx="4">
                  <c:v>-0.64578884114030577</c:v>
                </c:pt>
                <c:pt idx="5">
                  <c:v>9.8480952736059002E-2</c:v>
                </c:pt>
                <c:pt idx="6">
                  <c:v>-0.47666619461012838</c:v>
                </c:pt>
                <c:pt idx="7">
                  <c:v>0.50387184593657341</c:v>
                </c:pt>
                <c:pt idx="8">
                  <c:v>0.66203458180136321</c:v>
                </c:pt>
                <c:pt idx="9">
                  <c:v>-0.18221417078455418</c:v>
                </c:pt>
                <c:pt idx="10">
                  <c:v>0.77181444314425951</c:v>
                </c:pt>
                <c:pt idx="11">
                  <c:v>0.73266059102437608</c:v>
                </c:pt>
                <c:pt idx="12">
                  <c:v>-0.53877484071672854</c:v>
                </c:pt>
                <c:pt idx="13">
                  <c:v>4.1518654456083465E-3</c:v>
                </c:pt>
                <c:pt idx="14">
                  <c:v>0.7878560558880805</c:v>
                </c:pt>
                <c:pt idx="15">
                  <c:v>0.33112124011704824</c:v>
                </c:pt>
                <c:pt idx="16">
                  <c:v>0.21327689053916421</c:v>
                </c:pt>
                <c:pt idx="17">
                  <c:v>4.5976789373567417E-2</c:v>
                </c:pt>
                <c:pt idx="18">
                  <c:v>-0.66585611552579071</c:v>
                </c:pt>
                <c:pt idx="19">
                  <c:v>-0.33080115525945808</c:v>
                </c:pt>
                <c:pt idx="20">
                  <c:v>-0.97349186051930126</c:v>
                </c:pt>
                <c:pt idx="21">
                  <c:v>-1.5875483871345766</c:v>
                </c:pt>
                <c:pt idx="22">
                  <c:v>-0.71557941839312744</c:v>
                </c:pt>
                <c:pt idx="23">
                  <c:v>-0.69499205914749695</c:v>
                </c:pt>
              </c:numCache>
            </c:numRef>
          </c:val>
          <c:extLst>
            <c:ext xmlns:c16="http://schemas.microsoft.com/office/drawing/2014/chart" uri="{C3380CC4-5D6E-409C-BE32-E72D297353CC}">
              <c16:uniqueId val="{00000007-74A3-415F-9546-54BFE5F01EDD}"/>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Total industry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IPP'!$R$35:$AP$35</c:f>
              <c:numCache>
                <c:formatCode>0.0</c:formatCode>
                <c:ptCount val="25"/>
                <c:pt idx="0">
                  <c:v>4.8683324815000049</c:v>
                </c:pt>
                <c:pt idx="1">
                  <c:v>5.304623734499998</c:v>
                </c:pt>
                <c:pt idx="2">
                  <c:v>5.6197797224999988</c:v>
                </c:pt>
                <c:pt idx="3">
                  <c:v>2.3833547188000068</c:v>
                </c:pt>
                <c:pt idx="4">
                  <c:v>4.4736208798999968</c:v>
                </c:pt>
                <c:pt idx="5">
                  <c:v>2.6080480258000023</c:v>
                </c:pt>
                <c:pt idx="6">
                  <c:v>1.6850856128999965</c:v>
                </c:pt>
                <c:pt idx="7">
                  <c:v>3.507956713300004</c:v>
                </c:pt>
                <c:pt idx="8">
                  <c:v>4.7767742058999971</c:v>
                </c:pt>
                <c:pt idx="9">
                  <c:v>8.0194475181999962</c:v>
                </c:pt>
                <c:pt idx="10">
                  <c:v>6.5564931031999976</c:v>
                </c:pt>
                <c:pt idx="11">
                  <c:v>7.5449508760000015</c:v>
                </c:pt>
                <c:pt idx="12">
                  <c:v>4.2605942811999995</c:v>
                </c:pt>
                <c:pt idx="13">
                  <c:v>2.4108772568999939</c:v>
                </c:pt>
                <c:pt idx="14">
                  <c:v>3.7336380236999958</c:v>
                </c:pt>
                <c:pt idx="15">
                  <c:v>1.9645674939999935</c:v>
                </c:pt>
                <c:pt idx="16">
                  <c:v>0.85630770029999326</c:v>
                </c:pt>
                <c:pt idx="17">
                  <c:v>0.97049799910000445</c:v>
                </c:pt>
                <c:pt idx="18">
                  <c:v>-1.1417142861999992</c:v>
                </c:pt>
                <c:pt idx="19">
                  <c:v>-2.0695948447999939</c:v>
                </c:pt>
                <c:pt idx="20">
                  <c:v>-4.3905288952000063</c:v>
                </c:pt>
                <c:pt idx="21">
                  <c:v>-22.942750985499998</c:v>
                </c:pt>
                <c:pt idx="22">
                  <c:v>-2.8135980481000047</c:v>
                </c:pt>
                <c:pt idx="23">
                  <c:v>2.0470576521999959</c:v>
                </c:pt>
              </c:numCache>
            </c:numRef>
          </c:val>
          <c:smooth val="0"/>
          <c:extLst>
            <c:ext xmlns:c16="http://schemas.microsoft.com/office/drawing/2014/chart" uri="{C3380CC4-5D6E-409C-BE32-E72D297353CC}">
              <c16:uniqueId val="{00000008-74A3-415F-9546-54BFE5F01EDD}"/>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Balance of confidence indicator in industry</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IPP'!$R$36:$AP$36</c:f>
              <c:numCache>
                <c:formatCode>0.0</c:formatCode>
                <c:ptCount val="25"/>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-25.3</c:v>
                </c:pt>
                <c:pt idx="22">
                  <c:v>-6.3</c:v>
                </c:pt>
                <c:pt idx="23">
                  <c:v>-10</c:v>
                </c:pt>
                <c:pt idx="24">
                  <c:v>-1.3</c:v>
                </c:pt>
              </c:numCache>
            </c:numRef>
          </c:val>
          <c:smooth val="0"/>
          <c:extLst>
            <c:ext xmlns:c16="http://schemas.microsoft.com/office/drawing/2014/chart" uri="{C3380CC4-5D6E-409C-BE32-E72D297353CC}">
              <c16:uniqueId val="{00000009-74A3-415F-9546-54BFE5F01EDD}"/>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9"/>
          <c:min val="-27"/>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I</a:t>
                </a:r>
                <a:r>
                  <a:rPr lang="en-GB" sz="700" b="0" i="1" u="none" strike="noStrike" baseline="0">
                    <a:effectLst/>
                  </a:rPr>
                  <a:t>ndustrial </a:t>
                </a:r>
                <a:r>
                  <a:rPr lang="en-GB"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production</a:t>
                </a:r>
                <a:r>
                  <a:rPr lang="en-GB" sz="700" b="0" i="1" u="none" strike="noStrike" baseline="0">
                    <a:effectLst/>
                  </a:rPr>
                  <a:t> </a:t>
                </a:r>
                <a:endParaRPr lang="cs-CZ" sz="700" b="0" i="1">
                  <a:latin typeface="Arial" panose="020B0604020202020204" pitchFamily="34" charset="0"/>
                  <a:cs typeface="Arial" panose="020B0604020202020204" pitchFamily="34" charset="0"/>
                </a:endParaRPr>
              </a:p>
            </c:rich>
          </c:tx>
          <c:layout>
            <c:manualLayout>
              <c:xMode val="edge"/>
              <c:yMode val="edge"/>
              <c:x val="0"/>
              <c:y val="0.23046485242635661"/>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3"/>
      </c:valAx>
      <c:valAx>
        <c:axId val="1513729024"/>
        <c:scaling>
          <c:orientation val="minMax"/>
          <c:max val="30"/>
        </c:scaling>
        <c:delete val="0"/>
        <c:axPos val="r"/>
        <c:title>
          <c:tx>
            <c:rich>
              <a:bodyPr/>
              <a:lstStyle/>
              <a:p>
                <a:pPr>
                  <a:defRPr sz="700" b="0" i="1">
                    <a:latin typeface="Arial" panose="020B0604020202020204" pitchFamily="34" charset="0"/>
                    <a:cs typeface="Arial" panose="020B0604020202020204" pitchFamily="34" charset="0"/>
                  </a:defRPr>
                </a:pPr>
                <a:r>
                  <a:rPr lang="en-GB" sz="700" b="0" i="1" u="none" strike="noStrike" baseline="0">
                    <a:effectLst/>
                  </a:rPr>
                  <a:t>Balance of confidence indicator </a:t>
                </a:r>
                <a:endParaRPr lang="cs-CZ" sz="700" b="0" i="1">
                  <a:latin typeface="Arial" panose="020B0604020202020204" pitchFamily="34" charset="0"/>
                  <a:cs typeface="Arial" panose="020B0604020202020204" pitchFamily="34" charset="0"/>
                </a:endParaRP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3674313143127631E-3"/>
          <c:y val="0.8208401379824497"/>
          <c:w val="0.99049246182308814"/>
          <c:h val="0.1680903527628885"/>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52497043359"/>
        </c:manualLayout>
      </c:layout>
      <c:barChart>
        <c:barDir val="col"/>
        <c:grouping val="clustered"/>
        <c:varyColors val="0"/>
        <c:ser>
          <c:idx val="0"/>
          <c:order val="0"/>
          <c:tx>
            <c:strRef>
              <c:f>'výkonnost odvětví 2'!$A$31</c:f>
              <c:strCache>
                <c:ptCount val="1"/>
                <c:pt idx="0">
                  <c:v>Total industry orders</c:v>
                </c:pt>
              </c:strCache>
            </c:strRef>
          </c:tx>
          <c:spPr>
            <a:solidFill>
              <a:schemeClr val="bg1">
                <a:lumMod val="65000"/>
              </a:schemeClr>
            </a:solidFill>
            <a:ln w="12700">
              <a:noFill/>
              <a:prstDash val="solid"/>
            </a:ln>
          </c:spPr>
          <c:invertIfNegative val="0"/>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2'!$R$31:$AP$31</c:f>
              <c:numCache>
                <c:formatCode>#,##0.0__</c:formatCode>
                <c:ptCount val="25"/>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-1.2762466132796817</c:v>
                </c:pt>
                <c:pt idx="21">
                  <c:v>-27.685678861776282</c:v>
                </c:pt>
                <c:pt idx="22">
                  <c:v>-2.0849225069869703</c:v>
                </c:pt>
                <c:pt idx="23">
                  <c:v>6.882954384462451</c:v>
                </c:pt>
              </c:numCache>
            </c:numRef>
          </c:val>
          <c:extLst>
            <c:ext xmlns:c16="http://schemas.microsoft.com/office/drawing/2014/chart" uri="{C3380CC4-5D6E-409C-BE32-E72D297353CC}">
              <c16:uniqueId val="{00000000-9186-4DD2-BF17-E0A620F7C7E2}"/>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Total industry orders (domestic only)</c:v>
                </c:pt>
              </c:strCache>
            </c:strRef>
          </c:tx>
          <c:spPr>
            <a:ln w="15875">
              <a:solidFill>
                <a:srgbClr val="0070C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2'!$R$32:$AP$32</c:f>
              <c:numCache>
                <c:formatCode>#,##0.0__</c:formatCode>
                <c:ptCount val="25"/>
                <c:pt idx="0">
                  <c:v>4.341961301010727</c:v>
                </c:pt>
                <c:pt idx="1">
                  <c:v>10.024449168168019</c:v>
                </c:pt>
                <c:pt idx="2">
                  <c:v>-4.7604240586837108</c:v>
                </c:pt>
                <c:pt idx="3">
                  <c:v>0.56107209694786775</c:v>
                </c:pt>
                <c:pt idx="4">
                  <c:v>0.20304376106223287</c:v>
                </c:pt>
                <c:pt idx="5">
                  <c:v>4.9376200007964286</c:v>
                </c:pt>
                <c:pt idx="6">
                  <c:v>-0.65834656713856532</c:v>
                </c:pt>
                <c:pt idx="7">
                  <c:v>2.873089889380708</c:v>
                </c:pt>
                <c:pt idx="8">
                  <c:v>16.722989365311648</c:v>
                </c:pt>
                <c:pt idx="9">
                  <c:v>11.567742610098009</c:v>
                </c:pt>
                <c:pt idx="10">
                  <c:v>14.702871802754672</c:v>
                </c:pt>
                <c:pt idx="11">
                  <c:v>15.641374658030259</c:v>
                </c:pt>
                <c:pt idx="12">
                  <c:v>-0.54655499165191657</c:v>
                </c:pt>
                <c:pt idx="13">
                  <c:v>3.3862320433243838</c:v>
                </c:pt>
                <c:pt idx="14">
                  <c:v>4.5707977831681177</c:v>
                </c:pt>
                <c:pt idx="15">
                  <c:v>4.8009732818449038</c:v>
                </c:pt>
                <c:pt idx="16">
                  <c:v>8.0074778782798006</c:v>
                </c:pt>
                <c:pt idx="17">
                  <c:v>4.3685672275757952</c:v>
                </c:pt>
                <c:pt idx="18">
                  <c:v>3.2795252635021939</c:v>
                </c:pt>
                <c:pt idx="19">
                  <c:v>-2.4886565019466786</c:v>
                </c:pt>
                <c:pt idx="20">
                  <c:v>6.4934467246087451</c:v>
                </c:pt>
                <c:pt idx="21">
                  <c:v>-25.916734002239323</c:v>
                </c:pt>
                <c:pt idx="22">
                  <c:v>-3.9678211678045017</c:v>
                </c:pt>
                <c:pt idx="23">
                  <c:v>6.667164135045283</c:v>
                </c:pt>
              </c:numCache>
            </c:numRef>
          </c:val>
          <c:smooth val="0"/>
          <c:extLst>
            <c:ext xmlns:c16="http://schemas.microsoft.com/office/drawing/2014/chart" uri="{C3380CC4-5D6E-409C-BE32-E72D297353CC}">
              <c16:uniqueId val="{00000001-9186-4DD2-BF17-E0A620F7C7E2}"/>
            </c:ext>
          </c:extLst>
        </c:ser>
        <c:ser>
          <c:idx val="5"/>
          <c:order val="2"/>
          <c:tx>
            <c:strRef>
              <c:f>'výkonnost odvětví 2'!$A$33</c:f>
              <c:strCache>
                <c:ptCount val="1"/>
                <c:pt idx="0">
                  <c:v>Total orders (motor vehicles)</c:v>
                </c:pt>
              </c:strCache>
            </c:strRef>
          </c:tx>
          <c:spPr>
            <a:ln w="15875">
              <a:solidFill>
                <a:srgbClr val="BD1B21"/>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2'!$R$33:$AP$33</c:f>
              <c:numCache>
                <c:formatCode>#,##0.0__</c:formatCode>
                <c:ptCount val="25"/>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-6.5941090261626556</c:v>
                </c:pt>
                <c:pt idx="21">
                  <c:v>-43.297757603226039</c:v>
                </c:pt>
                <c:pt idx="22">
                  <c:v>3.6539438072891244</c:v>
                </c:pt>
                <c:pt idx="23">
                  <c:v>8.0597939162845336</c:v>
                </c:pt>
              </c:numCache>
            </c:numRef>
          </c:val>
          <c:smooth val="0"/>
          <c:extLst>
            <c:ext xmlns:c16="http://schemas.microsoft.com/office/drawing/2014/chart" uri="{C3380CC4-5D6E-409C-BE32-E72D297353CC}">
              <c16:uniqueId val="{00000002-9186-4DD2-BF17-E0A620F7C7E2}"/>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3"/>
          <c:order val="3"/>
          <c:tx>
            <c:strRef>
              <c:f>'výkonnost odvětví 2'!$A$34</c:f>
              <c:strCache>
                <c:ptCount val="1"/>
                <c:pt idx="0">
                  <c:v>Utilisation of product. capacities in industry</c:v>
                </c:pt>
              </c:strCache>
            </c:strRef>
          </c:tx>
          <c:spPr>
            <a:ln w="19050">
              <a:solidFill>
                <a:srgbClr val="00B05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2'!$R$34:$AP$34</c:f>
              <c:numCache>
                <c:formatCode>#,##0.0</c:formatCode>
                <c:ptCount val="25"/>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numCache>
            </c:numRef>
          </c:val>
          <c:smooth val="0"/>
          <c:extLst>
            <c:ext xmlns:c16="http://schemas.microsoft.com/office/drawing/2014/chart" uri="{C3380CC4-5D6E-409C-BE32-E72D297353CC}">
              <c16:uniqueId val="{00000003-9186-4DD2-BF17-E0A620F7C7E2}"/>
            </c:ext>
          </c:extLst>
        </c:ser>
        <c:ser>
          <c:idx val="1"/>
          <c:order val="4"/>
          <c:tx>
            <c:strRef>
              <c:f>'výkonnost odvětví 2'!$A$35</c:f>
              <c:strCache>
                <c:ptCount val="1"/>
                <c:pt idx="0">
                  <c:v>Utilisation of prod.cap.in motor vehicles ind.</c:v>
                </c:pt>
              </c:strCache>
            </c:strRef>
          </c:tx>
          <c:spPr>
            <a:ln w="15875">
              <a:solidFill>
                <a:srgbClr val="00B050"/>
              </a:solidFill>
              <a:prstDash val="sysDash"/>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2'!$R$35:$AP$35</c:f>
              <c:numCache>
                <c:formatCode>0.0</c:formatCode>
                <c:ptCount val="25"/>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numCache>
            </c:numRef>
          </c:val>
          <c:smooth val="0"/>
          <c:extLst>
            <c:ext xmlns:c16="http://schemas.microsoft.com/office/drawing/2014/chart" uri="{C3380CC4-5D6E-409C-BE32-E72D297353CC}">
              <c16:uniqueId val="{00000004-9186-4DD2-BF17-E0A620F7C7E2}"/>
            </c:ext>
          </c:extLst>
        </c:ser>
        <c:ser>
          <c:idx val="4"/>
          <c:order val="5"/>
          <c:tx>
            <c:strRef>
              <c:f>'výkonnost odvětví 2'!$A$36</c:f>
              <c:strCache>
                <c:ptCount val="1"/>
                <c:pt idx="0">
                  <c:v>Growth barrier: insufficient demand</c:v>
                </c:pt>
              </c:strCache>
            </c:strRef>
          </c:tx>
          <c:spPr>
            <a:ln w="15875">
              <a:solidFill>
                <a:srgbClr val="D2CD0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2'!$R$36:$AP$36</c:f>
              <c:numCache>
                <c:formatCode>#,##0.0</c:formatCode>
                <c:ptCount val="25"/>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numCache>
            </c:numRef>
          </c:val>
          <c:smooth val="0"/>
          <c:extLst>
            <c:ext xmlns:c16="http://schemas.microsoft.com/office/drawing/2014/chart" uri="{C3380CC4-5D6E-409C-BE32-E72D297353CC}">
              <c16:uniqueId val="{00000005-9186-4DD2-BF17-E0A620F7C7E2}"/>
            </c:ext>
          </c:extLst>
        </c:ser>
        <c:ser>
          <c:idx val="6"/>
          <c:order val="6"/>
          <c:tx>
            <c:strRef>
              <c:f>'výkonnost odvětví 2'!$A$37</c:f>
              <c:strCache>
                <c:ptCount val="1"/>
                <c:pt idx="0">
                  <c:v>Growth barrier: shortage of labour</c:v>
                </c:pt>
              </c:strCache>
            </c:strRef>
          </c:tx>
          <c:spPr>
            <a:ln w="19050">
              <a:solidFill>
                <a:srgbClr val="D2CD00"/>
              </a:solidFill>
              <a:prstDash val="sysDash"/>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2'!$R$37:$AP$37</c:f>
              <c:numCache>
                <c:formatCode>#,##0.0</c:formatCode>
                <c:ptCount val="25"/>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numCache>
            </c:numRef>
          </c:val>
          <c:smooth val="0"/>
          <c:extLst>
            <c:ext xmlns:c16="http://schemas.microsoft.com/office/drawing/2014/chart" uri="{C3380CC4-5D6E-409C-BE32-E72D297353CC}">
              <c16:uniqueId val="{00000006-9186-4DD2-BF17-E0A620F7C7E2}"/>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50"/>
          <c:min val="-50"/>
        </c:scaling>
        <c:delete val="0"/>
        <c:axPos val="l"/>
        <c:majorGridlines>
          <c:spPr>
            <a:ln w="6350">
              <a:solidFill>
                <a:schemeClr val="bg1">
                  <a:lumMod val="75000"/>
                </a:schemeClr>
              </a:soli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panose="020B0604020202020204" pitchFamily="34" charset="0"/>
                    <a:ea typeface="Arial CE"/>
                    <a:cs typeface="Arial" panose="020B0604020202020204" pitchFamily="34" charset="0"/>
                  </a:defRPr>
                </a:pPr>
                <a:r>
                  <a:rPr lang="cs-CZ" sz="700" b="0" i="1">
                    <a:effectLst/>
                    <a:latin typeface="Arial" panose="020B0604020202020204" pitchFamily="34" charset="0"/>
                    <a:cs typeface="Arial" panose="020B0604020202020204" pitchFamily="34" charset="0"/>
                  </a:rPr>
                  <a:t>New or</a:t>
                </a:r>
                <a:r>
                  <a:rPr lang="en-GB" sz="700" b="0" i="1">
                    <a:effectLst/>
                    <a:latin typeface="Arial" panose="020B0604020202020204" pitchFamily="34" charset="0"/>
                    <a:cs typeface="Arial" panose="020B0604020202020204" pitchFamily="34" charset="0"/>
                  </a:rPr>
                  <a:t>ders</a:t>
                </a:r>
                <a:endParaRPr lang="cs-CZ" sz="700" b="0">
                  <a:effectLst/>
                  <a:latin typeface="Arial" panose="020B0604020202020204" pitchFamily="34" charset="0"/>
                  <a:cs typeface="Arial" panose="020B0604020202020204" pitchFamily="34" charset="0"/>
                </a:endParaRPr>
              </a:p>
            </c:rich>
          </c:tx>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panose="020B0604020202020204" pitchFamily="34" charset="0"/>
                    <a:ea typeface="Arial CE"/>
                    <a:cs typeface="Arial" panose="020B0604020202020204" pitchFamily="34" charset="0"/>
                  </a:defRPr>
                </a:pPr>
                <a:r>
                  <a:rPr lang="en-GB" sz="700" i="1">
                    <a:effectLst/>
                    <a:latin typeface="Arial" panose="020B0604020202020204" pitchFamily="34" charset="0"/>
                    <a:cs typeface="Arial" panose="020B0604020202020204" pitchFamily="34" charset="0"/>
                  </a:rPr>
                  <a:t>Utilisation of production capacities, growth barriers</a:t>
                </a:r>
                <a:endParaRPr lang="cs-CZ" sz="700">
                  <a:effectLst/>
                  <a:latin typeface="Arial" panose="020B0604020202020204" pitchFamily="34" charset="0"/>
                  <a:cs typeface="Arial" panose="020B0604020202020204" pitchFamily="34" charset="0"/>
                </a:endParaRPr>
              </a:p>
            </c:rich>
          </c:tx>
          <c:layout>
            <c:manualLayout>
              <c:xMode val="edge"/>
              <c:yMode val="edge"/>
              <c:x val="0.96791330900210915"/>
              <c:y val="0.10372767821200264"/>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8.1990961748686711E-3"/>
          <c:y val="0.86823807683750776"/>
          <c:w val="0.98379594369130352"/>
          <c:h val="0.1246132949262889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797233975646277E-2"/>
          <c:y val="1.6563187842952781E-2"/>
          <c:w val="0.85309849317471154"/>
          <c:h val="0.74701445903427344"/>
        </c:manualLayout>
      </c:layout>
      <c:barChart>
        <c:barDir val="col"/>
        <c:grouping val="stacked"/>
        <c:varyColors val="0"/>
        <c:ser>
          <c:idx val="1"/>
          <c:order val="1"/>
          <c:tx>
            <c:strRef>
              <c:f>'výkonnost odvětví 3'!$Y$10</c:f>
              <c:strCache>
                <c:ptCount val="1"/>
                <c:pt idx="0">
                  <c:v>Building construction (contribution in p.p.)</c:v>
                </c:pt>
              </c:strCache>
            </c:strRef>
          </c:tx>
          <c:spPr>
            <a:solidFill>
              <a:srgbClr val="A6CDE9"/>
            </a:solidFill>
            <a:ln w="19050">
              <a:noFill/>
              <a:prstDash val="solid"/>
            </a:ln>
          </c:spPr>
          <c:invertIfNegative val="0"/>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3'!$Y$31:$Y$55</c:f>
              <c:numCache>
                <c:formatCode>0.0</c:formatCode>
                <c:ptCount val="25"/>
                <c:pt idx="0">
                  <c:v>6.0472691415550308</c:v>
                </c:pt>
                <c:pt idx="1">
                  <c:v>5.0361785279850331</c:v>
                </c:pt>
                <c:pt idx="2">
                  <c:v>0.79284647800469443</c:v>
                </c:pt>
                <c:pt idx="3">
                  <c:v>-1.7469503076723902</c:v>
                </c:pt>
                <c:pt idx="4">
                  <c:v>-4.9966395973466113</c:v>
                </c:pt>
                <c:pt idx="5">
                  <c:v>-4.9257017459251742</c:v>
                </c:pt>
                <c:pt idx="6">
                  <c:v>0.77276571096827207</c:v>
                </c:pt>
                <c:pt idx="7">
                  <c:v>3.9335414535585005</c:v>
                </c:pt>
                <c:pt idx="8">
                  <c:v>2.3671560586056022</c:v>
                </c:pt>
                <c:pt idx="9">
                  <c:v>9.8680621909171364</c:v>
                </c:pt>
                <c:pt idx="10">
                  <c:v>3.4017933101817137</c:v>
                </c:pt>
                <c:pt idx="11">
                  <c:v>2.6470410387980881</c:v>
                </c:pt>
                <c:pt idx="12">
                  <c:v>13.566805669626437</c:v>
                </c:pt>
                <c:pt idx="13">
                  <c:v>6.3014309761028438</c:v>
                </c:pt>
                <c:pt idx="14">
                  <c:v>7.6955191405999477</c:v>
                </c:pt>
                <c:pt idx="15">
                  <c:v>2.4925933032829257</c:v>
                </c:pt>
                <c:pt idx="16">
                  <c:v>2.8991265346082757</c:v>
                </c:pt>
                <c:pt idx="17">
                  <c:v>2.4161064271216639</c:v>
                </c:pt>
                <c:pt idx="18">
                  <c:v>-0.67044140108437589</c:v>
                </c:pt>
                <c:pt idx="19">
                  <c:v>2.416093622463102</c:v>
                </c:pt>
                <c:pt idx="20">
                  <c:v>-0.33918173121542228</c:v>
                </c:pt>
                <c:pt idx="21">
                  <c:v>-7.4193975140058424</c:v>
                </c:pt>
                <c:pt idx="22">
                  <c:v>-7.1727603765696051</c:v>
                </c:pt>
                <c:pt idx="23">
                  <c:v>-8.5628260982408833</c:v>
                </c:pt>
              </c:numCache>
            </c:numRef>
          </c:val>
          <c:extLst>
            <c:ext xmlns:c16="http://schemas.microsoft.com/office/drawing/2014/chart" uri="{C3380CC4-5D6E-409C-BE32-E72D297353CC}">
              <c16:uniqueId val="{00000000-2CCF-4077-85AF-C475822D0491}"/>
            </c:ext>
          </c:extLst>
        </c:ser>
        <c:ser>
          <c:idx val="2"/>
          <c:order val="2"/>
          <c:tx>
            <c:strRef>
              <c:f>'výkonnost odvětví 3'!$Z$10</c:f>
              <c:strCache>
                <c:ptCount val="1"/>
                <c:pt idx="0">
                  <c:v>Civil engineering con. (contribution in p.p.)</c:v>
                </c:pt>
              </c:strCache>
            </c:strRef>
          </c:tx>
          <c:spPr>
            <a:solidFill>
              <a:srgbClr val="E8AFB2"/>
            </a:solidFill>
            <a:ln w="19050">
              <a:noFill/>
              <a:prstDash val="solid"/>
            </a:ln>
          </c:spPr>
          <c:invertIfNegative val="0"/>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3'!$Z$31:$Z$55</c:f>
              <c:numCache>
                <c:formatCode>0.0</c:formatCode>
                <c:ptCount val="25"/>
                <c:pt idx="0">
                  <c:v>3.2371734793492286</c:v>
                </c:pt>
                <c:pt idx="1">
                  <c:v>7.2133653363142445</c:v>
                </c:pt>
                <c:pt idx="2">
                  <c:v>7.3965728347939308</c:v>
                </c:pt>
                <c:pt idx="3">
                  <c:v>2.855138673774563</c:v>
                </c:pt>
                <c:pt idx="4">
                  <c:v>-1.2748612346910093</c:v>
                </c:pt>
                <c:pt idx="5">
                  <c:v>-5.414778412052824</c:v>
                </c:pt>
                <c:pt idx="6">
                  <c:v>-7.0615948905346464</c:v>
                </c:pt>
                <c:pt idx="7">
                  <c:v>-5.9113799674669414</c:v>
                </c:pt>
                <c:pt idx="8">
                  <c:v>-3.3927259981365467</c:v>
                </c:pt>
                <c:pt idx="9">
                  <c:v>-1.198952761717637</c:v>
                </c:pt>
                <c:pt idx="10">
                  <c:v>-1.5292517461591122</c:v>
                </c:pt>
                <c:pt idx="11">
                  <c:v>0.24904908942130594</c:v>
                </c:pt>
                <c:pt idx="12">
                  <c:v>1.7517060590922457</c:v>
                </c:pt>
                <c:pt idx="13">
                  <c:v>1.2046321635544115</c:v>
                </c:pt>
                <c:pt idx="14">
                  <c:v>4.7152862062363932</c:v>
                </c:pt>
                <c:pt idx="15">
                  <c:v>1.8992954479389978</c:v>
                </c:pt>
                <c:pt idx="16">
                  <c:v>0.73586870212531541</c:v>
                </c:pt>
                <c:pt idx="17">
                  <c:v>1.8713674836205678</c:v>
                </c:pt>
                <c:pt idx="18">
                  <c:v>0.75615189920903703</c:v>
                </c:pt>
                <c:pt idx="19">
                  <c:v>0.84449513778573204</c:v>
                </c:pt>
                <c:pt idx="20">
                  <c:v>3.2042596941285559</c:v>
                </c:pt>
                <c:pt idx="21">
                  <c:v>1.2156790684783816</c:v>
                </c:pt>
                <c:pt idx="22">
                  <c:v>-1.8725018139646268</c:v>
                </c:pt>
                <c:pt idx="23">
                  <c:v>0.35005818727718746</c:v>
                </c:pt>
              </c:numCache>
            </c:numRef>
          </c:val>
          <c:extLst>
            <c:ext xmlns:c16="http://schemas.microsoft.com/office/drawing/2014/chart" uri="{C3380CC4-5D6E-409C-BE32-E72D297353CC}">
              <c16:uniqueId val="{00000001-2CCF-4077-85AF-C475822D0491}"/>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Total construction output (year-on-year in %)</c:v>
                </c:pt>
              </c:strCache>
            </c:strRef>
          </c:tx>
          <c:spPr>
            <a:ln>
              <a:noFill/>
            </a:ln>
          </c:spPr>
          <c:marker>
            <c:symbol val="dash"/>
            <c:size val="9"/>
            <c:spPr>
              <a:solidFill>
                <a:schemeClr val="tx1">
                  <a:lumMod val="95000"/>
                  <a:lumOff val="5000"/>
                </a:schemeClr>
              </a:solidFill>
              <a:ln>
                <a:noFill/>
              </a:ln>
            </c:spPr>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3'!$X$31:$X$55</c:f>
              <c:numCache>
                <c:formatCode>0.0</c:formatCode>
                <c:ptCount val="25"/>
                <c:pt idx="0">
                  <c:v>9.2017765228224988</c:v>
                </c:pt>
                <c:pt idx="1">
                  <c:v>11.980043538808332</c:v>
                </c:pt>
                <c:pt idx="2">
                  <c:v>7.8286342656312939</c:v>
                </c:pt>
                <c:pt idx="3">
                  <c:v>0.94557774780092529</c:v>
                </c:pt>
                <c:pt idx="4">
                  <c:v>-6.2824122661548785</c:v>
                </c:pt>
                <c:pt idx="5">
                  <c:v>-10.194427090117628</c:v>
                </c:pt>
                <c:pt idx="6">
                  <c:v>-5.917849407755682</c:v>
                </c:pt>
                <c:pt idx="7">
                  <c:v>-1.6490685502181321</c:v>
                </c:pt>
                <c:pt idx="8">
                  <c:v>-0.79880269419055594</c:v>
                </c:pt>
                <c:pt idx="9">
                  <c:v>8.9534675343638526</c:v>
                </c:pt>
                <c:pt idx="10">
                  <c:v>2.0444749820850632</c:v>
                </c:pt>
                <c:pt idx="11">
                  <c:v>2.9396785672127379</c:v>
                </c:pt>
                <c:pt idx="12">
                  <c:v>15.317302207920179</c:v>
                </c:pt>
                <c:pt idx="13">
                  <c:v>7.5063094273893398</c:v>
                </c:pt>
                <c:pt idx="14">
                  <c:v>12.406544540651936</c:v>
                </c:pt>
                <c:pt idx="15">
                  <c:v>4.3180623617480762</c:v>
                </c:pt>
                <c:pt idx="16">
                  <c:v>3.6346322356212539</c:v>
                </c:pt>
                <c:pt idx="17">
                  <c:v>4.2888988271298842</c:v>
                </c:pt>
                <c:pt idx="18">
                  <c:v>8.6862748706039383E-2</c:v>
                </c:pt>
                <c:pt idx="19">
                  <c:v>3.2606251776515762</c:v>
                </c:pt>
                <c:pt idx="20">
                  <c:v>2.8649648216544392</c:v>
                </c:pt>
                <c:pt idx="21">
                  <c:v>-6.2024596600145259</c:v>
                </c:pt>
                <c:pt idx="22">
                  <c:v>-9.0466947127630135</c:v>
                </c:pt>
                <c:pt idx="23">
                  <c:v>-8.2756255759856003</c:v>
                </c:pt>
              </c:numCache>
            </c:numRef>
          </c:val>
          <c:smooth val="0"/>
          <c:extLst>
            <c:ext xmlns:c16="http://schemas.microsoft.com/office/drawing/2014/chart" uri="{C3380CC4-5D6E-409C-BE32-E72D297353CC}">
              <c16:uniqueId val="{00000002-2CCF-4077-85AF-C475822D0491}"/>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New construction orders</c:v>
                </c:pt>
              </c:strCache>
            </c:strRef>
          </c:tx>
          <c:spPr>
            <a:ln w="15875">
              <a:solidFill>
                <a:srgbClr val="984807"/>
              </a:solidFill>
              <a:prstDash val="solid"/>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3'!$AA$31:$AA$55</c:f>
              <c:numCache>
                <c:formatCode>0.0</c:formatCode>
                <c:ptCount val="25"/>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numCache>
            </c:numRef>
          </c:val>
          <c:smooth val="0"/>
          <c:extLst>
            <c:ext xmlns:c16="http://schemas.microsoft.com/office/drawing/2014/chart" uri="{C3380CC4-5D6E-409C-BE32-E72D297353CC}">
              <c16:uniqueId val="{00000003-2CCF-4077-85AF-C475822D0491}"/>
            </c:ext>
          </c:extLst>
        </c:ser>
        <c:ser>
          <c:idx val="4"/>
          <c:order val="4"/>
          <c:tx>
            <c:strRef>
              <c:f>'výkonnost odvětví 3'!$AB$10</c:f>
              <c:strCache>
                <c:ptCount val="1"/>
                <c:pt idx="0">
                  <c:v>Growth barrier: insufficient demand</c:v>
                </c:pt>
              </c:strCache>
            </c:strRef>
          </c:tx>
          <c:spPr>
            <a:ln w="15875">
              <a:solidFill>
                <a:srgbClr val="00B050"/>
              </a:solidFill>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3'!$AB$31:$AB$55</c:f>
              <c:numCache>
                <c:formatCode>#,##0.0</c:formatCode>
                <c:ptCount val="25"/>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numCache>
            </c:numRef>
          </c:val>
          <c:smooth val="0"/>
          <c:extLst>
            <c:ext xmlns:c16="http://schemas.microsoft.com/office/drawing/2014/chart" uri="{C3380CC4-5D6E-409C-BE32-E72D297353CC}">
              <c16:uniqueId val="{00000004-2CCF-4077-85AF-C475822D0491}"/>
            </c:ext>
          </c:extLst>
        </c:ser>
        <c:ser>
          <c:idx val="5"/>
          <c:order val="5"/>
          <c:tx>
            <c:strRef>
              <c:f>'výkonnost odvětví 3'!$AC$10</c:f>
              <c:strCache>
                <c:ptCount val="1"/>
                <c:pt idx="0">
                  <c:v>Growth barrier: shortage of labour</c:v>
                </c:pt>
              </c:strCache>
            </c:strRef>
          </c:tx>
          <c:spPr>
            <a:ln w="15875">
              <a:solidFill>
                <a:srgbClr val="00B050"/>
              </a:solidFill>
              <a:prstDash val="sysDash"/>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3'!$AC$31:$AC$55</c:f>
              <c:numCache>
                <c:formatCode>#,##0.0</c:formatCode>
                <c:ptCount val="25"/>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numCache>
            </c:numRef>
          </c:val>
          <c:smooth val="0"/>
          <c:extLst>
            <c:ext xmlns:c16="http://schemas.microsoft.com/office/drawing/2014/chart" uri="{C3380CC4-5D6E-409C-BE32-E72D297353CC}">
              <c16:uniqueId val="{00000005-2CCF-4077-85AF-C475822D0491}"/>
            </c:ext>
          </c:extLst>
        </c:ser>
        <c:ser>
          <c:idx val="6"/>
          <c:order val="6"/>
          <c:tx>
            <c:strRef>
              <c:f>'výkonnost odvětví 3'!$AD$10</c:f>
              <c:strCache>
                <c:ptCount val="1"/>
                <c:pt idx="0">
                  <c:v>Balance of confidence indicator in construction</c:v>
                </c:pt>
              </c:strCache>
            </c:strRef>
          </c:tx>
          <c:spPr>
            <a:ln w="6350">
              <a:solidFill>
                <a:schemeClr val="bg1">
                  <a:lumMod val="50000"/>
                </a:schemeClr>
              </a:solidFill>
              <a:prstDash val="sysDash"/>
            </a:ln>
          </c:spPr>
          <c:marker>
            <c:symbol val="diamond"/>
            <c:size val="5"/>
            <c:spPr>
              <a:solidFill>
                <a:srgbClr val="FFFF00"/>
              </a:solidFill>
              <a:ln>
                <a:solidFill>
                  <a:prstClr val="black">
                    <a:lumMod val="95000"/>
                    <a:lumOff val="5000"/>
                  </a:prstClr>
                </a:solidFill>
              </a:ln>
            </c:spPr>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3'!$AD$31:$AD$55</c:f>
              <c:numCache>
                <c:formatCode>0.0</c:formatCode>
                <c:ptCount val="25"/>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numCache>
            </c:numRef>
          </c:val>
          <c:smooth val="0"/>
          <c:extLst>
            <c:ext xmlns:c16="http://schemas.microsoft.com/office/drawing/2014/chart" uri="{C3380CC4-5D6E-409C-BE32-E72D297353CC}">
              <c16:uniqueId val="{00000006-2CCF-4077-85AF-C475822D0491}"/>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panose="020B0604020202020204" pitchFamily="34" charset="0"/>
                    <a:ea typeface="Arial CE"/>
                    <a:cs typeface="Arial" panose="020B0604020202020204" pitchFamily="34" charset="0"/>
                  </a:defRPr>
                </a:pPr>
                <a:r>
                  <a:rPr lang="en-GB" sz="700" i="1">
                    <a:effectLst/>
                    <a:latin typeface="Arial" panose="020B0604020202020204" pitchFamily="34" charset="0"/>
                    <a:cs typeface="Arial" panose="020B0604020202020204" pitchFamily="34" charset="0"/>
                  </a:rPr>
                  <a:t>Contribution to the growth of construction output</a:t>
                </a:r>
                <a:endParaRPr lang="cs-CZ" sz="700">
                  <a:effectLst/>
                  <a:latin typeface="Arial" panose="020B0604020202020204" pitchFamily="34" charset="0"/>
                  <a:cs typeface="Arial" panose="020B0604020202020204" pitchFamily="34" charset="0"/>
                </a:endParaRPr>
              </a:p>
            </c:rich>
          </c:tx>
          <c:layout>
            <c:manualLayout>
              <c:xMode val="edge"/>
              <c:yMode val="edge"/>
              <c:x val="3.9009353322445295E-5"/>
              <c:y val="8.7432428126434439E-2"/>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panose="020B0604020202020204" pitchFamily="34" charset="0"/>
                    <a:ea typeface="Arial CE"/>
                    <a:cs typeface="Arial" panose="020B0604020202020204" pitchFamily="34" charset="0"/>
                  </a:defRPr>
                </a:pPr>
                <a:r>
                  <a:rPr lang="en-GB" sz="700" i="1">
                    <a:effectLst/>
                    <a:latin typeface="Arial" panose="020B0604020202020204" pitchFamily="34" charset="0"/>
                    <a:cs typeface="Arial" panose="020B0604020202020204" pitchFamily="34" charset="0"/>
                  </a:rPr>
                  <a:t>Orders, Balance of confidence indicator, Growth barriers</a:t>
                </a:r>
                <a:endParaRPr lang="cs-CZ" sz="700">
                  <a:effectLst/>
                  <a:latin typeface="Arial" panose="020B0604020202020204" pitchFamily="34" charset="0"/>
                  <a:cs typeface="Arial" panose="020B0604020202020204" pitchFamily="34" charset="0"/>
                </a:endParaRPr>
              </a:p>
            </c:rich>
          </c:tx>
          <c:layout/>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5.4370629189153278E-3"/>
          <c:y val="0.85298415743641243"/>
          <c:w val="0.98929036556296612"/>
          <c:h val="0.14367606044639572"/>
        </c:manualLayout>
      </c:layout>
      <c:overlay val="0"/>
      <c:spPr>
        <a:noFill/>
        <a:ln w="6350">
          <a:solidFill>
            <a:schemeClr val="tx1"/>
          </a:solidFill>
        </a:ln>
      </c:spPr>
      <c:txPr>
        <a:bodyPr/>
        <a:lstStyle/>
        <a:p>
          <a:pPr>
            <a:defRPr sz="750"/>
          </a:pPr>
          <a:endParaRPr lang="cs-CZ"/>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92892035383794E-2"/>
          <c:y val="1.5803328678987455E-2"/>
          <c:w val="0.85870205045677883"/>
          <c:h val="0.69754168907720737"/>
        </c:manualLayout>
      </c:layout>
      <c:barChart>
        <c:barDir val="col"/>
        <c:grouping val="stacked"/>
        <c:varyColors val="0"/>
        <c:ser>
          <c:idx val="0"/>
          <c:order val="1"/>
          <c:tx>
            <c:strRef>
              <c:f>'Služby-příspěvkyk růstu'!$D$25</c:f>
              <c:strCache>
                <c:ptCount val="1"/>
                <c:pt idx="0">
                  <c:v>Transporting and storage</c:v>
                </c:pt>
              </c:strCache>
            </c:strRef>
          </c:tx>
          <c:spPr>
            <a:solidFill>
              <a:srgbClr val="92D05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růstu'!$D$38:$D$62</c:f>
              <c:numCache>
                <c:formatCode>0.0</c:formatCode>
                <c:ptCount val="25"/>
                <c:pt idx="0">
                  <c:v>0.17784702542993272</c:v>
                </c:pt>
                <c:pt idx="1">
                  <c:v>-4.1153953747014721E-2</c:v>
                </c:pt>
                <c:pt idx="2">
                  <c:v>0.1967550766692415</c:v>
                </c:pt>
                <c:pt idx="3">
                  <c:v>4.4524497072685416E-2</c:v>
                </c:pt>
                <c:pt idx="4">
                  <c:v>0.13946448474091597</c:v>
                </c:pt>
                <c:pt idx="5">
                  <c:v>0.20828573782199397</c:v>
                </c:pt>
                <c:pt idx="6">
                  <c:v>0.13789199804325733</c:v>
                </c:pt>
                <c:pt idx="7">
                  <c:v>0.86068515065368634</c:v>
                </c:pt>
                <c:pt idx="8">
                  <c:v>1.7974934694994784</c:v>
                </c:pt>
                <c:pt idx="9">
                  <c:v>1.0846625367336171</c:v>
                </c:pt>
                <c:pt idx="10">
                  <c:v>1.1351852460965488</c:v>
                </c:pt>
                <c:pt idx="11">
                  <c:v>0.60468209395083738</c:v>
                </c:pt>
                <c:pt idx="12">
                  <c:v>1.7465012842772922</c:v>
                </c:pt>
                <c:pt idx="13">
                  <c:v>1.9213841074038147</c:v>
                </c:pt>
                <c:pt idx="14">
                  <c:v>1.4689302857885012</c:v>
                </c:pt>
                <c:pt idx="15">
                  <c:v>0.50117729901127261</c:v>
                </c:pt>
                <c:pt idx="16">
                  <c:v>0.75263240481802895</c:v>
                </c:pt>
                <c:pt idx="17">
                  <c:v>-8.1211369973804459E-2</c:v>
                </c:pt>
                <c:pt idx="18">
                  <c:v>-0.66994925852896292</c:v>
                </c:pt>
                <c:pt idx="19">
                  <c:v>-0.54145747843689973</c:v>
                </c:pt>
                <c:pt idx="20">
                  <c:v>-1.8981031905810553</c:v>
                </c:pt>
                <c:pt idx="21">
                  <c:v>-6.879134227851365</c:v>
                </c:pt>
                <c:pt idx="22">
                  <c:v>-4.2174759998821578</c:v>
                </c:pt>
                <c:pt idx="23">
                  <c:v>-1.7598038755132173</c:v>
                </c:pt>
              </c:numCache>
            </c:numRef>
          </c:val>
          <c:extLst>
            <c:ext xmlns:c16="http://schemas.microsoft.com/office/drawing/2014/chart" uri="{C3380CC4-5D6E-409C-BE32-E72D297353CC}">
              <c16:uniqueId val="{00000000-6E07-486F-AA2D-FFC282D71760}"/>
            </c:ext>
          </c:extLst>
        </c:ser>
        <c:ser>
          <c:idx val="1"/>
          <c:order val="2"/>
          <c:tx>
            <c:strRef>
              <c:f>'Služby-příspěvkyk růstu'!$E$25</c:f>
              <c:strCache>
                <c:ptCount val="1"/>
                <c:pt idx="0">
                  <c:v>Accommodation, food service activities</c:v>
                </c:pt>
              </c:strCache>
            </c:strRef>
          </c:tx>
          <c:spPr>
            <a:solidFill>
              <a:srgbClr val="00B0F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růstu'!$E$38:$E$62</c:f>
              <c:numCache>
                <c:formatCode>0.0</c:formatCode>
                <c:ptCount val="25"/>
                <c:pt idx="0">
                  <c:v>0.23068727887100596</c:v>
                </c:pt>
                <c:pt idx="1">
                  <c:v>0.65500430571454682</c:v>
                </c:pt>
                <c:pt idx="2">
                  <c:v>0.65445127331779929</c:v>
                </c:pt>
                <c:pt idx="3">
                  <c:v>0.40295088991967137</c:v>
                </c:pt>
                <c:pt idx="4">
                  <c:v>0.46667218537685373</c:v>
                </c:pt>
                <c:pt idx="5">
                  <c:v>0.1710444437848046</c:v>
                </c:pt>
                <c:pt idx="6">
                  <c:v>0.56704693433553988</c:v>
                </c:pt>
                <c:pt idx="7">
                  <c:v>0.60083208250080533</c:v>
                </c:pt>
                <c:pt idx="8">
                  <c:v>0.91455838503774378</c:v>
                </c:pt>
                <c:pt idx="9">
                  <c:v>1.2316072542389023</c:v>
                </c:pt>
                <c:pt idx="10">
                  <c:v>0.55345109158871542</c:v>
                </c:pt>
                <c:pt idx="11">
                  <c:v>0.45394811365368137</c:v>
                </c:pt>
                <c:pt idx="12">
                  <c:v>0.20369258797505621</c:v>
                </c:pt>
                <c:pt idx="13">
                  <c:v>4.7235696662607296E-2</c:v>
                </c:pt>
                <c:pt idx="14">
                  <c:v>5.8750890432180687E-2</c:v>
                </c:pt>
                <c:pt idx="15">
                  <c:v>-3.836634960552178E-2</c:v>
                </c:pt>
                <c:pt idx="16">
                  <c:v>0.19921780943455034</c:v>
                </c:pt>
                <c:pt idx="17">
                  <c:v>0.19028430973131449</c:v>
                </c:pt>
                <c:pt idx="18">
                  <c:v>-1.9166901240237025E-2</c:v>
                </c:pt>
                <c:pt idx="19">
                  <c:v>-1.9723740013199119E-2</c:v>
                </c:pt>
                <c:pt idx="20">
                  <c:v>-1.1617708262346884</c:v>
                </c:pt>
                <c:pt idx="21">
                  <c:v>-4.9674745183469904</c:v>
                </c:pt>
                <c:pt idx="22">
                  <c:v>-1.9525847727872179</c:v>
                </c:pt>
                <c:pt idx="23">
                  <c:v>-4.5015896466310741</c:v>
                </c:pt>
              </c:numCache>
            </c:numRef>
          </c:val>
          <c:extLst>
            <c:ext xmlns:c16="http://schemas.microsoft.com/office/drawing/2014/chart" uri="{C3380CC4-5D6E-409C-BE32-E72D297353CC}">
              <c16:uniqueId val="{00000001-6E07-486F-AA2D-FFC282D71760}"/>
            </c:ext>
          </c:extLst>
        </c:ser>
        <c:ser>
          <c:idx val="2"/>
          <c:order val="3"/>
          <c:tx>
            <c:strRef>
              <c:f>'Služby-příspěvkyk růstu'!$F$25</c:f>
              <c:strCache>
                <c:ptCount val="1"/>
                <c:pt idx="0">
                  <c:v>Information and communication</c:v>
                </c:pt>
              </c:strCache>
            </c:strRef>
          </c:tx>
          <c:spPr>
            <a:solidFill>
              <a:srgbClr val="E6E10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růstu'!$F$38:$F$62</c:f>
              <c:numCache>
                <c:formatCode>0.0</c:formatCode>
                <c:ptCount val="25"/>
                <c:pt idx="0">
                  <c:v>1.407889808621178</c:v>
                </c:pt>
                <c:pt idx="1">
                  <c:v>0.82525906253417192</c:v>
                </c:pt>
                <c:pt idx="2">
                  <c:v>0.80495762866674458</c:v>
                </c:pt>
                <c:pt idx="3">
                  <c:v>1.3162338144239947</c:v>
                </c:pt>
                <c:pt idx="4">
                  <c:v>0.36033487592174906</c:v>
                </c:pt>
                <c:pt idx="5">
                  <c:v>0.15638027594739867</c:v>
                </c:pt>
                <c:pt idx="6">
                  <c:v>0.32610885545485901</c:v>
                </c:pt>
                <c:pt idx="7">
                  <c:v>0.17762627918062024</c:v>
                </c:pt>
                <c:pt idx="8">
                  <c:v>0.76282426049190521</c:v>
                </c:pt>
                <c:pt idx="9">
                  <c:v>0.9830688573717753</c:v>
                </c:pt>
                <c:pt idx="10">
                  <c:v>0.77131825130347442</c:v>
                </c:pt>
                <c:pt idx="11">
                  <c:v>0.5843204333200237</c:v>
                </c:pt>
                <c:pt idx="12">
                  <c:v>1.4410506369436735</c:v>
                </c:pt>
                <c:pt idx="13">
                  <c:v>0.76544503754725868</c:v>
                </c:pt>
                <c:pt idx="14">
                  <c:v>1.4164775777579539</c:v>
                </c:pt>
                <c:pt idx="15">
                  <c:v>0.98719747202455899</c:v>
                </c:pt>
                <c:pt idx="16">
                  <c:v>1.2347847875298792</c:v>
                </c:pt>
                <c:pt idx="17">
                  <c:v>1.1610055812776692</c:v>
                </c:pt>
                <c:pt idx="18">
                  <c:v>0.91432301571880847</c:v>
                </c:pt>
                <c:pt idx="19">
                  <c:v>1.1617923843637676</c:v>
                </c:pt>
                <c:pt idx="20">
                  <c:v>0.81875762052345991</c:v>
                </c:pt>
                <c:pt idx="21">
                  <c:v>1.2709144306749125E-2</c:v>
                </c:pt>
                <c:pt idx="22">
                  <c:v>-0.20800867793652372</c:v>
                </c:pt>
                <c:pt idx="23">
                  <c:v>-0.54275021624738551</c:v>
                </c:pt>
              </c:numCache>
            </c:numRef>
          </c:val>
          <c:extLst>
            <c:ext xmlns:c16="http://schemas.microsoft.com/office/drawing/2014/chart" uri="{C3380CC4-5D6E-409C-BE32-E72D297353CC}">
              <c16:uniqueId val="{00000002-6E07-486F-AA2D-FFC282D71760}"/>
            </c:ext>
          </c:extLst>
        </c:ser>
        <c:ser>
          <c:idx val="4"/>
          <c:order val="4"/>
          <c:tx>
            <c:strRef>
              <c:f>'Služby-příspěvkyk růstu'!$G$25</c:f>
              <c:strCache>
                <c:ptCount val="1"/>
                <c:pt idx="0">
                  <c:v>Real estate activities</c:v>
                </c:pt>
              </c:strCache>
            </c:strRef>
          </c:tx>
          <c:spPr>
            <a:solidFill>
              <a:schemeClr val="accent5">
                <a:lumMod val="60000"/>
                <a:lumOff val="40000"/>
              </a:schemeClr>
            </a:solidFill>
            <a:ln>
              <a:noFill/>
              <a:prstDash val="sysDash"/>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růstu'!$G$38:$G$62</c:f>
              <c:numCache>
                <c:formatCode>0.0</c:formatCode>
                <c:ptCount val="25"/>
                <c:pt idx="0">
                  <c:v>4.5114687433560306E-2</c:v>
                </c:pt>
                <c:pt idx="1">
                  <c:v>-4.6332035268016221E-3</c:v>
                </c:pt>
                <c:pt idx="2">
                  <c:v>8.5015739391012091E-2</c:v>
                </c:pt>
                <c:pt idx="3">
                  <c:v>4.2208307641240138E-2</c:v>
                </c:pt>
                <c:pt idx="4">
                  <c:v>0.22367935721226123</c:v>
                </c:pt>
                <c:pt idx="5">
                  <c:v>6.8179121742595258E-2</c:v>
                </c:pt>
                <c:pt idx="6">
                  <c:v>0.11569139985311286</c:v>
                </c:pt>
                <c:pt idx="7">
                  <c:v>-7.0466111576954538E-2</c:v>
                </c:pt>
                <c:pt idx="8">
                  <c:v>0.2817034743166883</c:v>
                </c:pt>
                <c:pt idx="9">
                  <c:v>0.36183937473684985</c:v>
                </c:pt>
                <c:pt idx="10">
                  <c:v>-3.8722622280749804E-2</c:v>
                </c:pt>
                <c:pt idx="11">
                  <c:v>0.1375178635065378</c:v>
                </c:pt>
                <c:pt idx="12">
                  <c:v>-1.6524920487738199E-2</c:v>
                </c:pt>
                <c:pt idx="13">
                  <c:v>-0.22648211116742281</c:v>
                </c:pt>
                <c:pt idx="14">
                  <c:v>-0.12424593654845113</c:v>
                </c:pt>
                <c:pt idx="15">
                  <c:v>-0.20693626252291025</c:v>
                </c:pt>
                <c:pt idx="16">
                  <c:v>0.14696794955742462</c:v>
                </c:pt>
                <c:pt idx="17">
                  <c:v>-2.7570979439452199E-2</c:v>
                </c:pt>
                <c:pt idx="18">
                  <c:v>-0.16565733752607226</c:v>
                </c:pt>
                <c:pt idx="19">
                  <c:v>-0.11837811882672172</c:v>
                </c:pt>
                <c:pt idx="20">
                  <c:v>0.4333949544812507</c:v>
                </c:pt>
                <c:pt idx="21">
                  <c:v>-0.29664667827714641</c:v>
                </c:pt>
                <c:pt idx="22">
                  <c:v>-0.27589755106802255</c:v>
                </c:pt>
                <c:pt idx="23">
                  <c:v>-0.22603611624101408</c:v>
                </c:pt>
              </c:numCache>
            </c:numRef>
          </c:val>
          <c:extLst>
            <c:ext xmlns:c16="http://schemas.microsoft.com/office/drawing/2014/chart" uri="{C3380CC4-5D6E-409C-BE32-E72D297353CC}">
              <c16:uniqueId val="{00000003-6E07-486F-AA2D-FFC282D71760}"/>
            </c:ext>
          </c:extLst>
        </c:ser>
        <c:ser>
          <c:idx val="5"/>
          <c:order val="5"/>
          <c:tx>
            <c:strRef>
              <c:f>'Služby-příspěvkyk růstu'!$H$25</c:f>
              <c:strCache>
                <c:ptCount val="1"/>
                <c:pt idx="0">
                  <c:v>Professional, scientific, technical act.</c:v>
                </c:pt>
              </c:strCache>
            </c:strRef>
          </c:tx>
          <c:spPr>
            <a:solidFill>
              <a:schemeClr val="accent6">
                <a:lumMod val="60000"/>
                <a:lumOff val="40000"/>
              </a:schemeClr>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růstu'!$H$38:$H$62</c:f>
              <c:numCache>
                <c:formatCode>0.0</c:formatCode>
                <c:ptCount val="25"/>
                <c:pt idx="0">
                  <c:v>1.0484383487899711</c:v>
                </c:pt>
                <c:pt idx="1">
                  <c:v>0.72052999545577168</c:v>
                </c:pt>
                <c:pt idx="2">
                  <c:v>1.0868604151162005</c:v>
                </c:pt>
                <c:pt idx="3">
                  <c:v>-4.0322082415785492E-2</c:v>
                </c:pt>
                <c:pt idx="4">
                  <c:v>-0.43449187968361835</c:v>
                </c:pt>
                <c:pt idx="5">
                  <c:v>-1.3323038963027927</c:v>
                </c:pt>
                <c:pt idx="6">
                  <c:v>-3.9552148164600709E-3</c:v>
                </c:pt>
                <c:pt idx="7">
                  <c:v>-0.31462694060722485</c:v>
                </c:pt>
                <c:pt idx="8">
                  <c:v>0.96902063867400445</c:v>
                </c:pt>
                <c:pt idx="9">
                  <c:v>0.58685346999817534</c:v>
                </c:pt>
                <c:pt idx="10">
                  <c:v>0.30367671908798494</c:v>
                </c:pt>
                <c:pt idx="11">
                  <c:v>0.4272378328972698</c:v>
                </c:pt>
                <c:pt idx="12">
                  <c:v>1.046516660206382</c:v>
                </c:pt>
                <c:pt idx="13">
                  <c:v>0.55031892838577978</c:v>
                </c:pt>
                <c:pt idx="14">
                  <c:v>0.3606269063463074</c:v>
                </c:pt>
                <c:pt idx="15">
                  <c:v>-0.26282042656827093</c:v>
                </c:pt>
                <c:pt idx="16">
                  <c:v>0.70683419450667839</c:v>
                </c:pt>
                <c:pt idx="17">
                  <c:v>0.58909336817613034</c:v>
                </c:pt>
                <c:pt idx="18">
                  <c:v>-0.76655146650449768</c:v>
                </c:pt>
                <c:pt idx="19">
                  <c:v>-0.57034880427530998</c:v>
                </c:pt>
                <c:pt idx="20">
                  <c:v>-0.862671202284087</c:v>
                </c:pt>
                <c:pt idx="21">
                  <c:v>-3.1824030086585093</c:v>
                </c:pt>
                <c:pt idx="22">
                  <c:v>-1.4967172567562528</c:v>
                </c:pt>
                <c:pt idx="23">
                  <c:v>-1.5494143142687984</c:v>
                </c:pt>
              </c:numCache>
            </c:numRef>
          </c:val>
          <c:extLst>
            <c:ext xmlns:c16="http://schemas.microsoft.com/office/drawing/2014/chart" uri="{C3380CC4-5D6E-409C-BE32-E72D297353CC}">
              <c16:uniqueId val="{00000004-6E07-486F-AA2D-FFC282D71760}"/>
            </c:ext>
          </c:extLst>
        </c:ser>
        <c:ser>
          <c:idx val="6"/>
          <c:order val="6"/>
          <c:tx>
            <c:strRef>
              <c:f>'Služby-příspěvkyk růstu'!$I$25</c:f>
              <c:strCache>
                <c:ptCount val="1"/>
                <c:pt idx="0">
                  <c:v>Administrative and support service act.</c:v>
                </c:pt>
              </c:strCache>
            </c:strRef>
          </c:tx>
          <c:spPr>
            <a:solidFill>
              <a:schemeClr val="accent1">
                <a:lumMod val="20000"/>
                <a:lumOff val="80000"/>
              </a:schemeClr>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růstu'!$I$38:$I$62</c:f>
              <c:numCache>
                <c:formatCode>0.0</c:formatCode>
                <c:ptCount val="25"/>
                <c:pt idx="0">
                  <c:v>0.51529021782059092</c:v>
                </c:pt>
                <c:pt idx="1">
                  <c:v>0.62103855114509265</c:v>
                </c:pt>
                <c:pt idx="2">
                  <c:v>0.43595933844001955</c:v>
                </c:pt>
                <c:pt idx="3">
                  <c:v>0.50146244094602455</c:v>
                </c:pt>
                <c:pt idx="4">
                  <c:v>0.46409597349779164</c:v>
                </c:pt>
                <c:pt idx="5">
                  <c:v>0.16302808064014088</c:v>
                </c:pt>
                <c:pt idx="6">
                  <c:v>0.26998446358589956</c:v>
                </c:pt>
                <c:pt idx="7">
                  <c:v>0.51404132409576386</c:v>
                </c:pt>
                <c:pt idx="8">
                  <c:v>1.3081284681462071</c:v>
                </c:pt>
                <c:pt idx="9">
                  <c:v>1.0890272614101544</c:v>
                </c:pt>
                <c:pt idx="10">
                  <c:v>0.64167805580696791</c:v>
                </c:pt>
                <c:pt idx="11">
                  <c:v>0.30494507513789598</c:v>
                </c:pt>
                <c:pt idx="12">
                  <c:v>0.53369642451270716</c:v>
                </c:pt>
                <c:pt idx="13">
                  <c:v>0.37812124449670165</c:v>
                </c:pt>
                <c:pt idx="14">
                  <c:v>0.43585539244585964</c:v>
                </c:pt>
                <c:pt idx="15">
                  <c:v>-1.3565740352544766E-2</c:v>
                </c:pt>
                <c:pt idx="16">
                  <c:v>0.47293200739556923</c:v>
                </c:pt>
                <c:pt idx="17">
                  <c:v>0.12985986482803277</c:v>
                </c:pt>
                <c:pt idx="18">
                  <c:v>-0.12378098729050785</c:v>
                </c:pt>
                <c:pt idx="19">
                  <c:v>-0.21478965355329299</c:v>
                </c:pt>
                <c:pt idx="20">
                  <c:v>-1.095647450588088</c:v>
                </c:pt>
                <c:pt idx="21">
                  <c:v>-4.3129378306473711</c:v>
                </c:pt>
                <c:pt idx="22">
                  <c:v>-4.4460381962393489</c:v>
                </c:pt>
                <c:pt idx="23">
                  <c:v>-2.3718014371067651</c:v>
                </c:pt>
              </c:numCache>
            </c:numRef>
          </c:val>
          <c:extLst>
            <c:ext xmlns:c16="http://schemas.microsoft.com/office/drawing/2014/chart" uri="{C3380CC4-5D6E-409C-BE32-E72D297353CC}">
              <c16:uniqueId val="{00000005-6E07-486F-AA2D-FFC282D71760}"/>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růstu'!$C$25</c:f>
              <c:strCache>
                <c:ptCount val="1"/>
                <c:pt idx="0">
                  <c:v>Total services</c:v>
                </c:pt>
              </c:strCache>
            </c:strRef>
          </c:tx>
          <c:spPr>
            <a:ln>
              <a:noFill/>
            </a:ln>
          </c:spPr>
          <c:marker>
            <c:symbol val="dash"/>
            <c:size val="9"/>
            <c:spPr>
              <a:solidFill>
                <a:schemeClr val="tx1">
                  <a:lumMod val="95000"/>
                  <a:lumOff val="5000"/>
                </a:schemeClr>
              </a:solidFill>
              <a:ln>
                <a:noFill/>
              </a:ln>
            </c:spPr>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růstu'!$C$38:$C$62</c:f>
              <c:numCache>
                <c:formatCode>0.0</c:formatCode>
                <c:ptCount val="25"/>
                <c:pt idx="0">
                  <c:v>3.3382433958668543</c:v>
                </c:pt>
                <c:pt idx="1">
                  <c:v>2.7103361232655629</c:v>
                </c:pt>
                <c:pt idx="2">
                  <c:v>3.2239950369824015</c:v>
                </c:pt>
                <c:pt idx="3">
                  <c:v>2.2290744901698503</c:v>
                </c:pt>
                <c:pt idx="4">
                  <c:v>1.1705942890214658</c:v>
                </c:pt>
                <c:pt idx="5">
                  <c:v>-0.79617382977255602</c:v>
                </c:pt>
                <c:pt idx="6">
                  <c:v>1.3957902293238789</c:v>
                </c:pt>
                <c:pt idx="7">
                  <c:v>1.6187710130799218</c:v>
                </c:pt>
                <c:pt idx="8">
                  <c:v>5.8784103471439551</c:v>
                </c:pt>
                <c:pt idx="9">
                  <c:v>5.3482581398495768</c:v>
                </c:pt>
                <c:pt idx="10">
                  <c:v>3.3779943282277998</c:v>
                </c:pt>
                <c:pt idx="11">
                  <c:v>2.5043716791567761</c:v>
                </c:pt>
                <c:pt idx="12">
                  <c:v>5.0156711008346235</c:v>
                </c:pt>
                <c:pt idx="13">
                  <c:v>3.5070069269133626</c:v>
                </c:pt>
                <c:pt idx="14">
                  <c:v>3.6980923847765013</c:v>
                </c:pt>
                <c:pt idx="15">
                  <c:v>1.088994618978063</c:v>
                </c:pt>
                <c:pt idx="16">
                  <c:v>3.5749845208334534</c:v>
                </c:pt>
                <c:pt idx="17">
                  <c:v>1.954576538323721</c:v>
                </c:pt>
                <c:pt idx="18">
                  <c:v>-0.74453870345746509</c:v>
                </c:pt>
                <c:pt idx="19">
                  <c:v>-0.17451544055846568</c:v>
                </c:pt>
                <c:pt idx="20">
                  <c:v>-3.8008841756984992</c:v>
                </c:pt>
                <c:pt idx="21">
                  <c:v>-19.645885010863395</c:v>
                </c:pt>
                <c:pt idx="22">
                  <c:v>-12.616731539536957</c:v>
                </c:pt>
                <c:pt idx="23">
                  <c:v>-10.908003215270696</c:v>
                </c:pt>
              </c:numCache>
            </c:numRef>
          </c:val>
          <c:smooth val="0"/>
          <c:extLst>
            <c:ext xmlns:c16="http://schemas.microsoft.com/office/drawing/2014/chart" uri="{C3380CC4-5D6E-409C-BE32-E72D297353CC}">
              <c16:uniqueId val="{00000006-6E07-486F-AA2D-FFC282D71760}"/>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Balance of confidence in services</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růstu'!$J$38:$J$62</c:f>
              <c:numCache>
                <c:formatCode>0.0</c:formatCode>
                <c:ptCount val="25"/>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numCache>
            </c:numRef>
          </c:val>
          <c:smooth val="0"/>
          <c:extLst>
            <c:ext xmlns:c16="http://schemas.microsoft.com/office/drawing/2014/chart" uri="{C3380CC4-5D6E-409C-BE32-E72D297353CC}">
              <c16:uniqueId val="{00000007-6E07-486F-AA2D-FFC282D71760}"/>
            </c:ext>
          </c:extLst>
        </c:ser>
        <c:ser>
          <c:idx val="8"/>
          <c:order val="8"/>
          <c:tx>
            <c:strRef>
              <c:f>'Služby-příspěvkyk růstu'!$K$25</c:f>
              <c:strCache>
                <c:ptCount val="1"/>
                <c:pt idx="0">
                  <c:v>Growth barrier: insufficient demand</c:v>
                </c:pt>
              </c:strCache>
            </c:strRef>
          </c:tx>
          <c:spPr>
            <a:ln w="19050">
              <a:solidFill>
                <a:srgbClr val="00B050"/>
              </a:solidFill>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růstu'!$K$38:$K$62</c:f>
              <c:numCache>
                <c:formatCode>#,##0.0</c:formatCode>
                <c:ptCount val="25"/>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numCache>
            </c:numRef>
          </c:val>
          <c:smooth val="0"/>
          <c:extLst>
            <c:ext xmlns:c16="http://schemas.microsoft.com/office/drawing/2014/chart" uri="{C3380CC4-5D6E-409C-BE32-E72D297353CC}">
              <c16:uniqueId val="{00000008-6E07-486F-AA2D-FFC282D71760}"/>
            </c:ext>
          </c:extLst>
        </c:ser>
        <c:ser>
          <c:idx val="9"/>
          <c:order val="9"/>
          <c:tx>
            <c:strRef>
              <c:f>'Služby-příspěvkyk růstu'!$L$25</c:f>
              <c:strCache>
                <c:ptCount val="1"/>
                <c:pt idx="0">
                  <c:v>Growth barrier: shortage of labour</c:v>
                </c:pt>
              </c:strCache>
            </c:strRef>
          </c:tx>
          <c:spPr>
            <a:ln w="19050">
              <a:solidFill>
                <a:srgbClr val="00B050"/>
              </a:solidFill>
              <a:prstDash val="sysDash"/>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růstu'!$L$38:$L$62</c:f>
              <c:numCache>
                <c:formatCode>#,##0.0</c:formatCode>
                <c:ptCount val="25"/>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numCache>
            </c:numRef>
          </c:val>
          <c:smooth val="0"/>
          <c:extLst>
            <c:ext xmlns:c16="http://schemas.microsoft.com/office/drawing/2014/chart" uri="{C3380CC4-5D6E-409C-BE32-E72D297353CC}">
              <c16:uniqueId val="{00000009-6E07-486F-AA2D-FFC282D71760}"/>
            </c:ext>
          </c:extLst>
        </c:ser>
        <c:ser>
          <c:idx val="10"/>
          <c:order val="10"/>
          <c:tx>
            <c:strRef>
              <c:f>'Služby-příspěvkyk růstu'!$M$25</c:f>
              <c:strCache>
                <c:ptCount val="1"/>
                <c:pt idx="0">
                  <c:v>Growth barrier: none</c:v>
                </c:pt>
              </c:strCache>
            </c:strRef>
          </c:tx>
          <c:spPr>
            <a:ln w="19050">
              <a:solidFill>
                <a:srgbClr val="00B050"/>
              </a:solidFill>
              <a:prstDash val="sysDot"/>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růstu'!$M$38:$M$62</c:f>
              <c:numCache>
                <c:formatCode>#,##0.0</c:formatCode>
                <c:ptCount val="25"/>
                <c:pt idx="0">
                  <c:v>43.8</c:v>
                </c:pt>
                <c:pt idx="1">
                  <c:v>42.8</c:v>
                </c:pt>
                <c:pt idx="2">
                  <c:v>46.2</c:v>
                </c:pt>
                <c:pt idx="3">
                  <c:v>50.3</c:v>
                </c:pt>
                <c:pt idx="4">
                  <c:v>47</c:v>
                </c:pt>
                <c:pt idx="5">
                  <c:v>46.5</c:v>
                </c:pt>
                <c:pt idx="6">
                  <c:v>51.8</c:v>
                </c:pt>
                <c:pt idx="7">
                  <c:v>48.6</c:v>
                </c:pt>
                <c:pt idx="8">
                  <c:v>45.5</c:v>
                </c:pt>
                <c:pt idx="9">
                  <c:v>47.7</c:v>
                </c:pt>
                <c:pt idx="10">
                  <c:v>48.2</c:v>
                </c:pt>
                <c:pt idx="11">
                  <c:v>46.6</c:v>
                </c:pt>
                <c:pt idx="12">
                  <c:v>49.6</c:v>
                </c:pt>
                <c:pt idx="13">
                  <c:v>45.4</c:v>
                </c:pt>
                <c:pt idx="14">
                  <c:v>43.4</c:v>
                </c:pt>
                <c:pt idx="15">
                  <c:v>46.4</c:v>
                </c:pt>
                <c:pt idx="16">
                  <c:v>45</c:v>
                </c:pt>
                <c:pt idx="17">
                  <c:v>46.4</c:v>
                </c:pt>
                <c:pt idx="18">
                  <c:v>45.9</c:v>
                </c:pt>
                <c:pt idx="19">
                  <c:v>47.5</c:v>
                </c:pt>
                <c:pt idx="20">
                  <c:v>44.4</c:v>
                </c:pt>
                <c:pt idx="21">
                  <c:v>32.9</c:v>
                </c:pt>
                <c:pt idx="22">
                  <c:v>27.1</c:v>
                </c:pt>
                <c:pt idx="23">
                  <c:v>26.4</c:v>
                </c:pt>
                <c:pt idx="24">
                  <c:v>26.4</c:v>
                </c:pt>
              </c:numCache>
            </c:numRef>
          </c:val>
          <c:smooth val="0"/>
          <c:extLst>
            <c:ext xmlns:c16="http://schemas.microsoft.com/office/drawing/2014/chart" uri="{C3380CC4-5D6E-409C-BE32-E72D297353CC}">
              <c16:uniqueId val="{0000000A-6E07-486F-AA2D-FFC282D71760}"/>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6"/>
          <c:min val="-24"/>
        </c:scaling>
        <c:delete val="0"/>
        <c:axPos val="l"/>
        <c:majorGridlines>
          <c:spPr>
            <a:ln w="6350">
              <a:solidFill>
                <a:schemeClr val="bg1">
                  <a:lumMod val="75000"/>
                </a:schemeClr>
              </a:soli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b="0" i="1">
                    <a:effectLst/>
                  </a:rPr>
                  <a:t>Contribution to the growth of sales</a:t>
                </a:r>
                <a:endParaRPr lang="cs-CZ" sz="700" b="0">
                  <a:effectLst/>
                </a:endParaRPr>
              </a:p>
            </c:rich>
          </c:tx>
          <c:layout>
            <c:manualLayout>
              <c:xMode val="edge"/>
              <c:yMode val="edge"/>
              <c:x val="0"/>
              <c:y val="0.17330249928282673"/>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80"/>
          <c:min val="-15"/>
        </c:scaling>
        <c:delete val="0"/>
        <c:axPos val="r"/>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b="0" i="1">
                    <a:effectLst/>
                  </a:rPr>
                  <a:t>Balance of confidence indicator, Growth barriers</a:t>
                </a:r>
                <a:endParaRPr lang="cs-CZ" sz="700" b="0">
                  <a:effectLst/>
                </a:endParaRPr>
              </a:p>
            </c:rich>
          </c:tx>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3.3715938115495649E-2"/>
          <c:y val="0.79913960372263959"/>
          <c:w val="0.9237866194112766"/>
          <c:h val="0.19395839434148354"/>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334"/>
          <c:h val="0.65344337498592808"/>
        </c:manualLayout>
      </c:layout>
      <c:barChart>
        <c:barDir val="col"/>
        <c:grouping val="clustered"/>
        <c:varyColors val="0"/>
        <c:ser>
          <c:idx val="0"/>
          <c:order val="0"/>
          <c:tx>
            <c:strRef>
              <c:f>'Vnější vztahy 2'!$A$6</c:f>
              <c:strCache>
                <c:ptCount val="1"/>
                <c:pt idx="0">
                  <c:v>2019</c:v>
                </c:pt>
              </c:strCache>
            </c:strRef>
          </c:tx>
          <c:spPr>
            <a:solidFill>
              <a:schemeClr val="tx1">
                <a:lumMod val="50000"/>
                <a:lumOff val="50000"/>
              </a:schemeClr>
            </a:solidFill>
            <a:ln>
              <a:noFill/>
            </a:ln>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2'!$B$6:$N$6</c:f>
              <c:numCache>
                <c:formatCode>General</c:formatCode>
                <c:ptCount val="13"/>
                <c:pt idx="0">
                  <c:v>-126.11199999999999</c:v>
                </c:pt>
                <c:pt idx="1">
                  <c:v>-45.085000000000001</c:v>
                </c:pt>
                <c:pt idx="2">
                  <c:v>-33.119999999999997</c:v>
                </c:pt>
                <c:pt idx="3">
                  <c:v>-21.491</c:v>
                </c:pt>
                <c:pt idx="4">
                  <c:v>-111.01600000000001</c:v>
                </c:pt>
                <c:pt idx="5">
                  <c:v>-53.835999999999999</c:v>
                </c:pt>
                <c:pt idx="6">
                  <c:v>23.349</c:v>
                </c:pt>
                <c:pt idx="7">
                  <c:v>-123.27200000000001</c:v>
                </c:pt>
                <c:pt idx="8">
                  <c:v>56.374000000000002</c:v>
                </c:pt>
                <c:pt idx="9">
                  <c:v>-27.954000000000001</c:v>
                </c:pt>
                <c:pt idx="10">
                  <c:v>40.701000000000001</c:v>
                </c:pt>
                <c:pt idx="11">
                  <c:v>62.975999999999999</c:v>
                </c:pt>
                <c:pt idx="12">
                  <c:v>460.68099999999998</c:v>
                </c:pt>
              </c:numCache>
            </c:numRef>
          </c:val>
          <c:extLst>
            <c:ext xmlns:c16="http://schemas.microsoft.com/office/drawing/2014/chart" uri="{C3380CC4-5D6E-409C-BE32-E72D297353CC}">
              <c16:uniqueId val="{00000000-F297-4DE0-9ED9-29149AB04FFD}"/>
            </c:ext>
          </c:extLst>
        </c:ser>
        <c:ser>
          <c:idx val="1"/>
          <c:order val="1"/>
          <c:tx>
            <c:strRef>
              <c:f>'Vnější vztahy 2'!$A$7</c:f>
              <c:strCache>
                <c:ptCount val="1"/>
                <c:pt idx="0">
                  <c:v>2020</c:v>
                </c:pt>
              </c:strCache>
            </c:strRef>
          </c:tx>
          <c:spPr>
            <a:solidFill>
              <a:schemeClr val="bg1">
                <a:lumMod val="65000"/>
              </a:schemeClr>
            </a:solidFill>
          </c:spPr>
          <c:invertIfNegative val="0"/>
          <c:val>
            <c:numRef>
              <c:f>'Vnější vztahy 2'!$B$7:$N$7</c:f>
              <c:numCache>
                <c:formatCode>General</c:formatCode>
                <c:ptCount val="13"/>
                <c:pt idx="0">
                  <c:v>-70.382999999999996</c:v>
                </c:pt>
                <c:pt idx="1">
                  <c:v>-42.177</c:v>
                </c:pt>
                <c:pt idx="2">
                  <c:v>-30.149000000000001</c:v>
                </c:pt>
                <c:pt idx="3">
                  <c:v>-20.463999999999999</c:v>
                </c:pt>
                <c:pt idx="4">
                  <c:v>-105.018</c:v>
                </c:pt>
                <c:pt idx="5">
                  <c:v>-59.753999999999998</c:v>
                </c:pt>
                <c:pt idx="6">
                  <c:v>24.41</c:v>
                </c:pt>
                <c:pt idx="7">
                  <c:v>-100.375</c:v>
                </c:pt>
                <c:pt idx="8">
                  <c:v>58.125999999999998</c:v>
                </c:pt>
                <c:pt idx="9">
                  <c:v>-48.302</c:v>
                </c:pt>
                <c:pt idx="10">
                  <c:v>21.015000000000001</c:v>
                </c:pt>
                <c:pt idx="11">
                  <c:v>62.640999999999998</c:v>
                </c:pt>
                <c:pt idx="12">
                  <c:v>435.25700000000001</c:v>
                </c:pt>
              </c:numCache>
            </c:numRef>
          </c:val>
          <c:extLst>
            <c:ext xmlns:c16="http://schemas.microsoft.com/office/drawing/2014/chart" uri="{C3380CC4-5D6E-409C-BE32-E72D297353CC}">
              <c16:uniqueId val="{00000001-F297-4DE0-9ED9-29149AB04FFD}"/>
            </c:ext>
          </c:extLst>
        </c:ser>
        <c:dLbls>
          <c:showLegendKey val="0"/>
          <c:showVal val="0"/>
          <c:showCatName val="0"/>
          <c:showSerName val="0"/>
          <c:showPercent val="0"/>
          <c:showBubbleSize val="0"/>
        </c:dLbls>
        <c:gapWidth val="97"/>
        <c:axId val="130226048"/>
        <c:axId val="130227584"/>
      </c:barChart>
      <c:catAx>
        <c:axId val="13022604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30227584"/>
        <c:crosses val="autoZero"/>
        <c:auto val="1"/>
        <c:lblAlgn val="ctr"/>
        <c:lblOffset val="100"/>
        <c:noMultiLvlLbl val="0"/>
      </c:catAx>
      <c:valAx>
        <c:axId val="130227584"/>
        <c:scaling>
          <c:orientation val="minMax"/>
          <c:max val="500"/>
          <c:min val="-20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30226048"/>
        <c:crosses val="autoZero"/>
        <c:crossBetween val="between"/>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49577845322527E-2"/>
          <c:y val="2.1811335019919161E-2"/>
          <c:w val="0.92237743255066085"/>
          <c:h val="0.73318107621299466"/>
        </c:manualLayout>
      </c:layout>
      <c:barChart>
        <c:barDir val="col"/>
        <c:grouping val="clustered"/>
        <c:varyColors val="0"/>
        <c:ser>
          <c:idx val="0"/>
          <c:order val="0"/>
          <c:tx>
            <c:strRef>
              <c:f>'Ceny 2'!$C$5</c:f>
              <c:strCache>
                <c:ptCount val="1"/>
                <c:pt idx="0">
                  <c:v>Total</c:v>
                </c:pt>
              </c:strCache>
            </c:strRef>
          </c:tx>
          <c:spPr>
            <a:solidFill>
              <a:schemeClr val="bg1">
                <a:lumMod val="65000"/>
              </a:schemeClr>
            </a:solidFill>
            <a:ln w="19050">
              <a:noFill/>
            </a:ln>
          </c:spPr>
          <c:invertIfNegative val="0"/>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2'!$C$18:$C$41</c:f>
              <c:numCache>
                <c:formatCode>0.0</c:formatCode>
                <c:ptCount val="24"/>
                <c:pt idx="0">
                  <c:v>9.9999999999994316E-2</c:v>
                </c:pt>
                <c:pt idx="1">
                  <c:v>0.70000000000000284</c:v>
                </c:pt>
                <c:pt idx="2">
                  <c:v>0.40000000000000568</c:v>
                </c:pt>
                <c:pt idx="3">
                  <c:v>9.9999999999994316E-2</c:v>
                </c:pt>
                <c:pt idx="4">
                  <c:v>0.5</c:v>
                </c:pt>
                <c:pt idx="5">
                  <c:v>0.20000000000000284</c:v>
                </c:pt>
                <c:pt idx="6">
                  <c:v>0.5</c:v>
                </c:pt>
                <c:pt idx="7">
                  <c:v>1.4000000000000057</c:v>
                </c:pt>
                <c:pt idx="8" formatCode="General">
                  <c:v>2.4000000000000057</c:v>
                </c:pt>
                <c:pt idx="9" formatCode="General">
                  <c:v>2.2000000000000028</c:v>
                </c:pt>
                <c:pt idx="10">
                  <c:v>2.5</c:v>
                </c:pt>
                <c:pt idx="11">
                  <c:v>2.6</c:v>
                </c:pt>
                <c:pt idx="12">
                  <c:v>1.9</c:v>
                </c:pt>
                <c:pt idx="13">
                  <c:v>2.2999999999999998</c:v>
                </c:pt>
                <c:pt idx="14">
                  <c:v>2.4</c:v>
                </c:pt>
                <c:pt idx="15">
                  <c:v>2.1</c:v>
                </c:pt>
                <c:pt idx="16">
                  <c:v>2.7</c:v>
                </c:pt>
                <c:pt idx="17">
                  <c:v>2.8</c:v>
                </c:pt>
                <c:pt idx="18">
                  <c:v>2.8</c:v>
                </c:pt>
                <c:pt idx="19">
                  <c:v>3</c:v>
                </c:pt>
                <c:pt idx="20">
                  <c:v>3.6</c:v>
                </c:pt>
                <c:pt idx="21">
                  <c:v>3.1</c:v>
                </c:pt>
                <c:pt idx="22">
                  <c:v>3.3</c:v>
                </c:pt>
                <c:pt idx="23">
                  <c:v>2.6</c:v>
                </c:pt>
              </c:numCache>
            </c:numRef>
          </c:val>
          <c:extLst>
            <c:ext xmlns:c16="http://schemas.microsoft.com/office/drawing/2014/chart" uri="{C3380CC4-5D6E-409C-BE32-E72D297353CC}">
              <c16:uniqueId val="{00000000-D056-4258-95BB-4AAF52C85068}"/>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'Ceny 2'!$D$5</c:f>
              <c:strCache>
                <c:ptCount val="1"/>
                <c:pt idx="0">
                  <c:v>Food</c:v>
                </c:pt>
              </c:strCache>
            </c:strRef>
          </c:tx>
          <c:spPr>
            <a:ln w="19050">
              <a:solidFill>
                <a:srgbClr val="0071BC"/>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2'!$D$18:$D$41</c:f>
              <c:numCache>
                <c:formatCode>0.0</c:formatCode>
                <c:ptCount val="24"/>
                <c:pt idx="0">
                  <c:v>-1.5999999999999943</c:v>
                </c:pt>
                <c:pt idx="1">
                  <c:v>-9.9999999999994316E-2</c:v>
                </c:pt>
                <c:pt idx="2">
                  <c:v>-0.90000000000000568</c:v>
                </c:pt>
                <c:pt idx="3">
                  <c:v>-1.5999999999999943</c:v>
                </c:pt>
                <c:pt idx="4">
                  <c:v>-1.7000000000000028</c:v>
                </c:pt>
                <c:pt idx="5">
                  <c:v>-2.4000000000000057</c:v>
                </c:pt>
                <c:pt idx="6">
                  <c:v>-0.79999999999999716</c:v>
                </c:pt>
                <c:pt idx="7">
                  <c:v>1.2000000000000028</c:v>
                </c:pt>
                <c:pt idx="8" formatCode="General">
                  <c:v>4.2000000000000028</c:v>
                </c:pt>
                <c:pt idx="9" formatCode="General">
                  <c:v>4.5</c:v>
                </c:pt>
                <c:pt idx="10">
                  <c:v>5.7</c:v>
                </c:pt>
                <c:pt idx="11">
                  <c:v>6.3</c:v>
                </c:pt>
                <c:pt idx="12">
                  <c:v>2.9</c:v>
                </c:pt>
                <c:pt idx="13" formatCode="#\ ##0.0_ ;\-#\ ##0.0\ ">
                  <c:v>2.2999999999999998</c:v>
                </c:pt>
                <c:pt idx="14">
                  <c:v>0.6</c:v>
                </c:pt>
                <c:pt idx="15">
                  <c:v>-0.5</c:v>
                </c:pt>
                <c:pt idx="16">
                  <c:v>1</c:v>
                </c:pt>
                <c:pt idx="17">
                  <c:v>2.5</c:v>
                </c:pt>
                <c:pt idx="18">
                  <c:v>3.5</c:v>
                </c:pt>
                <c:pt idx="19">
                  <c:v>4.3</c:v>
                </c:pt>
                <c:pt idx="20">
                  <c:v>6.1</c:v>
                </c:pt>
                <c:pt idx="21">
                  <c:v>6.5</c:v>
                </c:pt>
                <c:pt idx="22">
                  <c:v>4</c:v>
                </c:pt>
                <c:pt idx="23">
                  <c:v>1.7</c:v>
                </c:pt>
              </c:numCache>
            </c:numRef>
          </c:val>
          <c:smooth val="0"/>
          <c:extLst>
            <c:ext xmlns:c16="http://schemas.microsoft.com/office/drawing/2014/chart" uri="{C3380CC4-5D6E-409C-BE32-E72D297353CC}">
              <c16:uniqueId val="{00000001-D056-4258-95BB-4AAF52C85068}"/>
            </c:ext>
          </c:extLst>
        </c:ser>
        <c:ser>
          <c:idx val="3"/>
          <c:order val="2"/>
          <c:tx>
            <c:strRef>
              <c:f>'Ceny 2'!$F$5</c:f>
              <c:strCache>
                <c:ptCount val="1"/>
                <c:pt idx="0">
                  <c:v>Housing and energy</c:v>
                </c:pt>
              </c:strCache>
            </c:strRef>
          </c:tx>
          <c:spPr>
            <a:ln w="19050">
              <a:solidFill>
                <a:srgbClr val="7DBB2D"/>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2'!$F$18:$F$41</c:f>
              <c:numCache>
                <c:formatCode>0.0</c:formatCode>
                <c:ptCount val="24"/>
                <c:pt idx="0">
                  <c:v>1.0999999999999943</c:v>
                </c:pt>
                <c:pt idx="1">
                  <c:v>1.2000000000000028</c:v>
                </c:pt>
                <c:pt idx="2">
                  <c:v>0.79999999999999716</c:v>
                </c:pt>
                <c:pt idx="3">
                  <c:v>0.90000000000000568</c:v>
                </c:pt>
                <c:pt idx="4">
                  <c:v>0.90000000000000568</c:v>
                </c:pt>
                <c:pt idx="5">
                  <c:v>0.5</c:v>
                </c:pt>
                <c:pt idx="6">
                  <c:v>0.40000000000000568</c:v>
                </c:pt>
                <c:pt idx="7">
                  <c:v>0.59999999999999432</c:v>
                </c:pt>
                <c:pt idx="8" formatCode="General">
                  <c:v>0.79999999999999716</c:v>
                </c:pt>
                <c:pt idx="9" formatCode="General">
                  <c:v>1.5</c:v>
                </c:pt>
                <c:pt idx="10">
                  <c:v>2.1</c:v>
                </c:pt>
                <c:pt idx="11">
                  <c:v>2.2000000000000002</c:v>
                </c:pt>
                <c:pt idx="12">
                  <c:v>2.2999999999999998</c:v>
                </c:pt>
                <c:pt idx="13">
                  <c:v>2.6</c:v>
                </c:pt>
                <c:pt idx="14">
                  <c:v>3.2</c:v>
                </c:pt>
                <c:pt idx="15">
                  <c:v>3.8</c:v>
                </c:pt>
                <c:pt idx="16">
                  <c:v>5.4</c:v>
                </c:pt>
                <c:pt idx="17">
                  <c:v>5.7</c:v>
                </c:pt>
                <c:pt idx="18">
                  <c:v>5.2</c:v>
                </c:pt>
                <c:pt idx="19">
                  <c:v>5</c:v>
                </c:pt>
                <c:pt idx="20">
                  <c:v>4.2</c:v>
                </c:pt>
                <c:pt idx="21">
                  <c:v>3.2</c:v>
                </c:pt>
                <c:pt idx="22">
                  <c:v>2.7</c:v>
                </c:pt>
                <c:pt idx="23">
                  <c:v>1.4</c:v>
                </c:pt>
              </c:numCache>
            </c:numRef>
          </c:val>
          <c:smooth val="0"/>
          <c:extLst>
            <c:ext xmlns:c16="http://schemas.microsoft.com/office/drawing/2014/chart" uri="{C3380CC4-5D6E-409C-BE32-E72D297353CC}">
              <c16:uniqueId val="{00000002-D056-4258-95BB-4AAF52C85068}"/>
            </c:ext>
          </c:extLst>
        </c:ser>
        <c:ser>
          <c:idx val="4"/>
          <c:order val="3"/>
          <c:tx>
            <c:strRef>
              <c:f>'Ceny 2'!$G$5</c:f>
              <c:strCache>
                <c:ptCount val="1"/>
                <c:pt idx="0">
                  <c:v>Transportation</c:v>
                </c:pt>
              </c:strCache>
            </c:strRef>
          </c:tx>
          <c:spPr>
            <a:ln w="19050">
              <a:solidFill>
                <a:srgbClr val="FFC000"/>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2'!$G$18:$G$41</c:f>
              <c:numCache>
                <c:formatCode>General</c:formatCode>
                <c:ptCount val="24"/>
                <c:pt idx="0">
                  <c:v>-4.9000000000000057</c:v>
                </c:pt>
                <c:pt idx="1">
                  <c:v>-3.2999999999999972</c:v>
                </c:pt>
                <c:pt idx="2">
                  <c:v>-3.7999999999999972</c:v>
                </c:pt>
                <c:pt idx="3">
                  <c:v>-4.7000000000000028</c:v>
                </c:pt>
                <c:pt idx="4">
                  <c:v>-2.7000000000000028</c:v>
                </c:pt>
                <c:pt idx="5">
                  <c:v>-2.9000000000000057</c:v>
                </c:pt>
                <c:pt idx="6">
                  <c:v>-2.2999999999999972</c:v>
                </c:pt>
                <c:pt idx="7">
                  <c:v>1.0999999999999943</c:v>
                </c:pt>
                <c:pt idx="8">
                  <c:v>6</c:v>
                </c:pt>
                <c:pt idx="9">
                  <c:v>3.9000000000000057</c:v>
                </c:pt>
                <c:pt idx="10" formatCode="0.0">
                  <c:v>2.5</c:v>
                </c:pt>
                <c:pt idx="11" formatCode="0.0">
                  <c:v>2.5</c:v>
                </c:pt>
                <c:pt idx="12" formatCode="0.0">
                  <c:v>1</c:v>
                </c:pt>
                <c:pt idx="13" formatCode="0.0">
                  <c:v>3</c:v>
                </c:pt>
                <c:pt idx="14" formatCode="0.0">
                  <c:v>4.5</c:v>
                </c:pt>
                <c:pt idx="15" formatCode="0.0">
                  <c:v>2.6</c:v>
                </c:pt>
                <c:pt idx="16" formatCode="0.0">
                  <c:v>0.6</c:v>
                </c:pt>
                <c:pt idx="17" formatCode="0.0">
                  <c:v>0.8</c:v>
                </c:pt>
                <c:pt idx="18" formatCode="0.0">
                  <c:v>-0.2</c:v>
                </c:pt>
                <c:pt idx="19" formatCode="0.0">
                  <c:v>0.5</c:v>
                </c:pt>
                <c:pt idx="20">
                  <c:v>1.7</c:v>
                </c:pt>
                <c:pt idx="21" formatCode="0.0">
                  <c:v>-3.4</c:v>
                </c:pt>
                <c:pt idx="22" formatCode="0.0">
                  <c:v>-0.2</c:v>
                </c:pt>
                <c:pt idx="23" formatCode="0.0">
                  <c:v>0.6</c:v>
                </c:pt>
              </c:numCache>
            </c:numRef>
          </c:val>
          <c:smooth val="0"/>
          <c:extLst>
            <c:ext xmlns:c16="http://schemas.microsoft.com/office/drawing/2014/chart" uri="{C3380CC4-5D6E-409C-BE32-E72D297353CC}">
              <c16:uniqueId val="{00000003-D056-4258-95BB-4AAF52C85068}"/>
            </c:ext>
          </c:extLst>
        </c:ser>
        <c:ser>
          <c:idx val="5"/>
          <c:order val="4"/>
          <c:tx>
            <c:strRef>
              <c:f>'Ceny 2'!$E$5</c:f>
              <c:strCache>
                <c:ptCount val="1"/>
                <c:pt idx="0">
                  <c:v>Alcoholic beverages and tobacco</c:v>
                </c:pt>
              </c:strCache>
            </c:strRef>
          </c:tx>
          <c:spPr>
            <a:ln w="22225">
              <a:solidFill>
                <a:schemeClr val="accent2"/>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2'!$E$18:$E$41</c:f>
              <c:numCache>
                <c:formatCode>0.0</c:formatCode>
                <c:ptCount val="24"/>
                <c:pt idx="0">
                  <c:v>3.4000000000000057</c:v>
                </c:pt>
                <c:pt idx="1">
                  <c:v>5.4000000000000057</c:v>
                </c:pt>
                <c:pt idx="2">
                  <c:v>5.2000000000000028</c:v>
                </c:pt>
                <c:pt idx="3">
                  <c:v>4.7000000000000028</c:v>
                </c:pt>
                <c:pt idx="4">
                  <c:v>3.5</c:v>
                </c:pt>
                <c:pt idx="5">
                  <c:v>4.4000000000000057</c:v>
                </c:pt>
                <c:pt idx="6">
                  <c:v>4.5</c:v>
                </c:pt>
                <c:pt idx="7">
                  <c:v>5.2000000000000028</c:v>
                </c:pt>
                <c:pt idx="8" formatCode="General">
                  <c:v>3.4000000000000057</c:v>
                </c:pt>
                <c:pt idx="9" formatCode="General">
                  <c:v>0.79999999999999716</c:v>
                </c:pt>
                <c:pt idx="10">
                  <c:v>1.3</c:v>
                </c:pt>
                <c:pt idx="11">
                  <c:v>1.5</c:v>
                </c:pt>
                <c:pt idx="12">
                  <c:v>2.5</c:v>
                </c:pt>
                <c:pt idx="13">
                  <c:v>3.6</c:v>
                </c:pt>
                <c:pt idx="14">
                  <c:v>2.8</c:v>
                </c:pt>
                <c:pt idx="15">
                  <c:v>3.1</c:v>
                </c:pt>
                <c:pt idx="16">
                  <c:v>3.3</c:v>
                </c:pt>
                <c:pt idx="17">
                  <c:v>1.7</c:v>
                </c:pt>
                <c:pt idx="18">
                  <c:v>1.9</c:v>
                </c:pt>
                <c:pt idx="19">
                  <c:v>1.8</c:v>
                </c:pt>
                <c:pt idx="20" formatCode="General">
                  <c:v>3.5</c:v>
                </c:pt>
                <c:pt idx="21">
                  <c:v>6.6</c:v>
                </c:pt>
                <c:pt idx="22">
                  <c:v>10.3</c:v>
                </c:pt>
                <c:pt idx="23">
                  <c:v>9.9</c:v>
                </c:pt>
              </c:numCache>
            </c:numRef>
          </c:val>
          <c:smooth val="0"/>
          <c:extLst>
            <c:ext xmlns:c16="http://schemas.microsoft.com/office/drawing/2014/chart" uri="{C3380CC4-5D6E-409C-BE32-E72D297353CC}">
              <c16:uniqueId val="{00000004-D056-4258-95BB-4AAF52C85068}"/>
            </c:ext>
          </c:extLst>
        </c:ser>
        <c:ser>
          <c:idx val="2"/>
          <c:order val="5"/>
          <c:tx>
            <c:strRef>
              <c:f>'Ceny 2'!$H$5</c:f>
              <c:strCache>
                <c:ptCount val="1"/>
                <c:pt idx="0">
                  <c:v>Restaurants and hotels</c:v>
                </c:pt>
              </c:strCache>
              <c:extLst xmlns:c15="http://schemas.microsoft.com/office/drawing/2012/chart"/>
            </c:strRef>
          </c:tx>
          <c:spPr>
            <a:ln w="19050">
              <a:solidFill>
                <a:srgbClr val="7030A0"/>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2'!$H$18:$H$41</c:f>
              <c:numCache>
                <c:formatCode>###\ ###\ ##0.0</c:formatCode>
                <c:ptCount val="24"/>
                <c:pt idx="0">
                  <c:v>1.7000000000000028</c:v>
                </c:pt>
                <c:pt idx="1">
                  <c:v>1.5999999999999943</c:v>
                </c:pt>
                <c:pt idx="2">
                  <c:v>1.4000000000000057</c:v>
                </c:pt>
                <c:pt idx="3">
                  <c:v>1.2999999999999972</c:v>
                </c:pt>
                <c:pt idx="4">
                  <c:v>1.2000000000000028</c:v>
                </c:pt>
                <c:pt idx="5">
                  <c:v>1.0999999999999943</c:v>
                </c:pt>
                <c:pt idx="6">
                  <c:v>1.2000000000000028</c:v>
                </c:pt>
                <c:pt idx="7">
                  <c:v>2.7000000000000028</c:v>
                </c:pt>
                <c:pt idx="8">
                  <c:v>5.2000000000000028</c:v>
                </c:pt>
                <c:pt idx="9">
                  <c:v>5.7999999999999972</c:v>
                </c:pt>
                <c:pt idx="10">
                  <c:v>6.2999999999999972</c:v>
                </c:pt>
                <c:pt idx="11" formatCode="0.0">
                  <c:v>5.6</c:v>
                </c:pt>
                <c:pt idx="12" formatCode="0.0">
                  <c:v>3.5</c:v>
                </c:pt>
                <c:pt idx="13" formatCode="0.0">
                  <c:v>3.6</c:v>
                </c:pt>
                <c:pt idx="14" formatCode="0.0">
                  <c:v>3.5</c:v>
                </c:pt>
                <c:pt idx="15" formatCode="0.0">
                  <c:v>3.7</c:v>
                </c:pt>
                <c:pt idx="16" formatCode="0.0">
                  <c:v>3.8</c:v>
                </c:pt>
                <c:pt idx="17" formatCode="0.0">
                  <c:v>4</c:v>
                </c:pt>
                <c:pt idx="18" formatCode="0.0">
                  <c:v>4.5</c:v>
                </c:pt>
                <c:pt idx="19" formatCode="0.0">
                  <c:v>4.5999999999999996</c:v>
                </c:pt>
                <c:pt idx="20" formatCode="0.0">
                  <c:v>5.5</c:v>
                </c:pt>
                <c:pt idx="21" formatCode="0.0">
                  <c:v>5.0999999999999996</c:v>
                </c:pt>
                <c:pt idx="22" formatCode="0.0">
                  <c:v>4.9000000000000004</c:v>
                </c:pt>
                <c:pt idx="23" formatCode="0.0">
                  <c:v>4.3</c:v>
                </c:pt>
              </c:numCache>
            </c:numRef>
          </c:val>
          <c:smooth val="0"/>
          <c:extLst xmlns:c15="http://schemas.microsoft.com/office/drawing/2012/chart">
            <c:ext xmlns:c16="http://schemas.microsoft.com/office/drawing/2014/chart" uri="{C3380CC4-5D6E-409C-BE32-E72D297353CC}">
              <c16:uniqueId val="{00000005-D056-4258-95BB-4AAF52C85068}"/>
            </c:ext>
          </c:extLst>
        </c:ser>
        <c:dLbls>
          <c:showLegendKey val="0"/>
          <c:showVal val="0"/>
          <c:showCatName val="0"/>
          <c:showSerName val="0"/>
          <c:showPercent val="0"/>
          <c:showBubbleSize val="0"/>
        </c:dLbls>
        <c:marker val="1"/>
        <c:smooth val="0"/>
        <c:axId val="130513536"/>
        <c:axId val="130531712"/>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1"/>
      </c:valAx>
      <c:spPr>
        <a:ln>
          <a:solidFill>
            <a:schemeClr val="tx1"/>
          </a:solidFill>
        </a:ln>
      </c:spPr>
    </c:plotArea>
    <c:legend>
      <c:legendPos val="b"/>
      <c:layout>
        <c:manualLayout>
          <c:xMode val="edge"/>
          <c:yMode val="edge"/>
          <c:x val="5.6562816616008108E-2"/>
          <c:y val="0.87970674321738151"/>
          <c:w val="0.92175447483958117"/>
          <c:h val="0.109570527974783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5D42-6F20-4B67-8A50-BB2C56A6F65C}">
  <ds:schemaRefs>
    <ds:schemaRef ds:uri="http://schemas.openxmlformats.org/officeDocument/2006/bibliography"/>
  </ds:schemaRefs>
</ds:datastoreItem>
</file>

<file path=customXml/itemProps2.xml><?xml version="1.0" encoding="utf-8"?>
<ds:datastoreItem xmlns:ds="http://schemas.openxmlformats.org/officeDocument/2006/customXml" ds:itemID="{172E09AA-D233-4F10-BCC8-79739A2E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40</Pages>
  <Words>16756</Words>
  <Characters>98867</Characters>
  <Application>Microsoft Office Word</Application>
  <DocSecurity>0</DocSecurity>
  <Lines>823</Lines>
  <Paragraphs>230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115393</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2021-04-15T07:06:00Z</dcterms:created>
  <dcterms:modified xsi:type="dcterms:W3CDTF">2021-04-15T07:18:00Z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2021-03-22T11:53:56Z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1a9c6233-56e3-45a9-a4c7-406c80ed1e4a</vt:lpwstr>
  </property>
  <property fmtid="{D5CDD505-2E9C-101B-9397-08002B2CF9AE}" pid="8" name="MSIP_Label_29db9e61-aac5-4f6e-805d-ceb8cb9983a1_ContentBits">
    <vt:lpwstr>0</vt:lpwstr>
  </property>
</Properties>
</file>