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CB" w:rsidRPr="00864BCB" w:rsidRDefault="00864BCB" w:rsidP="00864BCB">
      <w:pPr>
        <w:pStyle w:val="Nzev"/>
        <w:rPr>
          <w:caps/>
        </w:rPr>
      </w:pPr>
      <w:r w:rsidRPr="00864BCB">
        <w:rPr>
          <w:caps/>
        </w:rPr>
        <w:t>Meziroční index spotřebitelských cen vzrostl</w:t>
      </w:r>
    </w:p>
    <w:p w:rsidR="00864BCB" w:rsidRPr="00864BCB" w:rsidRDefault="00864BCB" w:rsidP="00864BCB">
      <w:pPr>
        <w:pStyle w:val="Podtitulek"/>
        <w:jc w:val="center"/>
        <w:rPr>
          <w:sz w:val="24"/>
          <w:szCs w:val="24"/>
        </w:rPr>
      </w:pPr>
      <w:r w:rsidRPr="00864BCB">
        <w:rPr>
          <w:sz w:val="24"/>
          <w:szCs w:val="24"/>
        </w:rPr>
        <w:t>Indexy spotřebitelských cen – inflace – duben 2015</w:t>
      </w:r>
    </w:p>
    <w:p w:rsidR="00864BCB" w:rsidRPr="00864BCB" w:rsidRDefault="00864BCB" w:rsidP="00864BCB">
      <w:pPr>
        <w:pStyle w:val="Perex"/>
        <w:spacing w:before="120" w:line="240" w:lineRule="auto"/>
        <w:rPr>
          <w:szCs w:val="20"/>
        </w:rPr>
      </w:pPr>
      <w:r w:rsidRPr="00864BCB">
        <w:rPr>
          <w:szCs w:val="20"/>
        </w:rPr>
        <w:t>Spotřebitelské ceny vzrostly v dubnu proti březnu o 0,3 %. Tento vývoj ovlivnilo zejména zvýšení cen v oddílech odívání a obuv, doprava, potraviny a nealkoholické nápoje. Meziročně vzrostly spotřebitelské ceny o 0,5 %, což bylo o 0,3 procentního bodu více než v březnu.</w:t>
      </w:r>
    </w:p>
    <w:p w:rsidR="00864BCB" w:rsidRPr="00864BCB" w:rsidRDefault="00864BCB" w:rsidP="00864BCB">
      <w:pPr>
        <w:spacing w:before="120" w:line="240" w:lineRule="auto"/>
        <w:rPr>
          <w:rFonts w:cs="Arial"/>
          <w:szCs w:val="20"/>
        </w:rPr>
      </w:pPr>
      <w:r w:rsidRPr="00864BCB">
        <w:rPr>
          <w:rFonts w:cs="Arial"/>
          <w:b/>
          <w:bCs/>
          <w:szCs w:val="20"/>
        </w:rPr>
        <w:t xml:space="preserve">Meziměsíční </w:t>
      </w:r>
      <w:r w:rsidRPr="00864BCB">
        <w:rPr>
          <w:rFonts w:cs="Arial"/>
          <w:bCs/>
          <w:szCs w:val="20"/>
        </w:rPr>
        <w:t>růst</w:t>
      </w:r>
      <w:r w:rsidRPr="00864BCB">
        <w:rPr>
          <w:rFonts w:cs="Arial"/>
          <w:b/>
          <w:bCs/>
          <w:szCs w:val="20"/>
        </w:rPr>
        <w:t xml:space="preserve"> </w:t>
      </w:r>
      <w:r w:rsidRPr="00864BCB">
        <w:rPr>
          <w:rFonts w:cs="Arial"/>
          <w:szCs w:val="20"/>
        </w:rPr>
        <w:t>spotřebitelských cen v oddíle odívání a obuv způsobilo sezónní zvýšení cen oděvů o 3,2 % a obuvi o 7,4 %. V oddíle doprava pokračoval druhý měsíc růst cen pohonných hmot, který v dubnu činil 1,6</w:t>
      </w:r>
      <w:r>
        <w:rPr>
          <w:rFonts w:cs="Arial"/>
          <w:szCs w:val="20"/>
        </w:rPr>
        <w:t> </w:t>
      </w:r>
      <w:r w:rsidRPr="00864BCB">
        <w:rPr>
          <w:rFonts w:cs="Arial"/>
          <w:szCs w:val="20"/>
        </w:rPr>
        <w:t>%. Růst cen v oddíle potraviny a nealkoholické nápoje ovlivnilo zejména zvýšení cen zeleniny o 7,9 </w:t>
      </w:r>
      <w:r>
        <w:rPr>
          <w:rFonts w:cs="Arial"/>
          <w:szCs w:val="20"/>
        </w:rPr>
        <w:t>% a </w:t>
      </w:r>
      <w:r w:rsidRPr="00864BCB">
        <w:rPr>
          <w:rFonts w:cs="Arial"/>
          <w:szCs w:val="20"/>
        </w:rPr>
        <w:t>ovoce o 3,2 %. Ceny běžného pečiva vzrostly o 1,5 %, rýže o 2,5 %, jedlých olejů o 4,3 %, medu o 2,8 %, soli a koření o  3,8 %. U většiny ostatních druhů potravin měly ceny spíše klesající tendenci. V oddíle zdraví se zvýšily ceny léčiv o 1,0 %. V oddíle ostatní zboží a služby vzrostly ceny osobní péče o 0,6 %.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>Na snižování celkové úrovně spotřebitelských cen v dubnu působil především pokles cen v </w:t>
      </w:r>
      <w:r>
        <w:rPr>
          <w:rFonts w:cs="Arial"/>
          <w:i w:val="0"/>
          <w:sz w:val="20"/>
          <w:szCs w:val="20"/>
        </w:rPr>
        <w:t>oddíle rekreace a </w:t>
      </w:r>
      <w:r w:rsidRPr="00864BCB">
        <w:rPr>
          <w:rFonts w:cs="Arial"/>
          <w:i w:val="0"/>
          <w:sz w:val="20"/>
          <w:szCs w:val="20"/>
        </w:rPr>
        <w:t xml:space="preserve">kultura v důsledku snížení cen dovolených s komplexními službami o 0,4 % </w:t>
      </w:r>
      <w:r>
        <w:rPr>
          <w:rFonts w:cs="Arial"/>
          <w:i w:val="0"/>
          <w:sz w:val="20"/>
          <w:szCs w:val="20"/>
        </w:rPr>
        <w:t>a zařízení pro zpracování dat o </w:t>
      </w:r>
      <w:r w:rsidRPr="00864BCB">
        <w:rPr>
          <w:rFonts w:cs="Arial"/>
          <w:i w:val="0"/>
          <w:sz w:val="20"/>
          <w:szCs w:val="20"/>
        </w:rPr>
        <w:t>0,7 %. Z potravin klesly zejména ceny chleba o 1,2 %, těstovin o 3,9 %, drůbeže o 3,1 %, vajec o 3,7 %, mléka o 1,1 %, másla o 1,9 %, cukru o 1,9 %, čokolády a čokoládových výrobků o 3,0 %, nealkoholických nápojů o 1,3 %.</w:t>
      </w:r>
    </w:p>
    <w:p w:rsidR="00864BCB" w:rsidRPr="00864BCB" w:rsidRDefault="00864BCB" w:rsidP="00864BCB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864BCB">
        <w:rPr>
          <w:rFonts w:cs="Arial"/>
          <w:szCs w:val="20"/>
        </w:rPr>
        <w:t>Ceny zboží úhrnem vzrostly o 0,6 % a ceny služeb o 0,1 %.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b/>
          <w:i w:val="0"/>
          <w:sz w:val="20"/>
          <w:szCs w:val="20"/>
        </w:rPr>
        <w:t>Meziročně</w:t>
      </w:r>
      <w:r w:rsidRPr="00864BCB">
        <w:rPr>
          <w:rFonts w:cs="Arial"/>
          <w:i w:val="0"/>
          <w:sz w:val="20"/>
          <w:szCs w:val="20"/>
        </w:rPr>
        <w:t xml:space="preserve"> vzrostly spotřebitelské ceny v dubnu o 0,5 %, což je o 0,3 procentního bodu více než v březnu. Zrychlení meziročního cenového růstu nastalo především v oddíle alkoholické </w:t>
      </w:r>
      <w:proofErr w:type="gramStart"/>
      <w:r w:rsidRPr="00864BCB">
        <w:rPr>
          <w:rFonts w:cs="Arial"/>
          <w:i w:val="0"/>
          <w:sz w:val="20"/>
          <w:szCs w:val="20"/>
        </w:rPr>
        <w:t>nápoje</w:t>
      </w:r>
      <w:proofErr w:type="gramEnd"/>
      <w:r w:rsidRPr="00864BCB">
        <w:rPr>
          <w:rFonts w:cs="Arial"/>
          <w:i w:val="0"/>
          <w:sz w:val="20"/>
          <w:szCs w:val="20"/>
        </w:rPr>
        <w:t xml:space="preserve"> a tabák, kde ceny alkoholických nápojů vzrostly o 2,5 % (v březnu pokles o 0,1 %). V oddíle bytové vybavení, zařízení domácnosti přešly ceny z poklesu o 0,2 % v březnu v růst o 0,3 % v dub</w:t>
      </w:r>
      <w:r>
        <w:rPr>
          <w:rFonts w:cs="Arial"/>
          <w:i w:val="0"/>
          <w:sz w:val="20"/>
          <w:szCs w:val="20"/>
        </w:rPr>
        <w:t>nu zejména vlivem cen nábytku a </w:t>
      </w:r>
      <w:r w:rsidRPr="00864BCB">
        <w:rPr>
          <w:rFonts w:cs="Arial"/>
          <w:i w:val="0"/>
          <w:sz w:val="20"/>
          <w:szCs w:val="20"/>
        </w:rPr>
        <w:t>bytového zařízení, které byly v dubnu vyšší o 0,6 % (v březnu pokles o 0,2 %). U třech oddílů spotřebního koše došlo ke zmírnění meziročního cenového poklesu, a tím i ke zmírnění jeho snižujícího vlivu na úroveň cenové hladiny. To se týkalo především cen v oddíle potraviny a nealkoholické nápoje, které v dubnu klesly o 0,7 % (v březnu o 1,9 %). Ceny ovoce byly nižší o 1,3 % (v březnu o 5,2 %), ceny cukru o 15,6 % (v březnu o 17,3 %). U zeleniny přešly ceny z poklesu o 6,7 % v březnu v růst o 3,8 % v dubnu. V oddíle doprava došlo ke snížení cenového poklesu vlivem zmírnění poklesu cen pohonných hmot v dubnu na -11,1 % z  -12,7 % v březnu. V oddíle zdraví zmírnil v dubnu cenový pokles vlivem zvýšení ce</w:t>
      </w:r>
      <w:r>
        <w:rPr>
          <w:rFonts w:cs="Arial"/>
          <w:i w:val="0"/>
          <w:sz w:val="20"/>
          <w:szCs w:val="20"/>
        </w:rPr>
        <w:t>n lázeňských pobytů na 8,6 % ze </w:t>
      </w:r>
      <w:r w:rsidRPr="00864BCB">
        <w:rPr>
          <w:rFonts w:cs="Arial"/>
          <w:i w:val="0"/>
          <w:sz w:val="20"/>
          <w:szCs w:val="20"/>
        </w:rPr>
        <w:t>7,1 % v březnu.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>Největší vliv na zvyšování cenové hladiny měly v dubnu ceny v oddíle alkoholické nápoje</w:t>
      </w:r>
      <w:r w:rsidRPr="00864BCB">
        <w:rPr>
          <w:rFonts w:cs="Arial"/>
          <w:i w:val="0"/>
          <w:sz w:val="20"/>
          <w:szCs w:val="20"/>
        </w:rPr>
        <w:br/>
        <w:t>a tabák vlivem zvýšení cen cigaret o 8,5 %. Druhé v pořadí vlivu byly ceny v oddíle bydlení, kde vzrostly ceny zemního plynu o 4,5 %, vodného o 3,4 %, stočného o 2,8 %, čistého nájemného o 1,4 %, tepla o 1,8 %. Ceny elektřiny byly meziročně nižší o 0,3 %. V oddíle ostatní zboží a služby vzrostly ceny pojištění o 1,6 % a ceny finančních služeb o 7,1 %. V oddíle odívání a obuv byly vyšší ceny oděvů o 2,0 % a obuvi o 8,9 %. V oddíle rekreace a kultura se zvýšily ceny dovolených s komplexními službami o 4,8 %.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>Na snižování meziroční cenové hladiny nadále působil (i když méně intenzivně) pokles cen v oddílech doprava, potraviny a nealkoholické nápoje, zdraví, pošty a telekomunikace.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>Ceny zboží úhrnem vzrostly o 0,5 % a ceny služeb o 0,7 %. Úhrnný index spotřebitelských cen bez započtení imputovaného nájemného byl meziročně 100,6 %.</w:t>
      </w:r>
    </w:p>
    <w:p w:rsidR="00864BCB" w:rsidRPr="00864BCB" w:rsidRDefault="00864BCB" w:rsidP="00864BCB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 xml:space="preserve">Míra inflace vyjádřená přírůstkem </w:t>
      </w:r>
      <w:r w:rsidRPr="00864BCB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dubnu 0,4 %.</w:t>
      </w:r>
    </w:p>
    <w:p w:rsidR="00864BCB" w:rsidRPr="00864BCB" w:rsidRDefault="00864BCB" w:rsidP="00864BCB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864BCB">
        <w:rPr>
          <w:rFonts w:cs="Arial"/>
          <w:sz w:val="20"/>
          <w:szCs w:val="20"/>
        </w:rPr>
        <w:t xml:space="preserve">Meziroční změna průměrného </w:t>
      </w:r>
      <w:r w:rsidRPr="00864BCB">
        <w:rPr>
          <w:rFonts w:cs="Arial"/>
          <w:b/>
          <w:bCs/>
          <w:sz w:val="20"/>
          <w:szCs w:val="20"/>
        </w:rPr>
        <w:t>harmonizovaného indexu spotřebitelských cen</w:t>
      </w:r>
      <w:r w:rsidRPr="00864BCB">
        <w:rPr>
          <w:rFonts w:cs="Arial"/>
          <w:sz w:val="20"/>
          <w:szCs w:val="20"/>
        </w:rPr>
        <w:t xml:space="preserve"> (HICP)</w:t>
      </w:r>
      <w:r w:rsidRPr="00864BCB">
        <w:rPr>
          <w:rStyle w:val="Znakapoznpodarou"/>
          <w:rFonts w:cs="Arial"/>
          <w:sz w:val="20"/>
          <w:szCs w:val="20"/>
        </w:rPr>
        <w:footnoteReference w:id="1"/>
      </w:r>
      <w:r w:rsidRPr="00864BCB">
        <w:rPr>
          <w:rFonts w:cs="Arial"/>
          <w:sz w:val="20"/>
          <w:szCs w:val="20"/>
          <w:vertAlign w:val="superscript"/>
        </w:rPr>
        <w:t>)</w:t>
      </w:r>
      <w:r w:rsidRPr="00864BCB">
        <w:rPr>
          <w:rFonts w:cs="Arial"/>
          <w:sz w:val="20"/>
          <w:szCs w:val="20"/>
        </w:rPr>
        <w:t xml:space="preserve"> </w:t>
      </w:r>
      <w:r w:rsidRPr="00864BCB">
        <w:rPr>
          <w:rFonts w:cs="Arial"/>
          <w:b/>
          <w:bCs/>
          <w:sz w:val="20"/>
          <w:szCs w:val="20"/>
        </w:rPr>
        <w:t>28 členských zemí EU</w:t>
      </w:r>
      <w:r w:rsidRPr="00864BCB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864BCB">
        <w:rPr>
          <w:rFonts w:cs="Arial"/>
          <w:sz w:val="20"/>
          <w:szCs w:val="20"/>
        </w:rPr>
        <w:t>Eurostatu</w:t>
      </w:r>
      <w:proofErr w:type="spellEnd"/>
      <w:r w:rsidRPr="00864BCB">
        <w:rPr>
          <w:rFonts w:cs="Arial"/>
          <w:sz w:val="20"/>
          <w:szCs w:val="20"/>
        </w:rPr>
        <w:t xml:space="preserve"> </w:t>
      </w:r>
      <w:r w:rsidRPr="00864BCB">
        <w:rPr>
          <w:rFonts w:cs="Arial"/>
          <w:b/>
          <w:sz w:val="20"/>
          <w:szCs w:val="20"/>
        </w:rPr>
        <w:t>v březnu</w:t>
      </w:r>
      <w:r w:rsidRPr="00864BCB">
        <w:rPr>
          <w:rFonts w:cs="Arial"/>
          <w:sz w:val="20"/>
          <w:szCs w:val="20"/>
        </w:rPr>
        <w:t xml:space="preserve"> </w:t>
      </w:r>
      <w:r w:rsidRPr="00864BCB">
        <w:rPr>
          <w:rFonts w:cs="Arial"/>
          <w:b/>
          <w:sz w:val="20"/>
          <w:szCs w:val="20"/>
        </w:rPr>
        <w:t>-</w:t>
      </w:r>
      <w:r w:rsidRPr="00864BCB">
        <w:rPr>
          <w:rFonts w:cs="Arial"/>
          <w:sz w:val="20"/>
          <w:szCs w:val="20"/>
        </w:rPr>
        <w:t>0,1 %, což je o 0,2 procentního bodu více než v</w:t>
      </w:r>
      <w:r>
        <w:rPr>
          <w:rFonts w:cs="Arial"/>
          <w:sz w:val="20"/>
          <w:szCs w:val="20"/>
        </w:rPr>
        <w:t> </w:t>
      </w:r>
      <w:r w:rsidRPr="00864BCB">
        <w:rPr>
          <w:rFonts w:cs="Arial"/>
          <w:sz w:val="20"/>
          <w:szCs w:val="20"/>
        </w:rPr>
        <w:t>únoru.</w:t>
      </w:r>
      <w:r w:rsidRPr="00864BCB">
        <w:rPr>
          <w:rFonts w:cs="Arial"/>
          <w:b/>
          <w:sz w:val="20"/>
          <w:szCs w:val="20"/>
        </w:rPr>
        <w:t xml:space="preserve"> </w:t>
      </w:r>
      <w:r w:rsidRPr="00864BCB">
        <w:rPr>
          <w:rFonts w:cs="Arial"/>
          <w:sz w:val="20"/>
          <w:szCs w:val="20"/>
        </w:rPr>
        <w:t>Ceny vzrostly v deseti zemích EU, z toho nejvíce v Rakousku o 0,9 % a v Rumunsku o 0,8 %.</w:t>
      </w:r>
      <w:bookmarkStart w:id="0" w:name="_GoBack"/>
      <w:bookmarkEnd w:id="0"/>
      <w:r w:rsidRPr="00864BCB">
        <w:rPr>
          <w:rFonts w:cs="Arial"/>
          <w:sz w:val="20"/>
          <w:szCs w:val="20"/>
        </w:rPr>
        <w:t xml:space="preserve"> Naopak největší pokles cen nastal v Řecku (-1,9 %). Na Slovensku klesly ceny o 0,4 % (v únoru o 0,6 %). V Německu ceny vzrostly o 0,1 % (v únoru pokles o 0,1 %). Podle předběžných výpočtů vzrostl </w:t>
      </w:r>
      <w:r w:rsidRPr="00864BCB">
        <w:rPr>
          <w:rFonts w:cs="Arial"/>
          <w:b/>
          <w:sz w:val="20"/>
          <w:szCs w:val="20"/>
        </w:rPr>
        <w:t>v dubnu</w:t>
      </w:r>
      <w:r w:rsidRPr="00864BCB">
        <w:rPr>
          <w:rFonts w:cs="Arial"/>
          <w:sz w:val="20"/>
          <w:szCs w:val="20"/>
        </w:rPr>
        <w:t xml:space="preserve"> HICP v ČR </w:t>
      </w:r>
      <w:r w:rsidRPr="00864BCB">
        <w:rPr>
          <w:rFonts w:cs="Arial"/>
          <w:b/>
          <w:sz w:val="20"/>
          <w:szCs w:val="20"/>
        </w:rPr>
        <w:t>meziměsíčně</w:t>
      </w:r>
      <w:r w:rsidRPr="00864BCB">
        <w:rPr>
          <w:rFonts w:cs="Arial"/>
          <w:sz w:val="20"/>
          <w:szCs w:val="20"/>
        </w:rPr>
        <w:t xml:space="preserve"> o 0,4 % a </w:t>
      </w:r>
      <w:r w:rsidRPr="00864BCB">
        <w:rPr>
          <w:rFonts w:cs="Arial"/>
          <w:b/>
          <w:sz w:val="20"/>
          <w:szCs w:val="20"/>
        </w:rPr>
        <w:t>meziročně</w:t>
      </w:r>
      <w:r w:rsidRPr="00864BCB">
        <w:rPr>
          <w:rFonts w:cs="Arial"/>
          <w:sz w:val="20"/>
          <w:szCs w:val="20"/>
        </w:rPr>
        <w:t xml:space="preserve"> o 0,5 % (v březnu o 0,1 %)</w:t>
      </w:r>
      <w:r w:rsidRPr="00864BCB">
        <w:rPr>
          <w:rFonts w:cs="Arial"/>
          <w:bCs/>
          <w:sz w:val="20"/>
          <w:szCs w:val="20"/>
        </w:rPr>
        <w:t xml:space="preserve">. </w:t>
      </w:r>
      <w:r w:rsidRPr="00864BCB">
        <w:rPr>
          <w:rFonts w:cs="Arial"/>
          <w:sz w:val="20"/>
          <w:szCs w:val="20"/>
        </w:rPr>
        <w:t>Bleskový odhad meziroční změny HICP pro</w:t>
      </w:r>
      <w:r w:rsidRPr="00864BCB">
        <w:rPr>
          <w:rFonts w:cs="Arial"/>
          <w:b/>
          <w:bCs/>
          <w:sz w:val="20"/>
          <w:szCs w:val="20"/>
        </w:rPr>
        <w:t> </w:t>
      </w:r>
      <w:proofErr w:type="spellStart"/>
      <w:r w:rsidRPr="00864BCB">
        <w:rPr>
          <w:rFonts w:cs="Arial"/>
          <w:b/>
          <w:bCs/>
          <w:sz w:val="20"/>
          <w:szCs w:val="20"/>
        </w:rPr>
        <w:t>eurozónu</w:t>
      </w:r>
      <w:proofErr w:type="spellEnd"/>
      <w:r w:rsidRPr="00864BCB">
        <w:rPr>
          <w:rFonts w:cs="Arial"/>
          <w:b/>
          <w:bCs/>
          <w:sz w:val="20"/>
          <w:szCs w:val="20"/>
        </w:rPr>
        <w:t xml:space="preserve"> </w:t>
      </w:r>
      <w:r w:rsidRPr="00864BCB">
        <w:rPr>
          <w:rFonts w:cs="Arial"/>
          <w:b/>
          <w:sz w:val="20"/>
          <w:szCs w:val="20"/>
        </w:rPr>
        <w:t>za</w:t>
      </w:r>
      <w:r w:rsidRPr="00864BCB">
        <w:rPr>
          <w:rFonts w:cs="Arial"/>
          <w:b/>
          <w:bCs/>
          <w:sz w:val="20"/>
          <w:szCs w:val="20"/>
        </w:rPr>
        <w:t> duben 2015</w:t>
      </w:r>
      <w:r w:rsidRPr="00864BCB">
        <w:rPr>
          <w:rFonts w:cs="Arial"/>
          <w:sz w:val="20"/>
          <w:szCs w:val="20"/>
        </w:rPr>
        <w:t xml:space="preserve"> je 0,0 %, jak uvedl </w:t>
      </w:r>
      <w:proofErr w:type="spellStart"/>
      <w:r w:rsidRPr="00864BCB">
        <w:rPr>
          <w:rFonts w:cs="Arial"/>
          <w:sz w:val="20"/>
          <w:szCs w:val="20"/>
        </w:rPr>
        <w:t>Eurostat</w:t>
      </w:r>
      <w:proofErr w:type="spellEnd"/>
      <w:r w:rsidRPr="00864BCB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864BCB">
        <w:rPr>
          <w:rFonts w:cs="Arial"/>
          <w:sz w:val="20"/>
          <w:szCs w:val="20"/>
        </w:rPr>
        <w:t>Eurostatu</w:t>
      </w:r>
      <w:proofErr w:type="spellEnd"/>
      <w:r w:rsidRPr="00864BCB">
        <w:rPr>
          <w:rFonts w:cs="Arial"/>
          <w:sz w:val="20"/>
          <w:szCs w:val="20"/>
        </w:rPr>
        <w:t xml:space="preserve">: </w:t>
      </w:r>
      <w:hyperlink r:id="rId6" w:history="1">
        <w:r w:rsidRPr="00864BCB">
          <w:rPr>
            <w:rStyle w:val="Hypertextovodkaz"/>
            <w:sz w:val="20"/>
            <w:szCs w:val="20"/>
          </w:rPr>
          <w:t>HICP</w:t>
        </w:r>
      </w:hyperlink>
      <w:r w:rsidRPr="00864BCB">
        <w:rPr>
          <w:rFonts w:cs="Arial"/>
          <w:sz w:val="20"/>
          <w:szCs w:val="20"/>
        </w:rPr>
        <w:t>).</w:t>
      </w:r>
    </w:p>
    <w:p w:rsidR="00F661DC" w:rsidRPr="00864BCB" w:rsidRDefault="00F661DC" w:rsidP="00864BCB">
      <w:pPr>
        <w:spacing w:before="120" w:line="240" w:lineRule="auto"/>
        <w:rPr>
          <w:szCs w:val="20"/>
        </w:rPr>
      </w:pPr>
    </w:p>
    <w:sectPr w:rsidR="00F661DC" w:rsidRPr="00864BCB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A0" w:rsidRDefault="00D332A0" w:rsidP="008C3834">
      <w:pPr>
        <w:spacing w:line="240" w:lineRule="auto"/>
      </w:pPr>
      <w:r>
        <w:separator/>
      </w:r>
    </w:p>
  </w:endnote>
  <w:endnote w:type="continuationSeparator" w:id="0">
    <w:p w:rsidR="00D332A0" w:rsidRDefault="00D332A0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A0" w:rsidRDefault="00D332A0" w:rsidP="008C3834">
      <w:pPr>
        <w:spacing w:line="240" w:lineRule="auto"/>
      </w:pPr>
      <w:r>
        <w:separator/>
      </w:r>
    </w:p>
  </w:footnote>
  <w:footnote w:type="continuationSeparator" w:id="0">
    <w:p w:rsidR="00D332A0" w:rsidRDefault="00D332A0" w:rsidP="008C3834">
      <w:pPr>
        <w:spacing w:line="240" w:lineRule="auto"/>
      </w:pPr>
      <w:r>
        <w:continuationSeparator/>
      </w:r>
    </w:p>
  </w:footnote>
  <w:footnote w:id="1">
    <w:p w:rsidR="00864BCB" w:rsidRDefault="00864BCB" w:rsidP="00864BC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B4698"/>
    <w:rsid w:val="005C742B"/>
    <w:rsid w:val="005F7A6D"/>
    <w:rsid w:val="006018E5"/>
    <w:rsid w:val="006469B4"/>
    <w:rsid w:val="0066105E"/>
    <w:rsid w:val="0067046B"/>
    <w:rsid w:val="00671F1F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36EAD"/>
    <w:rsid w:val="00854E9D"/>
    <w:rsid w:val="00864BCB"/>
    <w:rsid w:val="008C3834"/>
    <w:rsid w:val="008E23B3"/>
    <w:rsid w:val="00900D08"/>
    <w:rsid w:val="00904FBB"/>
    <w:rsid w:val="00910650"/>
    <w:rsid w:val="00954772"/>
    <w:rsid w:val="00954E0A"/>
    <w:rsid w:val="00986BAE"/>
    <w:rsid w:val="00987D8E"/>
    <w:rsid w:val="009D7280"/>
    <w:rsid w:val="009E320A"/>
    <w:rsid w:val="00A068DB"/>
    <w:rsid w:val="00AB21F4"/>
    <w:rsid w:val="00AE5A76"/>
    <w:rsid w:val="00B04D86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839A7"/>
    <w:rsid w:val="00D92ABE"/>
    <w:rsid w:val="00D93B6C"/>
    <w:rsid w:val="00DA31FA"/>
    <w:rsid w:val="00DD0447"/>
    <w:rsid w:val="00DF6361"/>
    <w:rsid w:val="00DF7C28"/>
    <w:rsid w:val="00E14A09"/>
    <w:rsid w:val="00E23CC9"/>
    <w:rsid w:val="00E31EA7"/>
    <w:rsid w:val="00E657E2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4514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2015-05-11T08:17:00Z</dcterms:created>
  <dcterms:modified xsi:type="dcterms:W3CDTF">2015-05-11T08:17:00Z</dcterms:modified>
</cp:coreProperties>
</file>