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81" w:rsidRPr="000732DB" w:rsidRDefault="007D4281" w:rsidP="00FC3C84">
      <w:pPr>
        <w:pStyle w:val="Nadpis1"/>
        <w:numPr>
          <w:ilvl w:val="0"/>
          <w:numId w:val="3"/>
        </w:numPr>
        <w:jc w:val="both"/>
      </w:pPr>
      <w:bookmarkStart w:id="0" w:name="_Toc430335383"/>
      <w:r w:rsidRPr="000732DB">
        <w:t>Souhrnná výkonnost</w:t>
      </w:r>
      <w:bookmarkEnd w:id="0"/>
    </w:p>
    <w:tbl>
      <w:tblPr>
        <w:tblW w:w="5000" w:type="pct"/>
        <w:tblLayout w:type="fixed"/>
        <w:tblLook w:val="00A0"/>
      </w:tblPr>
      <w:tblGrid>
        <w:gridCol w:w="2077"/>
        <w:gridCol w:w="282"/>
        <w:gridCol w:w="7495"/>
      </w:tblGrid>
      <w:tr w:rsidR="00D301CA" w:rsidRPr="0002540B" w:rsidTr="00D245BA">
        <w:tc>
          <w:tcPr>
            <w:tcW w:w="1054" w:type="pct"/>
          </w:tcPr>
          <w:p w:rsidR="00D301CA" w:rsidRPr="00E042C9" w:rsidRDefault="00D301CA" w:rsidP="00D245BA">
            <w:pPr>
              <w:spacing w:line="240" w:lineRule="auto"/>
              <w:rPr>
                <w:sz w:val="16"/>
                <w:szCs w:val="16"/>
              </w:rPr>
            </w:pPr>
            <w:r>
              <w:rPr>
                <w:sz w:val="16"/>
                <w:szCs w:val="16"/>
              </w:rPr>
              <w:t>České ekonomice</w:t>
            </w:r>
            <w:r w:rsidRPr="00E042C9">
              <w:rPr>
                <w:sz w:val="16"/>
                <w:szCs w:val="16"/>
              </w:rPr>
              <w:t xml:space="preserve"> se daří. Meziroční růst HDP i hrubé přidané hodnoty ve 2. čtvrtletí 2015 zrychlil, </w:t>
            </w:r>
            <w:proofErr w:type="spellStart"/>
            <w:r w:rsidRPr="00E042C9">
              <w:rPr>
                <w:sz w:val="16"/>
                <w:szCs w:val="16"/>
              </w:rPr>
              <w:t>mezikvartální</w:t>
            </w:r>
            <w:proofErr w:type="spellEnd"/>
            <w:r w:rsidRPr="00E042C9">
              <w:rPr>
                <w:sz w:val="16"/>
                <w:szCs w:val="16"/>
              </w:rPr>
              <w:t xml:space="preserve"> přírůstky setrvaly vysoké</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rPr>
                <w:spacing w:val="-2"/>
              </w:rPr>
            </w:pPr>
            <w:r>
              <w:rPr>
                <w:spacing w:val="-2"/>
              </w:rPr>
              <w:t>Ekonomika ČR</w:t>
            </w:r>
            <w:r w:rsidRPr="00E042C9">
              <w:rPr>
                <w:spacing w:val="-2"/>
              </w:rPr>
              <w:t xml:space="preserve"> ve 2. čtvrtletí 2015 nejenže navázala na velmi dobrý výsledek z počátku roku, ale dále zrychlila.</w:t>
            </w:r>
            <w:r w:rsidRPr="00E042C9">
              <w:rPr>
                <w:rStyle w:val="Znakapoznpodarou"/>
                <w:spacing w:val="-2"/>
              </w:rPr>
              <w:footnoteReference w:id="1"/>
            </w:r>
            <w:r w:rsidRPr="00E042C9">
              <w:rPr>
                <w:spacing w:val="-2"/>
              </w:rPr>
              <w:t xml:space="preserve"> Meziroční dynamika hrubého domácího produktu (HDP) se zvětšila z +4,0 % na +4,4 %, navýšil se ale i přírůstek hrubé přidané hodnoty (z +3,4 % na +3,8 %). Také </w:t>
            </w:r>
            <w:proofErr w:type="spellStart"/>
            <w:r w:rsidRPr="00E042C9">
              <w:rPr>
                <w:spacing w:val="-2"/>
              </w:rPr>
              <w:t>mezikvartální</w:t>
            </w:r>
            <w:proofErr w:type="spellEnd"/>
            <w:r w:rsidRPr="00E042C9">
              <w:rPr>
                <w:spacing w:val="-2"/>
              </w:rPr>
              <w:t xml:space="preserve"> tempa dokazují, že české ekonomice se aktuálně daří. Přestože se jejich velikost zmenšila (v případě HDP z</w:t>
            </w:r>
            <w:r>
              <w:rPr>
                <w:spacing w:val="-2"/>
              </w:rPr>
              <w:t> </w:t>
            </w:r>
            <w:r w:rsidRPr="00E042C9">
              <w:rPr>
                <w:spacing w:val="-2"/>
              </w:rPr>
              <w:t>+2,4 % na +1,0 %, v pojetí hrubé přidané hodnoty z +1,2 % na +0,9 %), přetrvaly tyto přírůstky robustní a</w:t>
            </w:r>
            <w:r w:rsidR="00F55605">
              <w:rPr>
                <w:spacing w:val="-2"/>
              </w:rPr>
              <w:t xml:space="preserve"> v</w:t>
            </w:r>
            <w:r w:rsidRPr="00E042C9">
              <w:rPr>
                <w:spacing w:val="-2"/>
              </w:rPr>
              <w:t xml:space="preserve"> kontextu vývoje v posledních letech nadprůměrné.</w:t>
            </w:r>
          </w:p>
          <w:p w:rsidR="00D301CA" w:rsidRPr="00E042C9" w:rsidRDefault="00D301CA" w:rsidP="00D245BA">
            <w:pPr>
              <w:pStyle w:val="Textpoznpodarou"/>
              <w:jc w:val="both"/>
              <w:rPr>
                <w:spacing w:val="-4"/>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proofErr w:type="spellStart"/>
            <w:r w:rsidRPr="00E042C9">
              <w:rPr>
                <w:sz w:val="16"/>
                <w:szCs w:val="16"/>
              </w:rPr>
              <w:t>Mezičtvrtletní</w:t>
            </w:r>
            <w:proofErr w:type="spellEnd"/>
            <w:r w:rsidRPr="00E042C9">
              <w:rPr>
                <w:sz w:val="16"/>
                <w:szCs w:val="16"/>
              </w:rPr>
              <w:t xml:space="preserve"> dynamika HDP již reflektuje skutečný vývoj české ekonomiky. Meziroční změna HDP je však i nadále poznamenána nízkou srovnávací základnou související s navýšením spotřební da</w:t>
            </w:r>
            <w:r>
              <w:rPr>
                <w:sz w:val="16"/>
                <w:szCs w:val="16"/>
              </w:rPr>
              <w:t>ně</w:t>
            </w:r>
            <w:r w:rsidRPr="00E042C9">
              <w:rPr>
                <w:sz w:val="16"/>
                <w:szCs w:val="16"/>
              </w:rPr>
              <w:t xml:space="preserve"> z cigaret od počátku roku 2014</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Růst ekonomiky ČR byl ve 2. čtvrtletí 2015 z hlediska meziroční dynamiky HDP nadhodnocen, stejně jako tomu bylo v 1. čtvrtletí (rozdíl v meziročním přírůstku HDP a hrubé přidané hodnoty v 1. i 2. čtvrtletí 2015 činil 0,6 </w:t>
            </w:r>
            <w:proofErr w:type="spellStart"/>
            <w:r w:rsidRPr="00E042C9">
              <w:t>pb</w:t>
            </w:r>
            <w:proofErr w:type="spellEnd"/>
            <w:r w:rsidRPr="00E042C9">
              <w:t xml:space="preserve">. ve prospěch růstu HDP). „Diskrepance“ </w:t>
            </w:r>
            <w:r>
              <w:t>v</w:t>
            </w:r>
            <w:r w:rsidRPr="00E042C9">
              <w:t xml:space="preserve"> </w:t>
            </w:r>
            <w:proofErr w:type="spellStart"/>
            <w:r w:rsidRPr="00E042C9">
              <w:t>mezikvartálním</w:t>
            </w:r>
            <w:proofErr w:type="spellEnd"/>
            <w:r w:rsidRPr="00E042C9">
              <w:t xml:space="preserve"> růstu HDP a hrubé přidané hodnoty se</w:t>
            </w:r>
            <w:r>
              <w:t> </w:t>
            </w:r>
            <w:r w:rsidRPr="00E042C9">
              <w:t xml:space="preserve">však již zmenšila (ze 1,3 </w:t>
            </w:r>
            <w:proofErr w:type="spellStart"/>
            <w:r w:rsidRPr="00E042C9">
              <w:t>pb</w:t>
            </w:r>
            <w:proofErr w:type="spellEnd"/>
            <w:r w:rsidRPr="00E042C9">
              <w:t>. v 1. čtvrtletí na pouhou jednu desetinu procentního bodu ve 2. kvartále). Ukazuje se tak, že zatímco meziroční růst HDP je stále zatížen nízkou srovnávací základnou související s navýšením spotřební</w:t>
            </w:r>
            <w:r>
              <w:t xml:space="preserve"> daně</w:t>
            </w:r>
            <w:r w:rsidRPr="00E042C9">
              <w:t xml:space="preserve"> z cigaret od počátku roku 2014 (předzásobení těmito produkty vedlo k vyššímu výběru spotřební daně na konci roku 2013, v roce 2014 – kdy obchodníci čerpali z předzásobení – výběr klesl), </w:t>
            </w:r>
            <w:proofErr w:type="spellStart"/>
            <w:r w:rsidRPr="00E042C9">
              <w:t>mezikvartální</w:t>
            </w:r>
            <w:proofErr w:type="spellEnd"/>
            <w:r w:rsidRPr="00E042C9">
              <w:t xml:space="preserve"> dynamika HDP již v zásadě reflektuje skutečný vývoj české ekonomiky.</w:t>
            </w:r>
          </w:p>
          <w:p w:rsidR="00D301CA" w:rsidRPr="003B195C" w:rsidRDefault="00D301CA" w:rsidP="00D245BA">
            <w:pPr>
              <w:pStyle w:val="Textpoznpodarou"/>
              <w:jc w:val="both"/>
              <w:rPr>
                <w:sz w:val="16"/>
                <w:szCs w:val="16"/>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 xml:space="preserve">V úhrnu za celé </w:t>
            </w:r>
            <w:r>
              <w:rPr>
                <w:sz w:val="16"/>
                <w:szCs w:val="16"/>
              </w:rPr>
              <w:t>1.</w:t>
            </w:r>
            <w:r w:rsidRPr="00E042C9">
              <w:rPr>
                <w:sz w:val="16"/>
                <w:szCs w:val="16"/>
              </w:rPr>
              <w:t xml:space="preserve"> pololetí se HDP zvýšil meziročně o 4,2 %, nejrychleji od</w:t>
            </w:r>
            <w:r>
              <w:rPr>
                <w:sz w:val="16"/>
                <w:szCs w:val="16"/>
              </w:rPr>
              <w:t> 2. </w:t>
            </w:r>
            <w:r w:rsidRPr="00E042C9">
              <w:rPr>
                <w:sz w:val="16"/>
                <w:szCs w:val="16"/>
              </w:rPr>
              <w:t>poloviny roku 2007</w:t>
            </w:r>
          </w:p>
        </w:tc>
        <w:tc>
          <w:tcPr>
            <w:tcW w:w="143" w:type="pct"/>
          </w:tcPr>
          <w:p w:rsidR="00D301CA" w:rsidRPr="00E042C9" w:rsidRDefault="00D301CA" w:rsidP="00D245BA">
            <w:pPr>
              <w:pStyle w:val="Textpoznpodarou"/>
              <w:jc w:val="both"/>
            </w:pPr>
          </w:p>
        </w:tc>
        <w:tc>
          <w:tcPr>
            <w:tcW w:w="3803" w:type="pct"/>
          </w:tcPr>
          <w:p w:rsidR="00D301CA" w:rsidRPr="00212C74" w:rsidRDefault="00D301CA" w:rsidP="00D245BA">
            <w:pPr>
              <w:pStyle w:val="Textpoznpodarou"/>
              <w:jc w:val="both"/>
            </w:pPr>
            <w:r w:rsidRPr="00212C74">
              <w:t>V úhrnu za celé 1. pololetí 2015 se HDP zvýšil v meziročním srovnání o 4,2 %, vyšší tempo růstu česká ekonomika evidovala naposledy na vrcholu konjunktury ve druhé části roku 2007 (+5,3 %). V porovnání s 2. pololetím loňského roku narostl HDP o 3,2 %. Jednalo se o největší přírůstek mezi dvěma po sobě jdoucími pololetími od prvních šesti měsíců roku 2006 (+4,1 %).</w:t>
            </w:r>
          </w:p>
          <w:p w:rsidR="00D301CA" w:rsidRPr="00212C74" w:rsidRDefault="00D301CA" w:rsidP="00D245BA">
            <w:pPr>
              <w:pStyle w:val="Textpoznpodarou"/>
              <w:jc w:val="both"/>
              <w:rPr>
                <w:sz w:val="18"/>
                <w:szCs w:val="18"/>
              </w:rPr>
            </w:pPr>
          </w:p>
        </w:tc>
      </w:tr>
      <w:tr w:rsidR="00D301CA" w:rsidRPr="0002540B" w:rsidTr="00D245BA">
        <w:tc>
          <w:tcPr>
            <w:tcW w:w="1054" w:type="pct"/>
          </w:tcPr>
          <w:p w:rsidR="00D301CA" w:rsidRPr="003B195C" w:rsidRDefault="00D301CA" w:rsidP="00D245BA">
            <w:pPr>
              <w:spacing w:line="240" w:lineRule="auto"/>
              <w:rPr>
                <w:sz w:val="16"/>
                <w:szCs w:val="16"/>
              </w:rPr>
            </w:pPr>
            <w:r>
              <w:rPr>
                <w:sz w:val="16"/>
                <w:szCs w:val="16"/>
              </w:rPr>
              <w:t>Tuzemský růst</w:t>
            </w:r>
            <w:r w:rsidRPr="003B195C">
              <w:rPr>
                <w:sz w:val="16"/>
                <w:szCs w:val="16"/>
              </w:rPr>
              <w:t xml:space="preserve"> je </w:t>
            </w:r>
            <w:r>
              <w:rPr>
                <w:sz w:val="16"/>
                <w:szCs w:val="16"/>
              </w:rPr>
              <w:t>silný také v kontextu zemí EU</w:t>
            </w:r>
            <w:r w:rsidRPr="003B195C">
              <w:rPr>
                <w:sz w:val="16"/>
                <w:szCs w:val="16"/>
              </w:rPr>
              <w:t xml:space="preserve">. </w:t>
            </w:r>
            <w:r>
              <w:rPr>
                <w:sz w:val="16"/>
                <w:szCs w:val="16"/>
              </w:rPr>
              <w:t>Reálná konvergence české ekonomiky tak zřejmě pokračuje</w:t>
            </w:r>
          </w:p>
        </w:tc>
        <w:tc>
          <w:tcPr>
            <w:tcW w:w="143" w:type="pct"/>
          </w:tcPr>
          <w:p w:rsidR="00D301CA" w:rsidRPr="003B195C" w:rsidRDefault="00D301CA" w:rsidP="00D245BA">
            <w:pPr>
              <w:pStyle w:val="Textpoznpodarou"/>
              <w:jc w:val="both"/>
            </w:pPr>
          </w:p>
        </w:tc>
        <w:tc>
          <w:tcPr>
            <w:tcW w:w="3803" w:type="pct"/>
          </w:tcPr>
          <w:p w:rsidR="00D301CA" w:rsidRPr="00212C74" w:rsidRDefault="00D301CA" w:rsidP="00D245BA">
            <w:pPr>
              <w:pStyle w:val="Textpoznpodarou"/>
              <w:jc w:val="both"/>
              <w:rPr>
                <w:spacing w:val="-6"/>
              </w:rPr>
            </w:pPr>
            <w:r w:rsidRPr="00212C74">
              <w:rPr>
                <w:spacing w:val="-6"/>
              </w:rPr>
              <w:t xml:space="preserve">Ekonomice ČR se daří a dokládá to také srovnání s vývojem v jednotlivých zemích </w:t>
            </w:r>
            <w:r>
              <w:rPr>
                <w:spacing w:val="-6"/>
              </w:rPr>
              <w:t>EU</w:t>
            </w:r>
            <w:r w:rsidRPr="00212C74">
              <w:rPr>
                <w:spacing w:val="-6"/>
              </w:rPr>
              <w:t>. Zatímco v 1. čtvrtletí byl meziroční přírůstek HDP v Česku mezi </w:t>
            </w:r>
            <w:r>
              <w:rPr>
                <w:spacing w:val="-6"/>
              </w:rPr>
              <w:t xml:space="preserve">zeměmi </w:t>
            </w:r>
            <w:r w:rsidRPr="00212C74">
              <w:rPr>
                <w:spacing w:val="-6"/>
              </w:rPr>
              <w:t>U</w:t>
            </w:r>
            <w:r>
              <w:rPr>
                <w:spacing w:val="-6"/>
              </w:rPr>
              <w:t>nie</w:t>
            </w:r>
            <w:r w:rsidRPr="00212C74">
              <w:rPr>
                <w:spacing w:val="-6"/>
              </w:rPr>
              <w:t xml:space="preserve"> z hlediska dostupných údajů </w:t>
            </w:r>
            <w:r>
              <w:rPr>
                <w:spacing w:val="-6"/>
              </w:rPr>
              <w:t>třetí</w:t>
            </w:r>
            <w:r w:rsidRPr="00212C74">
              <w:rPr>
                <w:spacing w:val="-6"/>
              </w:rPr>
              <w:t xml:space="preserve"> nejvyšší a zvýšení hrubé přidané hodnoty </w:t>
            </w:r>
            <w:r>
              <w:rPr>
                <w:spacing w:val="-6"/>
              </w:rPr>
              <w:t>taktéž</w:t>
            </w:r>
            <w:r w:rsidRPr="00212C74">
              <w:rPr>
                <w:spacing w:val="-6"/>
              </w:rPr>
              <w:t xml:space="preserve">, ve 2. kvartále se její postavení v tomto ohledu dále zlepšilo. Optikou změny HDP patřila tuzemské ekonomice příčka </w:t>
            </w:r>
            <w:r>
              <w:rPr>
                <w:spacing w:val="-6"/>
              </w:rPr>
              <w:t>druhá, z hlediska změny</w:t>
            </w:r>
            <w:r w:rsidRPr="00212C74">
              <w:rPr>
                <w:spacing w:val="-6"/>
              </w:rPr>
              <w:t> hrubé přidané hodnoty </w:t>
            </w:r>
            <w:r>
              <w:rPr>
                <w:spacing w:val="-6"/>
              </w:rPr>
              <w:t>dokonce první</w:t>
            </w:r>
            <w:r w:rsidRPr="00212C74">
              <w:rPr>
                <w:spacing w:val="-6"/>
              </w:rPr>
              <w:t>.</w:t>
            </w:r>
          </w:p>
          <w:p w:rsidR="00D301CA" w:rsidRPr="00212C74" w:rsidRDefault="00D301CA" w:rsidP="00D245BA">
            <w:pPr>
              <w:pStyle w:val="Textpoznpodarou"/>
              <w:jc w:val="both"/>
              <w:rPr>
                <w:sz w:val="18"/>
                <w:szCs w:val="18"/>
              </w:rPr>
            </w:pPr>
          </w:p>
          <w:p w:rsidR="00D301CA" w:rsidRPr="00212C74" w:rsidRDefault="00D301CA" w:rsidP="00D245BA">
            <w:pPr>
              <w:pStyle w:val="Textpoznpodarou"/>
              <w:jc w:val="both"/>
              <w:rPr>
                <w:spacing w:val="-2"/>
              </w:rPr>
            </w:pPr>
            <w:r w:rsidRPr="00212C74">
              <w:rPr>
                <w:spacing w:val="-4"/>
              </w:rPr>
              <w:t>Aktuální údaje naznačují, že loňské přibližování ekonomické vyspělosti ČR průměrné</w:t>
            </w:r>
            <w:r w:rsidRPr="00212C74">
              <w:rPr>
                <w:spacing w:val="-2"/>
              </w:rPr>
              <w:t xml:space="preserve"> úrovni zemí Unie nebylo ojedinělou záležitostí. Lze soudit, že pokračuje i letos.</w:t>
            </w:r>
          </w:p>
          <w:p w:rsidR="00D301CA" w:rsidRPr="00212C74" w:rsidRDefault="00D301CA" w:rsidP="00D245BA">
            <w:pPr>
              <w:pStyle w:val="Textpoznpodarou"/>
              <w:jc w:val="both"/>
              <w:rPr>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Na růstu HDP ve 2. čtvrtletí 2015</w:t>
            </w:r>
            <w:r>
              <w:rPr>
                <w:sz w:val="16"/>
                <w:szCs w:val="16"/>
              </w:rPr>
              <w:t xml:space="preserve"> (meziročně)</w:t>
            </w:r>
            <w:r w:rsidRPr="00E042C9">
              <w:rPr>
                <w:sz w:val="16"/>
                <w:szCs w:val="16"/>
              </w:rPr>
              <w:t xml:space="preserve"> participovaly především výdaje na konečnou spotřebu domácností a investice, …</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Na růstu HDP ve 2. čtvrtletí 2015 o 4,4 % meziročně se podílely nejen všechny čtyři </w:t>
            </w:r>
            <w:r>
              <w:t>klíčové složky domácí poptávky –</w:t>
            </w:r>
            <w:r w:rsidRPr="00E042C9">
              <w:t xml:space="preserve"> jako tomu bylo na počátku roku</w:t>
            </w:r>
            <w:r>
              <w:t xml:space="preserve"> –</w:t>
            </w:r>
            <w:r w:rsidRPr="00E042C9">
              <w:t xml:space="preserve"> ale také výsledek zahraničního obchodu se zbožím a službami.</w:t>
            </w:r>
            <w:r w:rsidRPr="00E042C9">
              <w:rPr>
                <w:rStyle w:val="Znakapoznpodarou"/>
                <w:spacing w:val="-4"/>
              </w:rPr>
              <w:footnoteReference w:id="2"/>
            </w:r>
            <w:r w:rsidRPr="00E042C9">
              <w:t xml:space="preserve"> Příspěvek investic (tvorby hrubého fixního kapitálu) se zvětšil z +0,8 </w:t>
            </w:r>
            <w:proofErr w:type="spellStart"/>
            <w:r w:rsidRPr="00E042C9">
              <w:t>pb</w:t>
            </w:r>
            <w:proofErr w:type="spellEnd"/>
            <w:r w:rsidRPr="00E042C9">
              <w:t xml:space="preserve">. v 1. čtvrtletí na +1,5 </w:t>
            </w:r>
            <w:proofErr w:type="spellStart"/>
            <w:r w:rsidRPr="00E042C9">
              <w:t>pb</w:t>
            </w:r>
            <w:proofErr w:type="spellEnd"/>
            <w:r w:rsidRPr="00E042C9">
              <w:t>. ve 2.</w:t>
            </w:r>
            <w:r w:rsidR="00F55605">
              <w:t> </w:t>
            </w:r>
            <w:r w:rsidRPr="00E042C9">
              <w:t xml:space="preserve">kvartále, výdaje na konečnou spotřebu domácností se na růstu podílely taktéž větší silou (+1,4 </w:t>
            </w:r>
            <w:proofErr w:type="spellStart"/>
            <w:r w:rsidRPr="00E042C9">
              <w:t>pb</w:t>
            </w:r>
            <w:proofErr w:type="spellEnd"/>
            <w:r w:rsidRPr="00E042C9">
              <w:t xml:space="preserve">., +1,5 </w:t>
            </w:r>
            <w:proofErr w:type="spellStart"/>
            <w:r w:rsidRPr="00E042C9">
              <w:t>pb</w:t>
            </w:r>
            <w:proofErr w:type="spellEnd"/>
            <w:r w:rsidRPr="00E042C9">
              <w:t xml:space="preserve">.). Příspěvek výdajů na konečnou spotřebu vládních institucí setrval na úrovni prvních tří měsíců (+0,5 </w:t>
            </w:r>
            <w:proofErr w:type="spellStart"/>
            <w:r w:rsidRPr="00E042C9">
              <w:t>pb</w:t>
            </w:r>
            <w:proofErr w:type="spellEnd"/>
            <w:r w:rsidRPr="00E042C9">
              <w:t xml:space="preserve">.), nikoliv však příspěvek změny zásob, který se zmenšil z mimořádných +1,9 </w:t>
            </w:r>
            <w:proofErr w:type="spellStart"/>
            <w:r w:rsidRPr="00E042C9">
              <w:t>pb</w:t>
            </w:r>
            <w:proofErr w:type="spellEnd"/>
            <w:r w:rsidRPr="00E042C9">
              <w:t xml:space="preserve">. na +0,7 </w:t>
            </w:r>
            <w:proofErr w:type="spellStart"/>
            <w:r w:rsidRPr="00E042C9">
              <w:t>pb</w:t>
            </w:r>
            <w:proofErr w:type="spellEnd"/>
            <w:r w:rsidRPr="00E042C9">
              <w:t xml:space="preserve">. Výsledek zahraničního obchodu v reálném vyjádření, který po dvě předchozí čtvrtletí růst HDP brzdil, se již na zvýšení výkonu české ekonomiky podílel pozitivně (+0,3 </w:t>
            </w:r>
            <w:proofErr w:type="spellStart"/>
            <w:r w:rsidRPr="00E042C9">
              <w:t>pb</w:t>
            </w:r>
            <w:proofErr w:type="spellEnd"/>
            <w:r w:rsidRPr="00E042C9">
              <w:t>.).</w:t>
            </w:r>
          </w:p>
          <w:p w:rsidR="00D301CA" w:rsidRPr="00E042C9" w:rsidRDefault="00D301CA" w:rsidP="00D245BA">
            <w:pPr>
              <w:pStyle w:val="Textpoznpodarou"/>
              <w:jc w:val="both"/>
              <w:rPr>
                <w:spacing w:val="-4"/>
                <w:sz w:val="18"/>
                <w:szCs w:val="18"/>
              </w:rPr>
            </w:pPr>
          </w:p>
        </w:tc>
      </w:tr>
      <w:tr w:rsidR="00D301CA" w:rsidRPr="0002540B" w:rsidTr="00D245BA">
        <w:tc>
          <w:tcPr>
            <w:tcW w:w="1054" w:type="pct"/>
          </w:tcPr>
          <w:p w:rsidR="00D301CA" w:rsidRPr="00E042C9" w:rsidRDefault="00D301CA" w:rsidP="00D245BA">
            <w:pPr>
              <w:spacing w:line="240" w:lineRule="auto"/>
              <w:rPr>
                <w:sz w:val="16"/>
                <w:szCs w:val="16"/>
              </w:rPr>
            </w:pPr>
            <w:r w:rsidRPr="00E042C9">
              <w:rPr>
                <w:sz w:val="16"/>
                <w:szCs w:val="16"/>
              </w:rPr>
              <w:t>…pokud však z celkového objemu dovozu vyloučíme dovoz určený pro konečné užití, pak byl „tahounem“ takto modifikovaný výsledek zahraničního obchodu</w:t>
            </w:r>
          </w:p>
        </w:tc>
        <w:tc>
          <w:tcPr>
            <w:tcW w:w="143" w:type="pct"/>
          </w:tcPr>
          <w:p w:rsidR="00D301CA" w:rsidRPr="00E042C9" w:rsidRDefault="00D301CA" w:rsidP="00D245BA">
            <w:pPr>
              <w:pStyle w:val="Textpoznpodarou"/>
              <w:jc w:val="both"/>
            </w:pPr>
          </w:p>
        </w:tc>
        <w:tc>
          <w:tcPr>
            <w:tcW w:w="3803" w:type="pct"/>
          </w:tcPr>
          <w:p w:rsidR="00D301CA" w:rsidRPr="00E042C9" w:rsidRDefault="00D301CA" w:rsidP="00D245BA">
            <w:pPr>
              <w:pStyle w:val="Textpoznpodarou"/>
              <w:jc w:val="both"/>
            </w:pPr>
            <w:r w:rsidRPr="00E042C9">
              <w:t xml:space="preserve">Jestliže z celkového objemu dovozu do ČR vyloučíme dovoz určený pro konečné užití, jehož dynamika nemá s vývojem české ekonomiky ve své podstatě nic společného, pak se příspěvky k meziročnímu růstu HDP logicky mění. Investice, jejichž nárůst byl z velké části saturován produkty z dovozu, se na něm v tomto pojetí ve 2. čtvrtletí podílely pouze +1,1 </w:t>
            </w:r>
            <w:proofErr w:type="spellStart"/>
            <w:r w:rsidRPr="00E042C9">
              <w:t>pb</w:t>
            </w:r>
            <w:proofErr w:type="spellEnd"/>
            <w:r w:rsidRPr="00E042C9">
              <w:t xml:space="preserve">., příspěvek výdajů na konečnou spotřebu domácností dosáhl dokonce jen +1,0 </w:t>
            </w:r>
            <w:proofErr w:type="spellStart"/>
            <w:r w:rsidRPr="00E042C9">
              <w:t>pb</w:t>
            </w:r>
            <w:proofErr w:type="spellEnd"/>
            <w:r w:rsidRPr="00E042C9">
              <w:t xml:space="preserve">. Výdaje na konečnou spotřebu vládních institucí k růstu ekonomiky České republiky přispěly jen o něco menší silou než v klasickém pojetí (+0,4 </w:t>
            </w:r>
            <w:proofErr w:type="spellStart"/>
            <w:r w:rsidRPr="00E042C9">
              <w:t>pb</w:t>
            </w:r>
            <w:proofErr w:type="spellEnd"/>
            <w:r w:rsidRPr="00E042C9">
              <w:t>.), příspěvek změny zásob byl dokonce totožný (+0,7 </w:t>
            </w:r>
            <w:proofErr w:type="spellStart"/>
            <w:r w:rsidRPr="00E042C9">
              <w:t>pb</w:t>
            </w:r>
            <w:proofErr w:type="spellEnd"/>
            <w:r w:rsidRPr="00E042C9">
              <w:t>.). Bilance vývozu a dovozu</w:t>
            </w:r>
            <w:r>
              <w:t xml:space="preserve"> </w:t>
            </w:r>
            <w:r w:rsidRPr="00E042C9">
              <w:t xml:space="preserve">(sníženého o dovoz určený pro konečné užití) se na růstu HDP podílela +1,3 </w:t>
            </w:r>
            <w:proofErr w:type="spellStart"/>
            <w:r w:rsidRPr="00E042C9">
              <w:t>pb</w:t>
            </w:r>
            <w:proofErr w:type="spellEnd"/>
            <w:r w:rsidRPr="00E042C9">
              <w:t>.</w:t>
            </w:r>
          </w:p>
        </w:tc>
      </w:tr>
      <w:tr w:rsidR="00D301CA" w:rsidRPr="0002540B" w:rsidTr="00D245BA">
        <w:tc>
          <w:tcPr>
            <w:tcW w:w="1054" w:type="pct"/>
          </w:tcPr>
          <w:p w:rsidR="00D301CA" w:rsidRPr="00A8119A" w:rsidRDefault="00D301CA" w:rsidP="00D245BA">
            <w:pPr>
              <w:spacing w:line="240" w:lineRule="auto"/>
              <w:rPr>
                <w:sz w:val="16"/>
                <w:szCs w:val="16"/>
              </w:rPr>
            </w:pPr>
            <w:r w:rsidRPr="00A8119A">
              <w:rPr>
                <w:sz w:val="16"/>
                <w:szCs w:val="16"/>
              </w:rPr>
              <w:lastRenderedPageBreak/>
              <w:t>Výdaje na konečnou spotřebu domácností narostly v úhrnu za celé 1. pololetí roku 2015 o 3,0 % meziročně, …</w:t>
            </w:r>
          </w:p>
        </w:tc>
        <w:tc>
          <w:tcPr>
            <w:tcW w:w="143" w:type="pct"/>
          </w:tcPr>
          <w:p w:rsidR="00D301CA" w:rsidRPr="000672C7" w:rsidRDefault="00D301CA" w:rsidP="00D245BA">
            <w:pPr>
              <w:pStyle w:val="Textpoznpodarou"/>
              <w:jc w:val="both"/>
            </w:pPr>
          </w:p>
        </w:tc>
        <w:tc>
          <w:tcPr>
            <w:tcW w:w="3803" w:type="pct"/>
          </w:tcPr>
          <w:p w:rsidR="00D301CA" w:rsidRDefault="00D301CA" w:rsidP="00D245BA">
            <w:pPr>
              <w:pStyle w:val="Textpoznpodarou"/>
              <w:jc w:val="both"/>
              <w:rPr>
                <w:spacing w:val="-2"/>
              </w:rPr>
            </w:pPr>
            <w:r w:rsidRPr="00EB2C4A">
              <w:rPr>
                <w:spacing w:val="-2"/>
              </w:rPr>
              <w:t xml:space="preserve">V úhrnu za celé 1. pololetí 2015 narostly výdaje na konečnou spotřebu domácností meziročně o 3,0 %, nejrychleji od 2. poloviny roku 2007. Vyšší měrou se na tomto výsledku podílel vývoj ve 2. čtvrtletí – </w:t>
            </w:r>
            <w:r>
              <w:rPr>
                <w:spacing w:val="-2"/>
              </w:rPr>
              <w:t>ve kterém</w:t>
            </w:r>
            <w:r w:rsidRPr="00EB2C4A">
              <w:rPr>
                <w:spacing w:val="-2"/>
              </w:rPr>
              <w:t xml:space="preserve"> výdaje domácností stouply v meziročním srovnání o 3,1 % – než v 1. kvartále, </w:t>
            </w:r>
            <w:r>
              <w:rPr>
                <w:spacing w:val="-2"/>
              </w:rPr>
              <w:t>kdy</w:t>
            </w:r>
            <w:r w:rsidRPr="00EB2C4A">
              <w:rPr>
                <w:spacing w:val="-2"/>
              </w:rPr>
              <w:t xml:space="preserve"> byly vyšší o 2,8 %.</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A8119A" w:rsidRDefault="00D301CA" w:rsidP="00C23CBD">
            <w:pPr>
              <w:spacing w:line="240" w:lineRule="auto"/>
              <w:rPr>
                <w:sz w:val="16"/>
                <w:szCs w:val="16"/>
              </w:rPr>
            </w:pPr>
            <w:r>
              <w:rPr>
                <w:sz w:val="16"/>
                <w:szCs w:val="16"/>
              </w:rPr>
              <w:t xml:space="preserve">… a to jak díky zvyšujícím se příjmům domácností, tak vlivem přetrvávající důvěry </w:t>
            </w:r>
            <w:r w:rsidR="00C23CBD">
              <w:rPr>
                <w:sz w:val="16"/>
                <w:szCs w:val="16"/>
              </w:rPr>
              <w:t>v ekonomiku</w:t>
            </w:r>
          </w:p>
        </w:tc>
        <w:tc>
          <w:tcPr>
            <w:tcW w:w="143" w:type="pct"/>
          </w:tcPr>
          <w:p w:rsidR="00D301CA" w:rsidRPr="000672C7" w:rsidRDefault="00D301CA" w:rsidP="00D245BA">
            <w:pPr>
              <w:pStyle w:val="Textpoznpodarou"/>
              <w:jc w:val="both"/>
            </w:pPr>
          </w:p>
        </w:tc>
        <w:tc>
          <w:tcPr>
            <w:tcW w:w="3803" w:type="pct"/>
          </w:tcPr>
          <w:p w:rsidR="00D301CA" w:rsidRPr="00E61BE0" w:rsidRDefault="00D301CA" w:rsidP="00D245BA">
            <w:pPr>
              <w:pStyle w:val="Textpoznpodarou"/>
              <w:jc w:val="both"/>
              <w:rPr>
                <w:spacing w:val="-2"/>
              </w:rPr>
            </w:pPr>
            <w:r w:rsidRPr="00E61BE0">
              <w:rPr>
                <w:spacing w:val="-2"/>
              </w:rPr>
              <w:t>Ochota domácností utrácet byla v 1. polovině roku příznivě ovlivněna dvěma klíčovými faktory. Tím prvním byl</w:t>
            </w:r>
            <w:r>
              <w:rPr>
                <w:spacing w:val="-2"/>
              </w:rPr>
              <w:t>y</w:t>
            </w:r>
            <w:r w:rsidRPr="00E61BE0">
              <w:rPr>
                <w:spacing w:val="-2"/>
              </w:rPr>
              <w:t xml:space="preserve"> narůstající </w:t>
            </w:r>
            <w:r>
              <w:rPr>
                <w:spacing w:val="-2"/>
              </w:rPr>
              <w:t>příjmy</w:t>
            </w:r>
            <w:r w:rsidRPr="00E61BE0">
              <w:rPr>
                <w:spacing w:val="-2"/>
              </w:rPr>
              <w:t xml:space="preserve"> – na </w:t>
            </w:r>
            <w:r>
              <w:rPr>
                <w:spacing w:val="-2"/>
              </w:rPr>
              <w:t>které</w:t>
            </w:r>
            <w:r w:rsidRPr="00E61BE0">
              <w:rPr>
                <w:spacing w:val="-2"/>
              </w:rPr>
              <w:t xml:space="preserve"> poukazuje</w:t>
            </w:r>
            <w:r>
              <w:rPr>
                <w:spacing w:val="-2"/>
              </w:rPr>
              <w:t xml:space="preserve"> reálně</w:t>
            </w:r>
            <w:r w:rsidRPr="00E61BE0">
              <w:rPr>
                <w:spacing w:val="-2"/>
              </w:rPr>
              <w:t xml:space="preserve"> stoupající průměrná mzda a zvyšující se zaměstnanost –</w:t>
            </w:r>
            <w:r w:rsidR="00F55605">
              <w:rPr>
                <w:spacing w:val="-2"/>
              </w:rPr>
              <w:t>,</w:t>
            </w:r>
            <w:r w:rsidRPr="00E61BE0">
              <w:rPr>
                <w:spacing w:val="-2"/>
              </w:rPr>
              <w:t xml:space="preserve"> druhým pak přetrvávající důvěra v </w:t>
            </w:r>
            <w:r w:rsidR="00C23CBD">
              <w:rPr>
                <w:spacing w:val="-2"/>
              </w:rPr>
              <w:t>českou ekonomiku</w:t>
            </w:r>
            <w:r w:rsidRPr="00E61BE0">
              <w:rPr>
                <w:spacing w:val="-2"/>
              </w:rPr>
              <w:t xml:space="preserve"> (indikátor důvěry spotřebitelů byl na konci 2. čtvrtletí 2015 sice na nižší úrovni než na sklonku 1. kvartálu, v meziročním srovnání však zůstávala důvěra spotřebitelů stále vyšší).</w:t>
            </w:r>
          </w:p>
          <w:p w:rsidR="00D301CA" w:rsidRPr="00B30125" w:rsidRDefault="00D301CA" w:rsidP="00D245BA">
            <w:pPr>
              <w:pStyle w:val="Textpoznpodarou"/>
              <w:jc w:val="both"/>
              <w:rPr>
                <w:spacing w:val="-2"/>
                <w:sz w:val="16"/>
                <w:szCs w:val="16"/>
              </w:rPr>
            </w:pPr>
          </w:p>
        </w:tc>
      </w:tr>
      <w:tr w:rsidR="00D301CA" w:rsidRPr="0002540B" w:rsidTr="00D245BA">
        <w:tc>
          <w:tcPr>
            <w:tcW w:w="1054" w:type="pct"/>
          </w:tcPr>
          <w:p w:rsidR="00D301CA" w:rsidRPr="00A8119A" w:rsidRDefault="00D301CA" w:rsidP="00D245BA">
            <w:pPr>
              <w:spacing w:line="240" w:lineRule="auto"/>
              <w:rPr>
                <w:sz w:val="16"/>
                <w:szCs w:val="16"/>
              </w:rPr>
            </w:pPr>
            <w:r>
              <w:rPr>
                <w:sz w:val="16"/>
                <w:szCs w:val="16"/>
              </w:rPr>
              <w:t>Domácnosti vydaly v 1. polovině roku meziročně více především za předměty dlouhodobé spotřeby</w:t>
            </w:r>
          </w:p>
        </w:tc>
        <w:tc>
          <w:tcPr>
            <w:tcW w:w="143" w:type="pct"/>
          </w:tcPr>
          <w:p w:rsidR="00D301CA" w:rsidRPr="000672C7" w:rsidRDefault="00D301CA" w:rsidP="00D245BA">
            <w:pPr>
              <w:pStyle w:val="Textpoznpodarou"/>
              <w:jc w:val="both"/>
            </w:pPr>
          </w:p>
        </w:tc>
        <w:tc>
          <w:tcPr>
            <w:tcW w:w="3803" w:type="pct"/>
          </w:tcPr>
          <w:p w:rsidR="00D301CA" w:rsidRPr="005D504B" w:rsidRDefault="00D301CA" w:rsidP="00D245BA">
            <w:pPr>
              <w:pStyle w:val="Textpoznpodarou"/>
              <w:jc w:val="both"/>
              <w:rPr>
                <w:spacing w:val="-2"/>
              </w:rPr>
            </w:pPr>
            <w:r w:rsidRPr="005D504B">
              <w:rPr>
                <w:spacing w:val="-2"/>
              </w:rPr>
              <w:t>Z členění výdajů na konečnou spotřebu domácností podle trvanlivosti je patrné, že domácnosti v  1. polovině roku 2015 posilovaly především nákupy předmětů dlouhodobé spotřeby.</w:t>
            </w:r>
            <w:r w:rsidRPr="005D504B">
              <w:rPr>
                <w:rStyle w:val="Znakapoznpodarou"/>
                <w:spacing w:val="-2"/>
              </w:rPr>
              <w:footnoteReference w:id="3"/>
            </w:r>
            <w:r w:rsidRPr="005D504B">
              <w:rPr>
                <w:spacing w:val="-2"/>
              </w:rPr>
              <w:t xml:space="preserve"> V 1. čtvrtletí jich pořídily o 9,0 % více než před rokem, ve 2. kvartále o 8,7 %. Navyšovaly ale i výdaje za předměty střednědobé spotřeby (+3,8 %, +5,7 %) a krátkodobé spotřeby (+2,3 %, +2,7 %). Váhově významné výdaje za služby narůstaly taktéž, spíše ale jen střídm</w:t>
            </w:r>
            <w:r w:rsidR="00F55605">
              <w:rPr>
                <w:spacing w:val="-2"/>
              </w:rPr>
              <w:t>ě</w:t>
            </w:r>
            <w:r w:rsidRPr="005D504B">
              <w:rPr>
                <w:spacing w:val="-2"/>
              </w:rPr>
              <w:t xml:space="preserve"> (+1,4 %, +1,8 %).</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Fiskální politika i nadále expanzivní</w:t>
            </w:r>
          </w:p>
        </w:tc>
        <w:tc>
          <w:tcPr>
            <w:tcW w:w="143" w:type="pct"/>
          </w:tcPr>
          <w:p w:rsidR="00D301CA" w:rsidRPr="0002540B" w:rsidRDefault="00D301CA" w:rsidP="00D245BA">
            <w:pPr>
              <w:pStyle w:val="Textpoznpodarou"/>
              <w:jc w:val="both"/>
            </w:pPr>
          </w:p>
        </w:tc>
        <w:tc>
          <w:tcPr>
            <w:tcW w:w="3803" w:type="pct"/>
          </w:tcPr>
          <w:p w:rsidR="00D301CA" w:rsidRPr="005D504B" w:rsidRDefault="00D301CA" w:rsidP="00D245BA">
            <w:pPr>
              <w:pStyle w:val="Textpoznpodarou"/>
              <w:jc w:val="both"/>
            </w:pPr>
            <w:r w:rsidRPr="005D504B">
              <w:t>Fiskální politika setrvává expanzivní a projevuje se nejen ve vyšší investiční aktivitě vládních institucí, ale také v poměrně stabilních přírůstcích výdajů na konečnou spotřebu. Zatímco v posledním čtvrtletí roku 2014 byly výdaje na konečnou spotřebu vládních institucí meziročně vyšší o 2,7 %, v 1. a 2. čtvrtletí letošního roku převyšovaly tyto výdaje loňskou úroveň o 2,6 % a o 2,5 %.</w:t>
            </w:r>
          </w:p>
          <w:p w:rsidR="00D301CA" w:rsidRPr="00B30125" w:rsidRDefault="00D301CA" w:rsidP="00D245BA">
            <w:pPr>
              <w:pStyle w:val="Textpoznpodarou"/>
              <w:jc w:val="both"/>
              <w:rPr>
                <w:sz w:val="16"/>
                <w:szCs w:val="16"/>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Investice vzrostly ve 2. čtvrtletí 2015 meziročně o 5,9 %, ….</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 xml:space="preserve">Jedním ze dvou hlavních zdrojů růstu české ekonomiky ve 2. čtvrtletí 2015 byly investice. V meziročním srovnání stouply o 5,9 %, nejdynamičtěji od počátku roku 2008. </w:t>
            </w:r>
            <w:r w:rsidRPr="00EB2C4A">
              <w:rPr>
                <w:spacing w:val="-2"/>
              </w:rPr>
              <w:t>Původ tohoto růstu spočíval především ve vysokém přírůstku investic mezi 1. a 2. čtvrtletím (+3,5 %), nikoliv v nízké srovnávací základně.</w:t>
            </w:r>
          </w:p>
          <w:p w:rsidR="00D301CA" w:rsidRPr="00B30125" w:rsidRDefault="00D301CA" w:rsidP="00D245BA">
            <w:pPr>
              <w:pStyle w:val="Textpoznpodarou"/>
              <w:jc w:val="both"/>
              <w:rPr>
                <w:spacing w:val="-4"/>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…jednalo se však z velké části o důsledek mimořádných vlivů. Zatímco na straně vládních institucí šlo o dočerpávání peněz z fondů EU, v případě nefinančních podniků o mimořádně vysoký růst zisků v loňském roce</w:t>
            </w:r>
          </w:p>
        </w:tc>
        <w:tc>
          <w:tcPr>
            <w:tcW w:w="143" w:type="pct"/>
          </w:tcPr>
          <w:p w:rsidR="00D301CA" w:rsidRPr="0002540B" w:rsidRDefault="00D301CA" w:rsidP="00D245BA">
            <w:pPr>
              <w:pStyle w:val="Textpoznpodarou"/>
              <w:jc w:val="both"/>
            </w:pPr>
          </w:p>
        </w:tc>
        <w:tc>
          <w:tcPr>
            <w:tcW w:w="3803" w:type="pct"/>
          </w:tcPr>
          <w:p w:rsidR="00D301CA" w:rsidRDefault="00D301CA" w:rsidP="00D245BA">
            <w:pPr>
              <w:pStyle w:val="Textpoznpodarou"/>
              <w:jc w:val="both"/>
              <w:rPr>
                <w:spacing w:val="-2"/>
              </w:rPr>
            </w:pPr>
            <w:r w:rsidRPr="00EB2C4A">
              <w:t xml:space="preserve">Přestože údaje o investicích jednotlivých institucionálních sektorů nejsou prozatím dostupné, data ve věcném členění naznačují, že za velmi vysokým meziročním růstem investic ve 2. čtvrtletí stály zejména vládní instituce (jež se snažily dočerpat alokované prostředky z fondů Evropské unie) a nefinanční podniky (které v loňském roce dosáhly mimořádně vysokých zisků a s posilující důvěrou </w:t>
            </w:r>
            <w:r w:rsidRPr="00EB2C4A">
              <w:rPr>
                <w:spacing w:val="-2"/>
              </w:rPr>
              <w:t>v další ekonomický vývoj je začaly ve větším rozsahu využívat na investiční účely).</w:t>
            </w:r>
          </w:p>
          <w:p w:rsidR="00D301CA" w:rsidRPr="00B30125" w:rsidRDefault="00D301CA" w:rsidP="00D245BA">
            <w:pPr>
              <w:pStyle w:val="Textpoznpodarou"/>
              <w:jc w:val="both"/>
              <w:rPr>
                <w:spacing w:val="-2"/>
                <w:sz w:val="16"/>
                <w:szCs w:val="16"/>
              </w:rPr>
            </w:pPr>
          </w:p>
          <w:p w:rsidR="00D301CA" w:rsidRPr="00E61BE0" w:rsidRDefault="00D301CA" w:rsidP="00D245BA">
            <w:pPr>
              <w:pStyle w:val="Textpoznpodarou"/>
              <w:jc w:val="both"/>
            </w:pPr>
            <w:r w:rsidRPr="00E61BE0">
              <w:t>Investice do budov a staveb stouply ve 2. kvartále meziročně o 13,2 %,</w:t>
            </w:r>
            <w:r w:rsidRPr="00E61BE0">
              <w:rPr>
                <w:rStyle w:val="Znakapoznpodarou"/>
              </w:rPr>
              <w:footnoteReference w:id="4"/>
            </w:r>
            <w:r w:rsidRPr="00E61BE0">
              <w:t xml:space="preserve"> vůbec nejrychleji na dostupné časové řadě od roku 1997. Přírůstek investic do dopravních prostředků a zařízení se v porovnání s počátkem roku zmenšil (zůstal ale mohutný, +10,4 %), růst investic do ICT, strojů a zařízení naopak zrychlil (z +1,0 % v 1. čtvrtletí na +2,5 %). Do produktů duševního vlastnictví se investovalo méně než před rokem (-1,5 %), podobně jako tomu bylo v 1. čtvrtletí a ve dvou letech předchozích. Rostoucí příjmy domácností ve spojení se stále nízkými úrokovými sazbami z úvěrů na bydlení se i nadále pozitivně promítaly v investicích do staveb pro bydlení (meziročně +3,4 %). </w:t>
            </w:r>
          </w:p>
          <w:p w:rsidR="00D301CA" w:rsidRPr="00B30125" w:rsidRDefault="00D301CA" w:rsidP="00D245BA">
            <w:pPr>
              <w:pStyle w:val="Textpoznpodarou"/>
              <w:jc w:val="both"/>
              <w:rPr>
                <w:sz w:val="18"/>
                <w:szCs w:val="18"/>
              </w:rPr>
            </w:pPr>
          </w:p>
        </w:tc>
      </w:tr>
      <w:tr w:rsidR="00D301CA" w:rsidRPr="0002540B" w:rsidTr="00D245BA">
        <w:tc>
          <w:tcPr>
            <w:tcW w:w="1054" w:type="pct"/>
          </w:tcPr>
          <w:p w:rsidR="00D301CA" w:rsidRPr="0002540B" w:rsidRDefault="00D301CA" w:rsidP="00D245BA">
            <w:pPr>
              <w:spacing w:line="240" w:lineRule="auto"/>
              <w:rPr>
                <w:sz w:val="16"/>
                <w:szCs w:val="16"/>
              </w:rPr>
            </w:pPr>
            <w:r>
              <w:rPr>
                <w:sz w:val="16"/>
                <w:szCs w:val="16"/>
              </w:rPr>
              <w:t>Změna zásob i nadále pozitivní, nemění se příliš ale ani její struktura – rostou zásoby materiálu a nedokončené výroby</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rPr>
                <w:spacing w:val="-2"/>
              </w:rPr>
            </w:pPr>
            <w:r w:rsidRPr="00EB2C4A">
              <w:rPr>
                <w:spacing w:val="-2"/>
              </w:rPr>
              <w:t xml:space="preserve">V průběhu 1. čtvrtletí roku 2015 narostla hodnota zásob na skladech nominálně o 14,2 mld. korun, a </w:t>
            </w:r>
            <w:r>
              <w:rPr>
                <w:spacing w:val="-2"/>
              </w:rPr>
              <w:t>protože</w:t>
            </w:r>
            <w:r w:rsidRPr="00EB2C4A">
              <w:rPr>
                <w:spacing w:val="-2"/>
              </w:rPr>
              <w:t xml:space="preserve"> ve stejném období loňského roku jejich hodnota o 7,9 mld. klesla, staly se zásoby hlavním faktorem růstu české ekonomiky. Ve 2. čtvrtletí 2015 hodnota zásob narůstala dále (jejich hodnota se zvětšila o 11,9 mld. korun), jelikož ale už i v loňském 2. čtvrtletí byla změna zásob pozitivní (+5,8 mld.), jejich růstový efekt výrazně oslabil.</w:t>
            </w:r>
          </w:p>
          <w:p w:rsidR="00D301CA" w:rsidRPr="00B30125" w:rsidRDefault="00D301CA" w:rsidP="00D245BA">
            <w:pPr>
              <w:pStyle w:val="Textpoznpodarou"/>
              <w:jc w:val="both"/>
              <w:rPr>
                <w:spacing w:val="-2"/>
                <w:sz w:val="18"/>
                <w:szCs w:val="18"/>
              </w:rPr>
            </w:pPr>
          </w:p>
        </w:tc>
      </w:tr>
      <w:tr w:rsidR="00D301CA" w:rsidRPr="0002540B" w:rsidTr="00D245BA">
        <w:tc>
          <w:tcPr>
            <w:tcW w:w="1054" w:type="pct"/>
          </w:tcPr>
          <w:p w:rsidR="00D301CA" w:rsidRPr="0030760B" w:rsidRDefault="00D301CA" w:rsidP="00D245BA">
            <w:pPr>
              <w:spacing w:line="240" w:lineRule="auto"/>
              <w:rPr>
                <w:sz w:val="16"/>
                <w:szCs w:val="16"/>
              </w:rPr>
            </w:pPr>
            <w:r>
              <w:rPr>
                <w:sz w:val="16"/>
                <w:szCs w:val="16"/>
              </w:rPr>
              <w:t>Meziroční přírůstek vývozu zboží a služeb z ČR dále zpomalil</w:t>
            </w:r>
          </w:p>
        </w:tc>
        <w:tc>
          <w:tcPr>
            <w:tcW w:w="143" w:type="pct"/>
          </w:tcPr>
          <w:p w:rsidR="00D301CA" w:rsidRPr="0002540B" w:rsidRDefault="00D301CA" w:rsidP="00D245BA">
            <w:pPr>
              <w:pStyle w:val="Textpoznpodarou"/>
              <w:jc w:val="both"/>
            </w:pPr>
          </w:p>
        </w:tc>
        <w:tc>
          <w:tcPr>
            <w:tcW w:w="3803" w:type="pct"/>
          </w:tcPr>
          <w:p w:rsidR="00D301CA" w:rsidRPr="0095089A" w:rsidRDefault="00D301CA" w:rsidP="00D245BA">
            <w:pPr>
              <w:pStyle w:val="Textpoznpodarou"/>
              <w:jc w:val="both"/>
              <w:rPr>
                <w:color w:val="FF0000"/>
              </w:rPr>
            </w:pPr>
            <w:r w:rsidRPr="004109EC">
              <w:t xml:space="preserve">Hospodářský růst zemí </w:t>
            </w:r>
            <w:proofErr w:type="spellStart"/>
            <w:r w:rsidRPr="004109EC">
              <w:t>eurozóny</w:t>
            </w:r>
            <w:proofErr w:type="spellEnd"/>
            <w:r w:rsidRPr="004109EC">
              <w:t xml:space="preserve"> zvolna sílí, v dynamice vývozu zboží a služeb z tuzemska se však neprojevuje. Naopak, přírůstky českého vývozu kontinuálně slábnou. Zatímco ještě v 1. čtvrtletí 2014 byl vývoz</w:t>
            </w:r>
            <w:r>
              <w:t xml:space="preserve"> dle údajů národních účtů</w:t>
            </w:r>
            <w:r w:rsidRPr="004109EC">
              <w:t xml:space="preserve"> meziročně vyšší o 11,7 %, ve </w:t>
            </w:r>
            <w:r w:rsidRPr="004109EC">
              <w:rPr>
                <w:spacing w:val="-4"/>
              </w:rPr>
              <w:t>2. čtvrtletí letošního roku už „pouze“ o rovných 7 %. I</w:t>
            </w:r>
            <w:r>
              <w:rPr>
                <w:spacing w:val="-4"/>
              </w:rPr>
              <w:t> </w:t>
            </w:r>
            <w:r w:rsidRPr="004109EC">
              <w:rPr>
                <w:spacing w:val="-4"/>
              </w:rPr>
              <w:t>přesto je ovšem možné vnímat</w:t>
            </w:r>
            <w:r w:rsidRPr="004109EC">
              <w:t xml:space="preserve"> výsledek o přírůstku vývozu z ČR ve 2. čtvrtletí jako příznivý, neboť například vývoz z Německa stoupl „jen“ o 6,4 %.</w:t>
            </w:r>
          </w:p>
        </w:tc>
      </w:tr>
      <w:tr w:rsidR="00D301CA" w:rsidRPr="0002540B" w:rsidTr="00D245BA">
        <w:tc>
          <w:tcPr>
            <w:tcW w:w="1054" w:type="pct"/>
          </w:tcPr>
          <w:p w:rsidR="00D301CA" w:rsidRDefault="00D301CA" w:rsidP="00D245BA">
            <w:pPr>
              <w:spacing w:line="240" w:lineRule="auto"/>
              <w:rPr>
                <w:sz w:val="16"/>
                <w:szCs w:val="16"/>
              </w:rPr>
            </w:pPr>
            <w:r>
              <w:rPr>
                <w:sz w:val="16"/>
                <w:szCs w:val="16"/>
              </w:rPr>
              <w:lastRenderedPageBreak/>
              <w:t>Přebytek zahraničního obchodu ve 2. čtvrtletí 2015 vyšší než před rokem (+2,0 mld. korun nominálně) díky „službám“</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 xml:space="preserve">Přebytek zahraničního obchodu se zbožím a službami v nominálním vyjádření se ve 2. čtvrtletí 2015 zvětšil meziročně o 2,0 mld. korun. Zdrojem tohoto růstu nebyl překvapivě obchod se zbožím (přebytek ve zboží se </w:t>
            </w:r>
            <w:r>
              <w:t>zmenšil</w:t>
            </w:r>
            <w:r w:rsidRPr="00EB2C4A">
              <w:t xml:space="preserve"> o 4,1 mld.), ale obchod se službami (+6,1 mld.). </w:t>
            </w:r>
            <w:r>
              <w:t>Jak ukazují údaje platební bilance,</w:t>
            </w:r>
            <w:r w:rsidRPr="00EB2C4A">
              <w:t xml:space="preserve"> </w:t>
            </w:r>
            <w:r>
              <w:t>k nárůstu přebytku obchodu se službami došlo především díky zlepšení bilance</w:t>
            </w:r>
            <w:r w:rsidRPr="00EB2C4A">
              <w:t xml:space="preserve"> </w:t>
            </w:r>
            <w:r>
              <w:t>finančních služeb a služeb souvisejících s dopravou. Bilance cestovního ruchu se navzdory tomu, že v ČR byly pořádány velké sportovní akce, zhoršila.</w:t>
            </w:r>
          </w:p>
          <w:p w:rsidR="00D301CA" w:rsidRPr="00B30125" w:rsidRDefault="00D301CA" w:rsidP="00D245BA">
            <w:pPr>
              <w:pStyle w:val="Textpoznpodarou"/>
              <w:jc w:val="both"/>
              <w:rPr>
                <w:spacing w:val="-4"/>
                <w:sz w:val="16"/>
                <w:szCs w:val="16"/>
              </w:rPr>
            </w:pPr>
          </w:p>
        </w:tc>
      </w:tr>
      <w:tr w:rsidR="00D301CA" w:rsidRPr="0002540B" w:rsidTr="00D245BA">
        <w:tc>
          <w:tcPr>
            <w:tcW w:w="1054" w:type="pct"/>
          </w:tcPr>
          <w:p w:rsidR="00D301CA" w:rsidRDefault="00D301CA" w:rsidP="00D245BA">
            <w:pPr>
              <w:spacing w:line="240" w:lineRule="auto"/>
              <w:rPr>
                <w:sz w:val="16"/>
                <w:szCs w:val="16"/>
              </w:rPr>
            </w:pPr>
            <w:r>
              <w:rPr>
                <w:sz w:val="16"/>
                <w:szCs w:val="16"/>
              </w:rPr>
              <w:t>Růst ekonomiky z hlediska strany nabídky rozprostřen v celku rovnoměrně</w:t>
            </w:r>
          </w:p>
        </w:tc>
        <w:tc>
          <w:tcPr>
            <w:tcW w:w="143" w:type="pct"/>
          </w:tcPr>
          <w:p w:rsidR="00D301CA" w:rsidRPr="0002540B" w:rsidRDefault="00D301CA" w:rsidP="00D245BA">
            <w:pPr>
              <w:pStyle w:val="Textpoznpodarou"/>
              <w:jc w:val="both"/>
            </w:pPr>
          </w:p>
        </w:tc>
        <w:tc>
          <w:tcPr>
            <w:tcW w:w="3803" w:type="pct"/>
          </w:tcPr>
          <w:p w:rsidR="00D301CA" w:rsidRPr="00EB2C4A" w:rsidRDefault="00D301CA" w:rsidP="00D245BA">
            <w:pPr>
              <w:pStyle w:val="Textpoznpodarou"/>
              <w:jc w:val="both"/>
            </w:pPr>
            <w:r w:rsidRPr="00EB2C4A">
              <w:t>Na růstu</w:t>
            </w:r>
            <w:r>
              <w:t xml:space="preserve"> celkové</w:t>
            </w:r>
            <w:r w:rsidRPr="00EB2C4A">
              <w:t xml:space="preserve"> hrubé přidané hodnoty ve 2. čtvrtletí 2015 (+3,8 % meziročně) se </w:t>
            </w:r>
            <w:r w:rsidRPr="002E4A67">
              <w:rPr>
                <w:spacing w:val="-2"/>
              </w:rPr>
              <w:t xml:space="preserve">z velké části podílel zpracovatelský průmysl (+1,8 </w:t>
            </w:r>
            <w:proofErr w:type="spellStart"/>
            <w:r w:rsidRPr="002E4A67">
              <w:rPr>
                <w:spacing w:val="-2"/>
              </w:rPr>
              <w:t>pb</w:t>
            </w:r>
            <w:proofErr w:type="spellEnd"/>
            <w:r w:rsidRPr="002E4A67">
              <w:rPr>
                <w:spacing w:val="-2"/>
              </w:rPr>
              <w:t>.), stejnou měrou na něm participovaly ale i objemově významné služby. Z nich se na zvýšení výkonu české ekonomiky podílely pozitivně všechny sledované skupiny odvětví, zejména však odvětví zahrnující obchod, dopravu, ubytování a pohostinství (+0,5</w:t>
            </w:r>
            <w:r>
              <w:rPr>
                <w:spacing w:val="-2"/>
              </w:rPr>
              <w:t> </w:t>
            </w:r>
            <w:proofErr w:type="spellStart"/>
            <w:r w:rsidRPr="00EB2C4A">
              <w:t>pb</w:t>
            </w:r>
            <w:proofErr w:type="spellEnd"/>
            <w:r w:rsidRPr="00EB2C4A">
              <w:t>.) a</w:t>
            </w:r>
            <w:r>
              <w:t> </w:t>
            </w:r>
            <w:r w:rsidRPr="00EB2C4A">
              <w:t>odvětví sdružující profesní, vědecké, technické a administrativní činnosti (+0,4</w:t>
            </w:r>
            <w:r>
              <w:t> </w:t>
            </w:r>
            <w:proofErr w:type="spellStart"/>
            <w:r w:rsidRPr="00EB2C4A">
              <w:t>pb</w:t>
            </w:r>
            <w:proofErr w:type="spellEnd"/>
            <w:r w:rsidRPr="00EB2C4A">
              <w:t>.). Stavebnictví – jehož výkon byl p</w:t>
            </w:r>
            <w:r>
              <w:t>říznivě</w:t>
            </w:r>
            <w:r w:rsidRPr="00EB2C4A">
              <w:t xml:space="preserve"> ovlivněn především vysokou poptávkou</w:t>
            </w:r>
            <w:r>
              <w:t xml:space="preserve"> po stavebních činnostech</w:t>
            </w:r>
            <w:r w:rsidRPr="00EB2C4A">
              <w:t xml:space="preserve"> ze strany veřejných zadavatelů – se na růstu celkové hrubé přidané hodnoty podílelo +0,2 </w:t>
            </w:r>
            <w:proofErr w:type="spellStart"/>
            <w:r w:rsidRPr="00EB2C4A">
              <w:t>pb</w:t>
            </w:r>
            <w:proofErr w:type="spellEnd"/>
            <w:r w:rsidRPr="00EB2C4A">
              <w:t xml:space="preserve">., zemědělství, lesnictví a rybářství v úhrnu pak +0,1 </w:t>
            </w:r>
            <w:proofErr w:type="spellStart"/>
            <w:r w:rsidRPr="00EB2C4A">
              <w:t>pb</w:t>
            </w:r>
            <w:proofErr w:type="spellEnd"/>
            <w:r w:rsidRPr="00EB2C4A">
              <w:t xml:space="preserve">. Růst </w:t>
            </w:r>
            <w:r>
              <w:t>ekonomiky</w:t>
            </w:r>
            <w:r w:rsidRPr="00EB2C4A">
              <w:t xml:space="preserve"> byl „přibrzďován“ pouze </w:t>
            </w:r>
            <w:r>
              <w:t>poklesem v segmentu</w:t>
            </w:r>
            <w:r w:rsidRPr="00EB2C4A">
              <w:t xml:space="preserve"> </w:t>
            </w:r>
            <w:r>
              <w:t>tvořeném</w:t>
            </w:r>
            <w:r w:rsidRPr="00EB2C4A">
              <w:t xml:space="preserve"> těžbou a</w:t>
            </w:r>
            <w:r>
              <w:t xml:space="preserve"> dobýváním, energetikou,</w:t>
            </w:r>
            <w:r w:rsidRPr="00EB2C4A">
              <w:t xml:space="preserve"> zásobováním vodou (-0,1 </w:t>
            </w:r>
            <w:proofErr w:type="spellStart"/>
            <w:r w:rsidRPr="00EB2C4A">
              <w:t>pb</w:t>
            </w:r>
            <w:proofErr w:type="spellEnd"/>
            <w:r w:rsidRPr="00EB2C4A">
              <w:t>.).</w:t>
            </w:r>
          </w:p>
        </w:tc>
      </w:tr>
    </w:tbl>
    <w:p w:rsidR="00D301CA" w:rsidRPr="008A4EE8" w:rsidRDefault="00D301CA" w:rsidP="00D301CA">
      <w:pPr>
        <w:rPr>
          <w:sz w:val="16"/>
          <w:szCs w:val="16"/>
          <w:lang w:eastAsia="ar-SA"/>
        </w:rPr>
      </w:pPr>
    </w:p>
    <w:tbl>
      <w:tblPr>
        <w:tblW w:w="5000" w:type="pct"/>
        <w:tblLook w:val="04A0"/>
      </w:tblPr>
      <w:tblGrid>
        <w:gridCol w:w="1056"/>
        <w:gridCol w:w="3871"/>
        <w:gridCol w:w="622"/>
        <w:gridCol w:w="4305"/>
      </w:tblGrid>
      <w:tr w:rsidR="00D301CA" w:rsidRPr="0002540B" w:rsidTr="00D301CA">
        <w:tc>
          <w:tcPr>
            <w:tcW w:w="536" w:type="pct"/>
          </w:tcPr>
          <w:p w:rsidR="00D301CA" w:rsidRPr="006F08A1" w:rsidRDefault="00D301CA" w:rsidP="00D245BA">
            <w:pPr>
              <w:pStyle w:val="Textpoznpodarou"/>
              <w:rPr>
                <w:lang w:eastAsia="en-US"/>
              </w:rPr>
            </w:pPr>
            <w:r w:rsidRPr="006F08A1">
              <w:rPr>
                <w:lang w:eastAsia="en-US"/>
              </w:rPr>
              <w:t>Graf č. 1</w:t>
            </w:r>
          </w:p>
        </w:tc>
        <w:tc>
          <w:tcPr>
            <w:tcW w:w="1965" w:type="pct"/>
          </w:tcPr>
          <w:p w:rsidR="00D301CA" w:rsidRPr="006F08A1" w:rsidRDefault="00D301CA" w:rsidP="00D245BA">
            <w:pPr>
              <w:pStyle w:val="Textpoznpodarou"/>
              <w:rPr>
                <w:lang w:eastAsia="en-US"/>
              </w:rPr>
            </w:pPr>
            <w:r w:rsidRPr="00D301CA">
              <w:rPr>
                <w:b/>
                <w:lang w:eastAsia="en-US"/>
              </w:rPr>
              <w:t xml:space="preserve">HDP </w:t>
            </w:r>
            <w:r w:rsidRPr="006F08A1">
              <w:rPr>
                <w:lang w:eastAsia="en-US"/>
              </w:rPr>
              <w:t>(stálé ceny, očištěno o sezónní a kalendářní vlivy, v %)</w:t>
            </w:r>
          </w:p>
        </w:tc>
        <w:tc>
          <w:tcPr>
            <w:tcW w:w="315" w:type="pct"/>
          </w:tcPr>
          <w:p w:rsidR="00D301CA" w:rsidRPr="0002540B" w:rsidRDefault="00D301CA" w:rsidP="00D245BA">
            <w:pPr>
              <w:pStyle w:val="Textpoznpodarou"/>
              <w:rPr>
                <w:lang w:eastAsia="en-US"/>
              </w:rPr>
            </w:pPr>
            <w:r w:rsidRPr="0002540B">
              <w:rPr>
                <w:lang w:eastAsia="en-US"/>
              </w:rPr>
              <w:t>Graf č. 2</w:t>
            </w:r>
          </w:p>
        </w:tc>
        <w:tc>
          <w:tcPr>
            <w:tcW w:w="2185" w:type="pct"/>
          </w:tcPr>
          <w:p w:rsidR="00D301CA" w:rsidRPr="00D301CA" w:rsidRDefault="00D301CA" w:rsidP="00D245BA">
            <w:pPr>
              <w:pStyle w:val="Textpoznpodarou"/>
              <w:rPr>
                <w:spacing w:val="-2"/>
                <w:lang w:eastAsia="en-US"/>
              </w:rPr>
            </w:pPr>
            <w:r w:rsidRPr="00D301CA">
              <w:rPr>
                <w:b/>
                <w:spacing w:val="-2"/>
                <w:lang w:eastAsia="en-US"/>
              </w:rPr>
              <w:t xml:space="preserve">HDP </w:t>
            </w:r>
            <w:r w:rsidRPr="00D301CA">
              <w:rPr>
                <w:spacing w:val="-2"/>
                <w:lang w:eastAsia="en-US"/>
              </w:rPr>
              <w:t xml:space="preserve">(stálé ceny, očištěno o sezónní a kalendářní vlivy, y/y v %, pravá osa) </w:t>
            </w:r>
            <w:r w:rsidRPr="00D301CA">
              <w:rPr>
                <w:b/>
                <w:spacing w:val="-2"/>
                <w:lang w:eastAsia="en-US"/>
              </w:rPr>
              <w:t>a indikátory důvěry</w:t>
            </w:r>
            <w:r w:rsidRPr="00D301CA">
              <w:rPr>
                <w:spacing w:val="-2"/>
                <w:lang w:eastAsia="en-US"/>
              </w:rPr>
              <w:t xml:space="preserve"> (2005=100, levá osa)</w:t>
            </w:r>
          </w:p>
        </w:tc>
      </w:tr>
      <w:tr w:rsidR="00D301CA" w:rsidRPr="0002540B" w:rsidTr="00D301CA">
        <w:tc>
          <w:tcPr>
            <w:tcW w:w="2501" w:type="pct"/>
            <w:gridSpan w:val="2"/>
          </w:tcPr>
          <w:p w:rsidR="00D301CA" w:rsidRPr="0002540B" w:rsidRDefault="00F70C35" w:rsidP="00D301CA">
            <w:pPr>
              <w:pStyle w:val="Textpoznpodarou"/>
              <w:jc w:val="both"/>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87.5pt;visibility:visible;mso-wrap-style:square">
                  <v:imagedata r:id="rId8" o:title=""/>
                </v:shape>
              </w:pict>
            </w:r>
          </w:p>
        </w:tc>
        <w:tc>
          <w:tcPr>
            <w:tcW w:w="2499" w:type="pct"/>
            <w:gridSpan w:val="2"/>
          </w:tcPr>
          <w:p w:rsidR="00D301CA" w:rsidRPr="0002540B" w:rsidRDefault="00F70C35" w:rsidP="00D301CA">
            <w:pPr>
              <w:pStyle w:val="Textpoznpodarou"/>
              <w:jc w:val="both"/>
              <w:rPr>
                <w:lang w:eastAsia="en-US"/>
              </w:rPr>
            </w:pPr>
            <w:r>
              <w:rPr>
                <w:noProof/>
              </w:rPr>
              <w:pict>
                <v:shape id="obrázek 3" o:spid="_x0000_i1026" type="#_x0000_t75" style="width:237pt;height:187.5pt;visibility:visible;mso-wrap-style:square">
                  <v:imagedata r:id="rId9" o:title=""/>
                </v:shape>
              </w:pict>
            </w:r>
          </w:p>
        </w:tc>
      </w:tr>
      <w:tr w:rsidR="00D301CA" w:rsidRPr="0002540B" w:rsidTr="00D301CA">
        <w:tc>
          <w:tcPr>
            <w:tcW w:w="5000" w:type="pct"/>
            <w:gridSpan w:val="4"/>
          </w:tcPr>
          <w:p w:rsidR="00D301CA" w:rsidRPr="00D301CA" w:rsidRDefault="00D301CA" w:rsidP="00D301CA">
            <w:pPr>
              <w:pStyle w:val="Textpoznpodarou"/>
              <w:jc w:val="right"/>
              <w:rPr>
                <w:sz w:val="18"/>
                <w:szCs w:val="18"/>
                <w:lang w:eastAsia="en-US"/>
              </w:rPr>
            </w:pPr>
            <w:r w:rsidRPr="00D301CA">
              <w:rPr>
                <w:sz w:val="18"/>
                <w:szCs w:val="18"/>
                <w:lang w:eastAsia="en-US"/>
              </w:rPr>
              <w:t xml:space="preserve">Zdroj: ČSÚ, </w:t>
            </w:r>
            <w:proofErr w:type="spellStart"/>
            <w:r w:rsidRPr="00D301CA">
              <w:rPr>
                <w:sz w:val="18"/>
                <w:szCs w:val="18"/>
                <w:lang w:eastAsia="en-US"/>
              </w:rPr>
              <w:t>Eurostat</w:t>
            </w:r>
            <w:proofErr w:type="spellEnd"/>
          </w:p>
        </w:tc>
      </w:tr>
    </w:tbl>
    <w:p w:rsidR="00D301CA" w:rsidRPr="008A4EE8" w:rsidRDefault="00D301CA" w:rsidP="00D301CA">
      <w:pPr>
        <w:rPr>
          <w:sz w:val="18"/>
          <w:szCs w:val="18"/>
          <w:lang w:eastAsia="ar-SA"/>
        </w:rPr>
      </w:pPr>
    </w:p>
    <w:tbl>
      <w:tblPr>
        <w:tblW w:w="5000" w:type="pct"/>
        <w:tblLook w:val="04A0"/>
      </w:tblPr>
      <w:tblGrid>
        <w:gridCol w:w="630"/>
        <w:gridCol w:w="4287"/>
        <w:gridCol w:w="1008"/>
        <w:gridCol w:w="1395"/>
        <w:gridCol w:w="2534"/>
      </w:tblGrid>
      <w:tr w:rsidR="00D301CA" w:rsidRPr="0002540B" w:rsidTr="00D301CA">
        <w:tc>
          <w:tcPr>
            <w:tcW w:w="319" w:type="pct"/>
          </w:tcPr>
          <w:p w:rsidR="00D301CA" w:rsidRPr="0002540B" w:rsidRDefault="00D301CA" w:rsidP="00D245BA">
            <w:pPr>
              <w:pStyle w:val="Textpoznpodarou"/>
              <w:rPr>
                <w:lang w:eastAsia="en-US"/>
              </w:rPr>
            </w:pPr>
            <w:r w:rsidRPr="0002540B">
              <w:rPr>
                <w:lang w:eastAsia="en-US"/>
              </w:rPr>
              <w:t>Graf č. 3</w:t>
            </w:r>
          </w:p>
        </w:tc>
        <w:tc>
          <w:tcPr>
            <w:tcW w:w="2178" w:type="pct"/>
          </w:tcPr>
          <w:p w:rsidR="00D301CA" w:rsidRPr="00D301CA" w:rsidRDefault="00D301CA" w:rsidP="00D245BA">
            <w:pPr>
              <w:pStyle w:val="Textpoznpodarou"/>
              <w:rPr>
                <w:spacing w:val="-6"/>
                <w:lang w:eastAsia="en-US"/>
              </w:rPr>
            </w:pPr>
            <w:r w:rsidRPr="00D301CA">
              <w:rPr>
                <w:b/>
                <w:spacing w:val="-6"/>
                <w:lang w:eastAsia="en-US"/>
              </w:rPr>
              <w:t>Příspěvky výdajových složek ke změně HDP*</w:t>
            </w:r>
            <w:r w:rsidRPr="00D301CA">
              <w:rPr>
                <w:spacing w:val="-6"/>
                <w:lang w:eastAsia="en-US"/>
              </w:rPr>
              <w:t xml:space="preserve"> (stálé ceny, y/y, příspěvky v </w:t>
            </w:r>
            <w:proofErr w:type="spellStart"/>
            <w:r w:rsidRPr="00D301CA">
              <w:rPr>
                <w:spacing w:val="-6"/>
                <w:lang w:eastAsia="en-US"/>
              </w:rPr>
              <w:t>pb</w:t>
            </w:r>
            <w:proofErr w:type="spellEnd"/>
            <w:r w:rsidRPr="00D301CA">
              <w:rPr>
                <w:spacing w:val="-6"/>
                <w:lang w:eastAsia="en-US"/>
              </w:rPr>
              <w:t>., HDP v %)</w:t>
            </w:r>
          </w:p>
        </w:tc>
        <w:tc>
          <w:tcPr>
            <w:tcW w:w="511" w:type="pct"/>
          </w:tcPr>
          <w:p w:rsidR="00D301CA" w:rsidRPr="0002540B" w:rsidRDefault="00D301CA" w:rsidP="00D245BA">
            <w:pPr>
              <w:pStyle w:val="Textpoznpodarou"/>
              <w:rPr>
                <w:lang w:eastAsia="en-US"/>
              </w:rPr>
            </w:pPr>
            <w:r w:rsidRPr="0002540B">
              <w:rPr>
                <w:lang w:eastAsia="en-US"/>
              </w:rPr>
              <w:t>Graf č. 4</w:t>
            </w:r>
          </w:p>
        </w:tc>
        <w:tc>
          <w:tcPr>
            <w:tcW w:w="1992" w:type="pct"/>
            <w:gridSpan w:val="2"/>
          </w:tcPr>
          <w:p w:rsidR="00D301CA" w:rsidRPr="0002540B" w:rsidRDefault="00D301CA" w:rsidP="00D245BA">
            <w:pPr>
              <w:pStyle w:val="Textpoznpodarou"/>
              <w:rPr>
                <w:lang w:eastAsia="en-US"/>
              </w:rPr>
            </w:pPr>
            <w:r w:rsidRPr="00D301CA">
              <w:rPr>
                <w:b/>
                <w:lang w:eastAsia="en-US"/>
              </w:rPr>
              <w:t>Příspěvky odvětví ke změně HPH</w:t>
            </w:r>
            <w:r w:rsidRPr="0002540B">
              <w:rPr>
                <w:lang w:eastAsia="en-US"/>
              </w:rPr>
              <w:t xml:space="preserve"> (stálé ceny, y/y, příspěvky v </w:t>
            </w:r>
            <w:proofErr w:type="spellStart"/>
            <w:r w:rsidRPr="0002540B">
              <w:rPr>
                <w:lang w:eastAsia="en-US"/>
              </w:rPr>
              <w:t>pb</w:t>
            </w:r>
            <w:proofErr w:type="spellEnd"/>
            <w:r w:rsidRPr="0002540B">
              <w:rPr>
                <w:lang w:eastAsia="en-US"/>
              </w:rPr>
              <w:t>., HPH v %)</w:t>
            </w:r>
          </w:p>
        </w:tc>
      </w:tr>
      <w:tr w:rsidR="00D301CA" w:rsidRPr="0002540B" w:rsidTr="00D301CA">
        <w:tc>
          <w:tcPr>
            <w:tcW w:w="2497" w:type="pct"/>
            <w:gridSpan w:val="2"/>
          </w:tcPr>
          <w:p w:rsidR="00D301CA" w:rsidRPr="00D301CA" w:rsidRDefault="00F70C35" w:rsidP="00D301CA">
            <w:pPr>
              <w:pStyle w:val="Textpoznpodarou"/>
              <w:jc w:val="both"/>
              <w:rPr>
                <w:sz w:val="22"/>
                <w:lang w:eastAsia="en-US"/>
              </w:rPr>
            </w:pPr>
            <w:r w:rsidRPr="00181DBA">
              <w:rPr>
                <w:noProof/>
                <w:sz w:val="22"/>
              </w:rPr>
              <w:pict>
                <v:shape id="obrázek 2" o:spid="_x0000_i1027" type="#_x0000_t75" style="width:237pt;height:187.5pt;visibility:visible;mso-wrap-style:square">
                  <v:imagedata r:id="rId10" o:title=""/>
                </v:shape>
              </w:pict>
            </w:r>
          </w:p>
        </w:tc>
        <w:tc>
          <w:tcPr>
            <w:tcW w:w="2503" w:type="pct"/>
            <w:gridSpan w:val="3"/>
          </w:tcPr>
          <w:p w:rsidR="00D301CA" w:rsidRPr="00D301CA" w:rsidRDefault="00F70C35" w:rsidP="00D301CA">
            <w:pPr>
              <w:pStyle w:val="Textpoznpodarou"/>
              <w:jc w:val="both"/>
              <w:rPr>
                <w:sz w:val="22"/>
                <w:lang w:eastAsia="en-US"/>
              </w:rPr>
            </w:pPr>
            <w:r w:rsidRPr="00181DBA">
              <w:rPr>
                <w:noProof/>
                <w:sz w:val="22"/>
              </w:rPr>
              <w:pict>
                <v:shape id="obrázek 5" o:spid="_x0000_i1028" type="#_x0000_t75" style="width:237.75pt;height:187.5pt;visibility:visible;mso-wrap-style:square">
                  <v:imagedata r:id="rId11" o:title=""/>
                </v:shape>
              </w:pict>
            </w:r>
          </w:p>
        </w:tc>
      </w:tr>
      <w:tr w:rsidR="00D301CA" w:rsidRPr="0002540B" w:rsidTr="00D301CA">
        <w:tc>
          <w:tcPr>
            <w:tcW w:w="3715" w:type="pct"/>
            <w:gridSpan w:val="4"/>
          </w:tcPr>
          <w:p w:rsidR="00D301CA" w:rsidRPr="00D301CA" w:rsidRDefault="00D301CA" w:rsidP="00D245BA">
            <w:pPr>
              <w:pStyle w:val="Textpoznpodarou"/>
              <w:rPr>
                <w:sz w:val="18"/>
                <w:szCs w:val="18"/>
                <w:lang w:eastAsia="en-US"/>
              </w:rPr>
            </w:pPr>
            <w:r w:rsidRPr="00D301CA">
              <w:rPr>
                <w:sz w:val="18"/>
                <w:szCs w:val="18"/>
                <w:lang w:eastAsia="en-US"/>
              </w:rPr>
              <w:t>*příspěvky ke změně HDP bez vyloučení dovozu pro konečné užití</w:t>
            </w:r>
          </w:p>
        </w:tc>
        <w:tc>
          <w:tcPr>
            <w:tcW w:w="1285" w:type="pct"/>
          </w:tcPr>
          <w:p w:rsidR="00D301CA" w:rsidRPr="00D301CA" w:rsidRDefault="00D301CA" w:rsidP="00D301CA">
            <w:pPr>
              <w:pStyle w:val="Textpoznpodarou"/>
              <w:jc w:val="right"/>
              <w:rPr>
                <w:sz w:val="18"/>
                <w:szCs w:val="18"/>
                <w:lang w:eastAsia="en-US"/>
              </w:rPr>
            </w:pPr>
            <w:r w:rsidRPr="00D301CA">
              <w:rPr>
                <w:sz w:val="18"/>
                <w:szCs w:val="18"/>
                <w:lang w:eastAsia="en-US"/>
              </w:rPr>
              <w:t>Zdroj: ČSÚ</w:t>
            </w:r>
          </w:p>
        </w:tc>
      </w:tr>
    </w:tbl>
    <w:p w:rsidR="00D301CA" w:rsidRDefault="00D301CA" w:rsidP="00D301CA">
      <w:pPr>
        <w:rPr>
          <w:lang w:eastAsia="ar-SA"/>
        </w:rPr>
      </w:pPr>
    </w:p>
    <w:sectPr w:rsidR="00D301CA" w:rsidSect="00F70C35">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43" w:rsidRDefault="00707D43" w:rsidP="00E71A58">
      <w:r>
        <w:separator/>
      </w:r>
    </w:p>
  </w:endnote>
  <w:endnote w:type="continuationSeparator" w:id="0">
    <w:p w:rsidR="00707D43" w:rsidRDefault="00707D43"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Default="00181DBA"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707D43" w:rsidRPr="005A21E0">
      <w:rPr>
        <w:rFonts w:ascii="Arial" w:hAnsi="Arial" w:cs="Arial"/>
        <w:sz w:val="16"/>
        <w:szCs w:val="16"/>
      </w:rPr>
      <w:instrText>PAGE   \* MERGEFORMAT</w:instrText>
    </w:r>
    <w:r w:rsidRPr="005A21E0">
      <w:rPr>
        <w:rFonts w:ascii="Arial" w:hAnsi="Arial" w:cs="Arial"/>
        <w:sz w:val="16"/>
        <w:szCs w:val="16"/>
      </w:rPr>
      <w:fldChar w:fldCharType="separate"/>
    </w:r>
    <w:r w:rsidR="00F70C35">
      <w:rPr>
        <w:rFonts w:ascii="Arial" w:hAnsi="Arial" w:cs="Arial"/>
        <w:noProof/>
        <w:sz w:val="16"/>
        <w:szCs w:val="16"/>
      </w:rPr>
      <w:t>6</w:t>
    </w:r>
    <w:r w:rsidRPr="005A21E0">
      <w:rPr>
        <w:rFonts w:ascii="Arial" w:hAnsi="Arial" w:cs="Arial"/>
        <w:sz w:val="16"/>
        <w:szCs w:val="16"/>
      </w:rPr>
      <w:fldChar w:fldCharType="end"/>
    </w:r>
    <w:r w:rsidR="00707D43">
      <w:rPr>
        <w:rFonts w:ascii="Arial" w:hAnsi="Arial" w:cs="Arial"/>
        <w:sz w:val="16"/>
        <w:szCs w:val="16"/>
      </w:rPr>
      <w:tab/>
      <w:t>2015</w:t>
    </w:r>
    <w:r w:rsidR="00707D43">
      <w:tab/>
    </w:r>
    <w:r w:rsidR="00707D43">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Default="00181DBA"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707D43">
      <w:tab/>
    </w:r>
    <w:r w:rsidR="00707D43">
      <w:tab/>
    </w:r>
    <w:r w:rsidR="00707D43" w:rsidRPr="00DC5B3B">
      <w:t xml:space="preserve">                              </w:t>
    </w:r>
  </w:p>
  <w:p w:rsidR="00707D43" w:rsidRPr="00223E00" w:rsidRDefault="00707D4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181DBA"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181DBA" w:rsidRPr="00223E00">
      <w:rPr>
        <w:rFonts w:ascii="Arial" w:hAnsi="Arial" w:cs="Arial"/>
        <w:sz w:val="16"/>
        <w:szCs w:val="16"/>
      </w:rPr>
      <w:fldChar w:fldCharType="separate"/>
    </w:r>
    <w:r w:rsidR="00F70C35">
      <w:rPr>
        <w:rFonts w:ascii="Arial" w:hAnsi="Arial" w:cs="Arial"/>
        <w:noProof/>
        <w:sz w:val="16"/>
        <w:szCs w:val="16"/>
      </w:rPr>
      <w:t>7</w:t>
    </w:r>
    <w:r w:rsidR="00181DBA"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43" w:rsidRDefault="00707D43" w:rsidP="00E71A58">
      <w:r>
        <w:separator/>
      </w:r>
    </w:p>
  </w:footnote>
  <w:footnote w:type="continuationSeparator" w:id="0">
    <w:p w:rsidR="00707D43" w:rsidRDefault="00707D43" w:rsidP="00E71A58">
      <w:r>
        <w:continuationSeparator/>
      </w:r>
    </w:p>
  </w:footnote>
  <w:footnote w:id="1">
    <w:p w:rsidR="00707D43" w:rsidRPr="00E042C9" w:rsidRDefault="00707D43" w:rsidP="00D301CA">
      <w:pPr>
        <w:pStyle w:val="Textpoznpodarou"/>
        <w:jc w:val="both"/>
      </w:pPr>
      <w:r w:rsidRPr="00E042C9">
        <w:rPr>
          <w:rStyle w:val="Znakapoznpodarou"/>
        </w:rPr>
        <w:footnoteRef/>
      </w:r>
      <w:r w:rsidRPr="00E042C9">
        <w:t xml:space="preserve"> </w:t>
      </w:r>
      <w:r w:rsidRPr="00E042C9">
        <w:rPr>
          <w:sz w:val="16"/>
          <w:szCs w:val="16"/>
        </w:rPr>
        <w:t>Pokud není uvedeno jinak, jsou data o HDP a jeho složkách vyjádřena reálně a v očištění o se</w:t>
      </w:r>
      <w:r>
        <w:rPr>
          <w:sz w:val="16"/>
          <w:szCs w:val="16"/>
        </w:rPr>
        <w:t>zónní a kalendářní vlivy. Totéž</w:t>
      </w:r>
      <w:r w:rsidRPr="00E042C9">
        <w:rPr>
          <w:sz w:val="16"/>
          <w:szCs w:val="16"/>
        </w:rPr>
        <w:t xml:space="preserve"> platí i pro hrubou přidanou hodnotu.</w:t>
      </w:r>
    </w:p>
  </w:footnote>
  <w:footnote w:id="2">
    <w:p w:rsidR="00707D43" w:rsidRPr="00B52BAF" w:rsidRDefault="00707D43" w:rsidP="00D301CA">
      <w:pPr>
        <w:pStyle w:val="Textpoznpodarou"/>
        <w:rPr>
          <w:color w:val="FF0000"/>
          <w:sz w:val="16"/>
          <w:szCs w:val="16"/>
        </w:rPr>
      </w:pPr>
      <w:r w:rsidRPr="00E042C9">
        <w:rPr>
          <w:rStyle w:val="Znakapoznpodarou"/>
        </w:rPr>
        <w:footnoteRef/>
      </w:r>
      <w:r w:rsidRPr="00E042C9">
        <w:rPr>
          <w:sz w:val="16"/>
          <w:szCs w:val="16"/>
        </w:rPr>
        <w:t xml:space="preserve"> Příspěvky ke změně HDP bez vyloučení dovozu</w:t>
      </w:r>
      <w:r>
        <w:rPr>
          <w:sz w:val="16"/>
          <w:szCs w:val="16"/>
        </w:rPr>
        <w:t xml:space="preserve"> </w:t>
      </w:r>
      <w:r w:rsidRPr="00E042C9">
        <w:rPr>
          <w:sz w:val="16"/>
          <w:szCs w:val="16"/>
        </w:rPr>
        <w:t>pro konečné užití.</w:t>
      </w:r>
    </w:p>
  </w:footnote>
  <w:footnote w:id="3">
    <w:p w:rsidR="00707D43" w:rsidRPr="00EB2C4A" w:rsidRDefault="00707D43" w:rsidP="00D301CA">
      <w:pPr>
        <w:pStyle w:val="Textpoznpodarou"/>
        <w:rPr>
          <w:spacing w:val="-2"/>
        </w:rPr>
      </w:pPr>
      <w:r w:rsidRPr="00EB2C4A">
        <w:rPr>
          <w:rStyle w:val="Znakapoznpodarou"/>
          <w:spacing w:val="-2"/>
        </w:rPr>
        <w:footnoteRef/>
      </w:r>
      <w:r w:rsidRPr="00EB2C4A">
        <w:rPr>
          <w:spacing w:val="-2"/>
        </w:rPr>
        <w:t xml:space="preserve"> </w:t>
      </w:r>
      <w:r w:rsidRPr="00EB2C4A">
        <w:rPr>
          <w:spacing w:val="-2"/>
          <w:sz w:val="16"/>
          <w:szCs w:val="16"/>
        </w:rPr>
        <w:t>Jde o údaje bez očištění o sezónní a kalendářní vlivy v tzv. domácím pojetí, které zachycuje výdaje rezidentů a nerezidentů na území ČR.</w:t>
      </w:r>
    </w:p>
  </w:footnote>
  <w:footnote w:id="4">
    <w:p w:rsidR="00707D43" w:rsidRDefault="00707D43" w:rsidP="00D301CA">
      <w:pPr>
        <w:pStyle w:val="Textpoznpodarou"/>
      </w:pPr>
      <w:r w:rsidRPr="00EB2C4A">
        <w:rPr>
          <w:rStyle w:val="Znakapoznpodarou"/>
        </w:rPr>
        <w:footnoteRef/>
      </w:r>
      <w:r w:rsidRPr="00EB2C4A">
        <w:t xml:space="preserve"> </w:t>
      </w:r>
      <w:r w:rsidRPr="00EB2C4A">
        <w:rPr>
          <w:sz w:val="16"/>
          <w:szCs w:val="16"/>
        </w:rPr>
        <w:t xml:space="preserve">Věcné členění investic. </w:t>
      </w:r>
      <w:r w:rsidRPr="00EB2C4A">
        <w:rPr>
          <w:spacing w:val="-2"/>
          <w:sz w:val="16"/>
          <w:szCs w:val="16"/>
        </w:rPr>
        <w:t>Údaje jsou bez očištění o sezónní a kalendářní vlivy.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D766EF" w:rsidRDefault="00707D43"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3" w:rsidRPr="00D766EF" w:rsidRDefault="00707D43"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pololetí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3687"/>
    <w:rsid w:val="00003C43"/>
    <w:rsid w:val="00007498"/>
    <w:rsid w:val="0000767A"/>
    <w:rsid w:val="000101F5"/>
    <w:rsid w:val="000104B9"/>
    <w:rsid w:val="00010702"/>
    <w:rsid w:val="00011191"/>
    <w:rsid w:val="0001159B"/>
    <w:rsid w:val="00012986"/>
    <w:rsid w:val="0001573E"/>
    <w:rsid w:val="00017F05"/>
    <w:rsid w:val="000202C6"/>
    <w:rsid w:val="00020946"/>
    <w:rsid w:val="00024887"/>
    <w:rsid w:val="00024CBA"/>
    <w:rsid w:val="00025501"/>
    <w:rsid w:val="00026998"/>
    <w:rsid w:val="0003066A"/>
    <w:rsid w:val="00032838"/>
    <w:rsid w:val="00032C12"/>
    <w:rsid w:val="00035FC6"/>
    <w:rsid w:val="00037667"/>
    <w:rsid w:val="000411E1"/>
    <w:rsid w:val="00043E05"/>
    <w:rsid w:val="0004694F"/>
    <w:rsid w:val="000500DC"/>
    <w:rsid w:val="00052172"/>
    <w:rsid w:val="00055059"/>
    <w:rsid w:val="000553E4"/>
    <w:rsid w:val="00062EC5"/>
    <w:rsid w:val="00064256"/>
    <w:rsid w:val="000706A4"/>
    <w:rsid w:val="00072118"/>
    <w:rsid w:val="00073173"/>
    <w:rsid w:val="000779AC"/>
    <w:rsid w:val="00083803"/>
    <w:rsid w:val="0008716A"/>
    <w:rsid w:val="00087634"/>
    <w:rsid w:val="00091237"/>
    <w:rsid w:val="0009191B"/>
    <w:rsid w:val="000920EC"/>
    <w:rsid w:val="00092208"/>
    <w:rsid w:val="00092505"/>
    <w:rsid w:val="00097D02"/>
    <w:rsid w:val="000A1183"/>
    <w:rsid w:val="000A2121"/>
    <w:rsid w:val="000A2484"/>
    <w:rsid w:val="000B1CFE"/>
    <w:rsid w:val="000B210A"/>
    <w:rsid w:val="000B249B"/>
    <w:rsid w:val="000B3DB9"/>
    <w:rsid w:val="000B3F02"/>
    <w:rsid w:val="000B48E7"/>
    <w:rsid w:val="000B7663"/>
    <w:rsid w:val="000C11D3"/>
    <w:rsid w:val="000C12F5"/>
    <w:rsid w:val="000C3408"/>
    <w:rsid w:val="000D0D51"/>
    <w:rsid w:val="000D14B3"/>
    <w:rsid w:val="000D208B"/>
    <w:rsid w:val="000D2B8D"/>
    <w:rsid w:val="000D2E41"/>
    <w:rsid w:val="000D5E7A"/>
    <w:rsid w:val="000D5FAA"/>
    <w:rsid w:val="000D65A4"/>
    <w:rsid w:val="000D6AEF"/>
    <w:rsid w:val="000E025B"/>
    <w:rsid w:val="000E153A"/>
    <w:rsid w:val="000E19A8"/>
    <w:rsid w:val="000E4A42"/>
    <w:rsid w:val="000E6476"/>
    <w:rsid w:val="000E78D2"/>
    <w:rsid w:val="000F3332"/>
    <w:rsid w:val="000F33EE"/>
    <w:rsid w:val="000F401E"/>
    <w:rsid w:val="000F5445"/>
    <w:rsid w:val="000F67B2"/>
    <w:rsid w:val="000F790F"/>
    <w:rsid w:val="000F7E1B"/>
    <w:rsid w:val="00100014"/>
    <w:rsid w:val="0010039A"/>
    <w:rsid w:val="00101FB2"/>
    <w:rsid w:val="00102F02"/>
    <w:rsid w:val="001041B6"/>
    <w:rsid w:val="001070EA"/>
    <w:rsid w:val="0011002A"/>
    <w:rsid w:val="0011110A"/>
    <w:rsid w:val="001118AF"/>
    <w:rsid w:val="0011256E"/>
    <w:rsid w:val="0011352E"/>
    <w:rsid w:val="00116DB9"/>
    <w:rsid w:val="00116F28"/>
    <w:rsid w:val="00121C39"/>
    <w:rsid w:val="00123255"/>
    <w:rsid w:val="00124D2D"/>
    <w:rsid w:val="001307BE"/>
    <w:rsid w:val="00130C8F"/>
    <w:rsid w:val="001314F2"/>
    <w:rsid w:val="001317DA"/>
    <w:rsid w:val="001323BA"/>
    <w:rsid w:val="0013254D"/>
    <w:rsid w:val="00133AAC"/>
    <w:rsid w:val="00136561"/>
    <w:rsid w:val="001400E1"/>
    <w:rsid w:val="001405FA"/>
    <w:rsid w:val="001413B3"/>
    <w:rsid w:val="001425C3"/>
    <w:rsid w:val="00142F16"/>
    <w:rsid w:val="00143E03"/>
    <w:rsid w:val="00143E93"/>
    <w:rsid w:val="00151AC0"/>
    <w:rsid w:val="00152046"/>
    <w:rsid w:val="00154147"/>
    <w:rsid w:val="00156318"/>
    <w:rsid w:val="0015639A"/>
    <w:rsid w:val="0016081D"/>
    <w:rsid w:val="00160CF3"/>
    <w:rsid w:val="001620FA"/>
    <w:rsid w:val="00162853"/>
    <w:rsid w:val="00163793"/>
    <w:rsid w:val="001707DE"/>
    <w:rsid w:val="00170B04"/>
    <w:rsid w:val="00170F47"/>
    <w:rsid w:val="001714F2"/>
    <w:rsid w:val="00173642"/>
    <w:rsid w:val="00174CE8"/>
    <w:rsid w:val="00176050"/>
    <w:rsid w:val="001764D8"/>
    <w:rsid w:val="00176A8F"/>
    <w:rsid w:val="00180D58"/>
    <w:rsid w:val="00181DBA"/>
    <w:rsid w:val="00182981"/>
    <w:rsid w:val="00184CF9"/>
    <w:rsid w:val="00185010"/>
    <w:rsid w:val="001852EC"/>
    <w:rsid w:val="001874CF"/>
    <w:rsid w:val="00190D9B"/>
    <w:rsid w:val="00191BAE"/>
    <w:rsid w:val="00193432"/>
    <w:rsid w:val="00195444"/>
    <w:rsid w:val="001A2BDB"/>
    <w:rsid w:val="001A30F4"/>
    <w:rsid w:val="001A552F"/>
    <w:rsid w:val="001A56F3"/>
    <w:rsid w:val="001A750C"/>
    <w:rsid w:val="001B1D89"/>
    <w:rsid w:val="001B3110"/>
    <w:rsid w:val="001B44BC"/>
    <w:rsid w:val="001B6545"/>
    <w:rsid w:val="001B681B"/>
    <w:rsid w:val="001B6A49"/>
    <w:rsid w:val="001B74FB"/>
    <w:rsid w:val="001B77A1"/>
    <w:rsid w:val="001C0422"/>
    <w:rsid w:val="001C0E0E"/>
    <w:rsid w:val="001C1219"/>
    <w:rsid w:val="001C357A"/>
    <w:rsid w:val="001C3A37"/>
    <w:rsid w:val="001C4384"/>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205F2"/>
    <w:rsid w:val="0022080E"/>
    <w:rsid w:val="0022139E"/>
    <w:rsid w:val="0022272B"/>
    <w:rsid w:val="00222A99"/>
    <w:rsid w:val="00223678"/>
    <w:rsid w:val="00223E00"/>
    <w:rsid w:val="002252E0"/>
    <w:rsid w:val="002255F6"/>
    <w:rsid w:val="00226466"/>
    <w:rsid w:val="002266D0"/>
    <w:rsid w:val="00230DAD"/>
    <w:rsid w:val="0023229C"/>
    <w:rsid w:val="00234280"/>
    <w:rsid w:val="00235000"/>
    <w:rsid w:val="002350E3"/>
    <w:rsid w:val="00236443"/>
    <w:rsid w:val="00240A5B"/>
    <w:rsid w:val="002436BA"/>
    <w:rsid w:val="002444ED"/>
    <w:rsid w:val="00244A15"/>
    <w:rsid w:val="00244D40"/>
    <w:rsid w:val="00246AE9"/>
    <w:rsid w:val="0024799E"/>
    <w:rsid w:val="00250C59"/>
    <w:rsid w:val="00251D59"/>
    <w:rsid w:val="00252602"/>
    <w:rsid w:val="00252FDC"/>
    <w:rsid w:val="00261E5B"/>
    <w:rsid w:val="00263470"/>
    <w:rsid w:val="00263733"/>
    <w:rsid w:val="00264676"/>
    <w:rsid w:val="00265536"/>
    <w:rsid w:val="00265E54"/>
    <w:rsid w:val="00266F3E"/>
    <w:rsid w:val="00272464"/>
    <w:rsid w:val="00273DCD"/>
    <w:rsid w:val="00274291"/>
    <w:rsid w:val="00276CFE"/>
    <w:rsid w:val="00277071"/>
    <w:rsid w:val="0027786C"/>
    <w:rsid w:val="00277BF7"/>
    <w:rsid w:val="00281416"/>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544"/>
    <w:rsid w:val="002B36C8"/>
    <w:rsid w:val="002B7240"/>
    <w:rsid w:val="002C2668"/>
    <w:rsid w:val="002C43BD"/>
    <w:rsid w:val="002C5261"/>
    <w:rsid w:val="002C6091"/>
    <w:rsid w:val="002D0562"/>
    <w:rsid w:val="002D1B5A"/>
    <w:rsid w:val="002D3F00"/>
    <w:rsid w:val="002D4D59"/>
    <w:rsid w:val="002D54BF"/>
    <w:rsid w:val="002D5E94"/>
    <w:rsid w:val="002D632D"/>
    <w:rsid w:val="002E02A1"/>
    <w:rsid w:val="002E0982"/>
    <w:rsid w:val="002E0DB9"/>
    <w:rsid w:val="002E2CE4"/>
    <w:rsid w:val="002F33FB"/>
    <w:rsid w:val="002F7594"/>
    <w:rsid w:val="00301357"/>
    <w:rsid w:val="00301D04"/>
    <w:rsid w:val="00304771"/>
    <w:rsid w:val="00305736"/>
    <w:rsid w:val="00306C5B"/>
    <w:rsid w:val="00306E3B"/>
    <w:rsid w:val="00312C3D"/>
    <w:rsid w:val="00314331"/>
    <w:rsid w:val="00317E31"/>
    <w:rsid w:val="00320214"/>
    <w:rsid w:val="003209D6"/>
    <w:rsid w:val="0032109A"/>
    <w:rsid w:val="0032214F"/>
    <w:rsid w:val="00322164"/>
    <w:rsid w:val="0032513D"/>
    <w:rsid w:val="00326251"/>
    <w:rsid w:val="00327DEE"/>
    <w:rsid w:val="003329F3"/>
    <w:rsid w:val="0033352E"/>
    <w:rsid w:val="00333690"/>
    <w:rsid w:val="00333D20"/>
    <w:rsid w:val="003340EF"/>
    <w:rsid w:val="00334A49"/>
    <w:rsid w:val="00335BB0"/>
    <w:rsid w:val="0033627B"/>
    <w:rsid w:val="003406BD"/>
    <w:rsid w:val="00343F84"/>
    <w:rsid w:val="00344135"/>
    <w:rsid w:val="00351B63"/>
    <w:rsid w:val="00352E57"/>
    <w:rsid w:val="003541B0"/>
    <w:rsid w:val="00355885"/>
    <w:rsid w:val="0035605E"/>
    <w:rsid w:val="00357449"/>
    <w:rsid w:val="0036238B"/>
    <w:rsid w:val="00365680"/>
    <w:rsid w:val="003657F3"/>
    <w:rsid w:val="00367038"/>
    <w:rsid w:val="0037144E"/>
    <w:rsid w:val="003736B5"/>
    <w:rsid w:val="00374F1E"/>
    <w:rsid w:val="00376DEC"/>
    <w:rsid w:val="00380E04"/>
    <w:rsid w:val="00383227"/>
    <w:rsid w:val="00384D8F"/>
    <w:rsid w:val="00385D98"/>
    <w:rsid w:val="00385EC5"/>
    <w:rsid w:val="0039066E"/>
    <w:rsid w:val="00391C95"/>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852"/>
    <w:rsid w:val="003C601E"/>
    <w:rsid w:val="003D3600"/>
    <w:rsid w:val="003D3825"/>
    <w:rsid w:val="003D3EC4"/>
    <w:rsid w:val="003D4760"/>
    <w:rsid w:val="003D49DC"/>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273A"/>
    <w:rsid w:val="00402C25"/>
    <w:rsid w:val="004050D7"/>
    <w:rsid w:val="004078BD"/>
    <w:rsid w:val="00410132"/>
    <w:rsid w:val="00410BCD"/>
    <w:rsid w:val="0041175D"/>
    <w:rsid w:val="004123BE"/>
    <w:rsid w:val="00414CE5"/>
    <w:rsid w:val="00416673"/>
    <w:rsid w:val="0042160D"/>
    <w:rsid w:val="0042681B"/>
    <w:rsid w:val="0043068A"/>
    <w:rsid w:val="004306E0"/>
    <w:rsid w:val="004329BE"/>
    <w:rsid w:val="00432C38"/>
    <w:rsid w:val="00437C76"/>
    <w:rsid w:val="004441A0"/>
    <w:rsid w:val="00444268"/>
    <w:rsid w:val="004443BF"/>
    <w:rsid w:val="00444C19"/>
    <w:rsid w:val="00446892"/>
    <w:rsid w:val="00450C30"/>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139F"/>
    <w:rsid w:val="00483053"/>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7B5"/>
    <w:rsid w:val="004C5C25"/>
    <w:rsid w:val="004C6717"/>
    <w:rsid w:val="004C6CFF"/>
    <w:rsid w:val="004C70DC"/>
    <w:rsid w:val="004C7268"/>
    <w:rsid w:val="004D0211"/>
    <w:rsid w:val="004D1C9C"/>
    <w:rsid w:val="004D504B"/>
    <w:rsid w:val="004D536E"/>
    <w:rsid w:val="004E1839"/>
    <w:rsid w:val="004E4A75"/>
    <w:rsid w:val="004E541A"/>
    <w:rsid w:val="004E5A5C"/>
    <w:rsid w:val="004E76D6"/>
    <w:rsid w:val="004F06F5"/>
    <w:rsid w:val="004F191F"/>
    <w:rsid w:val="004F2A73"/>
    <w:rsid w:val="004F33A0"/>
    <w:rsid w:val="004F4353"/>
    <w:rsid w:val="004F447D"/>
    <w:rsid w:val="004F4C28"/>
    <w:rsid w:val="004F5CC5"/>
    <w:rsid w:val="00507040"/>
    <w:rsid w:val="005079F8"/>
    <w:rsid w:val="00510189"/>
    <w:rsid w:val="005108C0"/>
    <w:rsid w:val="00511873"/>
    <w:rsid w:val="00513B7E"/>
    <w:rsid w:val="00514474"/>
    <w:rsid w:val="005215EF"/>
    <w:rsid w:val="00524637"/>
    <w:rsid w:val="00525137"/>
    <w:rsid w:val="005251DD"/>
    <w:rsid w:val="0053017A"/>
    <w:rsid w:val="00530492"/>
    <w:rsid w:val="00532854"/>
    <w:rsid w:val="005350F2"/>
    <w:rsid w:val="00535152"/>
    <w:rsid w:val="00535359"/>
    <w:rsid w:val="005357A2"/>
    <w:rsid w:val="00535D87"/>
    <w:rsid w:val="00535EF0"/>
    <w:rsid w:val="0053734B"/>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7500"/>
    <w:rsid w:val="005B1BDB"/>
    <w:rsid w:val="005B2BAA"/>
    <w:rsid w:val="005B2D53"/>
    <w:rsid w:val="005B3247"/>
    <w:rsid w:val="005B3409"/>
    <w:rsid w:val="005B7B12"/>
    <w:rsid w:val="005C16CB"/>
    <w:rsid w:val="005C3F9F"/>
    <w:rsid w:val="005C4A23"/>
    <w:rsid w:val="005C6400"/>
    <w:rsid w:val="005C7F1E"/>
    <w:rsid w:val="005D374F"/>
    <w:rsid w:val="005D5802"/>
    <w:rsid w:val="005D6CFC"/>
    <w:rsid w:val="005D73E2"/>
    <w:rsid w:val="005E1E4B"/>
    <w:rsid w:val="005E362D"/>
    <w:rsid w:val="005E492C"/>
    <w:rsid w:val="005E4BAA"/>
    <w:rsid w:val="005E52EF"/>
    <w:rsid w:val="005E5B56"/>
    <w:rsid w:val="005E6088"/>
    <w:rsid w:val="005E61DF"/>
    <w:rsid w:val="005E6B78"/>
    <w:rsid w:val="005F4057"/>
    <w:rsid w:val="005F4088"/>
    <w:rsid w:val="005F6119"/>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1575"/>
    <w:rsid w:val="006215FC"/>
    <w:rsid w:val="00624093"/>
    <w:rsid w:val="00630F66"/>
    <w:rsid w:val="00631FC2"/>
    <w:rsid w:val="00632171"/>
    <w:rsid w:val="0063332A"/>
    <w:rsid w:val="006347F9"/>
    <w:rsid w:val="00634C90"/>
    <w:rsid w:val="00635E79"/>
    <w:rsid w:val="00636E5E"/>
    <w:rsid w:val="006404A7"/>
    <w:rsid w:val="006407F3"/>
    <w:rsid w:val="00644DFC"/>
    <w:rsid w:val="006451E4"/>
    <w:rsid w:val="006460B8"/>
    <w:rsid w:val="006520C7"/>
    <w:rsid w:val="006530B8"/>
    <w:rsid w:val="006535D6"/>
    <w:rsid w:val="006572ED"/>
    <w:rsid w:val="00657E87"/>
    <w:rsid w:val="00660457"/>
    <w:rsid w:val="00660E1E"/>
    <w:rsid w:val="006637B1"/>
    <w:rsid w:val="00665D67"/>
    <w:rsid w:val="00665D77"/>
    <w:rsid w:val="006660CD"/>
    <w:rsid w:val="00666F4B"/>
    <w:rsid w:val="006676D0"/>
    <w:rsid w:val="00670FAC"/>
    <w:rsid w:val="006710C9"/>
    <w:rsid w:val="00675E37"/>
    <w:rsid w:val="00676F11"/>
    <w:rsid w:val="00680079"/>
    <w:rsid w:val="00680F68"/>
    <w:rsid w:val="0068260E"/>
    <w:rsid w:val="0068373D"/>
    <w:rsid w:val="00683BFE"/>
    <w:rsid w:val="006857DF"/>
    <w:rsid w:val="00685E66"/>
    <w:rsid w:val="00686B72"/>
    <w:rsid w:val="00686BF1"/>
    <w:rsid w:val="00690A09"/>
    <w:rsid w:val="00693FEA"/>
    <w:rsid w:val="00694930"/>
    <w:rsid w:val="00695170"/>
    <w:rsid w:val="00695BEF"/>
    <w:rsid w:val="006960D6"/>
    <w:rsid w:val="00696AA5"/>
    <w:rsid w:val="006977F6"/>
    <w:rsid w:val="00697A13"/>
    <w:rsid w:val="006A109C"/>
    <w:rsid w:val="006A3CF3"/>
    <w:rsid w:val="006A672B"/>
    <w:rsid w:val="006B3F8A"/>
    <w:rsid w:val="006B5CA3"/>
    <w:rsid w:val="006B6B3B"/>
    <w:rsid w:val="006B7714"/>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B6C"/>
    <w:rsid w:val="007047D5"/>
    <w:rsid w:val="00705D98"/>
    <w:rsid w:val="00707891"/>
    <w:rsid w:val="00707D43"/>
    <w:rsid w:val="00711EF1"/>
    <w:rsid w:val="0071229A"/>
    <w:rsid w:val="00712572"/>
    <w:rsid w:val="00713495"/>
    <w:rsid w:val="00720FA2"/>
    <w:rsid w:val="007211F5"/>
    <w:rsid w:val="00724666"/>
    <w:rsid w:val="00726043"/>
    <w:rsid w:val="0072704A"/>
    <w:rsid w:val="00730AE8"/>
    <w:rsid w:val="00731963"/>
    <w:rsid w:val="00734321"/>
    <w:rsid w:val="00740310"/>
    <w:rsid w:val="00740652"/>
    <w:rsid w:val="00740F02"/>
    <w:rsid w:val="00740FEC"/>
    <w:rsid w:val="0074132E"/>
    <w:rsid w:val="00741493"/>
    <w:rsid w:val="007426B3"/>
    <w:rsid w:val="007426FD"/>
    <w:rsid w:val="0074329D"/>
    <w:rsid w:val="00744376"/>
    <w:rsid w:val="007449EA"/>
    <w:rsid w:val="00746DD9"/>
    <w:rsid w:val="0075057A"/>
    <w:rsid w:val="00751771"/>
    <w:rsid w:val="00751C1C"/>
    <w:rsid w:val="00752180"/>
    <w:rsid w:val="007521A1"/>
    <w:rsid w:val="0075315D"/>
    <w:rsid w:val="007538F9"/>
    <w:rsid w:val="00754253"/>
    <w:rsid w:val="007558D3"/>
    <w:rsid w:val="007559D7"/>
    <w:rsid w:val="00755D3A"/>
    <w:rsid w:val="00760141"/>
    <w:rsid w:val="007609C6"/>
    <w:rsid w:val="007610A0"/>
    <w:rsid w:val="007620F2"/>
    <w:rsid w:val="00762EBA"/>
    <w:rsid w:val="0076359D"/>
    <w:rsid w:val="00772536"/>
    <w:rsid w:val="00773613"/>
    <w:rsid w:val="00774782"/>
    <w:rsid w:val="00776527"/>
    <w:rsid w:val="0078113E"/>
    <w:rsid w:val="00781834"/>
    <w:rsid w:val="007821DB"/>
    <w:rsid w:val="00782818"/>
    <w:rsid w:val="00784C4A"/>
    <w:rsid w:val="00787432"/>
    <w:rsid w:val="00787507"/>
    <w:rsid w:val="007879F2"/>
    <w:rsid w:val="00791CF8"/>
    <w:rsid w:val="00792262"/>
    <w:rsid w:val="00793387"/>
    <w:rsid w:val="00793BAE"/>
    <w:rsid w:val="00794E0A"/>
    <w:rsid w:val="00796642"/>
    <w:rsid w:val="007A11D9"/>
    <w:rsid w:val="007A327B"/>
    <w:rsid w:val="007A4606"/>
    <w:rsid w:val="007B1966"/>
    <w:rsid w:val="007B3DCC"/>
    <w:rsid w:val="007B4518"/>
    <w:rsid w:val="007B5031"/>
    <w:rsid w:val="007B573F"/>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78C2"/>
    <w:rsid w:val="008178CF"/>
    <w:rsid w:val="00817C98"/>
    <w:rsid w:val="00820C9F"/>
    <w:rsid w:val="00821FF6"/>
    <w:rsid w:val="00823AAF"/>
    <w:rsid w:val="00824081"/>
    <w:rsid w:val="0082409A"/>
    <w:rsid w:val="00827181"/>
    <w:rsid w:val="00827746"/>
    <w:rsid w:val="0083143E"/>
    <w:rsid w:val="0083159D"/>
    <w:rsid w:val="00832187"/>
    <w:rsid w:val="008336D8"/>
    <w:rsid w:val="008339C4"/>
    <w:rsid w:val="00834F0A"/>
    <w:rsid w:val="00834FAA"/>
    <w:rsid w:val="00836086"/>
    <w:rsid w:val="00841D9F"/>
    <w:rsid w:val="00842604"/>
    <w:rsid w:val="00843ECF"/>
    <w:rsid w:val="00846673"/>
    <w:rsid w:val="0085281A"/>
    <w:rsid w:val="008559FE"/>
    <w:rsid w:val="00857339"/>
    <w:rsid w:val="00862A7A"/>
    <w:rsid w:val="00863D9E"/>
    <w:rsid w:val="008642AF"/>
    <w:rsid w:val="00867E29"/>
    <w:rsid w:val="00870F2B"/>
    <w:rsid w:val="008746E6"/>
    <w:rsid w:val="00876086"/>
    <w:rsid w:val="008768D6"/>
    <w:rsid w:val="008775D1"/>
    <w:rsid w:val="008777BB"/>
    <w:rsid w:val="00877D68"/>
    <w:rsid w:val="00877E5D"/>
    <w:rsid w:val="0088733A"/>
    <w:rsid w:val="00891BE0"/>
    <w:rsid w:val="00893302"/>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E88"/>
    <w:rsid w:val="008C1AA8"/>
    <w:rsid w:val="008C22A8"/>
    <w:rsid w:val="008C63FD"/>
    <w:rsid w:val="008C6CB8"/>
    <w:rsid w:val="008C7815"/>
    <w:rsid w:val="008C7A07"/>
    <w:rsid w:val="008D0171"/>
    <w:rsid w:val="008D2A16"/>
    <w:rsid w:val="008D2ECF"/>
    <w:rsid w:val="008D3F3D"/>
    <w:rsid w:val="008E31FF"/>
    <w:rsid w:val="008E5DE6"/>
    <w:rsid w:val="008E6113"/>
    <w:rsid w:val="008E6AB3"/>
    <w:rsid w:val="008E6AD3"/>
    <w:rsid w:val="008E71A6"/>
    <w:rsid w:val="008E77B6"/>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7709"/>
    <w:rsid w:val="00917918"/>
    <w:rsid w:val="00921F14"/>
    <w:rsid w:val="00923750"/>
    <w:rsid w:val="009243A5"/>
    <w:rsid w:val="009250D2"/>
    <w:rsid w:val="00926283"/>
    <w:rsid w:val="00937B11"/>
    <w:rsid w:val="00940F1F"/>
    <w:rsid w:val="00941250"/>
    <w:rsid w:val="0094427A"/>
    <w:rsid w:val="009459C5"/>
    <w:rsid w:val="0094626C"/>
    <w:rsid w:val="0095013A"/>
    <w:rsid w:val="00953AEF"/>
    <w:rsid w:val="009551E2"/>
    <w:rsid w:val="00955783"/>
    <w:rsid w:val="00955E5F"/>
    <w:rsid w:val="009560B0"/>
    <w:rsid w:val="00957871"/>
    <w:rsid w:val="00964498"/>
    <w:rsid w:val="009663EB"/>
    <w:rsid w:val="0096650F"/>
    <w:rsid w:val="009700DB"/>
    <w:rsid w:val="00972263"/>
    <w:rsid w:val="00972D8D"/>
    <w:rsid w:val="00973AAE"/>
    <w:rsid w:val="0097476C"/>
    <w:rsid w:val="00974923"/>
    <w:rsid w:val="00974D48"/>
    <w:rsid w:val="00974D5F"/>
    <w:rsid w:val="00975017"/>
    <w:rsid w:val="009759DF"/>
    <w:rsid w:val="00980621"/>
    <w:rsid w:val="00982072"/>
    <w:rsid w:val="00983ECF"/>
    <w:rsid w:val="00986745"/>
    <w:rsid w:val="00987109"/>
    <w:rsid w:val="00987309"/>
    <w:rsid w:val="0099012D"/>
    <w:rsid w:val="009954FF"/>
    <w:rsid w:val="00996355"/>
    <w:rsid w:val="009A2014"/>
    <w:rsid w:val="009A4E12"/>
    <w:rsid w:val="009A5C68"/>
    <w:rsid w:val="009B04D0"/>
    <w:rsid w:val="009B052C"/>
    <w:rsid w:val="009B0EF2"/>
    <w:rsid w:val="009B23A3"/>
    <w:rsid w:val="009B4925"/>
    <w:rsid w:val="009B4B4B"/>
    <w:rsid w:val="009B6FD3"/>
    <w:rsid w:val="009B70BD"/>
    <w:rsid w:val="009C07A5"/>
    <w:rsid w:val="009C7388"/>
    <w:rsid w:val="009D1551"/>
    <w:rsid w:val="009D2859"/>
    <w:rsid w:val="009D4173"/>
    <w:rsid w:val="009D6095"/>
    <w:rsid w:val="009D6306"/>
    <w:rsid w:val="009E048A"/>
    <w:rsid w:val="009E1FBA"/>
    <w:rsid w:val="009E2C54"/>
    <w:rsid w:val="009E3710"/>
    <w:rsid w:val="009E7B1F"/>
    <w:rsid w:val="009F41C4"/>
    <w:rsid w:val="009F5846"/>
    <w:rsid w:val="009F7D77"/>
    <w:rsid w:val="00A10D66"/>
    <w:rsid w:val="00A1420C"/>
    <w:rsid w:val="00A14821"/>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24F8"/>
    <w:rsid w:val="00A437B7"/>
    <w:rsid w:val="00A46DE0"/>
    <w:rsid w:val="00A4778A"/>
    <w:rsid w:val="00A5067F"/>
    <w:rsid w:val="00A55301"/>
    <w:rsid w:val="00A57B3C"/>
    <w:rsid w:val="00A6128E"/>
    <w:rsid w:val="00A62CE1"/>
    <w:rsid w:val="00A631FA"/>
    <w:rsid w:val="00A64203"/>
    <w:rsid w:val="00A64348"/>
    <w:rsid w:val="00A721FB"/>
    <w:rsid w:val="00A727BA"/>
    <w:rsid w:val="00A72D4B"/>
    <w:rsid w:val="00A732AE"/>
    <w:rsid w:val="00A75E4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440B"/>
    <w:rsid w:val="00AB47E3"/>
    <w:rsid w:val="00AB74C5"/>
    <w:rsid w:val="00AB7DF2"/>
    <w:rsid w:val="00AC1E3F"/>
    <w:rsid w:val="00AC4F18"/>
    <w:rsid w:val="00AD0B46"/>
    <w:rsid w:val="00AD1094"/>
    <w:rsid w:val="00AD2565"/>
    <w:rsid w:val="00AD306C"/>
    <w:rsid w:val="00AD3424"/>
    <w:rsid w:val="00AD50D1"/>
    <w:rsid w:val="00AD59BB"/>
    <w:rsid w:val="00AD5D68"/>
    <w:rsid w:val="00AD6C73"/>
    <w:rsid w:val="00AE06D0"/>
    <w:rsid w:val="00AE39DC"/>
    <w:rsid w:val="00AE3CDA"/>
    <w:rsid w:val="00AE7968"/>
    <w:rsid w:val="00AF128B"/>
    <w:rsid w:val="00AF1AEA"/>
    <w:rsid w:val="00AF2852"/>
    <w:rsid w:val="00AF3225"/>
    <w:rsid w:val="00AF518B"/>
    <w:rsid w:val="00AF5275"/>
    <w:rsid w:val="00AF6367"/>
    <w:rsid w:val="00AF6A79"/>
    <w:rsid w:val="00AF724E"/>
    <w:rsid w:val="00AF73A9"/>
    <w:rsid w:val="00B01C2C"/>
    <w:rsid w:val="00B0231C"/>
    <w:rsid w:val="00B15DCD"/>
    <w:rsid w:val="00B17E71"/>
    <w:rsid w:val="00B17FDE"/>
    <w:rsid w:val="00B208FC"/>
    <w:rsid w:val="00B20C65"/>
    <w:rsid w:val="00B22E17"/>
    <w:rsid w:val="00B27293"/>
    <w:rsid w:val="00B3229E"/>
    <w:rsid w:val="00B32DDB"/>
    <w:rsid w:val="00B35174"/>
    <w:rsid w:val="00B35BEA"/>
    <w:rsid w:val="00B3793D"/>
    <w:rsid w:val="00B41BE6"/>
    <w:rsid w:val="00B457E7"/>
    <w:rsid w:val="00B45D1B"/>
    <w:rsid w:val="00B46D25"/>
    <w:rsid w:val="00B47430"/>
    <w:rsid w:val="00B52D2D"/>
    <w:rsid w:val="00B55BA8"/>
    <w:rsid w:val="00B55F15"/>
    <w:rsid w:val="00B561A6"/>
    <w:rsid w:val="00B60062"/>
    <w:rsid w:val="00B62960"/>
    <w:rsid w:val="00B63A11"/>
    <w:rsid w:val="00B63FD0"/>
    <w:rsid w:val="00B65C84"/>
    <w:rsid w:val="00B6608F"/>
    <w:rsid w:val="00B74317"/>
    <w:rsid w:val="00B76D1E"/>
    <w:rsid w:val="00B800EB"/>
    <w:rsid w:val="00B822D2"/>
    <w:rsid w:val="00B848B8"/>
    <w:rsid w:val="00B84A41"/>
    <w:rsid w:val="00B84D57"/>
    <w:rsid w:val="00B85689"/>
    <w:rsid w:val="00B86748"/>
    <w:rsid w:val="00B907EA"/>
    <w:rsid w:val="00B91EC9"/>
    <w:rsid w:val="00B924CA"/>
    <w:rsid w:val="00B93384"/>
    <w:rsid w:val="00B94417"/>
    <w:rsid w:val="00B95940"/>
    <w:rsid w:val="00B95EF8"/>
    <w:rsid w:val="00B95F50"/>
    <w:rsid w:val="00B96BD9"/>
    <w:rsid w:val="00BB1CFD"/>
    <w:rsid w:val="00BB2C53"/>
    <w:rsid w:val="00BB32DA"/>
    <w:rsid w:val="00BB3A54"/>
    <w:rsid w:val="00BB4E21"/>
    <w:rsid w:val="00BB7746"/>
    <w:rsid w:val="00BC22EB"/>
    <w:rsid w:val="00BC682B"/>
    <w:rsid w:val="00BC6B04"/>
    <w:rsid w:val="00BD186B"/>
    <w:rsid w:val="00BD1EAC"/>
    <w:rsid w:val="00BD3428"/>
    <w:rsid w:val="00BD366B"/>
    <w:rsid w:val="00BD534C"/>
    <w:rsid w:val="00BD56BC"/>
    <w:rsid w:val="00BD5D91"/>
    <w:rsid w:val="00BD6615"/>
    <w:rsid w:val="00BD6D50"/>
    <w:rsid w:val="00BE0D79"/>
    <w:rsid w:val="00BE0DB0"/>
    <w:rsid w:val="00BE3381"/>
    <w:rsid w:val="00BE3F09"/>
    <w:rsid w:val="00BE670A"/>
    <w:rsid w:val="00BE6906"/>
    <w:rsid w:val="00BF18F4"/>
    <w:rsid w:val="00BF1A69"/>
    <w:rsid w:val="00BF3BC8"/>
    <w:rsid w:val="00BF3DF1"/>
    <w:rsid w:val="00BF4C31"/>
    <w:rsid w:val="00BF4E57"/>
    <w:rsid w:val="00C00F20"/>
    <w:rsid w:val="00C034E6"/>
    <w:rsid w:val="00C0784A"/>
    <w:rsid w:val="00C10B28"/>
    <w:rsid w:val="00C10FAE"/>
    <w:rsid w:val="00C12A69"/>
    <w:rsid w:val="00C150BE"/>
    <w:rsid w:val="00C15A0C"/>
    <w:rsid w:val="00C15DCB"/>
    <w:rsid w:val="00C1711F"/>
    <w:rsid w:val="00C20744"/>
    <w:rsid w:val="00C20C4D"/>
    <w:rsid w:val="00C21D46"/>
    <w:rsid w:val="00C21F94"/>
    <w:rsid w:val="00C222A1"/>
    <w:rsid w:val="00C23CBD"/>
    <w:rsid w:val="00C23D22"/>
    <w:rsid w:val="00C2463B"/>
    <w:rsid w:val="00C24E77"/>
    <w:rsid w:val="00C2732D"/>
    <w:rsid w:val="00C273C6"/>
    <w:rsid w:val="00C27913"/>
    <w:rsid w:val="00C300C6"/>
    <w:rsid w:val="00C3271C"/>
    <w:rsid w:val="00C34FDE"/>
    <w:rsid w:val="00C35C16"/>
    <w:rsid w:val="00C40F81"/>
    <w:rsid w:val="00C41463"/>
    <w:rsid w:val="00C41A72"/>
    <w:rsid w:val="00C476C5"/>
    <w:rsid w:val="00C503B0"/>
    <w:rsid w:val="00C511C2"/>
    <w:rsid w:val="00C53D82"/>
    <w:rsid w:val="00C60696"/>
    <w:rsid w:val="00C615F1"/>
    <w:rsid w:val="00C61627"/>
    <w:rsid w:val="00C64E60"/>
    <w:rsid w:val="00C657A4"/>
    <w:rsid w:val="00C6736C"/>
    <w:rsid w:val="00C71A1D"/>
    <w:rsid w:val="00C75C7E"/>
    <w:rsid w:val="00C75C9B"/>
    <w:rsid w:val="00C76D8E"/>
    <w:rsid w:val="00C77833"/>
    <w:rsid w:val="00C80C9B"/>
    <w:rsid w:val="00C8335E"/>
    <w:rsid w:val="00C83F9C"/>
    <w:rsid w:val="00C84CE3"/>
    <w:rsid w:val="00C85614"/>
    <w:rsid w:val="00C90CF4"/>
    <w:rsid w:val="00C91C19"/>
    <w:rsid w:val="00C929A0"/>
    <w:rsid w:val="00C93389"/>
    <w:rsid w:val="00C937DB"/>
    <w:rsid w:val="00C94519"/>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EF1"/>
    <w:rsid w:val="00CE21C7"/>
    <w:rsid w:val="00CE57D8"/>
    <w:rsid w:val="00CE617A"/>
    <w:rsid w:val="00CF28C2"/>
    <w:rsid w:val="00CF42BD"/>
    <w:rsid w:val="00CF51EC"/>
    <w:rsid w:val="00CF6CD7"/>
    <w:rsid w:val="00D0037A"/>
    <w:rsid w:val="00D00DAF"/>
    <w:rsid w:val="00D017EC"/>
    <w:rsid w:val="00D01CDA"/>
    <w:rsid w:val="00D040DD"/>
    <w:rsid w:val="00D04E1B"/>
    <w:rsid w:val="00D076DB"/>
    <w:rsid w:val="00D1067C"/>
    <w:rsid w:val="00D136D4"/>
    <w:rsid w:val="00D13830"/>
    <w:rsid w:val="00D13ECF"/>
    <w:rsid w:val="00D142E5"/>
    <w:rsid w:val="00D148CD"/>
    <w:rsid w:val="00D1611E"/>
    <w:rsid w:val="00D16E69"/>
    <w:rsid w:val="00D205A9"/>
    <w:rsid w:val="00D217EE"/>
    <w:rsid w:val="00D245BA"/>
    <w:rsid w:val="00D26923"/>
    <w:rsid w:val="00D27856"/>
    <w:rsid w:val="00D301CA"/>
    <w:rsid w:val="00D30740"/>
    <w:rsid w:val="00D31075"/>
    <w:rsid w:val="00D31445"/>
    <w:rsid w:val="00D31932"/>
    <w:rsid w:val="00D378CC"/>
    <w:rsid w:val="00D4042C"/>
    <w:rsid w:val="00D42312"/>
    <w:rsid w:val="00D43998"/>
    <w:rsid w:val="00D4615E"/>
    <w:rsid w:val="00D478E2"/>
    <w:rsid w:val="00D5264C"/>
    <w:rsid w:val="00D547BA"/>
    <w:rsid w:val="00D55626"/>
    <w:rsid w:val="00D556BC"/>
    <w:rsid w:val="00D5626D"/>
    <w:rsid w:val="00D60277"/>
    <w:rsid w:val="00D61F88"/>
    <w:rsid w:val="00D62901"/>
    <w:rsid w:val="00D6470C"/>
    <w:rsid w:val="00D64853"/>
    <w:rsid w:val="00D64CB5"/>
    <w:rsid w:val="00D66D48"/>
    <w:rsid w:val="00D73256"/>
    <w:rsid w:val="00D73A30"/>
    <w:rsid w:val="00D74C65"/>
    <w:rsid w:val="00D75DC2"/>
    <w:rsid w:val="00D766EF"/>
    <w:rsid w:val="00D76C03"/>
    <w:rsid w:val="00D82462"/>
    <w:rsid w:val="00D868CE"/>
    <w:rsid w:val="00D86DAE"/>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C257F"/>
    <w:rsid w:val="00DC3790"/>
    <w:rsid w:val="00DC408A"/>
    <w:rsid w:val="00DC5B3B"/>
    <w:rsid w:val="00DC6796"/>
    <w:rsid w:val="00DC78DF"/>
    <w:rsid w:val="00DD0821"/>
    <w:rsid w:val="00DD0E32"/>
    <w:rsid w:val="00DD373E"/>
    <w:rsid w:val="00DD57AD"/>
    <w:rsid w:val="00DE009B"/>
    <w:rsid w:val="00DE2ED9"/>
    <w:rsid w:val="00DE319A"/>
    <w:rsid w:val="00DF0DC3"/>
    <w:rsid w:val="00DF21FD"/>
    <w:rsid w:val="00DF2873"/>
    <w:rsid w:val="00DF5578"/>
    <w:rsid w:val="00DF78DD"/>
    <w:rsid w:val="00DF7FEC"/>
    <w:rsid w:val="00E01C0E"/>
    <w:rsid w:val="00E03B27"/>
    <w:rsid w:val="00E04694"/>
    <w:rsid w:val="00E05B2B"/>
    <w:rsid w:val="00E06A2A"/>
    <w:rsid w:val="00E07F05"/>
    <w:rsid w:val="00E127E1"/>
    <w:rsid w:val="00E144D2"/>
    <w:rsid w:val="00E15346"/>
    <w:rsid w:val="00E15B7D"/>
    <w:rsid w:val="00E215EA"/>
    <w:rsid w:val="00E24619"/>
    <w:rsid w:val="00E25223"/>
    <w:rsid w:val="00E30BEA"/>
    <w:rsid w:val="00E31764"/>
    <w:rsid w:val="00E34985"/>
    <w:rsid w:val="00E34E4A"/>
    <w:rsid w:val="00E365B3"/>
    <w:rsid w:val="00E366BB"/>
    <w:rsid w:val="00E37C45"/>
    <w:rsid w:val="00E40AAA"/>
    <w:rsid w:val="00E438CF"/>
    <w:rsid w:val="00E43C41"/>
    <w:rsid w:val="00E450CE"/>
    <w:rsid w:val="00E45A00"/>
    <w:rsid w:val="00E45CE7"/>
    <w:rsid w:val="00E4631F"/>
    <w:rsid w:val="00E522BB"/>
    <w:rsid w:val="00E539E4"/>
    <w:rsid w:val="00E569C7"/>
    <w:rsid w:val="00E571F2"/>
    <w:rsid w:val="00E57429"/>
    <w:rsid w:val="00E70510"/>
    <w:rsid w:val="00E71262"/>
    <w:rsid w:val="00E71A58"/>
    <w:rsid w:val="00E7724B"/>
    <w:rsid w:val="00E84F21"/>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B20A0"/>
    <w:rsid w:val="00EB30B6"/>
    <w:rsid w:val="00EB4FA4"/>
    <w:rsid w:val="00EB5146"/>
    <w:rsid w:val="00EB55E9"/>
    <w:rsid w:val="00EB5641"/>
    <w:rsid w:val="00EB5CA9"/>
    <w:rsid w:val="00EB5ED4"/>
    <w:rsid w:val="00EB6537"/>
    <w:rsid w:val="00EB70E1"/>
    <w:rsid w:val="00EB7EB5"/>
    <w:rsid w:val="00EC454B"/>
    <w:rsid w:val="00EC6153"/>
    <w:rsid w:val="00EC7F92"/>
    <w:rsid w:val="00ED00A8"/>
    <w:rsid w:val="00ED0A79"/>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685"/>
    <w:rsid w:val="00EF5397"/>
    <w:rsid w:val="00EF6BE3"/>
    <w:rsid w:val="00F00D0E"/>
    <w:rsid w:val="00F00D3C"/>
    <w:rsid w:val="00F04811"/>
    <w:rsid w:val="00F0488C"/>
    <w:rsid w:val="00F0496E"/>
    <w:rsid w:val="00F04D10"/>
    <w:rsid w:val="00F0625B"/>
    <w:rsid w:val="00F101FF"/>
    <w:rsid w:val="00F10A33"/>
    <w:rsid w:val="00F15BEF"/>
    <w:rsid w:val="00F172BE"/>
    <w:rsid w:val="00F1776C"/>
    <w:rsid w:val="00F2037E"/>
    <w:rsid w:val="00F20D17"/>
    <w:rsid w:val="00F2103E"/>
    <w:rsid w:val="00F214FC"/>
    <w:rsid w:val="00F21C31"/>
    <w:rsid w:val="00F23825"/>
    <w:rsid w:val="00F23FFF"/>
    <w:rsid w:val="00F2441D"/>
    <w:rsid w:val="00F24FAA"/>
    <w:rsid w:val="00F26197"/>
    <w:rsid w:val="00F318FC"/>
    <w:rsid w:val="00F31F76"/>
    <w:rsid w:val="00F3364D"/>
    <w:rsid w:val="00F35ACD"/>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0C35"/>
    <w:rsid w:val="00F727D5"/>
    <w:rsid w:val="00F72F44"/>
    <w:rsid w:val="00F73A0C"/>
    <w:rsid w:val="00F759DC"/>
    <w:rsid w:val="00F771A5"/>
    <w:rsid w:val="00F817A4"/>
    <w:rsid w:val="00F81C3A"/>
    <w:rsid w:val="00F835FC"/>
    <w:rsid w:val="00F83E21"/>
    <w:rsid w:val="00F84E18"/>
    <w:rsid w:val="00F852E5"/>
    <w:rsid w:val="00F95117"/>
    <w:rsid w:val="00FA05D7"/>
    <w:rsid w:val="00FA1C6C"/>
    <w:rsid w:val="00FA2C2A"/>
    <w:rsid w:val="00FA309A"/>
    <w:rsid w:val="00FA7644"/>
    <w:rsid w:val="00FB0A9A"/>
    <w:rsid w:val="00FB483B"/>
    <w:rsid w:val="00FB56F1"/>
    <w:rsid w:val="00FB5FD4"/>
    <w:rsid w:val="00FB67F3"/>
    <w:rsid w:val="00FC0D8A"/>
    <w:rsid w:val="00FC0E5F"/>
    <w:rsid w:val="00FC135D"/>
    <w:rsid w:val="00FC3C84"/>
    <w:rsid w:val="00FC4660"/>
    <w:rsid w:val="00FC56DE"/>
    <w:rsid w:val="00FD1261"/>
    <w:rsid w:val="00FD1627"/>
    <w:rsid w:val="00FD473D"/>
    <w:rsid w:val="00FD61C8"/>
    <w:rsid w:val="00FD63CE"/>
    <w:rsid w:val="00FD7D49"/>
    <w:rsid w:val="00FE1251"/>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CB62B-0E92-49E1-8B25-E741402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107</TotalTime>
  <Pages>3</Pages>
  <Words>1818</Words>
  <Characters>9768</Characters>
  <Application>Microsoft Office Word</Application>
  <DocSecurity>0</DocSecurity>
  <Lines>81</Lines>
  <Paragraphs>23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Drahomíra Dubská, CSc.</cp:lastModifiedBy>
  <cp:revision>25</cp:revision>
  <cp:lastPrinted>2015-06-19T06:21:00Z</cp:lastPrinted>
  <dcterms:created xsi:type="dcterms:W3CDTF">2015-09-15T08:14:00Z</dcterms:created>
  <dcterms:modified xsi:type="dcterms:W3CDTF">2015-09-18T08:35:00Z</dcterms:modified>
</cp:coreProperties>
</file>