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74" w:rsidRPr="00081441" w:rsidRDefault="003E0574" w:rsidP="003E0574">
      <w:pPr>
        <w:pStyle w:val="RnadpisA"/>
        <w:outlineLvl w:val="0"/>
        <w:rPr>
          <w:iCs w:val="0"/>
          <w:color w:val="0070C0"/>
          <w:sz w:val="32"/>
          <w:szCs w:val="32"/>
          <w:lang w:val="cs-CZ"/>
        </w:rPr>
      </w:pPr>
      <w:bookmarkStart w:id="0" w:name="_Toc102890433"/>
      <w:r w:rsidRPr="0067607E">
        <w:rPr>
          <w:iCs w:val="0"/>
          <w:color w:val="0070C0"/>
          <w:sz w:val="32"/>
          <w:szCs w:val="32"/>
          <w:lang w:val="cs-CZ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r w:rsidRPr="00A20202">
        <w:rPr>
          <w:i w:val="0"/>
          <w:iCs/>
        </w:rPr>
        <w:t>Ostaš</w:t>
      </w:r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nad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nad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nad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4A471A">
        <w:t>f the CR. As at 31 December 202</w:t>
      </w:r>
      <w:r w:rsidR="0067607E">
        <w:t>2</w:t>
      </w:r>
      <w:r w:rsidRPr="00630C22">
        <w:t xml:space="preserve">, agricultural land covered 58% of the total Region´s territory and the share of arable land was </w:t>
      </w:r>
      <w:r w:rsidR="000B7962">
        <w:t>3</w:t>
      </w:r>
      <w:r w:rsidR="0082695A">
        <w:t>9</w:t>
      </w:r>
      <w:r w:rsidRPr="00630C22">
        <w:t xml:space="preserve">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nad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4A471A" w:rsidP="00CF730A">
      <w:pPr>
        <w:pStyle w:val="RbntextA"/>
      </w:pPr>
      <w:r>
        <w:t>As at the end of 202</w:t>
      </w:r>
      <w:r w:rsidR="0067607E">
        <w:t>2</w:t>
      </w:r>
      <w:r w:rsidR="00CF730A" w:rsidRPr="00630C22">
        <w:t xml:space="preserve">, the </w:t>
      </w:r>
      <w:proofErr w:type="spellStart"/>
      <w:r w:rsidR="00CF730A" w:rsidRPr="00630C22">
        <w:rPr>
          <w:i w:val="0"/>
          <w:iCs/>
        </w:rPr>
        <w:t>Královéhradecký</w:t>
      </w:r>
      <w:proofErr w:type="spellEnd"/>
      <w:r w:rsidR="00CF730A" w:rsidRPr="00630C22">
        <w:t xml:space="preserve"> Region had </w:t>
      </w:r>
      <w:r w:rsidR="00CF730A" w:rsidRPr="00630C22">
        <w:rPr>
          <w:b/>
          <w:bCs/>
        </w:rPr>
        <w:t>5</w:t>
      </w:r>
      <w:r w:rsidR="0067607E">
        <w:rPr>
          <w:b/>
          <w:bCs/>
        </w:rPr>
        <w:t>55</w:t>
      </w:r>
      <w:r>
        <w:rPr>
          <w:b/>
          <w:bCs/>
        </w:rPr>
        <w:t>,</w:t>
      </w:r>
      <w:r w:rsidR="0067607E">
        <w:rPr>
          <w:b/>
          <w:bCs/>
        </w:rPr>
        <w:t>267</w:t>
      </w:r>
      <w:r w:rsidR="00CF730A" w:rsidRPr="00630C22">
        <w:rPr>
          <w:b/>
          <w:bCs/>
        </w:rPr>
        <w:t xml:space="preserve"> inhabitants</w:t>
      </w:r>
      <w:r w:rsidR="00CF730A" w:rsidRPr="00630C22">
        <w:t>, which i</w:t>
      </w:r>
      <w:r>
        <w:t>s 5.</w:t>
      </w:r>
      <w:r w:rsidR="0067607E">
        <w:t>1</w:t>
      </w:r>
      <w:r w:rsidR="00CF730A" w:rsidRPr="00630C22">
        <w:t xml:space="preserve">% of the total CR´s population. The most populated is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630C22">
        <w:rPr>
          <w:i w:val="0"/>
          <w:iCs/>
        </w:rPr>
        <w:t>Králové</w:t>
      </w:r>
      <w:proofErr w:type="spellEnd"/>
      <w:r w:rsidR="00CF730A" w:rsidRPr="00630C22">
        <w:t xml:space="preserve"> District with more than 16</w:t>
      </w:r>
      <w:r w:rsidR="0067607E">
        <w:t>7</w:t>
      </w:r>
      <w:r w:rsidR="00CF730A" w:rsidRPr="00630C22">
        <w:t xml:space="preserve">,000 inhabitants. On the other hand, the smallest as for population is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nad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with </w:t>
      </w:r>
      <w:r w:rsidR="0067607E">
        <w:t>80</w:t>
      </w:r>
      <w:r w:rsidR="00CF730A" w:rsidRPr="00630C22">
        <w:t>,000 inhabitants</w:t>
      </w:r>
      <w:r w:rsidR="0067607E">
        <w:t xml:space="preserve"> and </w:t>
      </w:r>
      <w:r w:rsidR="0067607E" w:rsidRPr="00630C22">
        <w:t xml:space="preserve">the </w:t>
      </w:r>
      <w:proofErr w:type="spellStart"/>
      <w:r w:rsidR="0067607E">
        <w:rPr>
          <w:i w:val="0"/>
          <w:iCs/>
        </w:rPr>
        <w:t>Jičín</w:t>
      </w:r>
      <w:proofErr w:type="spellEnd"/>
      <w:r w:rsidR="0067607E" w:rsidRPr="00630C22">
        <w:t xml:space="preserve"> District with </w:t>
      </w:r>
      <w:r w:rsidR="0067607E">
        <w:t>81</w:t>
      </w:r>
      <w:r w:rsidR="0067607E" w:rsidRPr="00630C22">
        <w:t>,000 inhabitants</w:t>
      </w:r>
      <w:r w:rsidR="00CF730A" w:rsidRPr="00630C22">
        <w:t>. With its 11</w:t>
      </w:r>
      <w:r w:rsidR="0067607E">
        <w:t>7</w:t>
      </w:r>
      <w:r w:rsidR="00CF730A" w:rsidRPr="00630C22">
        <w:t xml:space="preserve"> inhabitants per square kilometre the Region is</w:t>
      </w:r>
      <w:r w:rsidR="00E169F8" w:rsidRPr="00630C22">
        <w:t xml:space="preserve"> under the national average (13</w:t>
      </w:r>
      <w:r w:rsidR="0067607E">
        <w:t>7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 Population density differs also one district from another being the highest in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0B7962">
        <w:rPr>
          <w:i w:val="0"/>
          <w:iCs/>
        </w:rPr>
        <w:t>Kr</w:t>
      </w:r>
      <w:r w:rsidR="00CF730A" w:rsidRPr="000B7962">
        <w:rPr>
          <w:i w:val="0"/>
        </w:rPr>
        <w:t>álové</w:t>
      </w:r>
      <w:proofErr w:type="spellEnd"/>
      <w:r w:rsidR="00CF730A" w:rsidRPr="00630C22">
        <w:t xml:space="preserve"> District (18</w:t>
      </w:r>
      <w:r w:rsidR="0067607E">
        <w:t>7</w:t>
      </w:r>
      <w:r w:rsidR="000B7962">
        <w:t> </w:t>
      </w:r>
      <w:r w:rsidR="00CF730A" w:rsidRPr="00630C22">
        <w:t xml:space="preserve">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 and the lowest in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nad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(8</w:t>
      </w:r>
      <w:r w:rsidR="0067607E">
        <w:t>2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</w:t>
      </w:r>
      <w:r w:rsidR="0067607E">
        <w:t>3</w:t>
      </w:r>
      <w:r w:rsidRPr="00630C22">
        <w:t xml:space="preserve"> the status of market-town. The share </w:t>
      </w:r>
      <w:r w:rsidR="004A471A">
        <w:t>of urban population reached 66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</w:t>
      </w:r>
      <w:r w:rsidR="0067607E">
        <w:t>3</w:t>
      </w:r>
      <w:r w:rsidRPr="00630C22">
        <w:t>,</w:t>
      </w:r>
      <w:r w:rsidR="0082695A">
        <w:t>5</w:t>
      </w:r>
      <w:r w:rsidR="0067607E">
        <w:t>0</w:t>
      </w:r>
      <w:r w:rsidR="0082695A">
        <w:t>6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="004A471A">
        <w:t xml:space="preserve"> with 29</w:t>
      </w:r>
      <w:r w:rsidRPr="00630C22">
        <w:t>,</w:t>
      </w:r>
      <w:r w:rsidR="0067607E">
        <w:t>66</w:t>
      </w:r>
      <w:r w:rsidR="0082695A">
        <w:t>0</w:t>
      </w:r>
      <w:r w:rsidRPr="00630C22">
        <w:t xml:space="preserve"> inhabitants</w:t>
      </w:r>
      <w:r w:rsidR="0082695A" w:rsidRPr="0082695A">
        <w:t xml:space="preserve"> </w:t>
      </w:r>
      <w:r w:rsidR="0082695A">
        <w:t xml:space="preserve">and </w:t>
      </w:r>
      <w:r w:rsidR="0082695A" w:rsidRPr="0082695A">
        <w:t xml:space="preserve">the </w:t>
      </w:r>
      <w:r w:rsidR="0082695A">
        <w:t>third</w:t>
      </w:r>
      <w:r w:rsidR="0082695A" w:rsidRPr="0082695A">
        <w:t xml:space="preserve"> largest town </w:t>
      </w:r>
      <w:proofErr w:type="spellStart"/>
      <w:r w:rsidR="0082695A">
        <w:rPr>
          <w:i w:val="0"/>
        </w:rPr>
        <w:t>Ná</w:t>
      </w:r>
      <w:r w:rsidR="0082695A" w:rsidRPr="0082695A">
        <w:rPr>
          <w:i w:val="0"/>
        </w:rPr>
        <w:t>chod</w:t>
      </w:r>
      <w:proofErr w:type="spellEnd"/>
      <w:r w:rsidR="0082695A">
        <w:t xml:space="preserve"> </w:t>
      </w:r>
      <w:r w:rsidR="0082695A" w:rsidRPr="0082695A">
        <w:t xml:space="preserve"> with </w:t>
      </w:r>
      <w:r w:rsidR="0082695A">
        <w:t>1</w:t>
      </w:r>
      <w:r w:rsidR="0082695A" w:rsidRPr="0082695A">
        <w:t>9,</w:t>
      </w:r>
      <w:r w:rsidR="0067607E">
        <w:t>936</w:t>
      </w:r>
      <w:r w:rsidR="0082695A" w:rsidRPr="0082695A">
        <w:t xml:space="preserve"> inhabitants</w:t>
      </w:r>
      <w:r w:rsidRPr="00630C22">
        <w:t xml:space="preserve">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</w:t>
      </w:r>
      <w:r w:rsidR="004A471A">
        <w:t>22.</w:t>
      </w:r>
      <w:r w:rsidR="0082695A">
        <w:t>3</w:t>
      </w:r>
      <w:r w:rsidR="000B7962">
        <w:t>%</w:t>
      </w:r>
      <w:r w:rsidRPr="00630C22">
        <w:t>). Within the R</w:t>
      </w:r>
      <w:r w:rsidR="00ED0BEE">
        <w:t>egion, this share formed one fif</w:t>
      </w:r>
      <w:r w:rsidRPr="00630C22">
        <w:t>th of inhabitants. The average area of a municipality is 1,062 hectares and average population is 1,2</w:t>
      </w:r>
      <w:r w:rsidR="0067607E">
        <w:t>39</w:t>
      </w:r>
      <w:r w:rsidR="000753E7" w:rsidRPr="00630C22">
        <w:t> </w:t>
      </w:r>
      <w:r w:rsidRPr="00630C22">
        <w:t>inhabitants per municipality.</w:t>
      </w:r>
    </w:p>
    <w:p w:rsidR="00CF730A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67607E">
        <w:t>2</w:t>
      </w:r>
      <w:r w:rsidR="005C1695" w:rsidRPr="00630C22">
        <w:t>.</w:t>
      </w:r>
      <w:r w:rsidR="0067607E">
        <w:t>0</w:t>
      </w:r>
      <w:r w:rsidRPr="00630C22">
        <w:t xml:space="preserve">%) and highest </w:t>
      </w:r>
      <w:r w:rsidR="00AD1498">
        <w:t>share of population aged 65+ (22</w:t>
      </w:r>
      <w:r w:rsidR="00C82724">
        <w:t>,</w:t>
      </w:r>
      <w:r w:rsidR="0067607E">
        <w:t>3</w:t>
      </w:r>
      <w:r w:rsidRPr="00630C22">
        <w:t>%). Average age 4</w:t>
      </w:r>
      <w:r w:rsidR="004D4E5C">
        <w:t>3</w:t>
      </w:r>
      <w:r w:rsidRPr="00630C22">
        <w:t>.</w:t>
      </w:r>
      <w:r w:rsidR="0067607E">
        <w:t>5</w:t>
      </w:r>
      <w:r w:rsidRPr="00630C22">
        <w:t xml:space="preserve"> years of males and females is also abo</w:t>
      </w:r>
      <w:r w:rsidR="00AD1498">
        <w:t xml:space="preserve">ve the national average </w:t>
      </w:r>
      <w:r w:rsidR="005D478E" w:rsidRPr="00630C22">
        <w:t>4</w:t>
      </w:r>
      <w:r w:rsidR="005D478E">
        <w:t>2</w:t>
      </w:r>
      <w:r w:rsidR="005D478E" w:rsidRPr="00630C22">
        <w:t>.</w:t>
      </w:r>
      <w:r w:rsidR="005D478E">
        <w:t>6</w:t>
      </w:r>
      <w:r w:rsidR="005D478E" w:rsidRPr="00630C22">
        <w:t xml:space="preserve"> years </w:t>
      </w:r>
      <w:r w:rsidR="00AD1498">
        <w:t>and the</w:t>
      </w:r>
      <w:r w:rsidR="00806257">
        <w:t xml:space="preserve"> </w:t>
      </w:r>
      <w:r w:rsidR="005D478E">
        <w:t xml:space="preserve">second </w:t>
      </w:r>
      <w:r w:rsidRPr="00630C22">
        <w:t xml:space="preserve">highest of all the regions. The same applies to the comparison with the regional average in the </w:t>
      </w:r>
      <w:proofErr w:type="spellStart"/>
      <w:r w:rsidR="005D478E">
        <w:rPr>
          <w:i w:val="0"/>
          <w:iCs/>
        </w:rPr>
        <w:t>Trutnov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nad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and </w:t>
      </w:r>
      <w:r w:rsidR="00094A5E" w:rsidRPr="00630C22">
        <w:t xml:space="preserve">the </w:t>
      </w:r>
      <w:r w:rsidR="00094A5E">
        <w:rPr>
          <w:i w:val="0"/>
          <w:iCs/>
        </w:rPr>
        <w:t xml:space="preserve">Hradec </w:t>
      </w:r>
      <w:proofErr w:type="spellStart"/>
      <w:r w:rsidR="00094A5E">
        <w:rPr>
          <w:i w:val="0"/>
          <w:iCs/>
        </w:rPr>
        <w:t>Králové</w:t>
      </w:r>
      <w:proofErr w:type="spellEnd"/>
      <w:r w:rsidR="00094A5E" w:rsidRPr="00630C22">
        <w:t xml:space="preserve"> District</w:t>
      </w:r>
      <w:r w:rsidR="00ED0BEE">
        <w:t>,</w:t>
      </w:r>
      <w:r w:rsidR="00094A5E">
        <w:t xml:space="preserve"> </w:t>
      </w:r>
      <w:r w:rsidR="00ED0BEE">
        <w:t>t</w:t>
      </w:r>
      <w:r w:rsidRPr="00630C22">
        <w:t xml:space="preserve">he highest share of inhabitants aged 15–64 was in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nad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2D326D" w:rsidRPr="00630C22">
        <w:t xml:space="preserve">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>
        <w:t>.</w:t>
      </w:r>
    </w:p>
    <w:p w:rsidR="00094A5E" w:rsidRDefault="00094A5E">
      <w:pPr>
        <w:jc w:val="left"/>
        <w:rPr>
          <w:i/>
          <w:szCs w:val="20"/>
          <w:lang w:val="en-GB"/>
        </w:rPr>
      </w:pPr>
      <w:r>
        <w:br w:type="page"/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lastRenderedPageBreak/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CF730A" w:rsidRPr="00630C22" w:rsidRDefault="00CF730A" w:rsidP="00CF730A">
      <w:pPr>
        <w:pStyle w:val="RbntextA"/>
        <w:rPr>
          <w:strike/>
        </w:rPr>
      </w:pPr>
      <w:r w:rsidRPr="00630C22">
        <w:t xml:space="preserve">The Region’s </w:t>
      </w:r>
      <w:r w:rsidRPr="00630C22">
        <w:rPr>
          <w:b/>
          <w:bCs/>
        </w:rPr>
        <w:t>gross domestic product accounts</w:t>
      </w:r>
      <w:r w:rsidRPr="00630C22">
        <w:t xml:space="preserve"> for only 4.</w:t>
      </w:r>
      <w:r w:rsidR="00FF170F">
        <w:t>4</w:t>
      </w:r>
      <w:r w:rsidRPr="00630C22">
        <w:t>% of the CR’s GDP in 20</w:t>
      </w:r>
      <w:r w:rsidR="00F63EC3">
        <w:t>2</w:t>
      </w:r>
      <w:r w:rsidR="00FF170F">
        <w:t>2</w:t>
      </w:r>
      <w:r w:rsidRPr="00630C22">
        <w:t>, when converted to GD</w:t>
      </w:r>
      <w:r w:rsidR="00795605" w:rsidRPr="00630C22">
        <w:t xml:space="preserve">P per inhabitant it amounts to </w:t>
      </w:r>
      <w:r w:rsidR="00FF170F">
        <w:t>85</w:t>
      </w:r>
      <w:r w:rsidRPr="00630C22">
        <w:t>.</w:t>
      </w:r>
      <w:r w:rsidR="00205214">
        <w:t>5</w:t>
      </w:r>
      <w:r w:rsidRPr="00630C22">
        <w:t xml:space="preserve">% of national average and ranks </w:t>
      </w:r>
      <w:r w:rsidR="00FF170F">
        <w:t>f</w:t>
      </w:r>
      <w:r w:rsidR="00F63EC3">
        <w:t>i</w:t>
      </w:r>
      <w:r w:rsidR="00FF170F">
        <w:t>f</w:t>
      </w:r>
      <w:bookmarkStart w:id="1" w:name="_GoBack"/>
      <w:bookmarkEnd w:id="1"/>
      <w:r w:rsidRPr="00630C22">
        <w:t>th in the Czech Republic.</w:t>
      </w:r>
    </w:p>
    <w:p w:rsidR="00CF730A" w:rsidRPr="00630C22" w:rsidRDefault="00CF730A" w:rsidP="00A31D84">
      <w:pPr>
        <w:pStyle w:val="RbntextA"/>
      </w:pPr>
      <w:r w:rsidRPr="00630C22">
        <w:t>According to la</w:t>
      </w:r>
      <w:r w:rsidR="00C6603D">
        <w:t>bour force sample surveys in 202</w:t>
      </w:r>
      <w:r w:rsidR="00094A5E">
        <w:t>2</w:t>
      </w:r>
      <w:r w:rsidRPr="00630C22">
        <w:t xml:space="preserve"> there is a total about </w:t>
      </w:r>
      <w:r w:rsidRPr="00630C22">
        <w:rPr>
          <w:b/>
          <w:bCs/>
        </w:rPr>
        <w:t>2</w:t>
      </w:r>
      <w:r w:rsidR="00C6603D">
        <w:rPr>
          <w:b/>
          <w:bCs/>
        </w:rPr>
        <w:t>6</w:t>
      </w:r>
      <w:r w:rsidR="00094A5E">
        <w:rPr>
          <w:b/>
          <w:bCs/>
        </w:rPr>
        <w:t>1</w:t>
      </w:r>
      <w:r w:rsidRPr="00630C22">
        <w:rPr>
          <w:b/>
          <w:bCs/>
        </w:rPr>
        <w:t>,</w:t>
      </w:r>
      <w:r w:rsidR="00094A5E">
        <w:rPr>
          <w:b/>
          <w:bCs/>
        </w:rPr>
        <w:t>7</w:t>
      </w:r>
      <w:r w:rsidRPr="00630C22">
        <w:rPr>
          <w:b/>
          <w:bCs/>
        </w:rPr>
        <w:t>00 employees</w:t>
      </w:r>
      <w:r w:rsidRPr="00630C22">
        <w:t xml:space="preserve"> in Region, 3</w:t>
      </w:r>
      <w:r w:rsidR="00E37F20">
        <w:t>1</w:t>
      </w:r>
      <w:r w:rsidRPr="00630C22">
        <w:t>.</w:t>
      </w:r>
      <w:r w:rsidR="00094A5E">
        <w:t>8</w:t>
      </w:r>
      <w:r w:rsidR="00C6603D">
        <w:t>% for manufacturing, 11</w:t>
      </w:r>
      <w:r w:rsidRPr="00630C22">
        <w:t>.</w:t>
      </w:r>
      <w:r w:rsidR="00A31D84">
        <w:t>5</w:t>
      </w:r>
      <w:r w:rsidRPr="00630C22">
        <w:t xml:space="preserve">% for </w:t>
      </w:r>
      <w:r w:rsidR="00A31D84">
        <w:t>Wholesale and retail trade; repair of motor vehicles and motorcycles</w:t>
      </w:r>
      <w:r w:rsidR="006B38EB">
        <w:t xml:space="preserve">, </w:t>
      </w:r>
      <w:r w:rsidR="00E37F20">
        <w:t>7</w:t>
      </w:r>
      <w:r w:rsidRPr="00630C22">
        <w:t>.</w:t>
      </w:r>
      <w:r w:rsidR="00A31D84">
        <w:t>8</w:t>
      </w:r>
      <w:r w:rsidRPr="00630C22">
        <w:t xml:space="preserve">% on </w:t>
      </w:r>
      <w:r w:rsidR="008D6358">
        <w:t>health and social care, 7</w:t>
      </w:r>
      <w:r w:rsidR="008D6358" w:rsidRPr="00630C22">
        <w:t>.</w:t>
      </w:r>
      <w:r w:rsidR="00A31D84">
        <w:t>4</w:t>
      </w:r>
      <w:r w:rsidR="008D6358" w:rsidRPr="00630C22">
        <w:t>% on education</w:t>
      </w:r>
      <w:r w:rsidR="008D6358">
        <w:t xml:space="preserve">, </w:t>
      </w:r>
      <w:r w:rsidR="00A31D84">
        <w:t>7</w:t>
      </w:r>
      <w:r w:rsidR="00155650">
        <w:t>.</w:t>
      </w:r>
      <w:r w:rsidR="00A31D84">
        <w:t>2</w:t>
      </w:r>
      <w:r w:rsidR="00155650" w:rsidRPr="00630C22">
        <w:t>% on construction</w:t>
      </w:r>
      <w:r w:rsidR="00155650">
        <w:t>, 6.</w:t>
      </w:r>
      <w:r w:rsidR="00A31D84">
        <w:t>3</w:t>
      </w:r>
      <w:r w:rsidR="00155650">
        <w:t xml:space="preserve">% </w:t>
      </w:r>
      <w:r w:rsidR="00155650" w:rsidRPr="00630C22">
        <w:t>on public administration a</w:t>
      </w:r>
      <w:r w:rsidR="00155650">
        <w:t xml:space="preserve">nd defence; comp. </w:t>
      </w:r>
      <w:proofErr w:type="spellStart"/>
      <w:r w:rsidR="00155650">
        <w:t>soc.</w:t>
      </w:r>
      <w:proofErr w:type="spellEnd"/>
      <w:r w:rsidR="00155650">
        <w:t xml:space="preserve"> </w:t>
      </w:r>
      <w:r w:rsidR="008D6358">
        <w:t>s</w:t>
      </w:r>
      <w:r w:rsidR="00155650">
        <w:t>ecurity,</w:t>
      </w:r>
      <w:r w:rsidR="00A31D84" w:rsidRPr="00A31D84">
        <w:t xml:space="preserve"> </w:t>
      </w:r>
      <w:r w:rsidR="00A31D84">
        <w:t>4.2</w:t>
      </w:r>
      <w:r w:rsidR="00A31D84" w:rsidRPr="00630C22">
        <w:t>% on professional, scientific and technical</w:t>
      </w:r>
      <w:r w:rsidR="00A31D84">
        <w:t>,</w:t>
      </w:r>
      <w:r w:rsidR="00155650">
        <w:t xml:space="preserve"> </w:t>
      </w:r>
      <w:r w:rsidR="00A31D84">
        <w:t>3</w:t>
      </w:r>
      <w:r w:rsidR="00381570" w:rsidRPr="00630C22">
        <w:t>.</w:t>
      </w:r>
      <w:r w:rsidR="00A31D84">
        <w:t>9</w:t>
      </w:r>
      <w:r w:rsidR="00381570" w:rsidRPr="00630C22">
        <w:t xml:space="preserve">% on transportation and storage, </w:t>
      </w:r>
      <w:r w:rsidR="00A31D84">
        <w:t>2</w:t>
      </w:r>
      <w:r w:rsidR="006D3A6D" w:rsidRPr="00630C22">
        <w:t>.</w:t>
      </w:r>
      <w:r w:rsidR="00A31D84">
        <w:t>8</w:t>
      </w:r>
      <w:r w:rsidR="006D3A6D" w:rsidRPr="00630C22">
        <w:t>% for agriculture, forestry and fishing</w:t>
      </w:r>
      <w:r w:rsidR="006D3A6D">
        <w:t>, and</w:t>
      </w:r>
      <w:r w:rsidR="00E37F20">
        <w:t xml:space="preserve"> </w:t>
      </w:r>
      <w:r w:rsidRPr="00630C22">
        <w:t>on accommodation and food service activities.</w:t>
      </w:r>
    </w:p>
    <w:p w:rsidR="00CF730A" w:rsidRPr="00630C22" w:rsidRDefault="00CF730A" w:rsidP="00CF730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</w:t>
      </w:r>
      <w:r w:rsidR="00522187">
        <w:t>m</w:t>
      </w:r>
      <w:r w:rsidR="00522187" w:rsidRPr="00522187">
        <w:t>anufacture of electrical equipment</w:t>
      </w:r>
      <w:r w:rsidR="00522187">
        <w:t xml:space="preserve">, </w:t>
      </w:r>
      <w:r w:rsidRPr="00630C22">
        <w:t>manufacture of motor vehicles, manufacture of electrical equipment and manufacture of textiles) prevails over the other industries. However, the Region does not rank amon</w:t>
      </w:r>
      <w:r w:rsidR="00C6603D">
        <w:t>g key industrial areas – its 202</w:t>
      </w:r>
      <w:r w:rsidR="00A31D84">
        <w:t>2</w:t>
      </w:r>
      <w:r w:rsidRPr="00630C22">
        <w:t xml:space="preserve"> share in sales of industrial enterprises accounted for </w:t>
      </w:r>
      <w:r w:rsidR="00C6603D">
        <w:t>4.7</w:t>
      </w:r>
      <w:r w:rsidRPr="00630C22">
        <w:t>% of the CR’s total.</w:t>
      </w:r>
    </w:p>
    <w:p w:rsidR="00CF730A" w:rsidRPr="00630C22" w:rsidRDefault="00C6603D" w:rsidP="00CF730A">
      <w:pPr>
        <w:pStyle w:val="RbntextA"/>
      </w:pPr>
      <w:r>
        <w:t>In 202</w:t>
      </w:r>
      <w:r w:rsidR="00A31D84">
        <w:t>2</w:t>
      </w:r>
      <w:r>
        <w:t>, the 1,</w:t>
      </w:r>
      <w:r w:rsidR="00A31D84">
        <w:t>193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>
        <w:t xml:space="preserve"> reported </w:t>
      </w:r>
      <w:r w:rsidR="00A31D84">
        <w:t>1.5</w:t>
      </w:r>
      <w:r w:rsidR="00ED0BEE">
        <w:t xml:space="preserve"> million </w:t>
      </w:r>
      <w:r w:rsidR="00CF730A" w:rsidRPr="00630C22">
        <w:t xml:space="preserve">guests, including about </w:t>
      </w:r>
      <w:r w:rsidR="00A31D84">
        <w:t>247</w:t>
      </w:r>
      <w:r w:rsidR="00CF730A" w:rsidRPr="00630C22">
        <w:t xml:space="preserve">,000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>
        <w:t xml:space="preserve"> (3</w:t>
      </w:r>
      <w:r w:rsidR="00A31D84">
        <w:t>5</w:t>
      </w:r>
      <w:r w:rsidR="00C14865" w:rsidRPr="00630C22">
        <w:t>%)</w:t>
      </w:r>
      <w:r w:rsidR="00CF730A" w:rsidRPr="00630C22">
        <w:t xml:space="preserve"> </w:t>
      </w:r>
      <w:r w:rsidR="00522187">
        <w:t>Poland (</w:t>
      </w:r>
      <w:r w:rsidR="00A31D84">
        <w:t>23</w:t>
      </w:r>
      <w:r w:rsidR="00CC3F23" w:rsidRPr="00CC3F23">
        <w:t>%</w:t>
      </w:r>
      <w:r w:rsidR="00CC3F23">
        <w:t xml:space="preserve">) </w:t>
      </w:r>
      <w:r w:rsidR="00CF730A" w:rsidRPr="00630C22">
        <w:t xml:space="preserve">and </w:t>
      </w:r>
      <w:r w:rsidR="00CC3F23" w:rsidRPr="00CC3F23">
        <w:t xml:space="preserve">Slovakia </w:t>
      </w:r>
      <w:r w:rsidR="0027186A" w:rsidRPr="00630C22">
        <w:t>(</w:t>
      </w:r>
      <w:r w:rsidR="00522187">
        <w:t>1</w:t>
      </w:r>
      <w:r w:rsidR="00A31D84">
        <w:t>2</w:t>
      </w:r>
      <w:r w:rsidR="00C14865" w:rsidRPr="00630C22">
        <w:t>%)</w:t>
      </w:r>
      <w:r w:rsidR="00CF730A" w:rsidRPr="00630C22">
        <w:t>. The average length of stays per gu</w:t>
      </w:r>
      <w:r w:rsidR="00C14865" w:rsidRPr="00630C22">
        <w:t xml:space="preserve">est was incomplete </w:t>
      </w:r>
      <w:r w:rsidR="006B38EB">
        <w:t>4</w:t>
      </w:r>
      <w:r w:rsidR="00C14865" w:rsidRPr="00630C22">
        <w:t>.</w:t>
      </w:r>
      <w:r w:rsidR="00D16D07">
        <w:t>1</w:t>
      </w:r>
      <w:r w:rsidR="00C14865" w:rsidRPr="00630C22">
        <w:t xml:space="preserve"> days. There are 6</w:t>
      </w:r>
      <w:r w:rsidR="00C211D4">
        <w:t>2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r w:rsidRPr="00630C22">
        <w:rPr>
          <w:b/>
          <w:bCs/>
          <w:i w:val="0"/>
          <w:iCs/>
        </w:rPr>
        <w:t>Glacensis</w:t>
      </w:r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C" w:rsidRDefault="00611BDC">
      <w:r>
        <w:separator/>
      </w:r>
    </w:p>
  </w:endnote>
  <w:endnote w:type="continuationSeparator" w:id="0">
    <w:p w:rsidR="00611BDC" w:rsidRDefault="006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AA" w:rsidRPr="008D70CB" w:rsidRDefault="003600AA" w:rsidP="008D70CB">
    <w:pPr>
      <w:pStyle w:val="Rbntext"/>
      <w:jc w:val="center"/>
      <w:rPr>
        <w:iCs/>
        <w:sz w:val="16"/>
      </w:rPr>
    </w:pPr>
    <w:r>
      <w:rPr>
        <w:iCs/>
        <w:sz w:val="16"/>
      </w:rPr>
      <w:t>202</w:t>
    </w:r>
    <w:r w:rsidR="008C7B1E">
      <w:rPr>
        <w:iCs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C" w:rsidRDefault="00611BDC">
      <w:r>
        <w:separator/>
      </w:r>
    </w:p>
  </w:footnote>
  <w:footnote w:type="continuationSeparator" w:id="0">
    <w:p w:rsidR="00611BDC" w:rsidRDefault="0061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 xml:space="preserve">Statistická ročenka </w:t>
    </w:r>
    <w:r w:rsidRPr="00B25E6B">
      <w:rPr>
        <w:sz w:val="16"/>
        <w:szCs w:val="16"/>
      </w:rPr>
      <w:t xml:space="preserve">Královéhradeckého </w:t>
    </w:r>
    <w:r w:rsidRPr="00F6655F">
      <w:rPr>
        <w:sz w:val="16"/>
        <w:szCs w:val="16"/>
      </w:rPr>
      <w:t>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B25E6B">
      <w:rPr>
        <w:sz w:val="16"/>
        <w:szCs w:val="16"/>
      </w:rPr>
      <w:t>Královéhradecký</w:t>
    </w:r>
    <w:r w:rsidR="009F4882" w:rsidRPr="00B25E6B">
      <w:rPr>
        <w:i/>
        <w:sz w:val="16"/>
        <w:szCs w:val="16"/>
      </w:rPr>
      <w:t xml:space="preserve"> </w:t>
    </w:r>
    <w:r w:rsidR="009F4882" w:rsidRPr="00F6655F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E"/>
    <w:rsid w:val="00014067"/>
    <w:rsid w:val="000714B1"/>
    <w:rsid w:val="000753E7"/>
    <w:rsid w:val="00094A5E"/>
    <w:rsid w:val="000A4B9C"/>
    <w:rsid w:val="000B7962"/>
    <w:rsid w:val="001278D2"/>
    <w:rsid w:val="0013332B"/>
    <w:rsid w:val="00152EFE"/>
    <w:rsid w:val="00155650"/>
    <w:rsid w:val="00164271"/>
    <w:rsid w:val="00181F26"/>
    <w:rsid w:val="0019335A"/>
    <w:rsid w:val="001D63D8"/>
    <w:rsid w:val="001F4321"/>
    <w:rsid w:val="001F6F4B"/>
    <w:rsid w:val="00205214"/>
    <w:rsid w:val="002206ED"/>
    <w:rsid w:val="00222D5E"/>
    <w:rsid w:val="00247F19"/>
    <w:rsid w:val="0027186A"/>
    <w:rsid w:val="00292D66"/>
    <w:rsid w:val="002D326D"/>
    <w:rsid w:val="002E213F"/>
    <w:rsid w:val="003600AA"/>
    <w:rsid w:val="00381570"/>
    <w:rsid w:val="003E0574"/>
    <w:rsid w:val="003E2A4A"/>
    <w:rsid w:val="003F2E1A"/>
    <w:rsid w:val="00402C80"/>
    <w:rsid w:val="004215F0"/>
    <w:rsid w:val="00440B8A"/>
    <w:rsid w:val="004A471A"/>
    <w:rsid w:val="004D4E5C"/>
    <w:rsid w:val="004E00CC"/>
    <w:rsid w:val="004E7122"/>
    <w:rsid w:val="004F621A"/>
    <w:rsid w:val="0051183C"/>
    <w:rsid w:val="00522187"/>
    <w:rsid w:val="00575809"/>
    <w:rsid w:val="00584F11"/>
    <w:rsid w:val="005C1695"/>
    <w:rsid w:val="005D39FB"/>
    <w:rsid w:val="005D478E"/>
    <w:rsid w:val="005E61D2"/>
    <w:rsid w:val="005E6860"/>
    <w:rsid w:val="00610951"/>
    <w:rsid w:val="00611BDC"/>
    <w:rsid w:val="00630C22"/>
    <w:rsid w:val="00633A7D"/>
    <w:rsid w:val="006414FB"/>
    <w:rsid w:val="0067607E"/>
    <w:rsid w:val="00681C29"/>
    <w:rsid w:val="006B38EB"/>
    <w:rsid w:val="006D3A6D"/>
    <w:rsid w:val="006D464A"/>
    <w:rsid w:val="00732C55"/>
    <w:rsid w:val="007348BB"/>
    <w:rsid w:val="0075027A"/>
    <w:rsid w:val="00795605"/>
    <w:rsid w:val="00795641"/>
    <w:rsid w:val="007A0955"/>
    <w:rsid w:val="007A26A6"/>
    <w:rsid w:val="007A478D"/>
    <w:rsid w:val="00806257"/>
    <w:rsid w:val="0082695A"/>
    <w:rsid w:val="008274F3"/>
    <w:rsid w:val="00855A2C"/>
    <w:rsid w:val="00863100"/>
    <w:rsid w:val="00887B09"/>
    <w:rsid w:val="008A01DC"/>
    <w:rsid w:val="008A1E54"/>
    <w:rsid w:val="008B292F"/>
    <w:rsid w:val="008C7B1E"/>
    <w:rsid w:val="008D6358"/>
    <w:rsid w:val="008D70CB"/>
    <w:rsid w:val="008E355B"/>
    <w:rsid w:val="00955114"/>
    <w:rsid w:val="00982C9B"/>
    <w:rsid w:val="009D642C"/>
    <w:rsid w:val="009F0A26"/>
    <w:rsid w:val="009F4882"/>
    <w:rsid w:val="00A20202"/>
    <w:rsid w:val="00A31D84"/>
    <w:rsid w:val="00AD1498"/>
    <w:rsid w:val="00AD4CCB"/>
    <w:rsid w:val="00AD5C3B"/>
    <w:rsid w:val="00B25E6B"/>
    <w:rsid w:val="00B33B47"/>
    <w:rsid w:val="00B36462"/>
    <w:rsid w:val="00B50E9D"/>
    <w:rsid w:val="00B57C17"/>
    <w:rsid w:val="00B64095"/>
    <w:rsid w:val="00B739B5"/>
    <w:rsid w:val="00C016A3"/>
    <w:rsid w:val="00C14865"/>
    <w:rsid w:val="00C211D4"/>
    <w:rsid w:val="00C44418"/>
    <w:rsid w:val="00C6603D"/>
    <w:rsid w:val="00C80018"/>
    <w:rsid w:val="00C82724"/>
    <w:rsid w:val="00CC3F23"/>
    <w:rsid w:val="00CD1AD4"/>
    <w:rsid w:val="00CE1C8A"/>
    <w:rsid w:val="00CE7D7C"/>
    <w:rsid w:val="00CF177F"/>
    <w:rsid w:val="00CF2C12"/>
    <w:rsid w:val="00CF730A"/>
    <w:rsid w:val="00D05720"/>
    <w:rsid w:val="00D075D6"/>
    <w:rsid w:val="00D16D07"/>
    <w:rsid w:val="00D3255C"/>
    <w:rsid w:val="00D64E7C"/>
    <w:rsid w:val="00D83025"/>
    <w:rsid w:val="00DB581C"/>
    <w:rsid w:val="00E169F8"/>
    <w:rsid w:val="00E37F20"/>
    <w:rsid w:val="00E57AEE"/>
    <w:rsid w:val="00E843A9"/>
    <w:rsid w:val="00E92D3F"/>
    <w:rsid w:val="00EB4DAB"/>
    <w:rsid w:val="00ED0BEE"/>
    <w:rsid w:val="00ED2352"/>
    <w:rsid w:val="00F11F86"/>
    <w:rsid w:val="00F50114"/>
    <w:rsid w:val="00F63EC3"/>
    <w:rsid w:val="00F6655F"/>
    <w:rsid w:val="00FA1A27"/>
    <w:rsid w:val="00FB0C0C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5C29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1270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Varmužová Věra</cp:lastModifiedBy>
  <cp:revision>21</cp:revision>
  <cp:lastPrinted>2023-12-18T09:32:00Z</cp:lastPrinted>
  <dcterms:created xsi:type="dcterms:W3CDTF">2021-01-15T08:51:00Z</dcterms:created>
  <dcterms:modified xsi:type="dcterms:W3CDTF">2024-01-09T13:02:00Z</dcterms:modified>
</cp:coreProperties>
</file>