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B0" w:rsidRDefault="003E0DB0" w:rsidP="003E0DB0">
      <w:bookmarkStart w:id="0" w:name="_GoBack"/>
      <w:bookmarkEnd w:id="0"/>
    </w:p>
    <w:p w:rsidR="003E0DB0" w:rsidRDefault="003E0DB0" w:rsidP="003E0DB0">
      <w:pPr>
        <w:pStyle w:val="Nadpis2"/>
      </w:pPr>
      <w:bookmarkStart w:id="1" w:name="_Toc485639749"/>
      <w:bookmarkStart w:id="2" w:name="_Toc490472711"/>
      <w:bookmarkStart w:id="3" w:name="_Ref496612422"/>
      <w:bookmarkStart w:id="4" w:name="_Toc501012073"/>
      <w:bookmarkStart w:id="5" w:name="_Ref501018855"/>
      <w:r>
        <w:t>Metodo</w:t>
      </w:r>
      <w:bookmarkEnd w:id="1"/>
      <w:bookmarkEnd w:id="2"/>
      <w:bookmarkEnd w:id="3"/>
      <w:bookmarkEnd w:id="4"/>
      <w:bookmarkEnd w:id="5"/>
      <w:r w:rsidR="003E214A">
        <w:t>logie a výklad pojmů</w:t>
      </w:r>
    </w:p>
    <w:p w:rsidR="004F035D" w:rsidRDefault="004F035D" w:rsidP="00F843A5">
      <w:pPr>
        <w:autoSpaceDE w:val="0"/>
        <w:autoSpaceDN w:val="0"/>
        <w:adjustRightInd w:val="0"/>
        <w:spacing w:after="120" w:line="240" w:lineRule="auto"/>
        <w:jc w:val="both"/>
        <w:rPr>
          <w:rFonts w:cs="Arial"/>
          <w:b/>
          <w:color w:val="C00000"/>
          <w:sz w:val="24"/>
        </w:rPr>
      </w:pPr>
    </w:p>
    <w:p w:rsidR="0093676C" w:rsidRDefault="0093676C" w:rsidP="00F843A5">
      <w:pPr>
        <w:autoSpaceDE w:val="0"/>
        <w:autoSpaceDN w:val="0"/>
        <w:adjustRightInd w:val="0"/>
        <w:spacing w:after="120" w:line="240" w:lineRule="auto"/>
        <w:jc w:val="both"/>
        <w:rPr>
          <w:rFonts w:cs="Arial"/>
          <w:b/>
          <w:color w:val="C00000"/>
          <w:sz w:val="24"/>
        </w:rPr>
      </w:pPr>
    </w:p>
    <w:p w:rsidR="003E214A" w:rsidRPr="003E214A" w:rsidRDefault="003E214A" w:rsidP="00F843A5">
      <w:pPr>
        <w:autoSpaceDE w:val="0"/>
        <w:autoSpaceDN w:val="0"/>
        <w:adjustRightInd w:val="0"/>
        <w:spacing w:after="120" w:line="240" w:lineRule="auto"/>
        <w:jc w:val="both"/>
        <w:rPr>
          <w:rFonts w:cs="Arial"/>
          <w:b/>
          <w:color w:val="C00000"/>
          <w:sz w:val="24"/>
        </w:rPr>
      </w:pPr>
      <w:r w:rsidRPr="003E214A">
        <w:rPr>
          <w:rFonts w:cs="Arial"/>
          <w:b/>
          <w:color w:val="C00000"/>
          <w:sz w:val="24"/>
        </w:rPr>
        <w:t xml:space="preserve">Definice základního </w:t>
      </w:r>
      <w:r>
        <w:rPr>
          <w:rFonts w:cs="Arial"/>
          <w:b/>
          <w:color w:val="C00000"/>
          <w:sz w:val="24"/>
        </w:rPr>
        <w:t xml:space="preserve">a výběrového </w:t>
      </w:r>
      <w:r w:rsidRPr="003E214A">
        <w:rPr>
          <w:rFonts w:cs="Arial"/>
          <w:b/>
          <w:color w:val="C00000"/>
          <w:sz w:val="24"/>
        </w:rPr>
        <w:t>souboru</w:t>
      </w:r>
    </w:p>
    <w:p w:rsidR="00D90A66" w:rsidRDefault="00D90A66" w:rsidP="003E214A">
      <w:pPr>
        <w:autoSpaceDE w:val="0"/>
        <w:autoSpaceDN w:val="0"/>
        <w:adjustRightInd w:val="0"/>
        <w:spacing w:after="120"/>
        <w:jc w:val="both"/>
        <w:rPr>
          <w:rFonts w:cs="Arial"/>
        </w:rPr>
      </w:pPr>
    </w:p>
    <w:p w:rsidR="00D90A66" w:rsidRPr="00D90A66" w:rsidRDefault="00D90A66" w:rsidP="003E214A">
      <w:pPr>
        <w:autoSpaceDE w:val="0"/>
        <w:autoSpaceDN w:val="0"/>
        <w:adjustRightInd w:val="0"/>
        <w:spacing w:after="120"/>
        <w:jc w:val="both"/>
        <w:rPr>
          <w:rFonts w:cs="Arial"/>
        </w:rPr>
      </w:pPr>
      <w:r>
        <w:rPr>
          <w:rFonts w:cs="Arial"/>
        </w:rPr>
        <w:t>Š</w:t>
      </w:r>
      <w:r w:rsidR="0093676C">
        <w:rPr>
          <w:rFonts w:cs="Arial"/>
        </w:rPr>
        <w:t>etření CVTS je výběrové šetření. T</w:t>
      </w:r>
      <w:r>
        <w:rPr>
          <w:rFonts w:cs="Arial"/>
        </w:rPr>
        <w:t xml:space="preserve">o znamená, že </w:t>
      </w:r>
      <w:r w:rsidR="00415D5A">
        <w:t>z</w:t>
      </w:r>
      <w:r>
        <w:t>jišťuje</w:t>
      </w:r>
      <w:r w:rsidR="0088197D">
        <w:t xml:space="preserve"> releva</w:t>
      </w:r>
      <w:r w:rsidRPr="00D90A66">
        <w:t xml:space="preserve">ntní informace o základním souboru, resp. </w:t>
      </w:r>
      <w:r w:rsidRPr="0088197D">
        <w:rPr>
          <w:iCs/>
        </w:rPr>
        <w:t>cílovém výzkumném souboru</w:t>
      </w:r>
      <w:r w:rsidRPr="00D90A66">
        <w:t xml:space="preserve"> pomocí zkoumání jeho vybrané části, tj. </w:t>
      </w:r>
      <w:hyperlink r:id="rId8" w:tooltip="Soubor výběrový" w:history="1">
        <w:r w:rsidRPr="00D90A66">
          <w:t>výběrového souboru</w:t>
        </w:r>
      </w:hyperlink>
      <w:r w:rsidRPr="00D90A66">
        <w:t>.</w:t>
      </w:r>
    </w:p>
    <w:p w:rsidR="0093676C" w:rsidRDefault="00F54F37" w:rsidP="003E214A">
      <w:pPr>
        <w:autoSpaceDE w:val="0"/>
        <w:autoSpaceDN w:val="0"/>
        <w:adjustRightInd w:val="0"/>
        <w:spacing w:after="120"/>
        <w:jc w:val="both"/>
        <w:rPr>
          <w:rFonts w:cs="Arial"/>
        </w:rPr>
      </w:pPr>
      <w:r>
        <w:rPr>
          <w:rFonts w:cs="Arial"/>
        </w:rPr>
        <w:t>Výzkumný soubor</w:t>
      </w:r>
      <w:r w:rsidR="003E214A">
        <w:rPr>
          <w:rFonts w:cs="Arial"/>
        </w:rPr>
        <w:t xml:space="preserve"> CVTS</w:t>
      </w:r>
      <w:r w:rsidR="0088197D">
        <w:rPr>
          <w:rFonts w:cs="Arial"/>
        </w:rPr>
        <w:t xml:space="preserve"> tvoří</w:t>
      </w:r>
      <w:r w:rsidR="003E214A">
        <w:rPr>
          <w:rFonts w:cs="Arial"/>
        </w:rPr>
        <w:t xml:space="preserve"> „podniky“ definované jakožto</w:t>
      </w:r>
      <w:r w:rsidR="003E214A" w:rsidRPr="00934E27">
        <w:rPr>
          <w:rFonts w:cs="Arial"/>
        </w:rPr>
        <w:t xml:space="preserve"> </w:t>
      </w:r>
      <w:r w:rsidR="0093676C">
        <w:rPr>
          <w:rFonts w:cs="Arial"/>
        </w:rPr>
        <w:t xml:space="preserve">právnické jednotky, popř. </w:t>
      </w:r>
      <w:r w:rsidR="003E214A" w:rsidRPr="00934E27">
        <w:rPr>
          <w:rFonts w:cs="Arial"/>
        </w:rPr>
        <w:t xml:space="preserve">nejmenší kombinace </w:t>
      </w:r>
      <w:r w:rsidR="002B4EA6">
        <w:rPr>
          <w:rFonts w:cs="Arial"/>
        </w:rPr>
        <w:t>tě</w:t>
      </w:r>
      <w:r w:rsidR="0093676C">
        <w:rPr>
          <w:rFonts w:cs="Arial"/>
        </w:rPr>
        <w:t>chto</w:t>
      </w:r>
      <w:r w:rsidR="003E214A" w:rsidRPr="00934E27">
        <w:rPr>
          <w:rFonts w:cs="Arial"/>
        </w:rPr>
        <w:t xml:space="preserve"> jednotek </w:t>
      </w:r>
      <w:r w:rsidR="0093676C">
        <w:rPr>
          <w:rFonts w:cs="Arial"/>
        </w:rPr>
        <w:t>tvořících</w:t>
      </w:r>
      <w:r w:rsidR="003E214A" w:rsidRPr="00934E27">
        <w:rPr>
          <w:rFonts w:cs="Arial"/>
        </w:rPr>
        <w:t xml:space="preserve"> organizační celek produkující</w:t>
      </w:r>
      <w:r w:rsidR="003E214A" w:rsidRPr="00A57DA2">
        <w:rPr>
          <w:rFonts w:cs="Arial"/>
        </w:rPr>
        <w:t xml:space="preserve"> zboží či poskytující služby a disponující určitým stupněm autonomie v rozhod</w:t>
      </w:r>
      <w:r w:rsidR="003E214A">
        <w:rPr>
          <w:rFonts w:cs="Arial"/>
        </w:rPr>
        <w:t>ování, zejména pokud se jedná o </w:t>
      </w:r>
      <w:r w:rsidR="003E214A" w:rsidRPr="00A57DA2">
        <w:rPr>
          <w:rFonts w:cs="Arial"/>
        </w:rPr>
        <w:t xml:space="preserve">disponování se svými zdroji. Takový podnik se může zabývat jednou činností i více činnostmi a to na jednom i více pracovištích, regionech. </w:t>
      </w:r>
    </w:p>
    <w:p w:rsidR="00F843A5" w:rsidRDefault="00F843A5" w:rsidP="003E214A">
      <w:pPr>
        <w:autoSpaceDE w:val="0"/>
        <w:autoSpaceDN w:val="0"/>
        <w:adjustRightInd w:val="0"/>
        <w:spacing w:after="120"/>
        <w:jc w:val="both"/>
        <w:rPr>
          <w:rFonts w:cs="Arial"/>
        </w:rPr>
      </w:pPr>
      <w:r>
        <w:rPr>
          <w:rFonts w:cs="Arial"/>
        </w:rPr>
        <w:t>Do základního souboru</w:t>
      </w:r>
      <w:r w:rsidRPr="00A57DA2">
        <w:rPr>
          <w:rFonts w:cs="Arial"/>
        </w:rPr>
        <w:t xml:space="preserve"> </w:t>
      </w:r>
      <w:r>
        <w:rPr>
          <w:rFonts w:cs="Arial"/>
        </w:rPr>
        <w:t>pro šetření CVTS byly</w:t>
      </w:r>
      <w:r w:rsidRPr="00A57DA2">
        <w:rPr>
          <w:rFonts w:cs="Arial"/>
        </w:rPr>
        <w:t xml:space="preserve"> </w:t>
      </w:r>
      <w:r w:rsidR="003E214A">
        <w:rPr>
          <w:rFonts w:cs="Arial"/>
        </w:rPr>
        <w:t xml:space="preserve">dle pokynů </w:t>
      </w:r>
      <w:proofErr w:type="spellStart"/>
      <w:r w:rsidR="003E214A">
        <w:rPr>
          <w:rFonts w:cs="Arial"/>
        </w:rPr>
        <w:t>Eurostatu</w:t>
      </w:r>
      <w:proofErr w:type="spellEnd"/>
      <w:r w:rsidR="003E214A">
        <w:rPr>
          <w:rFonts w:cs="Arial"/>
        </w:rPr>
        <w:t xml:space="preserve"> </w:t>
      </w:r>
      <w:r w:rsidRPr="00A57DA2">
        <w:rPr>
          <w:rFonts w:cs="Arial"/>
        </w:rPr>
        <w:t xml:space="preserve">zařazeny podniky </w:t>
      </w:r>
      <w:r w:rsidR="0088197D">
        <w:rPr>
          <w:rFonts w:cs="Arial"/>
          <w:spacing w:val="2"/>
        </w:rPr>
        <w:t>s 10 a více zaměstnanci</w:t>
      </w:r>
      <w:r w:rsidRPr="00A57DA2">
        <w:rPr>
          <w:rFonts w:cs="Arial"/>
          <w:spacing w:val="2"/>
        </w:rPr>
        <w:t xml:space="preserve"> s hlavní ekonomickou činností spadající do následujících </w:t>
      </w:r>
      <w:r>
        <w:rPr>
          <w:rFonts w:cs="Arial"/>
          <w:spacing w:val="2"/>
        </w:rPr>
        <w:t>skupin ekonomických činností definovaných na základě</w:t>
      </w:r>
      <w:r w:rsidRPr="00A57DA2">
        <w:rPr>
          <w:rFonts w:cs="Arial"/>
          <w:spacing w:val="2"/>
        </w:rPr>
        <w:t xml:space="preserve"> klasifikace NACE </w:t>
      </w:r>
      <w:proofErr w:type="spellStart"/>
      <w:r w:rsidRPr="00A57DA2">
        <w:rPr>
          <w:rFonts w:cs="Arial"/>
          <w:spacing w:val="2"/>
        </w:rPr>
        <w:t>Rev</w:t>
      </w:r>
      <w:proofErr w:type="spellEnd"/>
      <w:r w:rsidRPr="00A57DA2">
        <w:rPr>
          <w:rFonts w:cs="Arial"/>
          <w:spacing w:val="2"/>
        </w:rPr>
        <w:t>. 2:</w:t>
      </w:r>
      <w:r>
        <w:rPr>
          <w:rFonts w:cs="Arial"/>
        </w:rPr>
        <w:t xml:space="preserve"> </w:t>
      </w:r>
    </w:p>
    <w:p w:rsidR="00F843A5" w:rsidRDefault="00F843A5" w:rsidP="00A11F85">
      <w:pPr>
        <w:pStyle w:val="Odstavecseseznamem"/>
        <w:numPr>
          <w:ilvl w:val="0"/>
          <w:numId w:val="30"/>
        </w:numPr>
        <w:spacing w:after="0" w:line="288" w:lineRule="auto"/>
        <w:ind w:left="357" w:hanging="357"/>
        <w:jc w:val="both"/>
      </w:pPr>
      <w:r>
        <w:t>Průmysl – sekce B, C, D E</w:t>
      </w:r>
    </w:p>
    <w:p w:rsidR="00F843A5" w:rsidRDefault="00F843A5" w:rsidP="00A11F85">
      <w:pPr>
        <w:pStyle w:val="Odstavecseseznamem"/>
        <w:numPr>
          <w:ilvl w:val="0"/>
          <w:numId w:val="30"/>
        </w:numPr>
        <w:spacing w:after="0" w:line="288" w:lineRule="auto"/>
        <w:ind w:left="357" w:hanging="357"/>
        <w:jc w:val="both"/>
      </w:pPr>
      <w:r>
        <w:t>Stavebnictví – sekce F</w:t>
      </w:r>
    </w:p>
    <w:p w:rsidR="00F843A5" w:rsidRDefault="00F843A5" w:rsidP="00A11F85">
      <w:pPr>
        <w:pStyle w:val="Odstavecseseznamem"/>
        <w:numPr>
          <w:ilvl w:val="0"/>
          <w:numId w:val="29"/>
        </w:numPr>
        <w:spacing w:after="0" w:line="288" w:lineRule="auto"/>
        <w:ind w:left="357" w:hanging="357"/>
        <w:jc w:val="both"/>
      </w:pPr>
      <w:r w:rsidRPr="00F843A5">
        <w:t xml:space="preserve">Velkoobchod a maloobchod; opravy </w:t>
      </w:r>
      <w:r>
        <w:t>a údržba motorových vozidel – sekce G</w:t>
      </w:r>
    </w:p>
    <w:p w:rsidR="00F843A5" w:rsidRDefault="00F843A5" w:rsidP="00A11F85">
      <w:pPr>
        <w:pStyle w:val="Odstavecseseznamem"/>
        <w:numPr>
          <w:ilvl w:val="0"/>
          <w:numId w:val="29"/>
        </w:numPr>
        <w:spacing w:after="0" w:line="288" w:lineRule="auto"/>
        <w:ind w:left="357" w:hanging="357"/>
        <w:jc w:val="both"/>
      </w:pPr>
      <w:r>
        <w:t>Doprava a skladování – sekce H</w:t>
      </w:r>
    </w:p>
    <w:p w:rsidR="00F843A5" w:rsidRDefault="00F843A5" w:rsidP="00A11F85">
      <w:pPr>
        <w:pStyle w:val="Odstavecseseznamem"/>
        <w:numPr>
          <w:ilvl w:val="0"/>
          <w:numId w:val="29"/>
        </w:numPr>
        <w:spacing w:after="0" w:line="288" w:lineRule="auto"/>
        <w:ind w:left="357" w:hanging="357"/>
        <w:jc w:val="both"/>
      </w:pPr>
      <w:r>
        <w:t>Ubytování, stravování a pohostinství – sekce I</w:t>
      </w:r>
    </w:p>
    <w:p w:rsidR="00F843A5" w:rsidRDefault="00F843A5" w:rsidP="00A11F85">
      <w:pPr>
        <w:pStyle w:val="Odstavecseseznamem"/>
        <w:numPr>
          <w:ilvl w:val="0"/>
          <w:numId w:val="29"/>
        </w:numPr>
        <w:spacing w:after="0" w:line="288" w:lineRule="auto"/>
        <w:ind w:left="357" w:hanging="357"/>
        <w:jc w:val="both"/>
      </w:pPr>
      <w:r>
        <w:t>Informační a komunikační činnosti – sekce J</w:t>
      </w:r>
    </w:p>
    <w:p w:rsidR="00F843A5" w:rsidRDefault="00F843A5" w:rsidP="00A11F85">
      <w:pPr>
        <w:pStyle w:val="Odstavecseseznamem"/>
        <w:numPr>
          <w:ilvl w:val="0"/>
          <w:numId w:val="29"/>
        </w:numPr>
        <w:spacing w:after="0" w:line="288" w:lineRule="auto"/>
        <w:ind w:left="357" w:hanging="357"/>
        <w:jc w:val="both"/>
      </w:pPr>
      <w:r>
        <w:t>Peněžnictví a pojišťovnictví – sekce K</w:t>
      </w:r>
    </w:p>
    <w:p w:rsidR="00F843A5" w:rsidRDefault="00F843A5" w:rsidP="00A11F85">
      <w:pPr>
        <w:pStyle w:val="Odstavecseseznamem"/>
        <w:numPr>
          <w:ilvl w:val="0"/>
          <w:numId w:val="29"/>
        </w:numPr>
        <w:spacing w:after="0" w:line="288" w:lineRule="auto"/>
        <w:ind w:left="357" w:hanging="357"/>
        <w:jc w:val="both"/>
      </w:pPr>
      <w:r>
        <w:t>Činnosti v oblasti nemovitostí a administrativy a podpůrné činnosti – sekce L a N</w:t>
      </w:r>
    </w:p>
    <w:p w:rsidR="00F843A5" w:rsidRDefault="00F843A5" w:rsidP="00A11F85">
      <w:pPr>
        <w:pStyle w:val="Odstavecseseznamem"/>
        <w:numPr>
          <w:ilvl w:val="0"/>
          <w:numId w:val="29"/>
        </w:numPr>
        <w:spacing w:after="0" w:line="288" w:lineRule="auto"/>
        <w:ind w:left="357" w:hanging="357"/>
        <w:jc w:val="both"/>
      </w:pPr>
      <w:r>
        <w:t>Profesní, vědecké a technické činnosti – sekce M</w:t>
      </w:r>
    </w:p>
    <w:p w:rsidR="00F843A5" w:rsidRDefault="00F843A5" w:rsidP="00116EAC">
      <w:pPr>
        <w:pStyle w:val="Odstavecseseznamem"/>
        <w:numPr>
          <w:ilvl w:val="0"/>
          <w:numId w:val="29"/>
        </w:numPr>
        <w:spacing w:after="240" w:line="288" w:lineRule="auto"/>
        <w:jc w:val="both"/>
      </w:pPr>
      <w:r>
        <w:t xml:space="preserve">Kulturní, zábavní a rekreační činnost a Ostatní činnosti – sekce R a S </w:t>
      </w:r>
    </w:p>
    <w:p w:rsidR="00F843A5" w:rsidRDefault="002B4EA6" w:rsidP="00F843A5">
      <w:pPr>
        <w:contextualSpacing/>
        <w:jc w:val="both"/>
        <w:rPr>
          <w:rFonts w:cs="Arial"/>
        </w:rPr>
      </w:pPr>
      <w:r>
        <w:rPr>
          <w:rFonts w:cs="Arial"/>
        </w:rPr>
        <w:t>Do šetření</w:t>
      </w:r>
      <w:r w:rsidR="00F843A5">
        <w:rPr>
          <w:rFonts w:cs="Arial"/>
        </w:rPr>
        <w:t xml:space="preserve"> </w:t>
      </w:r>
      <w:r w:rsidR="003E214A">
        <w:rPr>
          <w:rFonts w:cs="Arial"/>
        </w:rPr>
        <w:t>byly</w:t>
      </w:r>
      <w:r w:rsidR="00F843A5">
        <w:rPr>
          <w:rFonts w:cs="Arial"/>
        </w:rPr>
        <w:t xml:space="preserve"> </w:t>
      </w:r>
      <w:r>
        <w:rPr>
          <w:rFonts w:cs="Arial"/>
        </w:rPr>
        <w:t xml:space="preserve">přitom </w:t>
      </w:r>
      <w:r w:rsidR="00F843A5">
        <w:rPr>
          <w:rFonts w:cs="Arial"/>
        </w:rPr>
        <w:t>zahrnuty</w:t>
      </w:r>
      <w:r w:rsidR="00F843A5" w:rsidRPr="00934E27">
        <w:rPr>
          <w:rFonts w:cs="Arial"/>
        </w:rPr>
        <w:t xml:space="preserve"> pouze podniky spadající dle Klasifikace institucionálních sektorů a </w:t>
      </w:r>
      <w:proofErr w:type="spellStart"/>
      <w:r w:rsidR="00F843A5" w:rsidRPr="00934E27">
        <w:rPr>
          <w:rFonts w:cs="Arial"/>
        </w:rPr>
        <w:t>subsektorů</w:t>
      </w:r>
      <w:proofErr w:type="spellEnd"/>
      <w:r w:rsidR="00F843A5" w:rsidRPr="00934E27">
        <w:rPr>
          <w:rFonts w:cs="Arial"/>
        </w:rPr>
        <w:t xml:space="preserve"> do kategorie 11</w:t>
      </w:r>
      <w:r w:rsidR="00F843A5">
        <w:rPr>
          <w:rFonts w:cs="Arial"/>
        </w:rPr>
        <w:t xml:space="preserve"> (nefinanční </w:t>
      </w:r>
      <w:proofErr w:type="gramStart"/>
      <w:r w:rsidR="00F843A5">
        <w:rPr>
          <w:rFonts w:cs="Arial"/>
        </w:rPr>
        <w:t>podniky)</w:t>
      </w:r>
      <w:r w:rsidR="00F843A5" w:rsidRPr="00934E27">
        <w:rPr>
          <w:rFonts w:cs="Arial"/>
        </w:rPr>
        <w:t>,12</w:t>
      </w:r>
      <w:proofErr w:type="gramEnd"/>
      <w:r w:rsidR="00F843A5">
        <w:rPr>
          <w:rFonts w:cs="Arial"/>
        </w:rPr>
        <w:t xml:space="preserve"> (finanční instituce)</w:t>
      </w:r>
      <w:r w:rsidR="00F843A5" w:rsidRPr="00934E27">
        <w:rPr>
          <w:rFonts w:cs="Arial"/>
        </w:rPr>
        <w:t xml:space="preserve"> a 14</w:t>
      </w:r>
      <w:r w:rsidR="00F843A5">
        <w:rPr>
          <w:rFonts w:cs="Arial"/>
        </w:rPr>
        <w:t xml:space="preserve"> (domácnosti)</w:t>
      </w:r>
      <w:r w:rsidR="00F843A5" w:rsidRPr="00934E27">
        <w:rPr>
          <w:rFonts w:cs="Arial"/>
        </w:rPr>
        <w:t>.</w:t>
      </w:r>
      <w:r w:rsidR="003E214A">
        <w:rPr>
          <w:rFonts w:cs="Arial"/>
        </w:rPr>
        <w:t xml:space="preserve"> Vynechány jsou tedy vládní instituce (13) a neziskové instituce sloužící domácnostem (15). </w:t>
      </w:r>
      <w:r w:rsidR="00F843A5">
        <w:rPr>
          <w:rFonts w:cs="Arial"/>
        </w:rPr>
        <w:t xml:space="preserve"> </w:t>
      </w:r>
    </w:p>
    <w:p w:rsidR="003E214A" w:rsidRPr="00A11F85" w:rsidRDefault="003E214A" w:rsidP="00F843A5">
      <w:pPr>
        <w:contextualSpacing/>
        <w:jc w:val="both"/>
        <w:rPr>
          <w:rFonts w:cs="Arial"/>
          <w:sz w:val="12"/>
          <w:szCs w:val="12"/>
        </w:rPr>
      </w:pPr>
    </w:p>
    <w:p w:rsidR="00F843A5" w:rsidRDefault="002B4EA6" w:rsidP="00F843A5">
      <w:pPr>
        <w:contextualSpacing/>
        <w:jc w:val="both"/>
        <w:rPr>
          <w:rFonts w:cs="Arial"/>
        </w:rPr>
      </w:pPr>
      <w:r>
        <w:rPr>
          <w:rFonts w:cs="Arial"/>
        </w:rPr>
        <w:t>Základní soubor</w:t>
      </w:r>
      <w:r w:rsidR="003E214A">
        <w:rPr>
          <w:rFonts w:cs="Arial"/>
        </w:rPr>
        <w:t xml:space="preserve"> byl</w:t>
      </w:r>
      <w:r w:rsidR="00F843A5" w:rsidRPr="00A57DA2">
        <w:rPr>
          <w:rFonts w:cs="Arial"/>
        </w:rPr>
        <w:t xml:space="preserve"> vymezen parametricky na podkladě registru ekonomických subjektů.</w:t>
      </w:r>
      <w:r w:rsidR="00F843A5">
        <w:rPr>
          <w:rFonts w:cs="Arial"/>
        </w:rPr>
        <w:t xml:space="preserve"> </w:t>
      </w:r>
      <w:r w:rsidR="00F54F37">
        <w:rPr>
          <w:rFonts w:cs="Arial"/>
        </w:rPr>
        <w:t xml:space="preserve">Do výběrového souboru byly </w:t>
      </w:r>
      <w:r>
        <w:rPr>
          <w:rFonts w:cs="Arial"/>
        </w:rPr>
        <w:t xml:space="preserve">pak </w:t>
      </w:r>
      <w:r w:rsidR="00F54F37">
        <w:rPr>
          <w:rFonts w:cs="Arial"/>
        </w:rPr>
        <w:t>jednotky vybrány náhodným stratifikovaným výběrem, přičemž stratifikačními proměnnými byly velikost podniku a hlavní ekonomická činnost podniku dle klasifikace NACE.</w:t>
      </w:r>
      <w:r w:rsidR="00F54F37" w:rsidRPr="00F54F37">
        <w:rPr>
          <w:rFonts w:cs="Arial"/>
        </w:rPr>
        <w:t xml:space="preserve"> </w:t>
      </w:r>
      <w:r w:rsidR="00F54F37">
        <w:rPr>
          <w:rFonts w:cs="Arial"/>
        </w:rPr>
        <w:t>Základní a výběrový soubor byl vygenerován s datem k 30. 12. 2020.</w:t>
      </w:r>
      <w:r w:rsidR="0088197D">
        <w:rPr>
          <w:rFonts w:cs="Arial"/>
        </w:rPr>
        <w:t xml:space="preserve"> Při zpracovávání výstupů se pak pracovalo s váženými daty.</w:t>
      </w:r>
    </w:p>
    <w:p w:rsidR="00C53D61" w:rsidRPr="00A11F85" w:rsidRDefault="00C53D61" w:rsidP="00F843A5">
      <w:pPr>
        <w:contextualSpacing/>
        <w:jc w:val="both"/>
        <w:rPr>
          <w:rFonts w:cs="Arial"/>
          <w:sz w:val="12"/>
          <w:szCs w:val="12"/>
        </w:rPr>
      </w:pPr>
    </w:p>
    <w:p w:rsidR="00C53D61" w:rsidRDefault="007A28CF" w:rsidP="00F843A5">
      <w:pPr>
        <w:contextualSpacing/>
        <w:jc w:val="both"/>
        <w:rPr>
          <w:rFonts w:cs="Arial"/>
        </w:rPr>
      </w:pPr>
      <w:r>
        <w:rPr>
          <w:rFonts w:cs="Arial"/>
        </w:rPr>
        <w:t>V</w:t>
      </w:r>
      <w:r w:rsidR="00C53D61">
        <w:rPr>
          <w:rFonts w:cs="Arial"/>
        </w:rPr>
        <w:t xml:space="preserve">ýstupy z šetření jsou prezentovány </w:t>
      </w:r>
      <w:r>
        <w:rPr>
          <w:rFonts w:cs="Arial"/>
        </w:rPr>
        <w:t>(mj.)</w:t>
      </w:r>
      <w:r w:rsidR="00C53D61">
        <w:rPr>
          <w:rFonts w:cs="Arial"/>
        </w:rPr>
        <w:t xml:space="preserve"> v třídění dle velikosti podniku dle počtu zaměstnanců, dle převažující ekonomické činnosti podniku a dle toho, zda je vrcholovým vlastníkem Čech, nebo cizinec</w:t>
      </w:r>
      <w:r w:rsidR="001F0A26">
        <w:rPr>
          <w:rFonts w:cs="Arial"/>
        </w:rPr>
        <w:t xml:space="preserve"> (tj. zda se jedná o podniky </w:t>
      </w:r>
      <w:r w:rsidR="001F0A26" w:rsidRPr="001F0A26">
        <w:rPr>
          <w:rFonts w:cs="Arial"/>
          <w:i/>
        </w:rPr>
        <w:t>domácí</w:t>
      </w:r>
      <w:r w:rsidR="001F0A26">
        <w:rPr>
          <w:rFonts w:cs="Arial"/>
        </w:rPr>
        <w:t xml:space="preserve">, nebo </w:t>
      </w:r>
      <w:r w:rsidR="001F0A26" w:rsidRPr="001F0A26">
        <w:rPr>
          <w:rFonts w:cs="Arial"/>
          <w:i/>
        </w:rPr>
        <w:t>pod zahraniční kontrolou</w:t>
      </w:r>
      <w:r w:rsidR="001F0A26">
        <w:rPr>
          <w:rFonts w:cs="Arial"/>
        </w:rPr>
        <w:t>)</w:t>
      </w:r>
      <w:r w:rsidR="00C53D61">
        <w:rPr>
          <w:rFonts w:cs="Arial"/>
        </w:rPr>
        <w:t xml:space="preserve">. Zde je třeba upozornit, že složení podniků </w:t>
      </w:r>
      <w:r>
        <w:rPr>
          <w:rFonts w:cs="Arial"/>
        </w:rPr>
        <w:t xml:space="preserve">různých charakteristik se </w:t>
      </w:r>
      <w:r w:rsidR="00C53D61">
        <w:rPr>
          <w:rFonts w:cs="Arial"/>
        </w:rPr>
        <w:t xml:space="preserve">v jednotlivých </w:t>
      </w:r>
      <w:r>
        <w:rPr>
          <w:rFonts w:cs="Arial"/>
        </w:rPr>
        <w:t>kategoriích liší</w:t>
      </w:r>
      <w:r w:rsidR="00C53D61">
        <w:rPr>
          <w:rFonts w:cs="Arial"/>
        </w:rPr>
        <w:t xml:space="preserve">. Např. zatímco polovina </w:t>
      </w:r>
      <w:r w:rsidR="001F0A26" w:rsidRPr="001F0A26">
        <w:rPr>
          <w:rFonts w:cs="Arial"/>
          <w:i/>
        </w:rPr>
        <w:t>domácích</w:t>
      </w:r>
      <w:r w:rsidR="001F0A26">
        <w:rPr>
          <w:rFonts w:cs="Arial"/>
        </w:rPr>
        <w:t xml:space="preserve"> </w:t>
      </w:r>
      <w:r w:rsidR="00C53D61">
        <w:rPr>
          <w:rFonts w:cs="Arial"/>
        </w:rPr>
        <w:t xml:space="preserve">podniků </w:t>
      </w:r>
      <w:r>
        <w:rPr>
          <w:rFonts w:cs="Arial"/>
        </w:rPr>
        <w:t>čítala</w:t>
      </w:r>
      <w:r w:rsidR="00C53D61">
        <w:rPr>
          <w:rFonts w:cs="Arial"/>
        </w:rPr>
        <w:t xml:space="preserve"> 10</w:t>
      </w:r>
      <w:r w:rsidR="00C870F8">
        <w:rPr>
          <w:rFonts w:cs="Arial"/>
        </w:rPr>
        <w:t>–</w:t>
      </w:r>
      <w:r w:rsidR="00C53D61">
        <w:rPr>
          <w:rFonts w:cs="Arial"/>
        </w:rPr>
        <w:t>19 zaměstnanců a další téměř třetina 20</w:t>
      </w:r>
      <w:r w:rsidR="00C870F8">
        <w:rPr>
          <w:rFonts w:cs="Arial"/>
        </w:rPr>
        <w:t>–</w:t>
      </w:r>
      <w:r w:rsidR="00C53D61">
        <w:rPr>
          <w:rFonts w:cs="Arial"/>
        </w:rPr>
        <w:t xml:space="preserve">49 zaměstnanců, mezi podniky </w:t>
      </w:r>
      <w:r w:rsidR="001F0A26">
        <w:rPr>
          <w:rFonts w:cs="Arial"/>
          <w:i/>
        </w:rPr>
        <w:t>pod zahraniční kontrolou</w:t>
      </w:r>
      <w:r>
        <w:rPr>
          <w:rFonts w:cs="Arial"/>
        </w:rPr>
        <w:t xml:space="preserve"> bylo</w:t>
      </w:r>
      <w:r w:rsidR="00C53D61">
        <w:rPr>
          <w:rFonts w:cs="Arial"/>
        </w:rPr>
        <w:t xml:space="preserve"> těch s</w:t>
      </w:r>
      <w:r w:rsidR="00C870F8">
        <w:rPr>
          <w:rFonts w:cs="Arial"/>
        </w:rPr>
        <w:t> </w:t>
      </w:r>
      <w:r w:rsidR="00C53D61">
        <w:rPr>
          <w:rFonts w:cs="Arial"/>
        </w:rPr>
        <w:t>10</w:t>
      </w:r>
      <w:r w:rsidR="00C870F8">
        <w:rPr>
          <w:rFonts w:cs="Arial"/>
        </w:rPr>
        <w:t>–</w:t>
      </w:r>
      <w:r w:rsidR="00C53D61">
        <w:rPr>
          <w:rFonts w:cs="Arial"/>
        </w:rPr>
        <w:t>19 zaměstnanci jen 22,5 % a těch s</w:t>
      </w:r>
      <w:r w:rsidR="00C870F8">
        <w:rPr>
          <w:rFonts w:cs="Arial"/>
        </w:rPr>
        <w:t> </w:t>
      </w:r>
      <w:r w:rsidR="00C53D61">
        <w:rPr>
          <w:rFonts w:cs="Arial"/>
        </w:rPr>
        <w:t>20</w:t>
      </w:r>
      <w:r w:rsidR="00C870F8">
        <w:rPr>
          <w:rFonts w:cs="Arial"/>
        </w:rPr>
        <w:t>–</w:t>
      </w:r>
      <w:r w:rsidR="00C53D61">
        <w:rPr>
          <w:rFonts w:cs="Arial"/>
        </w:rPr>
        <w:t xml:space="preserve">49 zaměstnanci 27,5 %. </w:t>
      </w:r>
      <w:r w:rsidR="00A11F85">
        <w:rPr>
          <w:rFonts w:cs="Arial"/>
        </w:rPr>
        <w:t xml:space="preserve">Dále, zatímco v podnicích zaměřených na </w:t>
      </w:r>
      <w:r w:rsidR="00A11F85" w:rsidRPr="007A28CF">
        <w:rPr>
          <w:rFonts w:cs="Arial"/>
          <w:i/>
        </w:rPr>
        <w:t>ubytování, stravování a pohostinství</w:t>
      </w:r>
      <w:r>
        <w:rPr>
          <w:rFonts w:cs="Arial"/>
        </w:rPr>
        <w:t xml:space="preserve"> bylo</w:t>
      </w:r>
      <w:r w:rsidR="00A11F85">
        <w:rPr>
          <w:rFonts w:cs="Arial"/>
        </w:rPr>
        <w:t xml:space="preserve"> 63,9 % podniků s 10-19 zaměstnanci a dalších 29,2 % podniků s</w:t>
      </w:r>
      <w:r w:rsidR="00C870F8">
        <w:rPr>
          <w:rFonts w:cs="Arial"/>
        </w:rPr>
        <w:t> </w:t>
      </w:r>
      <w:r w:rsidR="00A11F85">
        <w:rPr>
          <w:rFonts w:cs="Arial"/>
        </w:rPr>
        <w:t>20</w:t>
      </w:r>
      <w:r w:rsidR="00C870F8">
        <w:rPr>
          <w:rFonts w:cs="Arial"/>
        </w:rPr>
        <w:t>–</w:t>
      </w:r>
      <w:r w:rsidR="00A11F85">
        <w:rPr>
          <w:rFonts w:cs="Arial"/>
        </w:rPr>
        <w:t xml:space="preserve">49 zaměstnanci, mezi podniky věnujícími se </w:t>
      </w:r>
      <w:r w:rsidR="00A11F85" w:rsidRPr="007A28CF">
        <w:rPr>
          <w:rFonts w:cs="Arial"/>
          <w:i/>
        </w:rPr>
        <w:t>činnostmi v oblasti nemovitostí a administrativní a podpůrné činnosti</w:t>
      </w:r>
      <w:r w:rsidR="00C53D61">
        <w:rPr>
          <w:rFonts w:cs="Arial"/>
        </w:rPr>
        <w:t xml:space="preserve"> </w:t>
      </w:r>
      <w:r>
        <w:rPr>
          <w:rFonts w:cs="Arial"/>
        </w:rPr>
        <w:t>b</w:t>
      </w:r>
      <w:r w:rsidR="00A11F85">
        <w:rPr>
          <w:rFonts w:cs="Arial"/>
        </w:rPr>
        <w:t>yla jen cca třetina podniků s</w:t>
      </w:r>
      <w:r w:rsidR="00C870F8">
        <w:rPr>
          <w:rFonts w:cs="Arial"/>
        </w:rPr>
        <w:t> </w:t>
      </w:r>
      <w:r w:rsidR="00A11F85">
        <w:rPr>
          <w:rFonts w:cs="Arial"/>
        </w:rPr>
        <w:t>10</w:t>
      </w:r>
      <w:r w:rsidR="00C870F8">
        <w:rPr>
          <w:rFonts w:cs="Arial"/>
        </w:rPr>
        <w:t>–</w:t>
      </w:r>
      <w:r w:rsidR="00A11F85">
        <w:rPr>
          <w:rFonts w:cs="Arial"/>
        </w:rPr>
        <w:t>19 zaměstnanci (35,6 %) a další třetina (33,3 %) čítala 20</w:t>
      </w:r>
      <w:r w:rsidR="00C870F8">
        <w:rPr>
          <w:rFonts w:cs="Arial"/>
        </w:rPr>
        <w:t>–</w:t>
      </w:r>
      <w:r w:rsidR="00A11F85">
        <w:rPr>
          <w:rFonts w:cs="Arial"/>
        </w:rPr>
        <w:t xml:space="preserve">49 zaměstnanců. Nakonec, zatímco mezi podniky věnující se </w:t>
      </w:r>
      <w:r w:rsidR="00A11F85" w:rsidRPr="007A28CF">
        <w:rPr>
          <w:rFonts w:cs="Arial"/>
          <w:i/>
        </w:rPr>
        <w:t>peněžnictví a pojišťovnictví</w:t>
      </w:r>
      <w:r w:rsidR="00A11F85">
        <w:rPr>
          <w:rFonts w:cs="Arial"/>
        </w:rPr>
        <w:t xml:space="preserve"> bylo 45,3 % podniků </w:t>
      </w:r>
      <w:r w:rsidR="004128AC">
        <w:rPr>
          <w:rFonts w:cs="Arial"/>
        </w:rPr>
        <w:lastRenderedPageBreak/>
        <w:t>pod zahraniční kontrolou</w:t>
      </w:r>
      <w:r w:rsidR="00A11F85">
        <w:rPr>
          <w:rFonts w:cs="Arial"/>
        </w:rPr>
        <w:t xml:space="preserve">, mezi podniky v oblasti </w:t>
      </w:r>
      <w:r w:rsidR="00A11F85" w:rsidRPr="007A28CF">
        <w:rPr>
          <w:rFonts w:cs="Arial"/>
          <w:i/>
        </w:rPr>
        <w:t xml:space="preserve">stavebnictví </w:t>
      </w:r>
      <w:r w:rsidR="00A11F85">
        <w:rPr>
          <w:rFonts w:cs="Arial"/>
        </w:rPr>
        <w:t>jich bylo jen 3,5 %</w:t>
      </w:r>
      <w:r>
        <w:rPr>
          <w:rFonts w:cs="Arial"/>
        </w:rPr>
        <w:t xml:space="preserve"> a mezi podniky zaměřené na </w:t>
      </w:r>
      <w:r w:rsidRPr="002B4EA6">
        <w:rPr>
          <w:rFonts w:cs="Arial"/>
          <w:i/>
        </w:rPr>
        <w:t>ubytování, stravování a pohostinství</w:t>
      </w:r>
      <w:r>
        <w:rPr>
          <w:rFonts w:cs="Arial"/>
        </w:rPr>
        <w:t xml:space="preserve"> 4,1 %. Vlivy jednotlivých třídících proměnných se tedy vzájemně prolínají. </w:t>
      </w:r>
    </w:p>
    <w:p w:rsidR="00D90A66" w:rsidRDefault="00D90A66" w:rsidP="00F843A5">
      <w:pPr>
        <w:contextualSpacing/>
        <w:jc w:val="both"/>
        <w:rPr>
          <w:rFonts w:cs="Arial"/>
        </w:rPr>
      </w:pPr>
    </w:p>
    <w:p w:rsidR="003E214A" w:rsidRDefault="003E214A" w:rsidP="00F843A5">
      <w:pPr>
        <w:contextualSpacing/>
        <w:jc w:val="both"/>
        <w:rPr>
          <w:rFonts w:cs="Arial"/>
        </w:rPr>
      </w:pPr>
    </w:p>
    <w:p w:rsidR="003E214A" w:rsidRPr="00D90A66" w:rsidRDefault="00D07254" w:rsidP="00F54F37">
      <w:pPr>
        <w:keepNext/>
        <w:contextualSpacing/>
        <w:jc w:val="both"/>
        <w:rPr>
          <w:rFonts w:cs="Arial"/>
          <w:b/>
          <w:color w:val="C00000"/>
          <w:sz w:val="24"/>
        </w:rPr>
      </w:pPr>
      <w:r>
        <w:rPr>
          <w:rFonts w:cs="Arial"/>
          <w:b/>
          <w:color w:val="C00000"/>
          <w:sz w:val="24"/>
        </w:rPr>
        <w:t>A</w:t>
      </w:r>
      <w:r w:rsidR="00F53B9C">
        <w:rPr>
          <w:rFonts w:cs="Arial"/>
          <w:b/>
          <w:color w:val="C00000"/>
          <w:sz w:val="24"/>
        </w:rPr>
        <w:t>becední seznam</w:t>
      </w:r>
      <w:r w:rsidR="00D90A66" w:rsidRPr="00D90A66">
        <w:rPr>
          <w:rFonts w:cs="Arial"/>
          <w:b/>
          <w:color w:val="C00000"/>
          <w:sz w:val="24"/>
        </w:rPr>
        <w:t xml:space="preserve"> pojmů</w:t>
      </w:r>
    </w:p>
    <w:p w:rsidR="00116EAC" w:rsidRDefault="00116EAC" w:rsidP="0088197D">
      <w:pPr>
        <w:keepNext/>
        <w:spacing w:after="0"/>
      </w:pPr>
    </w:p>
    <w:tbl>
      <w:tblPr>
        <w:tblW w:w="9229" w:type="dxa"/>
        <w:tblInd w:w="55" w:type="dxa"/>
        <w:tblBorders>
          <w:top w:val="single" w:sz="4" w:space="0" w:color="943634"/>
          <w:bottom w:val="single" w:sz="4" w:space="0" w:color="943634"/>
          <w:insideH w:val="single" w:sz="4" w:space="0" w:color="943634"/>
        </w:tblBorders>
        <w:tblLayout w:type="fixed"/>
        <w:tblCellMar>
          <w:top w:w="113" w:type="dxa"/>
          <w:left w:w="70" w:type="dxa"/>
          <w:bottom w:w="113" w:type="dxa"/>
          <w:right w:w="70" w:type="dxa"/>
        </w:tblCellMar>
        <w:tblLook w:val="04A0" w:firstRow="1" w:lastRow="0" w:firstColumn="1" w:lastColumn="0" w:noHBand="0" w:noVBand="1"/>
      </w:tblPr>
      <w:tblGrid>
        <w:gridCol w:w="2425"/>
        <w:gridCol w:w="6804"/>
      </w:tblGrid>
      <w:tr w:rsidR="003E0DB0" w:rsidRPr="00BA121F" w:rsidTr="00940833">
        <w:trPr>
          <w:trHeight w:val="300"/>
        </w:trPr>
        <w:tc>
          <w:tcPr>
            <w:tcW w:w="2425" w:type="dxa"/>
            <w:shd w:val="clear" w:color="auto" w:fill="auto"/>
            <w:hideMark/>
          </w:tcPr>
          <w:p w:rsidR="003E0DB0" w:rsidRPr="00BA121F" w:rsidRDefault="00116EAC" w:rsidP="007A28CF">
            <w:pPr>
              <w:spacing w:after="0"/>
              <w:outlineLvl w:val="3"/>
              <w:rPr>
                <w:b/>
                <w:bCs/>
                <w:iCs/>
                <w:color w:val="BC091B"/>
              </w:rPr>
            </w:pPr>
            <w:bookmarkStart w:id="6" w:name="_Absolvent"/>
            <w:bookmarkEnd w:id="6"/>
            <w:r w:rsidRPr="00116EAC">
              <w:rPr>
                <w:b/>
                <w:bCs/>
                <w:iCs/>
                <w:color w:val="BC091B"/>
              </w:rPr>
              <w:t>Externí kurz/školení</w:t>
            </w:r>
          </w:p>
        </w:tc>
        <w:tc>
          <w:tcPr>
            <w:tcW w:w="6804" w:type="dxa"/>
            <w:shd w:val="clear" w:color="auto" w:fill="auto"/>
            <w:vAlign w:val="center"/>
            <w:hideMark/>
          </w:tcPr>
          <w:p w:rsidR="00D46B86" w:rsidRDefault="00116EAC" w:rsidP="00D46B86">
            <w:pPr>
              <w:spacing w:after="120" w:line="240" w:lineRule="auto"/>
              <w:jc w:val="both"/>
              <w:rPr>
                <w:rFonts w:cs="Arial"/>
                <w:szCs w:val="20"/>
              </w:rPr>
            </w:pPr>
            <w:r w:rsidRPr="00116EAC">
              <w:rPr>
                <w:rFonts w:cs="Arial"/>
                <w:szCs w:val="20"/>
              </w:rPr>
              <w:t>U kurzů/školení rozlišujeme mezi interními a externími kurzy/školeními, přičemž místo konání kurzu není rozho</w:t>
            </w:r>
            <w:r w:rsidR="0088197D">
              <w:rPr>
                <w:rFonts w:cs="Arial"/>
                <w:szCs w:val="20"/>
              </w:rPr>
              <w:t xml:space="preserve">dující.  </w:t>
            </w:r>
          </w:p>
          <w:p w:rsidR="003E0DB0" w:rsidRPr="00BA121F" w:rsidRDefault="0088197D" w:rsidP="007A28CF">
            <w:pPr>
              <w:spacing w:after="0" w:line="240" w:lineRule="auto"/>
              <w:jc w:val="both"/>
              <w:rPr>
                <w:rFonts w:cs="Arial"/>
                <w:iCs/>
                <w:szCs w:val="20"/>
              </w:rPr>
            </w:pPr>
            <w:r>
              <w:rPr>
                <w:rFonts w:cs="Arial"/>
                <w:szCs w:val="20"/>
              </w:rPr>
              <w:t>Externí kurz/školení z </w:t>
            </w:r>
            <w:r w:rsidR="00116EAC" w:rsidRPr="00116EAC">
              <w:rPr>
                <w:rFonts w:cs="Arial"/>
                <w:szCs w:val="20"/>
              </w:rPr>
              <w:t>podstatné části plánuje a řídí "třetí strana" neboli organizace, která není součástí daného podniku. V tomto případě podnik nemá př</w:t>
            </w:r>
            <w:r w:rsidR="002D0DAC">
              <w:rPr>
                <w:rFonts w:cs="Arial"/>
                <w:szCs w:val="20"/>
              </w:rPr>
              <w:t xml:space="preserve">ímou odpovědnost za jeho obsah, </w:t>
            </w:r>
            <w:r w:rsidR="00116EAC" w:rsidRPr="00116EAC">
              <w:rPr>
                <w:rFonts w:cs="Arial"/>
                <w:szCs w:val="20"/>
              </w:rPr>
              <w:t xml:space="preserve"> podnik si pouze dané vzdělávání pro zaměstnance vybere a objedná/zaplatí.</w:t>
            </w:r>
          </w:p>
        </w:tc>
      </w:tr>
      <w:tr w:rsidR="003E0DB0" w:rsidRPr="00BA121F" w:rsidTr="00940833">
        <w:trPr>
          <w:trHeight w:val="759"/>
        </w:trPr>
        <w:tc>
          <w:tcPr>
            <w:tcW w:w="2425" w:type="dxa"/>
            <w:shd w:val="clear" w:color="auto" w:fill="auto"/>
            <w:hideMark/>
          </w:tcPr>
          <w:p w:rsidR="003E0DB0" w:rsidRPr="00BA121F" w:rsidRDefault="0088197D" w:rsidP="007A28CF">
            <w:pPr>
              <w:spacing w:after="0"/>
              <w:outlineLvl w:val="3"/>
              <w:rPr>
                <w:b/>
                <w:bCs/>
                <w:iCs/>
                <w:color w:val="BC091B"/>
              </w:rPr>
            </w:pPr>
            <w:r>
              <w:rPr>
                <w:b/>
                <w:bCs/>
                <w:iCs/>
                <w:color w:val="BC091B"/>
              </w:rPr>
              <w:t>Hodiny</w:t>
            </w:r>
            <w:r w:rsidR="00116EAC" w:rsidRPr="00116EAC">
              <w:rPr>
                <w:b/>
                <w:bCs/>
                <w:iCs/>
                <w:color w:val="BC091B"/>
              </w:rPr>
              <w:t xml:space="preserve"> placené pracovní doby strávené v kurzech/školeních</w:t>
            </w:r>
          </w:p>
        </w:tc>
        <w:tc>
          <w:tcPr>
            <w:tcW w:w="6804" w:type="dxa"/>
            <w:shd w:val="clear" w:color="auto" w:fill="auto"/>
            <w:vAlign w:val="center"/>
            <w:hideMark/>
          </w:tcPr>
          <w:p w:rsidR="003E0DB0" w:rsidRPr="00BA121F" w:rsidRDefault="00116EAC" w:rsidP="007A28CF">
            <w:pPr>
              <w:spacing w:after="0" w:line="240" w:lineRule="auto"/>
              <w:jc w:val="both"/>
              <w:rPr>
                <w:rFonts w:cs="Arial"/>
                <w:szCs w:val="20"/>
              </w:rPr>
            </w:pPr>
            <w:r w:rsidRPr="00116EAC">
              <w:rPr>
                <w:rFonts w:cs="Arial"/>
                <w:szCs w:val="20"/>
              </w:rPr>
              <w:t xml:space="preserve">Počet hodin strávených vzděláváním v kurzech/školeních </w:t>
            </w:r>
            <w:r w:rsidR="0011470C">
              <w:rPr>
                <w:rFonts w:cs="Arial"/>
                <w:szCs w:val="20"/>
              </w:rPr>
              <w:t>za</w:t>
            </w:r>
            <w:r w:rsidR="0088197D">
              <w:rPr>
                <w:rFonts w:cs="Arial"/>
                <w:szCs w:val="20"/>
              </w:rPr>
              <w:t>h</w:t>
            </w:r>
            <w:r w:rsidR="0011470C">
              <w:rPr>
                <w:rFonts w:cs="Arial"/>
                <w:szCs w:val="20"/>
              </w:rPr>
              <w:t>r</w:t>
            </w:r>
            <w:r w:rsidR="0088197D">
              <w:rPr>
                <w:rFonts w:cs="Arial"/>
                <w:szCs w:val="20"/>
              </w:rPr>
              <w:t>nuje</w:t>
            </w:r>
            <w:r w:rsidRPr="00116EAC">
              <w:rPr>
                <w:rFonts w:cs="Arial"/>
                <w:szCs w:val="20"/>
              </w:rPr>
              <w:t xml:space="preserve"> pouze skutečnou dobu vzdělávání, a to v rámci placeného pracovního času. Nepatří sem např. přestávky mezi jednotlivými lekcemi či školeními, které zaměstnanec věnoval své běžné práci, ani doba strávená dopravou na místo vzdělávání. Pokud se některé kurzy/školení konaly částečně i v jiném roce, započítává se pouze účast v roce 2020.</w:t>
            </w:r>
          </w:p>
        </w:tc>
      </w:tr>
      <w:tr w:rsidR="003E0DB0" w:rsidRPr="00BA121F" w:rsidTr="00940833">
        <w:trPr>
          <w:trHeight w:val="759"/>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t>Interní kurz/školení</w:t>
            </w:r>
          </w:p>
        </w:tc>
        <w:tc>
          <w:tcPr>
            <w:tcW w:w="6804" w:type="dxa"/>
            <w:shd w:val="clear" w:color="auto" w:fill="auto"/>
            <w:vAlign w:val="center"/>
            <w:hideMark/>
          </w:tcPr>
          <w:p w:rsidR="00104C98" w:rsidRDefault="00D90A66" w:rsidP="007A28CF">
            <w:pPr>
              <w:spacing w:after="0" w:line="240" w:lineRule="auto"/>
              <w:jc w:val="both"/>
              <w:rPr>
                <w:rFonts w:cs="Arial"/>
                <w:szCs w:val="20"/>
              </w:rPr>
            </w:pPr>
            <w:r w:rsidRPr="00D90A66">
              <w:rPr>
                <w:rFonts w:cs="Arial"/>
                <w:szCs w:val="20"/>
              </w:rPr>
              <w:t xml:space="preserve">U kurzů/školení rozlišujeme mezi interními a externími kurzy/školeními, přičemž místo </w:t>
            </w:r>
            <w:r w:rsidR="0088197D">
              <w:rPr>
                <w:rFonts w:cs="Arial"/>
                <w:szCs w:val="20"/>
              </w:rPr>
              <w:t xml:space="preserve">konání kurzu není rozhodující. </w:t>
            </w:r>
          </w:p>
          <w:p w:rsidR="00104C98" w:rsidRPr="00104C98" w:rsidRDefault="00104C98" w:rsidP="007A28CF">
            <w:pPr>
              <w:spacing w:after="0" w:line="240" w:lineRule="auto"/>
              <w:jc w:val="both"/>
              <w:rPr>
                <w:rFonts w:cs="Arial"/>
                <w:sz w:val="12"/>
                <w:szCs w:val="12"/>
              </w:rPr>
            </w:pPr>
          </w:p>
          <w:p w:rsidR="003E0DB0" w:rsidRPr="00BA121F" w:rsidRDefault="0088197D" w:rsidP="007A28CF">
            <w:pPr>
              <w:spacing w:after="0" w:line="240" w:lineRule="auto"/>
              <w:jc w:val="both"/>
              <w:rPr>
                <w:rFonts w:cs="Arial"/>
                <w:szCs w:val="20"/>
              </w:rPr>
            </w:pPr>
            <w:r>
              <w:rPr>
                <w:rFonts w:cs="Arial"/>
                <w:szCs w:val="20"/>
              </w:rPr>
              <w:t>Interní kurz/školení z </w:t>
            </w:r>
            <w:r w:rsidR="00D90A66" w:rsidRPr="00D90A66">
              <w:rPr>
                <w:rFonts w:cs="Arial"/>
                <w:szCs w:val="20"/>
              </w:rPr>
              <w:t>podstatné části plánuje a řídí sám podnik, který má též odpovědnost za jeho obsah.</w:t>
            </w:r>
          </w:p>
        </w:tc>
      </w:tr>
      <w:tr w:rsidR="003E0DB0" w:rsidRPr="00BA121F" w:rsidTr="00940833">
        <w:trPr>
          <w:trHeight w:val="759"/>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t xml:space="preserve">Jiné formy </w:t>
            </w:r>
            <w:r>
              <w:rPr>
                <w:b/>
                <w:bCs/>
                <w:iCs/>
                <w:color w:val="BC091B"/>
              </w:rPr>
              <w:t xml:space="preserve">vzdělávání </w:t>
            </w:r>
            <w:r w:rsidRPr="00D90A66">
              <w:rPr>
                <w:b/>
                <w:bCs/>
                <w:iCs/>
                <w:color w:val="BC091B"/>
              </w:rPr>
              <w:t>než kurzy/školení</w:t>
            </w:r>
          </w:p>
        </w:tc>
        <w:tc>
          <w:tcPr>
            <w:tcW w:w="6804" w:type="dxa"/>
            <w:shd w:val="clear" w:color="auto" w:fill="auto"/>
            <w:vAlign w:val="center"/>
            <w:hideMark/>
          </w:tcPr>
          <w:p w:rsidR="00D46B86" w:rsidRDefault="00D90A66" w:rsidP="00D46B86">
            <w:pPr>
              <w:spacing w:after="120" w:line="240" w:lineRule="auto"/>
              <w:jc w:val="both"/>
              <w:rPr>
                <w:rFonts w:cs="Arial"/>
                <w:szCs w:val="20"/>
              </w:rPr>
            </w:pPr>
            <w:r w:rsidRPr="00D90A66">
              <w:rPr>
                <w:rFonts w:cs="Arial"/>
                <w:szCs w:val="20"/>
              </w:rPr>
              <w:t xml:space="preserve">Jiné formy než kurzy/školení jsou do vzdělávání zaměstnanců zahrnuty pouze tehdy, jsou-li plánovány předem a hlavním záměrem zaměstnance, který se jich účastní, je něco se naučit. </w:t>
            </w:r>
          </w:p>
          <w:p w:rsidR="00D46B86" w:rsidRDefault="00D90A66" w:rsidP="00D46B86">
            <w:pPr>
              <w:spacing w:after="120" w:line="240" w:lineRule="auto"/>
              <w:jc w:val="both"/>
              <w:rPr>
                <w:rFonts w:cs="Arial"/>
                <w:szCs w:val="20"/>
              </w:rPr>
            </w:pPr>
            <w:r w:rsidRPr="00D90A66">
              <w:rPr>
                <w:rFonts w:cs="Arial"/>
                <w:szCs w:val="20"/>
              </w:rPr>
              <w:t xml:space="preserve">Většinou se jedná o vzdělávání formou zaškolování či instruktáží pro jednoho až pět pracovníků orientované na pracovní činnosti na konkrétním pracovišti za použití běžných pracovních nástrojů, kdy obsah vzdělávání bývá přizpůsoben individuálním potřebám vzdělávaných osob. Vzdělávaná osoba (či více osob) mívá také zpravidla možnost si do určité míry samostatně určovat čas, místo a obsah vzdělávání. </w:t>
            </w:r>
          </w:p>
          <w:p w:rsidR="00D46B86" w:rsidRDefault="00D90A66" w:rsidP="00D46B86">
            <w:pPr>
              <w:spacing w:after="120" w:line="240" w:lineRule="auto"/>
              <w:jc w:val="both"/>
              <w:rPr>
                <w:rFonts w:cs="Arial"/>
                <w:szCs w:val="20"/>
              </w:rPr>
            </w:pPr>
            <w:r w:rsidRPr="00D90A66">
              <w:rPr>
                <w:rFonts w:cs="Arial"/>
                <w:szCs w:val="20"/>
              </w:rPr>
              <w:t xml:space="preserve">Kromě zaškolování a instruktáží sem patří např. také účast na konferencích či veletrzích s cílem něco se naučit. </w:t>
            </w:r>
          </w:p>
          <w:p w:rsidR="003E0DB0" w:rsidRPr="00BA121F" w:rsidRDefault="00D90A66" w:rsidP="007A28CF">
            <w:pPr>
              <w:spacing w:after="0" w:line="240" w:lineRule="auto"/>
              <w:jc w:val="both"/>
              <w:rPr>
                <w:rFonts w:cs="Arial"/>
                <w:szCs w:val="20"/>
              </w:rPr>
            </w:pPr>
            <w:r w:rsidRPr="00D90A66">
              <w:rPr>
                <w:rFonts w:cs="Arial"/>
                <w:szCs w:val="20"/>
              </w:rPr>
              <w:t>Zvláštní formou vzdělávání zaměstnanců je i samostudium, není-li ovšem podnikáno za účelem osvojit si učivo či dovednosti probírané v rámci kurzu/školení.</w:t>
            </w:r>
          </w:p>
        </w:tc>
      </w:tr>
      <w:tr w:rsidR="003E0DB0" w:rsidRPr="00BA121F" w:rsidTr="00940833">
        <w:trPr>
          <w:trHeight w:val="620"/>
        </w:trPr>
        <w:tc>
          <w:tcPr>
            <w:tcW w:w="2425" w:type="dxa"/>
            <w:shd w:val="clear" w:color="auto" w:fill="auto"/>
            <w:hideMark/>
          </w:tcPr>
          <w:p w:rsidR="003E0DB0" w:rsidRPr="00BA121F" w:rsidRDefault="00D90A66" w:rsidP="007A28CF">
            <w:pPr>
              <w:spacing w:before="40" w:after="0" w:line="240" w:lineRule="auto"/>
              <w:outlineLvl w:val="3"/>
              <w:rPr>
                <w:b/>
                <w:bCs/>
                <w:iCs/>
                <w:color w:val="BC091B"/>
              </w:rPr>
            </w:pPr>
            <w:r w:rsidRPr="00D90A66">
              <w:rPr>
                <w:b/>
                <w:bCs/>
                <w:iCs/>
                <w:color w:val="BC091B"/>
              </w:rPr>
              <w:t>Kurzy/školení</w:t>
            </w:r>
          </w:p>
        </w:tc>
        <w:tc>
          <w:tcPr>
            <w:tcW w:w="6804" w:type="dxa"/>
            <w:shd w:val="clear" w:color="auto" w:fill="auto"/>
            <w:vAlign w:val="center"/>
            <w:hideMark/>
          </w:tcPr>
          <w:p w:rsidR="00D46B86" w:rsidRDefault="00D90A66" w:rsidP="00D46B86">
            <w:pPr>
              <w:spacing w:before="40" w:after="120" w:line="240" w:lineRule="auto"/>
              <w:jc w:val="both"/>
              <w:rPr>
                <w:rFonts w:cs="Arial"/>
                <w:szCs w:val="20"/>
              </w:rPr>
            </w:pPr>
            <w:r w:rsidRPr="00D90A66">
              <w:rPr>
                <w:rFonts w:cs="Arial"/>
                <w:szCs w:val="20"/>
              </w:rPr>
              <w:t xml:space="preserve">Kurzy/školení se vyznačují vysokým stupněm organizace (z hlediska času, prostoru a obsahu) ze strany školitele či vzdělávací instituce. Obsah kurzů/školení je předem připraven pro charakteristickou cílovou skupinu osob, např. podle vymezených učebních osnov, a místo konání je většinou zřetelně oddělené od pracoviště (odehrává se v prostorách speciálně určených pro vzdělávání, jako jsou učebny nebo vzdělávací centra). </w:t>
            </w:r>
          </w:p>
          <w:p w:rsidR="003E0DB0" w:rsidRPr="00191019" w:rsidRDefault="00D90A66" w:rsidP="007A28CF">
            <w:pPr>
              <w:spacing w:before="40" w:after="0" w:line="240" w:lineRule="auto"/>
              <w:jc w:val="both"/>
              <w:rPr>
                <w:rFonts w:cs="Arial"/>
                <w:szCs w:val="20"/>
              </w:rPr>
            </w:pPr>
            <w:r w:rsidRPr="00D90A66">
              <w:rPr>
                <w:rFonts w:cs="Arial"/>
                <w:szCs w:val="20"/>
              </w:rPr>
              <w:t>Patří sem např. povinné školení BOZP</w:t>
            </w:r>
            <w:r w:rsidR="0013090C">
              <w:rPr>
                <w:rFonts w:cs="Arial"/>
                <w:szCs w:val="20"/>
              </w:rPr>
              <w:t xml:space="preserve"> a PO</w:t>
            </w:r>
            <w:r w:rsidRPr="00D90A66">
              <w:rPr>
                <w:rFonts w:cs="Arial"/>
                <w:szCs w:val="20"/>
              </w:rPr>
              <w:t>, počítačové či jazykové kurzy, kurzy zaměřené na komunikační dovednosti, rekvalifikační kurzy, vzdělávání na vysokých školách, příp. jiné jasně strukturované vzdělávání zvyšující kvalifikaci či rozšiřující dovednosti zaměstnanců určitého oboru.</w:t>
            </w:r>
          </w:p>
        </w:tc>
      </w:tr>
      <w:tr w:rsidR="00F53B9C" w:rsidRPr="00BA121F" w:rsidTr="00F53B9C">
        <w:trPr>
          <w:trHeight w:val="620"/>
        </w:trPr>
        <w:tc>
          <w:tcPr>
            <w:tcW w:w="2425" w:type="dxa"/>
            <w:shd w:val="clear" w:color="auto" w:fill="auto"/>
          </w:tcPr>
          <w:p w:rsidR="00F53B9C" w:rsidRPr="00D90A66" w:rsidRDefault="00F53B9C" w:rsidP="007A28CF">
            <w:pPr>
              <w:spacing w:before="40" w:after="0" w:line="240" w:lineRule="auto"/>
              <w:outlineLvl w:val="3"/>
              <w:rPr>
                <w:b/>
                <w:bCs/>
                <w:iCs/>
                <w:color w:val="BC091B"/>
              </w:rPr>
            </w:pPr>
            <w:r>
              <w:rPr>
                <w:b/>
                <w:bCs/>
                <w:iCs/>
                <w:color w:val="BC091B"/>
              </w:rPr>
              <w:t>Nepovinné vzdělávání</w:t>
            </w:r>
          </w:p>
        </w:tc>
        <w:tc>
          <w:tcPr>
            <w:tcW w:w="6804" w:type="dxa"/>
            <w:shd w:val="clear" w:color="auto" w:fill="auto"/>
          </w:tcPr>
          <w:p w:rsidR="00F53B9C" w:rsidRPr="00D90A66" w:rsidRDefault="00F53B9C" w:rsidP="00F53B9C">
            <w:pPr>
              <w:spacing w:after="0" w:line="240" w:lineRule="auto"/>
              <w:jc w:val="both"/>
              <w:rPr>
                <w:rFonts w:cs="Arial"/>
                <w:szCs w:val="20"/>
              </w:rPr>
            </w:pPr>
            <w:r>
              <w:rPr>
                <w:rFonts w:cs="Arial"/>
                <w:szCs w:val="20"/>
              </w:rPr>
              <w:t xml:space="preserve">Vzdělávání, které není stanovené zákonem jako povinné (viz výklad pojmu „povinné vzdělávání“ níže). </w:t>
            </w:r>
          </w:p>
        </w:tc>
      </w:tr>
      <w:tr w:rsidR="003E0DB0" w:rsidRPr="00BA121F" w:rsidTr="00940833">
        <w:trPr>
          <w:trHeight w:val="2995"/>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lastRenderedPageBreak/>
              <w:t>Poskytování praktické výchovy žákům/studentům počátečního vzdělávání</w:t>
            </w:r>
          </w:p>
        </w:tc>
        <w:tc>
          <w:tcPr>
            <w:tcW w:w="6804" w:type="dxa"/>
            <w:shd w:val="clear" w:color="auto" w:fill="auto"/>
            <w:vAlign w:val="center"/>
            <w:hideMark/>
          </w:tcPr>
          <w:p w:rsidR="00D90A66" w:rsidRPr="0088197D" w:rsidRDefault="00D90A66" w:rsidP="00D46B86">
            <w:pPr>
              <w:spacing w:after="120" w:line="240" w:lineRule="auto"/>
              <w:jc w:val="both"/>
              <w:rPr>
                <w:rFonts w:cs="Arial"/>
                <w:szCs w:val="20"/>
              </w:rPr>
            </w:pPr>
            <w:r w:rsidRPr="0088197D">
              <w:rPr>
                <w:rFonts w:cs="Arial"/>
                <w:szCs w:val="20"/>
              </w:rPr>
              <w:t>Pro účely tohoto zjišťování je vymezeno následujícími podmínkami:</w:t>
            </w:r>
          </w:p>
          <w:p w:rsidR="00D90A66" w:rsidRDefault="00D90A66" w:rsidP="00D46B86">
            <w:pPr>
              <w:pStyle w:val="Odstavecseseznamem"/>
              <w:numPr>
                <w:ilvl w:val="0"/>
                <w:numId w:val="31"/>
              </w:numPr>
              <w:spacing w:after="120" w:line="240" w:lineRule="auto"/>
              <w:ind w:left="499" w:hanging="357"/>
              <w:jc w:val="both"/>
              <w:rPr>
                <w:rFonts w:ascii="Arial" w:hAnsi="Arial" w:cs="Arial"/>
                <w:sz w:val="20"/>
                <w:szCs w:val="20"/>
              </w:rPr>
            </w:pPr>
            <w:r w:rsidRPr="0088197D">
              <w:rPr>
                <w:rFonts w:ascii="Arial" w:hAnsi="Arial" w:cs="Arial"/>
                <w:sz w:val="20"/>
                <w:szCs w:val="20"/>
              </w:rPr>
              <w:t>Zahrnuje opatření a činnosti související se vzděláváním a pracovní výukou poskytovanou žákům/studentům na praxi, kterou získávají jakožto nedílnou složku své odborné přípravy na konkrétní povolání v</w:t>
            </w:r>
            <w:r w:rsidR="00314782">
              <w:rPr>
                <w:rFonts w:ascii="Arial" w:hAnsi="Arial" w:cs="Arial"/>
                <w:sz w:val="20"/>
                <w:szCs w:val="20"/>
              </w:rPr>
              <w:t> </w:t>
            </w:r>
            <w:r w:rsidRPr="0088197D">
              <w:rPr>
                <w:rFonts w:ascii="Arial" w:hAnsi="Arial" w:cs="Arial"/>
                <w:sz w:val="20"/>
                <w:szCs w:val="20"/>
              </w:rPr>
              <w:t xml:space="preserve">rámci formálního vzdělávání směřujícího k získání výučního listu či maturitní zkoušky, příp. v rámci vzdělávání na konzervatořích. </w:t>
            </w:r>
          </w:p>
          <w:p w:rsidR="00D46B86" w:rsidRPr="00D46B86" w:rsidRDefault="00D46B86" w:rsidP="00D46B86">
            <w:pPr>
              <w:pStyle w:val="Odstavecseseznamem"/>
              <w:spacing w:after="120" w:line="240" w:lineRule="auto"/>
              <w:ind w:left="499"/>
              <w:jc w:val="both"/>
              <w:rPr>
                <w:rFonts w:ascii="Arial" w:hAnsi="Arial" w:cs="Arial"/>
                <w:sz w:val="12"/>
                <w:szCs w:val="12"/>
              </w:rPr>
            </w:pPr>
          </w:p>
          <w:p w:rsidR="00D46B86" w:rsidRPr="00D46B86" w:rsidRDefault="00D90A66" w:rsidP="00D46B86">
            <w:pPr>
              <w:pStyle w:val="Odstavecseseznamem"/>
              <w:numPr>
                <w:ilvl w:val="0"/>
                <w:numId w:val="31"/>
              </w:numPr>
              <w:spacing w:after="120" w:line="240" w:lineRule="auto"/>
              <w:ind w:left="499" w:hanging="357"/>
              <w:jc w:val="both"/>
              <w:rPr>
                <w:rFonts w:ascii="Arial" w:hAnsi="Arial" w:cs="Arial"/>
                <w:sz w:val="20"/>
                <w:szCs w:val="20"/>
              </w:rPr>
            </w:pPr>
            <w:r w:rsidRPr="0088197D">
              <w:rPr>
                <w:rFonts w:ascii="Arial" w:hAnsi="Arial" w:cs="Arial"/>
                <w:sz w:val="20"/>
                <w:szCs w:val="20"/>
              </w:rPr>
              <w:t>Žáci/studenti dostávají za svou práci v rámci odborné praxe nějakou formu finanční a/nebo materiální odměny (ať již od podniku či od školy).</w:t>
            </w:r>
          </w:p>
          <w:p w:rsidR="00D46B86" w:rsidRPr="00D46B86" w:rsidRDefault="00D46B86" w:rsidP="00D46B86">
            <w:pPr>
              <w:pStyle w:val="Odstavecseseznamem"/>
              <w:spacing w:after="0" w:line="240" w:lineRule="auto"/>
              <w:ind w:left="501"/>
              <w:jc w:val="both"/>
              <w:rPr>
                <w:rFonts w:ascii="Arial" w:hAnsi="Arial" w:cs="Arial"/>
                <w:sz w:val="12"/>
                <w:szCs w:val="12"/>
              </w:rPr>
            </w:pPr>
          </w:p>
          <w:p w:rsidR="003E0DB0" w:rsidRPr="0088197D" w:rsidRDefault="00D90A66" w:rsidP="00314782">
            <w:pPr>
              <w:pStyle w:val="Odstavecseseznamem"/>
              <w:numPr>
                <w:ilvl w:val="0"/>
                <w:numId w:val="31"/>
              </w:numPr>
              <w:spacing w:after="0" w:line="240" w:lineRule="auto"/>
              <w:jc w:val="both"/>
              <w:rPr>
                <w:rFonts w:ascii="Arial" w:hAnsi="Arial" w:cs="Arial"/>
                <w:sz w:val="20"/>
                <w:szCs w:val="20"/>
              </w:rPr>
            </w:pPr>
            <w:r w:rsidRPr="0088197D">
              <w:rPr>
                <w:rFonts w:ascii="Arial" w:hAnsi="Arial" w:cs="Arial"/>
                <w:sz w:val="20"/>
                <w:szCs w:val="20"/>
              </w:rPr>
              <w:t>Podrobnosti o vykonávané praxi (např. o druhu činnosti, trvání praxe, požadovaných dovednostech, které si má žák/student osvojit, příp. o</w:t>
            </w:r>
            <w:r w:rsidR="00314782">
              <w:rPr>
                <w:rFonts w:ascii="Arial" w:hAnsi="Arial" w:cs="Arial"/>
                <w:sz w:val="20"/>
                <w:szCs w:val="20"/>
              </w:rPr>
              <w:t> </w:t>
            </w:r>
            <w:r w:rsidRPr="0088197D">
              <w:rPr>
                <w:rFonts w:ascii="Arial" w:hAnsi="Arial" w:cs="Arial"/>
                <w:sz w:val="20"/>
                <w:szCs w:val="20"/>
              </w:rPr>
              <w:t>odměně za vykonanou práci) jsou předmětem smlouvy či formální dohody buď přímo mezi podnikem a žákem/studentem na praxi, nebo mezi podnikem a vzdělávací institucí, která žáka/studenta na praxi vysílá.</w:t>
            </w:r>
          </w:p>
        </w:tc>
      </w:tr>
      <w:tr w:rsidR="003E0DB0" w:rsidRPr="00BA121F" w:rsidTr="00940833">
        <w:trPr>
          <w:trHeight w:val="300"/>
        </w:trPr>
        <w:tc>
          <w:tcPr>
            <w:tcW w:w="2425" w:type="dxa"/>
            <w:shd w:val="clear" w:color="auto" w:fill="auto"/>
            <w:hideMark/>
          </w:tcPr>
          <w:p w:rsidR="003E0DB0" w:rsidRPr="00BA121F" w:rsidRDefault="00D90A66" w:rsidP="007A28CF">
            <w:pPr>
              <w:spacing w:after="0"/>
              <w:outlineLvl w:val="3"/>
              <w:rPr>
                <w:b/>
                <w:bCs/>
                <w:iCs/>
                <w:color w:val="BC091B"/>
              </w:rPr>
            </w:pPr>
            <w:r>
              <w:rPr>
                <w:rFonts w:eastAsia="MS Gothic"/>
                <w:b/>
                <w:bCs/>
                <w:iCs/>
                <w:color w:val="BC091B"/>
              </w:rPr>
              <w:t xml:space="preserve">Poskytovatel </w:t>
            </w:r>
            <w:r w:rsidRPr="00D90A66">
              <w:rPr>
                <w:rFonts w:eastAsia="MS Gothic"/>
                <w:b/>
                <w:bCs/>
                <w:iCs/>
                <w:color w:val="BC091B"/>
              </w:rPr>
              <w:t xml:space="preserve">kurzu/školení </w:t>
            </w:r>
          </w:p>
        </w:tc>
        <w:tc>
          <w:tcPr>
            <w:tcW w:w="6804" w:type="dxa"/>
            <w:shd w:val="clear" w:color="auto" w:fill="auto"/>
            <w:vAlign w:val="center"/>
            <w:hideMark/>
          </w:tcPr>
          <w:p w:rsidR="003E0DB0" w:rsidRPr="00BA121F" w:rsidRDefault="00D90A66" w:rsidP="007A28CF">
            <w:pPr>
              <w:spacing w:after="0" w:line="240" w:lineRule="auto"/>
              <w:jc w:val="both"/>
              <w:rPr>
                <w:rFonts w:cs="Arial"/>
                <w:color w:val="000000"/>
                <w:szCs w:val="20"/>
              </w:rPr>
            </w:pPr>
            <w:r w:rsidRPr="00D90A66">
              <w:rPr>
                <w:rFonts w:cs="Arial"/>
                <w:color w:val="000000"/>
                <w:szCs w:val="20"/>
              </w:rPr>
              <w:t>Poskytovatelem kurzu/školení je myšlena instituce, která připravila obsah kurzu/školení a nese hlavní zodpovědnost za jeho realizaci (např. v případě rekvalifikací jím tedy není Úřad práce, ale nasmlouvaná instituce, která rekvalifikaci po odborné stránce zajistila).</w:t>
            </w:r>
          </w:p>
        </w:tc>
      </w:tr>
      <w:tr w:rsidR="003E0DB0" w:rsidRPr="00BA121F" w:rsidTr="00940833">
        <w:trPr>
          <w:trHeight w:val="300"/>
        </w:trPr>
        <w:tc>
          <w:tcPr>
            <w:tcW w:w="2425" w:type="dxa"/>
            <w:shd w:val="clear" w:color="auto" w:fill="auto"/>
            <w:hideMark/>
          </w:tcPr>
          <w:p w:rsidR="003E0DB0" w:rsidRPr="00BA121F" w:rsidRDefault="00D90A66" w:rsidP="007A28CF">
            <w:pPr>
              <w:spacing w:after="0"/>
              <w:outlineLvl w:val="3"/>
              <w:rPr>
                <w:rFonts w:eastAsia="MS Gothic"/>
                <w:b/>
                <w:bCs/>
                <w:iCs/>
                <w:color w:val="BC091B"/>
              </w:rPr>
            </w:pPr>
            <w:r w:rsidRPr="00D90A66">
              <w:rPr>
                <w:rFonts w:eastAsia="MS Gothic"/>
                <w:b/>
                <w:bCs/>
                <w:iCs/>
                <w:color w:val="BC091B"/>
              </w:rPr>
              <w:t>Povinné vzdělávání (ze zákona)</w:t>
            </w:r>
          </w:p>
        </w:tc>
        <w:tc>
          <w:tcPr>
            <w:tcW w:w="6804" w:type="dxa"/>
            <w:shd w:val="clear" w:color="auto" w:fill="auto"/>
            <w:vAlign w:val="center"/>
            <w:hideMark/>
          </w:tcPr>
          <w:p w:rsidR="00D90A66" w:rsidRDefault="00D90A66" w:rsidP="007A28CF">
            <w:pPr>
              <w:spacing w:after="0" w:line="240" w:lineRule="auto"/>
              <w:jc w:val="both"/>
              <w:rPr>
                <w:rFonts w:cs="Arial"/>
                <w:color w:val="000000"/>
                <w:szCs w:val="20"/>
              </w:rPr>
            </w:pPr>
            <w:r w:rsidRPr="00D90A66">
              <w:rPr>
                <w:rFonts w:cs="Arial"/>
                <w:color w:val="000000"/>
                <w:szCs w:val="20"/>
              </w:rPr>
              <w:t xml:space="preserve">Povinné vzdělávání zahrnuje pouze povinné vzdělávání v kurzech/školeních vyplývající ze zákonných norem a zaměřující se na tematiku ochrany zdraví a bezpečnosti práce. Zaměstnavatel musí zařídit, aby se zaměstnancům dostalo v této oblasti řádného proškolení. Tyto kurzy/školení bývají většinou (ale nikoliv nezbytně) přizpůsobeny specifickým podmínkám a potřebám příslušného pracoviště a zahrnují: </w:t>
            </w:r>
          </w:p>
          <w:p w:rsidR="00D46B86" w:rsidRPr="00D46B86" w:rsidRDefault="00D46B86" w:rsidP="007A28CF">
            <w:pPr>
              <w:spacing w:after="0" w:line="240" w:lineRule="auto"/>
              <w:jc w:val="both"/>
              <w:rPr>
                <w:rFonts w:cs="Arial"/>
                <w:color w:val="000000"/>
                <w:sz w:val="12"/>
                <w:szCs w:val="12"/>
              </w:rPr>
            </w:pPr>
          </w:p>
          <w:p w:rsidR="00D90A66" w:rsidRPr="00D90A66" w:rsidRDefault="00D90A66" w:rsidP="007A28CF">
            <w:pPr>
              <w:spacing w:after="0" w:line="240" w:lineRule="auto"/>
              <w:jc w:val="both"/>
              <w:rPr>
                <w:rFonts w:cs="Arial"/>
                <w:color w:val="000000"/>
                <w:szCs w:val="20"/>
              </w:rPr>
            </w:pPr>
            <w:r w:rsidRPr="00D90A66">
              <w:rPr>
                <w:rFonts w:cs="Arial"/>
                <w:color w:val="000000"/>
                <w:szCs w:val="20"/>
              </w:rPr>
              <w:t xml:space="preserve">1. Kurzy/školení, které jsou ze zákona povinné pro plnění některých (potenciálně) nebezpečných pracovních úkolů, např.: </w:t>
            </w:r>
          </w:p>
          <w:p w:rsidR="00D90A66" w:rsidRP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kurzy/školení zaměřené na řízení vysokozdvižných vozíků,</w:t>
            </w:r>
          </w:p>
          <w:p w:rsid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kurzy/školení zaměřené na prevenci, např. pravidelná školení či kurzy pro</w:t>
            </w:r>
          </w:p>
          <w:p w:rsidR="00D90A66" w:rsidRP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xml:space="preserve"> </w:t>
            </w:r>
            <w:r>
              <w:rPr>
                <w:rFonts w:cs="Arial"/>
                <w:color w:val="000000"/>
                <w:szCs w:val="20"/>
              </w:rPr>
              <w:t xml:space="preserve">  </w:t>
            </w:r>
            <w:r w:rsidRPr="00D90A66">
              <w:rPr>
                <w:rFonts w:cs="Arial"/>
                <w:color w:val="000000"/>
                <w:szCs w:val="20"/>
              </w:rPr>
              <w:t xml:space="preserve">závodní (podnikové) lékaře, </w:t>
            </w:r>
          </w:p>
          <w:p w:rsid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kurzy/školení pro pracovníky zabývající se profesně problematikou BOZP</w:t>
            </w:r>
          </w:p>
          <w:p w:rsid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xml:space="preserve"> či PO v podniku.</w:t>
            </w:r>
          </w:p>
          <w:p w:rsidR="00D46B86" w:rsidRPr="00D46B86" w:rsidRDefault="00D46B86" w:rsidP="007A28CF">
            <w:pPr>
              <w:spacing w:after="0" w:line="240" w:lineRule="auto"/>
              <w:jc w:val="both"/>
              <w:rPr>
                <w:rFonts w:cs="Arial"/>
                <w:color w:val="000000"/>
                <w:sz w:val="12"/>
                <w:szCs w:val="12"/>
              </w:rPr>
            </w:pPr>
          </w:p>
          <w:p w:rsidR="00D90A66" w:rsidRPr="00D90A66" w:rsidRDefault="00D90A66" w:rsidP="007A28CF">
            <w:pPr>
              <w:spacing w:after="0" w:line="240" w:lineRule="auto"/>
              <w:jc w:val="both"/>
              <w:rPr>
                <w:rFonts w:cs="Arial"/>
                <w:color w:val="000000"/>
                <w:szCs w:val="20"/>
              </w:rPr>
            </w:pPr>
            <w:r w:rsidRPr="00D90A66">
              <w:rPr>
                <w:rFonts w:cs="Arial"/>
                <w:color w:val="000000"/>
                <w:szCs w:val="20"/>
              </w:rPr>
              <w:t>2. Kurzy/školení zaměřené na ochranu zaměstnanců a jejich okolí, např.:</w:t>
            </w:r>
          </w:p>
          <w:p w:rsidR="00D90A66" w:rsidRP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vstupní školení BOZP pro nové pracovníky,</w:t>
            </w:r>
          </w:p>
          <w:p w:rsidR="00D90A66" w:rsidRP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požární cvičení pro zaměstnance,</w:t>
            </w:r>
          </w:p>
          <w:p w:rsidR="00D90A66"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kurzy/školení zaměřené na bezpečnost práce zdravotnického personálu</w:t>
            </w:r>
          </w:p>
          <w:p w:rsidR="003E0DB0" w:rsidRPr="00BA121F" w:rsidRDefault="00D90A66" w:rsidP="007A28CF">
            <w:pPr>
              <w:spacing w:after="0" w:line="240" w:lineRule="auto"/>
              <w:jc w:val="both"/>
              <w:rPr>
                <w:rFonts w:cs="Arial"/>
                <w:color w:val="000000"/>
                <w:szCs w:val="20"/>
              </w:rPr>
            </w:pPr>
            <w:r>
              <w:rPr>
                <w:rFonts w:cs="Arial"/>
                <w:color w:val="000000"/>
                <w:szCs w:val="20"/>
              </w:rPr>
              <w:t xml:space="preserve">   </w:t>
            </w:r>
            <w:r w:rsidRPr="00D90A66">
              <w:rPr>
                <w:rFonts w:cs="Arial"/>
                <w:color w:val="000000"/>
                <w:szCs w:val="20"/>
              </w:rPr>
              <w:t xml:space="preserve"> nebo zaměstnanců v laboratořích.</w:t>
            </w:r>
          </w:p>
        </w:tc>
      </w:tr>
      <w:tr w:rsidR="003E0DB0" w:rsidRPr="00BA121F" w:rsidTr="00940833">
        <w:trPr>
          <w:trHeight w:val="1071"/>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t>Profesní či sociální partneři</w:t>
            </w:r>
          </w:p>
        </w:tc>
        <w:tc>
          <w:tcPr>
            <w:tcW w:w="6804" w:type="dxa"/>
            <w:shd w:val="clear" w:color="auto" w:fill="auto"/>
            <w:vAlign w:val="center"/>
            <w:hideMark/>
          </w:tcPr>
          <w:p w:rsidR="00D46B86" w:rsidRDefault="00D90A66" w:rsidP="00D46B86">
            <w:pPr>
              <w:widowControl w:val="0"/>
              <w:autoSpaceDE w:val="0"/>
              <w:autoSpaceDN w:val="0"/>
              <w:adjustRightInd w:val="0"/>
              <w:spacing w:after="120" w:line="240" w:lineRule="auto"/>
              <w:jc w:val="both"/>
              <w:rPr>
                <w:rFonts w:cs="Arial"/>
                <w:color w:val="000000"/>
                <w:szCs w:val="20"/>
              </w:rPr>
            </w:pPr>
            <w:r w:rsidRPr="00D90A66">
              <w:rPr>
                <w:rFonts w:cs="Arial"/>
                <w:color w:val="000000"/>
                <w:szCs w:val="20"/>
              </w:rPr>
              <w:t xml:space="preserve">Profesní či sociální partneři jsou organizace reprezentující zaměstnavatele a zaměstnance (asociace zaměstnavatelů, odvětvové svazy a odborové organizace, jako je například Svaz průmyslu a obchodu, Hospodářská komora či Českomoravský odborový svaz apod.). </w:t>
            </w:r>
          </w:p>
          <w:p w:rsidR="00D90A66" w:rsidRPr="00D90A66" w:rsidRDefault="00D90A66" w:rsidP="00D46B86">
            <w:pPr>
              <w:widowControl w:val="0"/>
              <w:autoSpaceDE w:val="0"/>
              <w:autoSpaceDN w:val="0"/>
              <w:adjustRightInd w:val="0"/>
              <w:spacing w:after="120" w:line="240" w:lineRule="auto"/>
              <w:jc w:val="both"/>
              <w:rPr>
                <w:rFonts w:cs="Arial"/>
                <w:color w:val="000000"/>
                <w:szCs w:val="20"/>
              </w:rPr>
            </w:pPr>
            <w:r w:rsidRPr="00D90A66">
              <w:rPr>
                <w:rFonts w:cs="Arial"/>
                <w:color w:val="000000"/>
                <w:szCs w:val="20"/>
              </w:rPr>
              <w:t>Tito profesní a sociální partneři pravidelně vyjednávají na celostátní, regionální nebo odvětvové úrovni a schvalují dohody. Smlouvy mezi zaměstnavatelem a odborovými orgány či výbory na podnikové úrovni se do této definice nezahrnují.</w:t>
            </w:r>
          </w:p>
          <w:p w:rsidR="003E0DB0" w:rsidRPr="00BA121F" w:rsidRDefault="00D90A66" w:rsidP="007A28CF">
            <w:pPr>
              <w:widowControl w:val="0"/>
              <w:autoSpaceDE w:val="0"/>
              <w:autoSpaceDN w:val="0"/>
              <w:adjustRightInd w:val="0"/>
              <w:spacing w:after="0" w:line="240" w:lineRule="auto"/>
              <w:jc w:val="both"/>
              <w:rPr>
                <w:rFonts w:cs="Arial"/>
                <w:color w:val="000000"/>
                <w:szCs w:val="20"/>
              </w:rPr>
            </w:pPr>
            <w:r w:rsidRPr="00D90A66">
              <w:rPr>
                <w:rFonts w:cs="Arial"/>
                <w:color w:val="000000"/>
                <w:szCs w:val="20"/>
              </w:rPr>
              <w:t>Ve společných smlouvách jsou obvykle zakotveny mzdy a pracovní podmínky, mohou však také regulovat opatření pro poskytování praxe či vzdělávání zaměstnanců, jako je např. spravování celostátních, regionálních nebo odvětvových fondů určených na vzdělávání zaměstnanců, realizace opatření vedoucích k zaměstnanosti, opatření pro vzdělávání zaměstnanců ve vyšší věkové kategorii atd.</w:t>
            </w:r>
          </w:p>
        </w:tc>
      </w:tr>
      <w:tr w:rsidR="003E0DB0" w:rsidRPr="00BA121F" w:rsidTr="00940833">
        <w:trPr>
          <w:trHeight w:val="300"/>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lastRenderedPageBreak/>
              <w:t>Příspěvky poskytnuté podnikem na vzdělávání</w:t>
            </w:r>
          </w:p>
        </w:tc>
        <w:tc>
          <w:tcPr>
            <w:tcW w:w="6804" w:type="dxa"/>
            <w:shd w:val="clear" w:color="auto" w:fill="auto"/>
            <w:vAlign w:val="center"/>
            <w:hideMark/>
          </w:tcPr>
          <w:p w:rsidR="003E0DB0" w:rsidRPr="00BA121F" w:rsidRDefault="00D90A66" w:rsidP="007A28CF">
            <w:pPr>
              <w:spacing w:after="0" w:line="240" w:lineRule="auto"/>
              <w:jc w:val="both"/>
              <w:rPr>
                <w:rFonts w:cs="Arial"/>
                <w:color w:val="000000"/>
                <w:szCs w:val="20"/>
              </w:rPr>
            </w:pPr>
            <w:r w:rsidRPr="00D90A66">
              <w:rPr>
                <w:rFonts w:cs="Arial"/>
                <w:color w:val="000000"/>
                <w:szCs w:val="20"/>
              </w:rPr>
              <w:t>Příspěvky poskytnuté podnikem na vzdělávání jsou výdaje podniku do kolektivních fondů obhospodařovaných vládou či zprostředkujícími společnostmi s hlavním záměrem přispět na vzdělávání zaměstnanců. Vykazují se i v případě, že se v podniku v referenčním roce 2020 žádní zaměstnanci vzdělávání neúčastnili, avšak v podnikovém účetnictví byly tyto výdaje zaznamenány.</w:t>
            </w:r>
          </w:p>
        </w:tc>
      </w:tr>
      <w:tr w:rsidR="00F54F37" w:rsidRPr="00BA121F" w:rsidTr="00940833">
        <w:trPr>
          <w:trHeight w:val="218"/>
        </w:trPr>
        <w:tc>
          <w:tcPr>
            <w:tcW w:w="2425" w:type="dxa"/>
            <w:shd w:val="clear" w:color="auto" w:fill="auto"/>
          </w:tcPr>
          <w:p w:rsidR="00F54F37" w:rsidRPr="00D90A66" w:rsidRDefault="00F54F37" w:rsidP="007A28CF">
            <w:pPr>
              <w:spacing w:after="0"/>
              <w:outlineLvl w:val="3"/>
              <w:rPr>
                <w:b/>
                <w:bCs/>
                <w:iCs/>
                <w:color w:val="BC091B"/>
              </w:rPr>
            </w:pPr>
            <w:r w:rsidRPr="00F25C3A">
              <w:rPr>
                <w:b/>
                <w:bCs/>
                <w:iCs/>
                <w:color w:val="BC091B"/>
              </w:rPr>
              <w:t>Rotace zaměstnanců na pracovních místech</w:t>
            </w:r>
          </w:p>
        </w:tc>
        <w:tc>
          <w:tcPr>
            <w:tcW w:w="6804" w:type="dxa"/>
            <w:shd w:val="clear" w:color="auto" w:fill="auto"/>
            <w:vAlign w:val="center"/>
          </w:tcPr>
          <w:p w:rsidR="00F54F37" w:rsidRPr="00F25C3A" w:rsidRDefault="00F54F37" w:rsidP="007A28CF">
            <w:pPr>
              <w:spacing w:after="0"/>
              <w:jc w:val="both"/>
              <w:rPr>
                <w:sz w:val="16"/>
              </w:rPr>
            </w:pPr>
            <w:r w:rsidRPr="00F25C3A">
              <w:rPr>
                <w:rFonts w:cs="Arial"/>
                <w:color w:val="000000"/>
                <w:szCs w:val="20"/>
              </w:rPr>
              <w:t>Střídání pracovních míst v rámci firmy (příp. i mezi firmami) s cílem rozvoje dovedností zúčastněných zaměstnanců.</w:t>
            </w:r>
          </w:p>
        </w:tc>
      </w:tr>
      <w:tr w:rsidR="003E0DB0" w:rsidRPr="00BA121F" w:rsidTr="00940833">
        <w:trPr>
          <w:trHeight w:val="218"/>
        </w:trPr>
        <w:tc>
          <w:tcPr>
            <w:tcW w:w="2425" w:type="dxa"/>
            <w:shd w:val="clear" w:color="auto" w:fill="auto"/>
          </w:tcPr>
          <w:p w:rsidR="003E0DB0" w:rsidRPr="00BA121F" w:rsidRDefault="00D90A66" w:rsidP="007A28CF">
            <w:pPr>
              <w:spacing w:after="0"/>
              <w:outlineLvl w:val="3"/>
              <w:rPr>
                <w:b/>
                <w:bCs/>
                <w:iCs/>
                <w:color w:val="BC091B"/>
              </w:rPr>
            </w:pPr>
            <w:r w:rsidRPr="00D90A66">
              <w:rPr>
                <w:b/>
                <w:bCs/>
                <w:iCs/>
                <w:color w:val="BC091B"/>
              </w:rPr>
              <w:t>Samostatné studium či e-</w:t>
            </w:r>
            <w:proofErr w:type="spellStart"/>
            <w:r w:rsidRPr="00D90A66">
              <w:rPr>
                <w:b/>
                <w:bCs/>
                <w:iCs/>
                <w:color w:val="BC091B"/>
              </w:rPr>
              <w:t>learning</w:t>
            </w:r>
            <w:proofErr w:type="spellEnd"/>
          </w:p>
        </w:tc>
        <w:tc>
          <w:tcPr>
            <w:tcW w:w="6804" w:type="dxa"/>
            <w:shd w:val="clear" w:color="auto" w:fill="auto"/>
            <w:vAlign w:val="center"/>
          </w:tcPr>
          <w:p w:rsidR="00D90A66" w:rsidRPr="00D90A66" w:rsidRDefault="00D90A66" w:rsidP="007A28CF">
            <w:pPr>
              <w:spacing w:after="120" w:line="240" w:lineRule="auto"/>
              <w:jc w:val="both"/>
              <w:rPr>
                <w:rFonts w:cs="Arial"/>
                <w:color w:val="000000"/>
                <w:szCs w:val="20"/>
              </w:rPr>
            </w:pPr>
            <w:r w:rsidRPr="00D90A66">
              <w:rPr>
                <w:rFonts w:cs="Arial"/>
                <w:color w:val="000000"/>
                <w:szCs w:val="20"/>
              </w:rPr>
              <w:t>O samostatné studium či e-</w:t>
            </w:r>
            <w:proofErr w:type="spellStart"/>
            <w:r w:rsidRPr="00D90A66">
              <w:rPr>
                <w:rFonts w:cs="Arial"/>
                <w:color w:val="000000"/>
                <w:szCs w:val="20"/>
              </w:rPr>
              <w:t>learning</w:t>
            </w:r>
            <w:proofErr w:type="spellEnd"/>
            <w:r w:rsidRPr="00D90A66">
              <w:rPr>
                <w:rFonts w:cs="Arial"/>
                <w:color w:val="000000"/>
                <w:szCs w:val="20"/>
              </w:rPr>
              <w:t xml:space="preserve"> se jedná tehdy, účastní-li se jedinec plánovaných vzdělávacích aktivit, u kterých si sám organizuje svůj čas na vzdělávání a určuje si místo, kde se bude vzdělávat. Za samostudium se považují plánované vzdělávací aktivity za použití jednoho nebo více vzdělávacích médií. Vzdělávání se může konat v soukromí, na veřejném místě nebo v prostorách podniku.</w:t>
            </w:r>
          </w:p>
          <w:p w:rsidR="003E0DB0" w:rsidRPr="007B27F5" w:rsidRDefault="00D90A66" w:rsidP="007A28CF">
            <w:pPr>
              <w:spacing w:after="120" w:line="240" w:lineRule="auto"/>
              <w:jc w:val="both"/>
              <w:rPr>
                <w:rFonts w:cs="Arial"/>
                <w:color w:val="000000"/>
                <w:szCs w:val="20"/>
              </w:rPr>
            </w:pPr>
            <w:r w:rsidRPr="00D90A66">
              <w:rPr>
                <w:rFonts w:cs="Arial"/>
                <w:color w:val="000000"/>
                <w:szCs w:val="20"/>
              </w:rPr>
              <w:t>Samostudium může být realizováno např. formou otevřených či distančních vzdělávacích kurzů, korespondenčních kurzů, využitím video či audio nahrávek a prostředků informačních technologií (včetně internetu a e-</w:t>
            </w:r>
            <w:proofErr w:type="spellStart"/>
            <w:r w:rsidRPr="00D90A66">
              <w:rPr>
                <w:rFonts w:cs="Arial"/>
                <w:color w:val="000000"/>
                <w:szCs w:val="20"/>
              </w:rPr>
              <w:t>learningového</w:t>
            </w:r>
            <w:proofErr w:type="spellEnd"/>
            <w:r w:rsidRPr="00D90A66">
              <w:rPr>
                <w:rFonts w:cs="Arial"/>
                <w:color w:val="000000"/>
                <w:szCs w:val="20"/>
              </w:rPr>
              <w:t xml:space="preserve"> vzdělávání) nebo do</w:t>
            </w:r>
            <w:r w:rsidR="00314782">
              <w:rPr>
                <w:rFonts w:cs="Arial"/>
                <w:color w:val="000000"/>
                <w:szCs w:val="20"/>
              </w:rPr>
              <w:t>cházením do knihoven/studoven s </w:t>
            </w:r>
            <w:r w:rsidRPr="00D90A66">
              <w:rPr>
                <w:rFonts w:cs="Arial"/>
                <w:color w:val="000000"/>
                <w:szCs w:val="20"/>
              </w:rPr>
              <w:t>učebními materiály.</w:t>
            </w:r>
          </w:p>
        </w:tc>
      </w:tr>
      <w:tr w:rsidR="003E0DB0" w:rsidRPr="00BA121F" w:rsidTr="00940833">
        <w:trPr>
          <w:trHeight w:val="218"/>
        </w:trPr>
        <w:tc>
          <w:tcPr>
            <w:tcW w:w="2425" w:type="dxa"/>
            <w:shd w:val="clear" w:color="auto" w:fill="auto"/>
            <w:hideMark/>
          </w:tcPr>
          <w:p w:rsidR="00D90A66" w:rsidRDefault="00D90A66" w:rsidP="007A28CF">
            <w:pPr>
              <w:spacing w:after="0"/>
              <w:outlineLvl w:val="3"/>
              <w:rPr>
                <w:b/>
                <w:bCs/>
                <w:iCs/>
                <w:color w:val="BC091B"/>
              </w:rPr>
            </w:pPr>
            <w:r>
              <w:rPr>
                <w:b/>
                <w:bCs/>
                <w:iCs/>
                <w:color w:val="BC091B"/>
              </w:rPr>
              <w:t>Vzdělávací kroužky/</w:t>
            </w:r>
          </w:p>
          <w:p w:rsidR="003E0DB0" w:rsidRPr="00BA121F" w:rsidRDefault="00D90A66" w:rsidP="007A28CF">
            <w:pPr>
              <w:spacing w:after="0"/>
              <w:outlineLvl w:val="3"/>
              <w:rPr>
                <w:b/>
                <w:bCs/>
                <w:iCs/>
                <w:color w:val="BC091B"/>
              </w:rPr>
            </w:pPr>
            <w:r w:rsidRPr="00D90A66">
              <w:rPr>
                <w:b/>
                <w:bCs/>
                <w:iCs/>
                <w:color w:val="BC091B"/>
              </w:rPr>
              <w:t>k</w:t>
            </w:r>
            <w:r w:rsidR="00E66029">
              <w:rPr>
                <w:b/>
                <w:bCs/>
                <w:iCs/>
                <w:color w:val="BC091B"/>
              </w:rPr>
              <w:t>r</w:t>
            </w:r>
            <w:r w:rsidRPr="00D90A66">
              <w:rPr>
                <w:b/>
                <w:bCs/>
                <w:iCs/>
                <w:color w:val="BC091B"/>
              </w:rPr>
              <w:t>oužky kvality</w:t>
            </w:r>
          </w:p>
        </w:tc>
        <w:tc>
          <w:tcPr>
            <w:tcW w:w="6804" w:type="dxa"/>
            <w:shd w:val="clear" w:color="auto" w:fill="auto"/>
            <w:vAlign w:val="center"/>
            <w:hideMark/>
          </w:tcPr>
          <w:p w:rsidR="00D90A66" w:rsidRPr="00D46B86" w:rsidRDefault="00D90A66" w:rsidP="007A28CF">
            <w:pPr>
              <w:spacing w:after="0" w:line="240" w:lineRule="auto"/>
              <w:jc w:val="both"/>
              <w:rPr>
                <w:rFonts w:cs="Arial"/>
                <w:color w:val="000000"/>
                <w:szCs w:val="20"/>
              </w:rPr>
            </w:pPr>
            <w:r w:rsidRPr="00D46B86">
              <w:rPr>
                <w:rFonts w:cs="Arial"/>
                <w:color w:val="000000"/>
                <w:szCs w:val="20"/>
              </w:rPr>
              <w:t xml:space="preserve">Vzdělávací kroužky sestávají ze skupiny zaměstnanců, která se pravidelně schází s hlavním cílem porozumět potřebám podniku v oblasti organizace práce, pracovních postupů a pracovního prostředí. </w:t>
            </w:r>
          </w:p>
          <w:p w:rsidR="00D46B86" w:rsidRPr="00D46B86" w:rsidRDefault="00D46B86" w:rsidP="007A28CF">
            <w:pPr>
              <w:spacing w:after="0" w:line="240" w:lineRule="auto"/>
              <w:jc w:val="both"/>
              <w:rPr>
                <w:rFonts w:cs="Arial"/>
                <w:color w:val="000000"/>
                <w:szCs w:val="20"/>
              </w:rPr>
            </w:pPr>
          </w:p>
          <w:p w:rsidR="003E0DB0" w:rsidRPr="00BA121F" w:rsidRDefault="00D90A66" w:rsidP="007A28CF">
            <w:pPr>
              <w:spacing w:after="0" w:line="240" w:lineRule="auto"/>
              <w:jc w:val="both"/>
              <w:rPr>
                <w:rFonts w:cs="Arial"/>
                <w:bCs/>
                <w:strike/>
                <w:szCs w:val="20"/>
              </w:rPr>
            </w:pPr>
            <w:r w:rsidRPr="00D46B86">
              <w:rPr>
                <w:rFonts w:cs="Arial"/>
                <w:color w:val="000000"/>
                <w:szCs w:val="20"/>
              </w:rPr>
              <w:t>Kroužky kvality jsou pracovní skupiny zaměstnanců, které diskutují a řeší problémy spojené</w:t>
            </w:r>
            <w:r w:rsidRPr="00D90A66">
              <w:rPr>
                <w:rFonts w:cs="Arial"/>
                <w:color w:val="000000"/>
                <w:szCs w:val="20"/>
              </w:rPr>
              <w:t xml:space="preserve"> s produkty či pracovním prostředím s hlavním cílem něco se naučit.</w:t>
            </w:r>
          </w:p>
        </w:tc>
      </w:tr>
      <w:tr w:rsidR="003E0DB0" w:rsidRPr="00BA121F" w:rsidTr="00D90A66">
        <w:trPr>
          <w:trHeight w:val="2931"/>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t>Vzdělávání zaměstnanců</w:t>
            </w:r>
          </w:p>
        </w:tc>
        <w:tc>
          <w:tcPr>
            <w:tcW w:w="6804" w:type="dxa"/>
            <w:shd w:val="clear" w:color="auto" w:fill="auto"/>
            <w:vAlign w:val="center"/>
            <w:hideMark/>
          </w:tcPr>
          <w:p w:rsidR="00D90A66" w:rsidRPr="00D90A66" w:rsidRDefault="00D90A66" w:rsidP="00D46B86">
            <w:pPr>
              <w:autoSpaceDE w:val="0"/>
              <w:autoSpaceDN w:val="0"/>
              <w:adjustRightInd w:val="0"/>
              <w:spacing w:after="120" w:line="240" w:lineRule="auto"/>
              <w:jc w:val="both"/>
              <w:rPr>
                <w:rFonts w:cs="Arial"/>
                <w:szCs w:val="20"/>
              </w:rPr>
            </w:pPr>
            <w:r w:rsidRPr="00D90A66">
              <w:rPr>
                <w:rFonts w:cs="Arial"/>
                <w:szCs w:val="20"/>
              </w:rPr>
              <w:t>V</w:t>
            </w:r>
            <w:r>
              <w:rPr>
                <w:rFonts w:cs="Arial"/>
                <w:szCs w:val="20"/>
              </w:rPr>
              <w:t xml:space="preserve"> rámci v</w:t>
            </w:r>
            <w:r w:rsidRPr="00D90A66">
              <w:rPr>
                <w:rFonts w:cs="Arial"/>
                <w:szCs w:val="20"/>
              </w:rPr>
              <w:t xml:space="preserve">zdělávání zaměstnanců </w:t>
            </w:r>
            <w:r>
              <w:rPr>
                <w:rFonts w:cs="Arial"/>
                <w:szCs w:val="20"/>
              </w:rPr>
              <w:t xml:space="preserve">se </w:t>
            </w:r>
            <w:r w:rsidRPr="00D90A66">
              <w:rPr>
                <w:rFonts w:cs="Arial"/>
                <w:szCs w:val="20"/>
              </w:rPr>
              <w:t>zohle</w:t>
            </w:r>
            <w:r>
              <w:rPr>
                <w:rFonts w:cs="Arial"/>
                <w:szCs w:val="20"/>
              </w:rPr>
              <w:t>dňuje</w:t>
            </w:r>
            <w:r w:rsidRPr="00D90A66">
              <w:rPr>
                <w:rFonts w:cs="Arial"/>
                <w:szCs w:val="20"/>
              </w:rPr>
              <w:t xml:space="preserve"> pouze takové vzdělávání, které splňuje následující podmínky:</w:t>
            </w:r>
          </w:p>
          <w:p w:rsidR="0088197D" w:rsidRPr="004F035D" w:rsidRDefault="00D90A66" w:rsidP="00D46B86">
            <w:pPr>
              <w:pStyle w:val="Odstavecseseznamem"/>
              <w:numPr>
                <w:ilvl w:val="0"/>
                <w:numId w:val="32"/>
              </w:numPr>
              <w:autoSpaceDE w:val="0"/>
              <w:autoSpaceDN w:val="0"/>
              <w:adjustRightInd w:val="0"/>
              <w:spacing w:after="120" w:line="240" w:lineRule="auto"/>
              <w:jc w:val="both"/>
              <w:rPr>
                <w:rFonts w:ascii="Arial" w:hAnsi="Arial" w:cs="Arial"/>
                <w:sz w:val="20"/>
                <w:szCs w:val="20"/>
              </w:rPr>
            </w:pPr>
            <w:r w:rsidRPr="004F035D">
              <w:rPr>
                <w:rFonts w:ascii="Arial" w:hAnsi="Arial" w:cs="Arial"/>
                <w:sz w:val="20"/>
                <w:szCs w:val="20"/>
              </w:rPr>
              <w:t>Jedná se o předem plánované aktivity organizované či aktivně podporované podnikem</w:t>
            </w:r>
            <w:r w:rsidR="0088197D" w:rsidRPr="004F035D">
              <w:rPr>
                <w:rFonts w:ascii="Arial" w:hAnsi="Arial" w:cs="Arial"/>
                <w:sz w:val="20"/>
                <w:szCs w:val="20"/>
              </w:rPr>
              <w:t xml:space="preserve"> s konkrétním vzdělávacím cílem.</w:t>
            </w:r>
          </w:p>
          <w:p w:rsidR="00D90A66" w:rsidRPr="004F035D" w:rsidRDefault="00D90A66" w:rsidP="00D46B86">
            <w:pPr>
              <w:pStyle w:val="Odstavecseseznamem"/>
              <w:numPr>
                <w:ilvl w:val="0"/>
                <w:numId w:val="32"/>
              </w:numPr>
              <w:autoSpaceDE w:val="0"/>
              <w:autoSpaceDN w:val="0"/>
              <w:adjustRightInd w:val="0"/>
              <w:spacing w:after="120" w:line="240" w:lineRule="auto"/>
              <w:jc w:val="both"/>
              <w:rPr>
                <w:rFonts w:ascii="Arial" w:hAnsi="Arial" w:cs="Arial"/>
                <w:sz w:val="20"/>
                <w:szCs w:val="20"/>
              </w:rPr>
            </w:pPr>
            <w:r w:rsidRPr="004F035D">
              <w:rPr>
                <w:rFonts w:ascii="Arial" w:hAnsi="Arial" w:cs="Arial"/>
                <w:sz w:val="20"/>
                <w:szCs w:val="20"/>
              </w:rPr>
              <w:t>Hlavním záměrem účasti zaměstnanců v těchto aktivitách je získávání nových znalostí a dovedností a/nebo prohlubování či rozvoj těch stávajících.</w:t>
            </w:r>
          </w:p>
          <w:p w:rsidR="00D90A66" w:rsidRPr="004F035D" w:rsidRDefault="00D90A66" w:rsidP="00D46B86">
            <w:pPr>
              <w:pStyle w:val="Odstavecseseznamem"/>
              <w:numPr>
                <w:ilvl w:val="0"/>
                <w:numId w:val="32"/>
              </w:numPr>
              <w:autoSpaceDE w:val="0"/>
              <w:autoSpaceDN w:val="0"/>
              <w:adjustRightInd w:val="0"/>
              <w:spacing w:after="120" w:line="240" w:lineRule="auto"/>
              <w:jc w:val="both"/>
              <w:rPr>
                <w:rFonts w:ascii="Arial" w:hAnsi="Arial" w:cs="Arial"/>
                <w:sz w:val="20"/>
                <w:szCs w:val="20"/>
              </w:rPr>
            </w:pPr>
            <w:r w:rsidRPr="004F035D">
              <w:rPr>
                <w:rFonts w:ascii="Arial" w:hAnsi="Arial" w:cs="Arial"/>
                <w:sz w:val="20"/>
                <w:szCs w:val="20"/>
              </w:rPr>
              <w:t>Podnik takové vzdělávání za zaměstnance alespoň částečně hradí (ať již z vlastních zdrojů či z přijatých dotací apod.). Do částečné úhrady vzdělávání zaměstnanců patří i situace, kdy je pracovníkovi umožněno využívat ke vzdělávání placenou pracovní dobu, nebo situace, kdy jsou pracovníkovi hra</w:t>
            </w:r>
            <w:r w:rsidR="004F035D">
              <w:rPr>
                <w:rFonts w:ascii="Arial" w:hAnsi="Arial" w:cs="Arial"/>
                <w:sz w:val="20"/>
                <w:szCs w:val="20"/>
              </w:rPr>
              <w:t>zeny výukové materiály (např. v </w:t>
            </w:r>
            <w:r w:rsidRPr="004F035D">
              <w:rPr>
                <w:rFonts w:ascii="Arial" w:hAnsi="Arial" w:cs="Arial"/>
                <w:sz w:val="20"/>
                <w:szCs w:val="20"/>
              </w:rPr>
              <w:t xml:space="preserve">případě samostudia). </w:t>
            </w:r>
          </w:p>
          <w:p w:rsidR="003E0DB0" w:rsidRPr="00BA121F" w:rsidRDefault="00D90A66" w:rsidP="007A28CF">
            <w:pPr>
              <w:autoSpaceDE w:val="0"/>
              <w:autoSpaceDN w:val="0"/>
              <w:adjustRightInd w:val="0"/>
              <w:spacing w:after="0" w:line="240" w:lineRule="auto"/>
              <w:jc w:val="both"/>
              <w:rPr>
                <w:rFonts w:cs="Arial"/>
                <w:szCs w:val="20"/>
              </w:rPr>
            </w:pPr>
            <w:r w:rsidRPr="00D90A66">
              <w:rPr>
                <w:rFonts w:cs="Arial"/>
                <w:szCs w:val="20"/>
              </w:rPr>
              <w:t>V rámci vzdělávání zaměstnanců, jak bylo právě vymezeno, se dále rozlišuje mezi kurzy/školeními a jinými formami vzdělávání</w:t>
            </w:r>
            <w:r w:rsidR="0088197D">
              <w:rPr>
                <w:rFonts w:cs="Arial"/>
                <w:szCs w:val="20"/>
              </w:rPr>
              <w:t>.</w:t>
            </w:r>
          </w:p>
        </w:tc>
      </w:tr>
      <w:tr w:rsidR="003E0DB0" w:rsidRPr="00BA121F" w:rsidTr="00940833">
        <w:trPr>
          <w:trHeight w:val="600"/>
        </w:trPr>
        <w:tc>
          <w:tcPr>
            <w:tcW w:w="2425" w:type="dxa"/>
            <w:shd w:val="clear" w:color="auto" w:fill="auto"/>
            <w:hideMark/>
          </w:tcPr>
          <w:p w:rsidR="003E0DB0" w:rsidRPr="00BA121F" w:rsidRDefault="00D90A66" w:rsidP="007A28CF">
            <w:pPr>
              <w:spacing w:after="0"/>
              <w:outlineLvl w:val="3"/>
              <w:rPr>
                <w:b/>
                <w:bCs/>
                <w:iCs/>
                <w:color w:val="BC091B"/>
              </w:rPr>
            </w:pPr>
            <w:r w:rsidRPr="00D90A66">
              <w:rPr>
                <w:b/>
                <w:bCs/>
                <w:iCs/>
                <w:color w:val="BC091B"/>
              </w:rPr>
              <w:t>Zaškolování či instruktáže na pracovišti</w:t>
            </w:r>
          </w:p>
        </w:tc>
        <w:tc>
          <w:tcPr>
            <w:tcW w:w="6804" w:type="dxa"/>
            <w:shd w:val="clear" w:color="auto" w:fill="auto"/>
            <w:vAlign w:val="center"/>
            <w:hideMark/>
          </w:tcPr>
          <w:p w:rsidR="003E0DB0" w:rsidRPr="00BA121F" w:rsidRDefault="00D90A66" w:rsidP="007A28CF">
            <w:pPr>
              <w:spacing w:after="0" w:line="240" w:lineRule="auto"/>
              <w:jc w:val="both"/>
              <w:rPr>
                <w:rFonts w:cs="Arial"/>
                <w:szCs w:val="20"/>
              </w:rPr>
            </w:pPr>
            <w:r w:rsidRPr="00D90A66">
              <w:rPr>
                <w:rFonts w:cs="Arial"/>
                <w:szCs w:val="20"/>
              </w:rPr>
              <w:t>Vzdělávání formou zaškolování či instruktáží na pracovišti je iniciováno zaměstnavatelem, koná se za přítomnosti lektora a s použitím běžných pracovních nástrojů dostupných na pracovišti nebo v pracovních situacích. Má individuální charakter, což znamená, že je určeno jen pro malé skupinky zaměstnanců (maximálně pro pět účastníků). Čas pro toto vzdělávání je předem vymezen.</w:t>
            </w:r>
          </w:p>
        </w:tc>
      </w:tr>
    </w:tbl>
    <w:p w:rsidR="003E0DB0" w:rsidRPr="003E0DB0" w:rsidRDefault="003E0DB0" w:rsidP="007A28CF"/>
    <w:sectPr w:rsidR="003E0DB0" w:rsidRPr="003E0DB0" w:rsidSect="00881D7C">
      <w:headerReference w:type="even" r:id="rId9"/>
      <w:headerReference w:type="default" r:id="rId10"/>
      <w:footerReference w:type="even" r:id="rId11"/>
      <w:footerReference w:type="default" r:id="rId12"/>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F69" w:rsidRDefault="00F74F69" w:rsidP="00E71A58">
      <w:r>
        <w:separator/>
      </w:r>
    </w:p>
  </w:endnote>
  <w:endnote w:type="continuationSeparator" w:id="0">
    <w:p w:rsidR="00F74F69" w:rsidRDefault="00F74F69"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F5" w:rsidRPr="00932443" w:rsidRDefault="007B27F5"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0" b="0"/>
          <wp:wrapNone/>
          <wp:docPr id="11" name="obrázek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pic:spPr>
              </pic:pic>
            </a:graphicData>
          </a:graphic>
          <wp14:sizeRelH relativeFrom="page">
            <wp14:pctWidth>0</wp14:pctWidth>
          </wp14:sizeRelH>
          <wp14:sizeRelV relativeFrom="page">
            <wp14:pctHeight>0</wp14:pctHeight>
          </wp14:sizeRelV>
        </wp:anchor>
      </w:drawing>
    </w:r>
    <w:r w:rsidRPr="00932443">
      <w:rPr>
        <w:szCs w:val="16"/>
      </w:rPr>
      <w:tab/>
    </w:r>
    <w:r w:rsidR="00FA3464">
      <w:rPr>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F5" w:rsidRPr="00932443" w:rsidRDefault="007B27F5"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0"/>
          <wp:wrapNone/>
          <wp:docPr id="10" name="obrázek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pic:spPr>
              </pic:pic>
            </a:graphicData>
          </a:graphic>
          <wp14:sizeRelH relativeFrom="page">
            <wp14:pctWidth>0</wp14:pctWidth>
          </wp14:sizeRelH>
          <wp14:sizeRelV relativeFrom="page">
            <wp14:pctHeight>0</wp14:pctHeight>
          </wp14:sizeRelV>
        </wp:anchor>
      </w:drawing>
    </w:r>
    <w:r w:rsidRPr="00932443">
      <w:rPr>
        <w:szCs w:val="16"/>
      </w:rPr>
      <w:tab/>
    </w:r>
    <w:r w:rsidR="00FA3464">
      <w:rPr>
        <w:rStyle w:val="ZpatChar"/>
        <w:szCs w:val="16"/>
      </w:rPr>
      <w:t>2020</w:t>
    </w:r>
    <w:r w:rsidRPr="00932443">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F69" w:rsidRDefault="00F74F69" w:rsidP="00E71A58">
      <w:r>
        <w:separator/>
      </w:r>
    </w:p>
  </w:footnote>
  <w:footnote w:type="continuationSeparator" w:id="0">
    <w:p w:rsidR="00F74F69" w:rsidRDefault="00F74F69"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F5" w:rsidRDefault="00FA3464" w:rsidP="00937AE2">
    <w:pPr>
      <w:pStyle w:val="Zhlav"/>
    </w:pPr>
    <w:r>
      <w:t>Vzdělávání zaměstnanců</w:t>
    </w:r>
  </w:p>
  <w:p w:rsidR="007B27F5" w:rsidRPr="006F5416" w:rsidRDefault="007B27F5"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F5" w:rsidRDefault="00FA3464" w:rsidP="00937AE2">
    <w:pPr>
      <w:pStyle w:val="Zhlav"/>
    </w:pPr>
    <w:r>
      <w:t>Vzdělávání zaměstnanců</w:t>
    </w:r>
  </w:p>
  <w:p w:rsidR="007B27F5" w:rsidRPr="006F5416" w:rsidRDefault="007B27F5"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4523F"/>
    <w:multiLevelType w:val="hybridMultilevel"/>
    <w:tmpl w:val="2FAC6296"/>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B036EF"/>
    <w:multiLevelType w:val="hybridMultilevel"/>
    <w:tmpl w:val="5F4EAC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3432812"/>
    <w:multiLevelType w:val="hybridMultilevel"/>
    <w:tmpl w:val="EA94D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803663"/>
    <w:multiLevelType w:val="hybridMultilevel"/>
    <w:tmpl w:val="D2DCB808"/>
    <w:lvl w:ilvl="0" w:tplc="3A82E00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15:restartNumberingAfterBreak="0">
    <w:nsid w:val="22887B3C"/>
    <w:multiLevelType w:val="hybridMultilevel"/>
    <w:tmpl w:val="02548A36"/>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4515D5"/>
    <w:multiLevelType w:val="hybridMultilevel"/>
    <w:tmpl w:val="694E5828"/>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F33B63"/>
    <w:multiLevelType w:val="multilevel"/>
    <w:tmpl w:val="EDF2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E76664"/>
    <w:multiLevelType w:val="hybridMultilevel"/>
    <w:tmpl w:val="47DAEC02"/>
    <w:lvl w:ilvl="0" w:tplc="95CC32AC">
      <w:numFmt w:val="bullet"/>
      <w:lvlText w:val="-"/>
      <w:lvlJc w:val="left"/>
      <w:pPr>
        <w:ind w:left="480" w:hanging="12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414AB0"/>
    <w:multiLevelType w:val="hybridMultilevel"/>
    <w:tmpl w:val="20AA9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60CAC"/>
    <w:multiLevelType w:val="hybridMultilevel"/>
    <w:tmpl w:val="D66EF99C"/>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DC23E3D"/>
    <w:multiLevelType w:val="hybridMultilevel"/>
    <w:tmpl w:val="FC3AC148"/>
    <w:lvl w:ilvl="0" w:tplc="E35C037C">
      <w:start w:val="1"/>
      <w:numFmt w:val="lowerLetter"/>
      <w:lvlText w:val="%1)"/>
      <w:lvlJc w:val="left"/>
      <w:pPr>
        <w:ind w:left="516" w:hanging="375"/>
      </w:pPr>
      <w:rPr>
        <w:rFonts w:hint="default"/>
        <w:b/>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4" w15:restartNumberingAfterBreak="0">
    <w:nsid w:val="50307A58"/>
    <w:multiLevelType w:val="hybridMultilevel"/>
    <w:tmpl w:val="B9928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CE5C1C"/>
    <w:multiLevelType w:val="hybridMultilevel"/>
    <w:tmpl w:val="EC66CB14"/>
    <w:lvl w:ilvl="0" w:tplc="407E9412">
      <w:start w:val="1"/>
      <w:numFmt w:val="decimal"/>
      <w:lvlText w:val="%1."/>
      <w:lvlJc w:val="left"/>
      <w:pPr>
        <w:ind w:left="720" w:hanging="360"/>
      </w:pPr>
      <w:rPr>
        <w:rFonts w:eastAsia="Times New Roman" w:cs="Times New Roman" w:hint="default"/>
        <w:b/>
        <w:color w:val="C0504D" w:themeColor="accent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1801C9"/>
    <w:multiLevelType w:val="multilevel"/>
    <w:tmpl w:val="46E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F1CA8"/>
    <w:multiLevelType w:val="hybridMultilevel"/>
    <w:tmpl w:val="CF8240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507056"/>
    <w:multiLevelType w:val="multilevel"/>
    <w:tmpl w:val="679C68B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045E86"/>
    <w:multiLevelType w:val="hybridMultilevel"/>
    <w:tmpl w:val="0096E9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15936E7"/>
    <w:multiLevelType w:val="hybridMultilevel"/>
    <w:tmpl w:val="6EE6C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A348D9"/>
    <w:multiLevelType w:val="hybridMultilevel"/>
    <w:tmpl w:val="829AF288"/>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2" w15:restartNumberingAfterBreak="0">
    <w:nsid w:val="72E8040F"/>
    <w:multiLevelType w:val="hybridMultilevel"/>
    <w:tmpl w:val="E99CCDA2"/>
    <w:lvl w:ilvl="0" w:tplc="578C2E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21"/>
  </w:num>
  <w:num w:numId="14">
    <w:abstractNumId w:val="13"/>
  </w:num>
  <w:num w:numId="15">
    <w:abstractNumId w:val="17"/>
  </w:num>
  <w:num w:numId="16">
    <w:abstractNumId w:val="27"/>
  </w:num>
  <w:num w:numId="17">
    <w:abstractNumId w:val="26"/>
  </w:num>
  <w:num w:numId="18">
    <w:abstractNumId w:val="23"/>
  </w:num>
  <w:num w:numId="19">
    <w:abstractNumId w:val="15"/>
  </w:num>
  <w:num w:numId="20">
    <w:abstractNumId w:val="22"/>
  </w:num>
  <w:num w:numId="21">
    <w:abstractNumId w:val="10"/>
  </w:num>
  <w:num w:numId="22">
    <w:abstractNumId w:val="14"/>
  </w:num>
  <w:num w:numId="23">
    <w:abstractNumId w:val="32"/>
  </w:num>
  <w:num w:numId="24">
    <w:abstractNumId w:val="30"/>
  </w:num>
  <w:num w:numId="25">
    <w:abstractNumId w:val="24"/>
  </w:num>
  <w:num w:numId="26">
    <w:abstractNumId w:val="20"/>
  </w:num>
  <w:num w:numId="27">
    <w:abstractNumId w:val="28"/>
  </w:num>
  <w:num w:numId="28">
    <w:abstractNumId w:val="25"/>
  </w:num>
  <w:num w:numId="29">
    <w:abstractNumId w:val="29"/>
  </w:num>
  <w:num w:numId="30">
    <w:abstractNumId w:val="11"/>
  </w:num>
  <w:num w:numId="31">
    <w:abstractNumId w:val="31"/>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EA"/>
    <w:rsid w:val="00001A6F"/>
    <w:rsid w:val="0000209D"/>
    <w:rsid w:val="000038ED"/>
    <w:rsid w:val="00004D5A"/>
    <w:rsid w:val="000056D5"/>
    <w:rsid w:val="0000767A"/>
    <w:rsid w:val="00010702"/>
    <w:rsid w:val="000147B9"/>
    <w:rsid w:val="000234D6"/>
    <w:rsid w:val="00023D29"/>
    <w:rsid w:val="000247D2"/>
    <w:rsid w:val="00026389"/>
    <w:rsid w:val="00031AE0"/>
    <w:rsid w:val="000322EF"/>
    <w:rsid w:val="00033FCD"/>
    <w:rsid w:val="00035072"/>
    <w:rsid w:val="00041CEC"/>
    <w:rsid w:val="0004694F"/>
    <w:rsid w:val="000522E4"/>
    <w:rsid w:val="000610E1"/>
    <w:rsid w:val="0006209B"/>
    <w:rsid w:val="000629C3"/>
    <w:rsid w:val="00062EC5"/>
    <w:rsid w:val="00062F22"/>
    <w:rsid w:val="00067B8F"/>
    <w:rsid w:val="000712B3"/>
    <w:rsid w:val="000776E5"/>
    <w:rsid w:val="0008263E"/>
    <w:rsid w:val="00082C19"/>
    <w:rsid w:val="00085395"/>
    <w:rsid w:val="0008738C"/>
    <w:rsid w:val="00087634"/>
    <w:rsid w:val="00087F2B"/>
    <w:rsid w:val="0009103A"/>
    <w:rsid w:val="00096214"/>
    <w:rsid w:val="00097066"/>
    <w:rsid w:val="000974D1"/>
    <w:rsid w:val="0009767D"/>
    <w:rsid w:val="0009799E"/>
    <w:rsid w:val="000A02E2"/>
    <w:rsid w:val="000A1183"/>
    <w:rsid w:val="000A256D"/>
    <w:rsid w:val="000A32E2"/>
    <w:rsid w:val="000A3A2C"/>
    <w:rsid w:val="000B2191"/>
    <w:rsid w:val="000B59C4"/>
    <w:rsid w:val="000C3408"/>
    <w:rsid w:val="000C6AFD"/>
    <w:rsid w:val="000C709F"/>
    <w:rsid w:val="000D0701"/>
    <w:rsid w:val="000D42DF"/>
    <w:rsid w:val="000D4F92"/>
    <w:rsid w:val="000D5169"/>
    <w:rsid w:val="000D5637"/>
    <w:rsid w:val="000D7763"/>
    <w:rsid w:val="000E27C6"/>
    <w:rsid w:val="000E2AB2"/>
    <w:rsid w:val="000E6FBD"/>
    <w:rsid w:val="000F031E"/>
    <w:rsid w:val="000F5ED7"/>
    <w:rsid w:val="000F7E55"/>
    <w:rsid w:val="00100F5C"/>
    <w:rsid w:val="00104C4C"/>
    <w:rsid w:val="00104C98"/>
    <w:rsid w:val="00105418"/>
    <w:rsid w:val="00105A6E"/>
    <w:rsid w:val="0011034C"/>
    <w:rsid w:val="0011470C"/>
    <w:rsid w:val="00116EAC"/>
    <w:rsid w:val="00117E94"/>
    <w:rsid w:val="0012192F"/>
    <w:rsid w:val="00125D69"/>
    <w:rsid w:val="00126FC5"/>
    <w:rsid w:val="0013090C"/>
    <w:rsid w:val="001353FE"/>
    <w:rsid w:val="0014047F"/>
    <w:rsid w:val="001405FA"/>
    <w:rsid w:val="00140910"/>
    <w:rsid w:val="001425C3"/>
    <w:rsid w:val="00143185"/>
    <w:rsid w:val="00144C23"/>
    <w:rsid w:val="001451BD"/>
    <w:rsid w:val="00151D3C"/>
    <w:rsid w:val="0016256B"/>
    <w:rsid w:val="00162767"/>
    <w:rsid w:val="00163793"/>
    <w:rsid w:val="001679E8"/>
    <w:rsid w:val="001706D6"/>
    <w:rsid w:val="001714F2"/>
    <w:rsid w:val="00172048"/>
    <w:rsid w:val="00174DA3"/>
    <w:rsid w:val="001754CD"/>
    <w:rsid w:val="00180FE8"/>
    <w:rsid w:val="00183E86"/>
    <w:rsid w:val="00184B08"/>
    <w:rsid w:val="00185010"/>
    <w:rsid w:val="0019010B"/>
    <w:rsid w:val="00191019"/>
    <w:rsid w:val="001A40F4"/>
    <w:rsid w:val="001A552F"/>
    <w:rsid w:val="001A5A58"/>
    <w:rsid w:val="001B2CA9"/>
    <w:rsid w:val="001B3110"/>
    <w:rsid w:val="001B4729"/>
    <w:rsid w:val="001B6C09"/>
    <w:rsid w:val="001C05CD"/>
    <w:rsid w:val="001C15BA"/>
    <w:rsid w:val="001C2D45"/>
    <w:rsid w:val="001C34E1"/>
    <w:rsid w:val="001C62BE"/>
    <w:rsid w:val="001C7DB3"/>
    <w:rsid w:val="001D442F"/>
    <w:rsid w:val="001D68B2"/>
    <w:rsid w:val="001E0920"/>
    <w:rsid w:val="001E09EF"/>
    <w:rsid w:val="001E10AF"/>
    <w:rsid w:val="001F0A26"/>
    <w:rsid w:val="001F4597"/>
    <w:rsid w:val="001F5273"/>
    <w:rsid w:val="001F66C3"/>
    <w:rsid w:val="00202C61"/>
    <w:rsid w:val="002118B9"/>
    <w:rsid w:val="002140F5"/>
    <w:rsid w:val="00217C5B"/>
    <w:rsid w:val="0022139E"/>
    <w:rsid w:val="002252E0"/>
    <w:rsid w:val="002255F6"/>
    <w:rsid w:val="002266A5"/>
    <w:rsid w:val="00227850"/>
    <w:rsid w:val="00227A53"/>
    <w:rsid w:val="00227DCA"/>
    <w:rsid w:val="00230C6E"/>
    <w:rsid w:val="002320EF"/>
    <w:rsid w:val="00232A19"/>
    <w:rsid w:val="00236443"/>
    <w:rsid w:val="002436BA"/>
    <w:rsid w:val="00244A15"/>
    <w:rsid w:val="00244D05"/>
    <w:rsid w:val="00247319"/>
    <w:rsid w:val="00247399"/>
    <w:rsid w:val="0024799E"/>
    <w:rsid w:val="00253C0F"/>
    <w:rsid w:val="00255B97"/>
    <w:rsid w:val="00257E9C"/>
    <w:rsid w:val="002610DB"/>
    <w:rsid w:val="002621E1"/>
    <w:rsid w:val="00271465"/>
    <w:rsid w:val="00284BD5"/>
    <w:rsid w:val="00285412"/>
    <w:rsid w:val="002866F7"/>
    <w:rsid w:val="00293322"/>
    <w:rsid w:val="00294829"/>
    <w:rsid w:val="002A00BE"/>
    <w:rsid w:val="002A16D4"/>
    <w:rsid w:val="002A230C"/>
    <w:rsid w:val="002B17E5"/>
    <w:rsid w:val="002B4EA6"/>
    <w:rsid w:val="002B6487"/>
    <w:rsid w:val="002C43BD"/>
    <w:rsid w:val="002C50C3"/>
    <w:rsid w:val="002C7121"/>
    <w:rsid w:val="002D0DAC"/>
    <w:rsid w:val="002D0E59"/>
    <w:rsid w:val="002D2BCE"/>
    <w:rsid w:val="002E02A1"/>
    <w:rsid w:val="002E4E4C"/>
    <w:rsid w:val="002E7A86"/>
    <w:rsid w:val="002F7706"/>
    <w:rsid w:val="00300B1D"/>
    <w:rsid w:val="00304771"/>
    <w:rsid w:val="003052D4"/>
    <w:rsid w:val="00305464"/>
    <w:rsid w:val="00306C5B"/>
    <w:rsid w:val="0031050E"/>
    <w:rsid w:val="00311663"/>
    <w:rsid w:val="00314782"/>
    <w:rsid w:val="003155CB"/>
    <w:rsid w:val="00316735"/>
    <w:rsid w:val="003209D6"/>
    <w:rsid w:val="0032108A"/>
    <w:rsid w:val="00321924"/>
    <w:rsid w:val="00324D3A"/>
    <w:rsid w:val="0032656E"/>
    <w:rsid w:val="00331452"/>
    <w:rsid w:val="00332190"/>
    <w:rsid w:val="00344668"/>
    <w:rsid w:val="00345CF4"/>
    <w:rsid w:val="003462D9"/>
    <w:rsid w:val="00347D58"/>
    <w:rsid w:val="00357044"/>
    <w:rsid w:val="00360C86"/>
    <w:rsid w:val="00362845"/>
    <w:rsid w:val="003634A2"/>
    <w:rsid w:val="00364DA9"/>
    <w:rsid w:val="003657F3"/>
    <w:rsid w:val="003713BE"/>
    <w:rsid w:val="003818DC"/>
    <w:rsid w:val="00384327"/>
    <w:rsid w:val="00384707"/>
    <w:rsid w:val="00385D98"/>
    <w:rsid w:val="00385E40"/>
    <w:rsid w:val="00393B1A"/>
    <w:rsid w:val="00396BD0"/>
    <w:rsid w:val="003A2B4D"/>
    <w:rsid w:val="003A478C"/>
    <w:rsid w:val="003A4DC1"/>
    <w:rsid w:val="003A5525"/>
    <w:rsid w:val="003A6B38"/>
    <w:rsid w:val="003B5A32"/>
    <w:rsid w:val="003C09F4"/>
    <w:rsid w:val="003C3490"/>
    <w:rsid w:val="003D6920"/>
    <w:rsid w:val="003D7535"/>
    <w:rsid w:val="003E0DB0"/>
    <w:rsid w:val="003E214A"/>
    <w:rsid w:val="003E4C91"/>
    <w:rsid w:val="003E5AE2"/>
    <w:rsid w:val="003E6530"/>
    <w:rsid w:val="003F313C"/>
    <w:rsid w:val="003F3B11"/>
    <w:rsid w:val="003F4B2C"/>
    <w:rsid w:val="003F551C"/>
    <w:rsid w:val="003F7D23"/>
    <w:rsid w:val="004028DB"/>
    <w:rsid w:val="00404EEB"/>
    <w:rsid w:val="004051D8"/>
    <w:rsid w:val="00407C13"/>
    <w:rsid w:val="00410638"/>
    <w:rsid w:val="00411BCE"/>
    <w:rsid w:val="004128AC"/>
    <w:rsid w:val="00415D5A"/>
    <w:rsid w:val="00423086"/>
    <w:rsid w:val="00423AAB"/>
    <w:rsid w:val="00432A58"/>
    <w:rsid w:val="00434617"/>
    <w:rsid w:val="00435E85"/>
    <w:rsid w:val="00436EBC"/>
    <w:rsid w:val="00440900"/>
    <w:rsid w:val="004441A0"/>
    <w:rsid w:val="004550E1"/>
    <w:rsid w:val="00455516"/>
    <w:rsid w:val="004605FC"/>
    <w:rsid w:val="00460FB3"/>
    <w:rsid w:val="00476240"/>
    <w:rsid w:val="00476439"/>
    <w:rsid w:val="0047735C"/>
    <w:rsid w:val="004776BC"/>
    <w:rsid w:val="0048139F"/>
    <w:rsid w:val="00481E40"/>
    <w:rsid w:val="00484ECE"/>
    <w:rsid w:val="0048732D"/>
    <w:rsid w:val="004900FF"/>
    <w:rsid w:val="004915CB"/>
    <w:rsid w:val="004924DC"/>
    <w:rsid w:val="004A14E4"/>
    <w:rsid w:val="004A2FF6"/>
    <w:rsid w:val="004A3212"/>
    <w:rsid w:val="004A61C5"/>
    <w:rsid w:val="004A77DF"/>
    <w:rsid w:val="004B1417"/>
    <w:rsid w:val="004B55B7"/>
    <w:rsid w:val="004B6468"/>
    <w:rsid w:val="004C0F4A"/>
    <w:rsid w:val="004C1F62"/>
    <w:rsid w:val="004C384C"/>
    <w:rsid w:val="004C3867"/>
    <w:rsid w:val="004C4CD0"/>
    <w:rsid w:val="004C70DC"/>
    <w:rsid w:val="004C756E"/>
    <w:rsid w:val="004D0211"/>
    <w:rsid w:val="004D0794"/>
    <w:rsid w:val="004D4EBD"/>
    <w:rsid w:val="004F035D"/>
    <w:rsid w:val="004F06F5"/>
    <w:rsid w:val="004F33A0"/>
    <w:rsid w:val="004F5A6D"/>
    <w:rsid w:val="004F7535"/>
    <w:rsid w:val="004F799B"/>
    <w:rsid w:val="00500A8A"/>
    <w:rsid w:val="00507052"/>
    <w:rsid w:val="005108C0"/>
    <w:rsid w:val="00511873"/>
    <w:rsid w:val="00512A2F"/>
    <w:rsid w:val="00513B7E"/>
    <w:rsid w:val="00515C74"/>
    <w:rsid w:val="0052007E"/>
    <w:rsid w:val="00522F90"/>
    <w:rsid w:val="0052337A"/>
    <w:rsid w:val="00525137"/>
    <w:rsid w:val="005251DD"/>
    <w:rsid w:val="00532CE7"/>
    <w:rsid w:val="00533178"/>
    <w:rsid w:val="0053324C"/>
    <w:rsid w:val="00534A28"/>
    <w:rsid w:val="00535E32"/>
    <w:rsid w:val="00541508"/>
    <w:rsid w:val="005416C3"/>
    <w:rsid w:val="0054178D"/>
    <w:rsid w:val="0055599F"/>
    <w:rsid w:val="00556D68"/>
    <w:rsid w:val="00562A93"/>
    <w:rsid w:val="005647BF"/>
    <w:rsid w:val="005653CA"/>
    <w:rsid w:val="0056704A"/>
    <w:rsid w:val="005678B5"/>
    <w:rsid w:val="0057364B"/>
    <w:rsid w:val="00574773"/>
    <w:rsid w:val="00574CB8"/>
    <w:rsid w:val="00575982"/>
    <w:rsid w:val="00582CA2"/>
    <w:rsid w:val="00583FFD"/>
    <w:rsid w:val="005911BE"/>
    <w:rsid w:val="00592153"/>
    <w:rsid w:val="00593152"/>
    <w:rsid w:val="00595576"/>
    <w:rsid w:val="005A10F2"/>
    <w:rsid w:val="005A21E0"/>
    <w:rsid w:val="005A28FF"/>
    <w:rsid w:val="005A3DF8"/>
    <w:rsid w:val="005A5549"/>
    <w:rsid w:val="005B121D"/>
    <w:rsid w:val="005B15B4"/>
    <w:rsid w:val="005B61F2"/>
    <w:rsid w:val="005C06ED"/>
    <w:rsid w:val="005C7AAD"/>
    <w:rsid w:val="005D1FDF"/>
    <w:rsid w:val="005D5802"/>
    <w:rsid w:val="005D7890"/>
    <w:rsid w:val="005E45E9"/>
    <w:rsid w:val="005E7C78"/>
    <w:rsid w:val="005F2A46"/>
    <w:rsid w:val="005F3EB1"/>
    <w:rsid w:val="005F3F60"/>
    <w:rsid w:val="005F492D"/>
    <w:rsid w:val="005F5469"/>
    <w:rsid w:val="00604307"/>
    <w:rsid w:val="0060487F"/>
    <w:rsid w:val="00604EAD"/>
    <w:rsid w:val="006104FB"/>
    <w:rsid w:val="00610830"/>
    <w:rsid w:val="00611A34"/>
    <w:rsid w:val="00612A2F"/>
    <w:rsid w:val="00616E05"/>
    <w:rsid w:val="00621C1C"/>
    <w:rsid w:val="00624093"/>
    <w:rsid w:val="00633189"/>
    <w:rsid w:val="006404A7"/>
    <w:rsid w:val="006444F0"/>
    <w:rsid w:val="006451E4"/>
    <w:rsid w:val="00645B33"/>
    <w:rsid w:val="006516CB"/>
    <w:rsid w:val="00653BD1"/>
    <w:rsid w:val="006540AC"/>
    <w:rsid w:val="00656E91"/>
    <w:rsid w:val="00657E87"/>
    <w:rsid w:val="00660F90"/>
    <w:rsid w:val="006611ED"/>
    <w:rsid w:val="006618C0"/>
    <w:rsid w:val="00662E4B"/>
    <w:rsid w:val="0066306F"/>
    <w:rsid w:val="00663FF1"/>
    <w:rsid w:val="00664803"/>
    <w:rsid w:val="00665BA4"/>
    <w:rsid w:val="00667AF2"/>
    <w:rsid w:val="006710C9"/>
    <w:rsid w:val="0067143C"/>
    <w:rsid w:val="00672DA4"/>
    <w:rsid w:val="00674D89"/>
    <w:rsid w:val="00674E73"/>
    <w:rsid w:val="00675E37"/>
    <w:rsid w:val="0068174E"/>
    <w:rsid w:val="00681DCE"/>
    <w:rsid w:val="0068260E"/>
    <w:rsid w:val="006830BB"/>
    <w:rsid w:val="00695BEF"/>
    <w:rsid w:val="006977F6"/>
    <w:rsid w:val="00697A13"/>
    <w:rsid w:val="006A109C"/>
    <w:rsid w:val="006A2677"/>
    <w:rsid w:val="006A4E05"/>
    <w:rsid w:val="006A5384"/>
    <w:rsid w:val="006A72FB"/>
    <w:rsid w:val="006B0100"/>
    <w:rsid w:val="006B344A"/>
    <w:rsid w:val="006B5C92"/>
    <w:rsid w:val="006B78D8"/>
    <w:rsid w:val="006C113F"/>
    <w:rsid w:val="006C123E"/>
    <w:rsid w:val="006C56D4"/>
    <w:rsid w:val="006C6924"/>
    <w:rsid w:val="006C7CA6"/>
    <w:rsid w:val="006D041F"/>
    <w:rsid w:val="006D3E8A"/>
    <w:rsid w:val="006D61F6"/>
    <w:rsid w:val="006D7212"/>
    <w:rsid w:val="006E279A"/>
    <w:rsid w:val="006E313B"/>
    <w:rsid w:val="006E6239"/>
    <w:rsid w:val="006F174D"/>
    <w:rsid w:val="006F5416"/>
    <w:rsid w:val="006F56B3"/>
    <w:rsid w:val="006F5BFC"/>
    <w:rsid w:val="006F5F30"/>
    <w:rsid w:val="006F7137"/>
    <w:rsid w:val="0070443B"/>
    <w:rsid w:val="00706AD4"/>
    <w:rsid w:val="00713E3E"/>
    <w:rsid w:val="007140BE"/>
    <w:rsid w:val="00720400"/>
    <w:rsid w:val="007211F5"/>
    <w:rsid w:val="00721450"/>
    <w:rsid w:val="00722475"/>
    <w:rsid w:val="00722FD5"/>
    <w:rsid w:val="00723AAE"/>
    <w:rsid w:val="00725BB5"/>
    <w:rsid w:val="00726434"/>
    <w:rsid w:val="00730AE8"/>
    <w:rsid w:val="0073133B"/>
    <w:rsid w:val="00734A0E"/>
    <w:rsid w:val="00741493"/>
    <w:rsid w:val="007459FD"/>
    <w:rsid w:val="00752180"/>
    <w:rsid w:val="0075250E"/>
    <w:rsid w:val="00755202"/>
    <w:rsid w:val="00755D3A"/>
    <w:rsid w:val="00757053"/>
    <w:rsid w:val="007578D3"/>
    <w:rsid w:val="00760676"/>
    <w:rsid w:val="0076068B"/>
    <w:rsid w:val="007609C6"/>
    <w:rsid w:val="00760E75"/>
    <w:rsid w:val="0076134B"/>
    <w:rsid w:val="0076175D"/>
    <w:rsid w:val="0076521E"/>
    <w:rsid w:val="007661E9"/>
    <w:rsid w:val="00766E55"/>
    <w:rsid w:val="00770B75"/>
    <w:rsid w:val="007711D6"/>
    <w:rsid w:val="00776169"/>
    <w:rsid w:val="00776527"/>
    <w:rsid w:val="00780755"/>
    <w:rsid w:val="00780EF1"/>
    <w:rsid w:val="00790764"/>
    <w:rsid w:val="0079453C"/>
    <w:rsid w:val="00794677"/>
    <w:rsid w:val="0079487B"/>
    <w:rsid w:val="00794AB3"/>
    <w:rsid w:val="00794F4D"/>
    <w:rsid w:val="007A17CA"/>
    <w:rsid w:val="007A2643"/>
    <w:rsid w:val="007A28CF"/>
    <w:rsid w:val="007A64B2"/>
    <w:rsid w:val="007B056C"/>
    <w:rsid w:val="007B1D7B"/>
    <w:rsid w:val="007B27F5"/>
    <w:rsid w:val="007B5F0C"/>
    <w:rsid w:val="007B6689"/>
    <w:rsid w:val="007B730D"/>
    <w:rsid w:val="007C1587"/>
    <w:rsid w:val="007C628A"/>
    <w:rsid w:val="007D40DF"/>
    <w:rsid w:val="007D7D0C"/>
    <w:rsid w:val="007E173D"/>
    <w:rsid w:val="007E515C"/>
    <w:rsid w:val="007E6932"/>
    <w:rsid w:val="007E7E61"/>
    <w:rsid w:val="007F0845"/>
    <w:rsid w:val="007F6A9D"/>
    <w:rsid w:val="00807C82"/>
    <w:rsid w:val="0081041D"/>
    <w:rsid w:val="0081194A"/>
    <w:rsid w:val="00815775"/>
    <w:rsid w:val="00815C70"/>
    <w:rsid w:val="00816905"/>
    <w:rsid w:val="00821FF6"/>
    <w:rsid w:val="0082276D"/>
    <w:rsid w:val="00825C4D"/>
    <w:rsid w:val="008276BC"/>
    <w:rsid w:val="0083143E"/>
    <w:rsid w:val="00831CDE"/>
    <w:rsid w:val="00834304"/>
    <w:rsid w:val="00834FAA"/>
    <w:rsid w:val="00835208"/>
    <w:rsid w:val="008353FB"/>
    <w:rsid w:val="00836086"/>
    <w:rsid w:val="008441EA"/>
    <w:rsid w:val="0084708F"/>
    <w:rsid w:val="008477C8"/>
    <w:rsid w:val="0085114D"/>
    <w:rsid w:val="00852217"/>
    <w:rsid w:val="00852369"/>
    <w:rsid w:val="00852793"/>
    <w:rsid w:val="00853D5A"/>
    <w:rsid w:val="00855408"/>
    <w:rsid w:val="00856D65"/>
    <w:rsid w:val="00861123"/>
    <w:rsid w:val="0086184E"/>
    <w:rsid w:val="00861B41"/>
    <w:rsid w:val="00863434"/>
    <w:rsid w:val="00865E4C"/>
    <w:rsid w:val="008701E4"/>
    <w:rsid w:val="00872662"/>
    <w:rsid w:val="00875A32"/>
    <w:rsid w:val="00876021"/>
    <w:rsid w:val="00876086"/>
    <w:rsid w:val="008763DF"/>
    <w:rsid w:val="0088197D"/>
    <w:rsid w:val="00881D7C"/>
    <w:rsid w:val="00885FAF"/>
    <w:rsid w:val="008873D4"/>
    <w:rsid w:val="00893E85"/>
    <w:rsid w:val="00894031"/>
    <w:rsid w:val="008943F6"/>
    <w:rsid w:val="00894FB1"/>
    <w:rsid w:val="008A0A90"/>
    <w:rsid w:val="008A13AF"/>
    <w:rsid w:val="008A6E3A"/>
    <w:rsid w:val="008B7C02"/>
    <w:rsid w:val="008B7D2B"/>
    <w:rsid w:val="008C0049"/>
    <w:rsid w:val="008C0E88"/>
    <w:rsid w:val="008D1E6A"/>
    <w:rsid w:val="008D2A16"/>
    <w:rsid w:val="008E2C57"/>
    <w:rsid w:val="008E31FF"/>
    <w:rsid w:val="008E4A71"/>
    <w:rsid w:val="008E6EA1"/>
    <w:rsid w:val="008E6F06"/>
    <w:rsid w:val="008F029B"/>
    <w:rsid w:val="008F3FC9"/>
    <w:rsid w:val="008F585B"/>
    <w:rsid w:val="009003A8"/>
    <w:rsid w:val="009022DB"/>
    <w:rsid w:val="00902500"/>
    <w:rsid w:val="00902EFF"/>
    <w:rsid w:val="00906401"/>
    <w:rsid w:val="009069DD"/>
    <w:rsid w:val="0091155E"/>
    <w:rsid w:val="00912A92"/>
    <w:rsid w:val="0091461C"/>
    <w:rsid w:val="0091728D"/>
    <w:rsid w:val="0092180B"/>
    <w:rsid w:val="00921F14"/>
    <w:rsid w:val="00924AC8"/>
    <w:rsid w:val="0092597A"/>
    <w:rsid w:val="00925B46"/>
    <w:rsid w:val="00932443"/>
    <w:rsid w:val="0093676C"/>
    <w:rsid w:val="00937AE2"/>
    <w:rsid w:val="009414C3"/>
    <w:rsid w:val="00943355"/>
    <w:rsid w:val="00943956"/>
    <w:rsid w:val="0094427A"/>
    <w:rsid w:val="0094462A"/>
    <w:rsid w:val="0095097B"/>
    <w:rsid w:val="00954BEF"/>
    <w:rsid w:val="00955616"/>
    <w:rsid w:val="00962800"/>
    <w:rsid w:val="00964E22"/>
    <w:rsid w:val="0096780E"/>
    <w:rsid w:val="0097432F"/>
    <w:rsid w:val="00974923"/>
    <w:rsid w:val="00974B67"/>
    <w:rsid w:val="009766D9"/>
    <w:rsid w:val="00980D3D"/>
    <w:rsid w:val="00987450"/>
    <w:rsid w:val="00987A30"/>
    <w:rsid w:val="00987A7C"/>
    <w:rsid w:val="00992CF3"/>
    <w:rsid w:val="009968D6"/>
    <w:rsid w:val="009A0113"/>
    <w:rsid w:val="009A1CAB"/>
    <w:rsid w:val="009A3E72"/>
    <w:rsid w:val="009A56DC"/>
    <w:rsid w:val="009A60D1"/>
    <w:rsid w:val="009B0E68"/>
    <w:rsid w:val="009B36A0"/>
    <w:rsid w:val="009B6EF0"/>
    <w:rsid w:val="009B6FD3"/>
    <w:rsid w:val="009B7AB3"/>
    <w:rsid w:val="009C1750"/>
    <w:rsid w:val="009C2E29"/>
    <w:rsid w:val="009C554B"/>
    <w:rsid w:val="009C6EB0"/>
    <w:rsid w:val="009C719E"/>
    <w:rsid w:val="009D3ACD"/>
    <w:rsid w:val="009D411F"/>
    <w:rsid w:val="009E5273"/>
    <w:rsid w:val="009E5DDB"/>
    <w:rsid w:val="009F4AAB"/>
    <w:rsid w:val="009F4CA7"/>
    <w:rsid w:val="009F77CC"/>
    <w:rsid w:val="009F7EF6"/>
    <w:rsid w:val="00A00211"/>
    <w:rsid w:val="00A0206A"/>
    <w:rsid w:val="00A035E6"/>
    <w:rsid w:val="00A10D66"/>
    <w:rsid w:val="00A11D98"/>
    <w:rsid w:val="00A11F85"/>
    <w:rsid w:val="00A1368C"/>
    <w:rsid w:val="00A14114"/>
    <w:rsid w:val="00A16413"/>
    <w:rsid w:val="00A23E43"/>
    <w:rsid w:val="00A30F65"/>
    <w:rsid w:val="00A32057"/>
    <w:rsid w:val="00A37BB7"/>
    <w:rsid w:val="00A4000A"/>
    <w:rsid w:val="00A417DD"/>
    <w:rsid w:val="00A418BC"/>
    <w:rsid w:val="00A44374"/>
    <w:rsid w:val="00A465B5"/>
    <w:rsid w:val="00A46DE0"/>
    <w:rsid w:val="00A50D73"/>
    <w:rsid w:val="00A52CAD"/>
    <w:rsid w:val="00A53FC7"/>
    <w:rsid w:val="00A614C8"/>
    <w:rsid w:val="00A62CE1"/>
    <w:rsid w:val="00A64228"/>
    <w:rsid w:val="00A65F02"/>
    <w:rsid w:val="00A6741E"/>
    <w:rsid w:val="00A72AE3"/>
    <w:rsid w:val="00A75E40"/>
    <w:rsid w:val="00A77D1D"/>
    <w:rsid w:val="00A804E2"/>
    <w:rsid w:val="00A846DB"/>
    <w:rsid w:val="00A857C0"/>
    <w:rsid w:val="00A87EED"/>
    <w:rsid w:val="00AA2996"/>
    <w:rsid w:val="00AA3FB5"/>
    <w:rsid w:val="00AA52BF"/>
    <w:rsid w:val="00AA559A"/>
    <w:rsid w:val="00AA76C2"/>
    <w:rsid w:val="00AB120C"/>
    <w:rsid w:val="00AB1449"/>
    <w:rsid w:val="00AB2AF1"/>
    <w:rsid w:val="00AC5F80"/>
    <w:rsid w:val="00AD306C"/>
    <w:rsid w:val="00AE09B3"/>
    <w:rsid w:val="00AE1A83"/>
    <w:rsid w:val="00AE62C0"/>
    <w:rsid w:val="00AF2EFE"/>
    <w:rsid w:val="00AF6F2E"/>
    <w:rsid w:val="00B00913"/>
    <w:rsid w:val="00B01593"/>
    <w:rsid w:val="00B04A5C"/>
    <w:rsid w:val="00B0652C"/>
    <w:rsid w:val="00B10A4D"/>
    <w:rsid w:val="00B17E71"/>
    <w:rsid w:val="00B17FDE"/>
    <w:rsid w:val="00B224E2"/>
    <w:rsid w:val="00B2379C"/>
    <w:rsid w:val="00B260C8"/>
    <w:rsid w:val="00B2687D"/>
    <w:rsid w:val="00B30272"/>
    <w:rsid w:val="00B32DDB"/>
    <w:rsid w:val="00B34181"/>
    <w:rsid w:val="00B34465"/>
    <w:rsid w:val="00B34528"/>
    <w:rsid w:val="00B36D23"/>
    <w:rsid w:val="00B402FC"/>
    <w:rsid w:val="00B441A8"/>
    <w:rsid w:val="00B46604"/>
    <w:rsid w:val="00B46D74"/>
    <w:rsid w:val="00B530CD"/>
    <w:rsid w:val="00B55A2A"/>
    <w:rsid w:val="00B55F5E"/>
    <w:rsid w:val="00B5752E"/>
    <w:rsid w:val="00B60F59"/>
    <w:rsid w:val="00B619B4"/>
    <w:rsid w:val="00B63A11"/>
    <w:rsid w:val="00B64200"/>
    <w:rsid w:val="00B6433A"/>
    <w:rsid w:val="00B64C24"/>
    <w:rsid w:val="00B6608F"/>
    <w:rsid w:val="00B679FB"/>
    <w:rsid w:val="00B70E68"/>
    <w:rsid w:val="00B72195"/>
    <w:rsid w:val="00B76D1E"/>
    <w:rsid w:val="00B77A71"/>
    <w:rsid w:val="00B80EC6"/>
    <w:rsid w:val="00B84185"/>
    <w:rsid w:val="00B92D1D"/>
    <w:rsid w:val="00B938C5"/>
    <w:rsid w:val="00B94FB9"/>
    <w:rsid w:val="00B95940"/>
    <w:rsid w:val="00B966DD"/>
    <w:rsid w:val="00BA0331"/>
    <w:rsid w:val="00BA121F"/>
    <w:rsid w:val="00BA1DE3"/>
    <w:rsid w:val="00BA36A1"/>
    <w:rsid w:val="00BB45DF"/>
    <w:rsid w:val="00BB46F3"/>
    <w:rsid w:val="00BB4CB1"/>
    <w:rsid w:val="00BB4F98"/>
    <w:rsid w:val="00BC7154"/>
    <w:rsid w:val="00BD24BE"/>
    <w:rsid w:val="00BD366B"/>
    <w:rsid w:val="00BD3A2F"/>
    <w:rsid w:val="00BD5067"/>
    <w:rsid w:val="00BD5439"/>
    <w:rsid w:val="00BD6D50"/>
    <w:rsid w:val="00BE18B9"/>
    <w:rsid w:val="00BE2495"/>
    <w:rsid w:val="00BE4E2C"/>
    <w:rsid w:val="00BE7929"/>
    <w:rsid w:val="00BE7A3A"/>
    <w:rsid w:val="00BF1578"/>
    <w:rsid w:val="00BF5046"/>
    <w:rsid w:val="00BF5596"/>
    <w:rsid w:val="00BF5D63"/>
    <w:rsid w:val="00C00F36"/>
    <w:rsid w:val="00C06D15"/>
    <w:rsid w:val="00C14866"/>
    <w:rsid w:val="00C17A2C"/>
    <w:rsid w:val="00C20901"/>
    <w:rsid w:val="00C21F94"/>
    <w:rsid w:val="00C27913"/>
    <w:rsid w:val="00C27ECC"/>
    <w:rsid w:val="00C31E92"/>
    <w:rsid w:val="00C323F3"/>
    <w:rsid w:val="00C33B68"/>
    <w:rsid w:val="00C36A79"/>
    <w:rsid w:val="00C405D4"/>
    <w:rsid w:val="00C4513B"/>
    <w:rsid w:val="00C5100F"/>
    <w:rsid w:val="00C511CE"/>
    <w:rsid w:val="00C528F2"/>
    <w:rsid w:val="00C53D61"/>
    <w:rsid w:val="00C54697"/>
    <w:rsid w:val="00C54C17"/>
    <w:rsid w:val="00C7069B"/>
    <w:rsid w:val="00C70E45"/>
    <w:rsid w:val="00C732F4"/>
    <w:rsid w:val="00C73885"/>
    <w:rsid w:val="00C747B1"/>
    <w:rsid w:val="00C82191"/>
    <w:rsid w:val="00C83562"/>
    <w:rsid w:val="00C83D6F"/>
    <w:rsid w:val="00C8480C"/>
    <w:rsid w:val="00C870F8"/>
    <w:rsid w:val="00C87A8A"/>
    <w:rsid w:val="00C90CF4"/>
    <w:rsid w:val="00C9239B"/>
    <w:rsid w:val="00C92EB6"/>
    <w:rsid w:val="00C93389"/>
    <w:rsid w:val="00C968EC"/>
    <w:rsid w:val="00CA1DC3"/>
    <w:rsid w:val="00CA2FE3"/>
    <w:rsid w:val="00CA58AF"/>
    <w:rsid w:val="00CA5CD7"/>
    <w:rsid w:val="00CA7231"/>
    <w:rsid w:val="00CB0B78"/>
    <w:rsid w:val="00CB4930"/>
    <w:rsid w:val="00CC2E7D"/>
    <w:rsid w:val="00CC4633"/>
    <w:rsid w:val="00CD10A5"/>
    <w:rsid w:val="00CD19A1"/>
    <w:rsid w:val="00CD2076"/>
    <w:rsid w:val="00CE02B0"/>
    <w:rsid w:val="00CE581D"/>
    <w:rsid w:val="00CE670B"/>
    <w:rsid w:val="00CF3B98"/>
    <w:rsid w:val="00CF51EC"/>
    <w:rsid w:val="00CF6D2E"/>
    <w:rsid w:val="00CF73AE"/>
    <w:rsid w:val="00CF7B32"/>
    <w:rsid w:val="00D01653"/>
    <w:rsid w:val="00D03933"/>
    <w:rsid w:val="00D040DD"/>
    <w:rsid w:val="00D07254"/>
    <w:rsid w:val="00D13986"/>
    <w:rsid w:val="00D235B7"/>
    <w:rsid w:val="00D23F8C"/>
    <w:rsid w:val="00D25F28"/>
    <w:rsid w:val="00D26EA0"/>
    <w:rsid w:val="00D27973"/>
    <w:rsid w:val="00D32094"/>
    <w:rsid w:val="00D34A1E"/>
    <w:rsid w:val="00D450D1"/>
    <w:rsid w:val="00D46821"/>
    <w:rsid w:val="00D46B86"/>
    <w:rsid w:val="00D50F46"/>
    <w:rsid w:val="00D578E1"/>
    <w:rsid w:val="00D60E22"/>
    <w:rsid w:val="00D66223"/>
    <w:rsid w:val="00D67548"/>
    <w:rsid w:val="00D8084C"/>
    <w:rsid w:val="00D812A5"/>
    <w:rsid w:val="00D85A17"/>
    <w:rsid w:val="00D90A66"/>
    <w:rsid w:val="00DA7C0C"/>
    <w:rsid w:val="00DB2EC8"/>
    <w:rsid w:val="00DB3202"/>
    <w:rsid w:val="00DC18C2"/>
    <w:rsid w:val="00DC5B3B"/>
    <w:rsid w:val="00DC5EF2"/>
    <w:rsid w:val="00DD129F"/>
    <w:rsid w:val="00DD2850"/>
    <w:rsid w:val="00DF0884"/>
    <w:rsid w:val="00DF42FF"/>
    <w:rsid w:val="00DF76D8"/>
    <w:rsid w:val="00E01C0E"/>
    <w:rsid w:val="00E03F9A"/>
    <w:rsid w:val="00E04694"/>
    <w:rsid w:val="00E12B1E"/>
    <w:rsid w:val="00E142C3"/>
    <w:rsid w:val="00E142C8"/>
    <w:rsid w:val="00E17262"/>
    <w:rsid w:val="00E253A2"/>
    <w:rsid w:val="00E3309D"/>
    <w:rsid w:val="00E43E8D"/>
    <w:rsid w:val="00E50156"/>
    <w:rsid w:val="00E50AF9"/>
    <w:rsid w:val="00E53470"/>
    <w:rsid w:val="00E539F6"/>
    <w:rsid w:val="00E57F58"/>
    <w:rsid w:val="00E620A9"/>
    <w:rsid w:val="00E6519D"/>
    <w:rsid w:val="00E66029"/>
    <w:rsid w:val="00E67696"/>
    <w:rsid w:val="00E70DFF"/>
    <w:rsid w:val="00E71A58"/>
    <w:rsid w:val="00E72A7A"/>
    <w:rsid w:val="00E75C94"/>
    <w:rsid w:val="00E81ECB"/>
    <w:rsid w:val="00E84E0E"/>
    <w:rsid w:val="00E86E8B"/>
    <w:rsid w:val="00E93820"/>
    <w:rsid w:val="00EA0C68"/>
    <w:rsid w:val="00EA12E2"/>
    <w:rsid w:val="00EA32BC"/>
    <w:rsid w:val="00EB135D"/>
    <w:rsid w:val="00EB3D7B"/>
    <w:rsid w:val="00EB4511"/>
    <w:rsid w:val="00EB4D8D"/>
    <w:rsid w:val="00EC03D7"/>
    <w:rsid w:val="00EC32CC"/>
    <w:rsid w:val="00EC5F34"/>
    <w:rsid w:val="00ED54C2"/>
    <w:rsid w:val="00ED62C6"/>
    <w:rsid w:val="00ED64C1"/>
    <w:rsid w:val="00EE0658"/>
    <w:rsid w:val="00EE173E"/>
    <w:rsid w:val="00EE3446"/>
    <w:rsid w:val="00EE3E78"/>
    <w:rsid w:val="00EE4B1B"/>
    <w:rsid w:val="00EF150D"/>
    <w:rsid w:val="00EF1F5A"/>
    <w:rsid w:val="00EF47BF"/>
    <w:rsid w:val="00EF717E"/>
    <w:rsid w:val="00F02847"/>
    <w:rsid w:val="00F039D4"/>
    <w:rsid w:val="00F04811"/>
    <w:rsid w:val="00F0488C"/>
    <w:rsid w:val="00F05F5E"/>
    <w:rsid w:val="00F10BBA"/>
    <w:rsid w:val="00F10F11"/>
    <w:rsid w:val="00F15AAA"/>
    <w:rsid w:val="00F15BEF"/>
    <w:rsid w:val="00F24407"/>
    <w:rsid w:val="00F24FAA"/>
    <w:rsid w:val="00F25C3A"/>
    <w:rsid w:val="00F3086A"/>
    <w:rsid w:val="00F30F33"/>
    <w:rsid w:val="00F3364D"/>
    <w:rsid w:val="00F34506"/>
    <w:rsid w:val="00F3529F"/>
    <w:rsid w:val="00F37AB8"/>
    <w:rsid w:val="00F437CC"/>
    <w:rsid w:val="00F45774"/>
    <w:rsid w:val="00F47067"/>
    <w:rsid w:val="00F47424"/>
    <w:rsid w:val="00F525EB"/>
    <w:rsid w:val="00F53993"/>
    <w:rsid w:val="00F53B9C"/>
    <w:rsid w:val="00F54F37"/>
    <w:rsid w:val="00F55783"/>
    <w:rsid w:val="00F57BD6"/>
    <w:rsid w:val="00F63DDE"/>
    <w:rsid w:val="00F63FB7"/>
    <w:rsid w:val="00F649D2"/>
    <w:rsid w:val="00F653EA"/>
    <w:rsid w:val="00F6602B"/>
    <w:rsid w:val="00F70F2A"/>
    <w:rsid w:val="00F7260E"/>
    <w:rsid w:val="00F73A0C"/>
    <w:rsid w:val="00F74F69"/>
    <w:rsid w:val="00F756DB"/>
    <w:rsid w:val="00F76B75"/>
    <w:rsid w:val="00F83C0E"/>
    <w:rsid w:val="00F843A5"/>
    <w:rsid w:val="00F85066"/>
    <w:rsid w:val="00F85630"/>
    <w:rsid w:val="00F940C8"/>
    <w:rsid w:val="00F959EA"/>
    <w:rsid w:val="00FA1D8E"/>
    <w:rsid w:val="00FA3464"/>
    <w:rsid w:val="00FA5D4D"/>
    <w:rsid w:val="00FB0AB5"/>
    <w:rsid w:val="00FB0C23"/>
    <w:rsid w:val="00FB0EE2"/>
    <w:rsid w:val="00FB542E"/>
    <w:rsid w:val="00FC0E5F"/>
    <w:rsid w:val="00FC1A95"/>
    <w:rsid w:val="00FC2D21"/>
    <w:rsid w:val="00FC56DE"/>
    <w:rsid w:val="00FC684B"/>
    <w:rsid w:val="00FD3265"/>
    <w:rsid w:val="00FE12B1"/>
    <w:rsid w:val="00FE2F78"/>
    <w:rsid w:val="00FE313E"/>
    <w:rsid w:val="00FF7B9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168F63F"/>
  <w15:docId w15:val="{7C090F07-1EA7-4351-8F1A-AB4A8474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lang w:bidi="ar-SA"/>
    </w:rPr>
  </w:style>
  <w:style w:type="character" w:customStyle="1" w:styleId="Nadpis2Char">
    <w:name w:val="Nadpis 2 Char"/>
    <w:link w:val="Nadpis2"/>
    <w:uiPriority w:val="9"/>
    <w:rsid w:val="004900FF"/>
    <w:rPr>
      <w:rFonts w:ascii="Arial" w:eastAsia="MS Gothic" w:hAnsi="Arial"/>
      <w:b/>
      <w:bCs/>
      <w:color w:val="BC091B"/>
      <w:sz w:val="28"/>
      <w:szCs w:val="26"/>
      <w:lang w:bidi="ar-SA"/>
    </w:rPr>
  </w:style>
  <w:style w:type="character" w:customStyle="1" w:styleId="Nadpis3Char">
    <w:name w:val="Nadpis 3 Char"/>
    <w:link w:val="Nadpis3"/>
    <w:uiPriority w:val="9"/>
    <w:rsid w:val="004900FF"/>
    <w:rPr>
      <w:rFonts w:ascii="Arial" w:eastAsia="MS Gothic" w:hAnsi="Arial"/>
      <w:b/>
      <w:bCs/>
      <w:color w:val="BC091B"/>
      <w:sz w:val="24"/>
      <w:szCs w:val="24"/>
      <w:lang w:bidi="ar-SA"/>
    </w:rPr>
  </w:style>
  <w:style w:type="character" w:customStyle="1" w:styleId="Nadpis4Char">
    <w:name w:val="Nadpis 4 Char"/>
    <w:link w:val="Nadpis4"/>
    <w:uiPriority w:val="9"/>
    <w:rsid w:val="004900FF"/>
    <w:rPr>
      <w:rFonts w:ascii="Arial" w:eastAsia="MS Gothic" w:hAnsi="Arial"/>
      <w:b/>
      <w:bCs/>
      <w:iCs/>
      <w:color w:val="BC091B"/>
      <w:szCs w:val="24"/>
      <w:lang w:bidi="ar-SA"/>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lang w:eastAsia="en-US"/>
    </w:rPr>
  </w:style>
  <w:style w:type="character" w:customStyle="1" w:styleId="ZhlavChar">
    <w:name w:val="Záhlaví Char"/>
    <w:link w:val="Zhlav"/>
    <w:uiPriority w:val="99"/>
    <w:rsid w:val="00A418BC"/>
    <w:rPr>
      <w:rFonts w:ascii="Arial" w:hAnsi="Arial"/>
      <w:sz w:val="16"/>
      <w:szCs w:val="22"/>
      <w:lang w:eastAsia="en-US" w:bidi="ar-SA"/>
    </w:rPr>
  </w:style>
  <w:style w:type="paragraph" w:styleId="Zpat">
    <w:name w:val="footer"/>
    <w:link w:val="ZpatChar"/>
    <w:uiPriority w:val="99"/>
    <w:unhideWhenUsed/>
    <w:qFormat/>
    <w:rsid w:val="00031AE0"/>
    <w:pPr>
      <w:tabs>
        <w:tab w:val="center" w:pos="4820"/>
        <w:tab w:val="right" w:pos="9639"/>
      </w:tabs>
    </w:pPr>
    <w:rPr>
      <w:rFonts w:ascii="Arial" w:hAnsi="Arial"/>
      <w:noProof/>
      <w:sz w:val="16"/>
      <w:lang w:eastAsia="en-US"/>
    </w:rPr>
  </w:style>
  <w:style w:type="character" w:customStyle="1" w:styleId="ZpatChar">
    <w:name w:val="Zápatí Char"/>
    <w:link w:val="Zpat"/>
    <w:uiPriority w:val="99"/>
    <w:rsid w:val="00031AE0"/>
    <w:rPr>
      <w:rFonts w:ascii="Arial" w:hAnsi="Arial"/>
      <w:noProof/>
      <w:sz w:val="16"/>
      <w:lang w:eastAsia="en-US" w:bidi="ar-SA"/>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olor w:val="000000"/>
      <w:szCs w:val="24"/>
    </w:rPr>
  </w:style>
  <w:style w:type="character" w:customStyle="1" w:styleId="ZkladnodstavecChar">
    <w:name w:val="[Základní odstavec] Char"/>
    <w:link w:val="Zkladnodstavec"/>
    <w:uiPriority w:val="99"/>
    <w:rsid w:val="0008263E"/>
    <w:rPr>
      <w:rFonts w:ascii="Arial" w:hAnsi="Arial"/>
      <w:color w:val="000000"/>
      <w:szCs w:val="24"/>
      <w:lang w:bidi="ar-SA"/>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rPr>
  </w:style>
  <w:style w:type="paragraph" w:customStyle="1" w:styleId="Box2">
    <w:name w:val="Box 2"/>
    <w:qFormat/>
    <w:rsid w:val="004900FF"/>
    <w:pPr>
      <w:spacing w:before="240" w:after="240" w:line="288" w:lineRule="auto"/>
      <w:ind w:left="709"/>
      <w:contextualSpacing/>
    </w:pPr>
    <w:rPr>
      <w:rFonts w:ascii="Arial" w:hAnsi="Arial" w:cs="Arial"/>
      <w:color w:val="BC091B"/>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rPr>
  </w:style>
  <w:style w:type="character" w:customStyle="1" w:styleId="NzevChar">
    <w:name w:val="Název Char"/>
    <w:link w:val="Nzev"/>
    <w:uiPriority w:val="10"/>
    <w:rsid w:val="004900FF"/>
    <w:rPr>
      <w:rFonts w:ascii="Arial" w:eastAsia="Times New Roman" w:hAnsi="Arial"/>
      <w:b/>
      <w:bCs/>
      <w:caps/>
      <w:color w:val="BC091B"/>
      <w:kern w:val="28"/>
      <w:sz w:val="56"/>
      <w:szCs w:val="32"/>
      <w:lang w:bidi="ar-SA"/>
    </w:rPr>
  </w:style>
  <w:style w:type="paragraph" w:styleId="Podnadpis">
    <w:name w:val="Subtitle"/>
    <w:link w:val="PodnadpisChar"/>
    <w:uiPriority w:val="11"/>
    <w:qFormat/>
    <w:rsid w:val="004900FF"/>
    <w:pPr>
      <w:spacing w:line="288" w:lineRule="auto"/>
    </w:pPr>
    <w:rPr>
      <w:rFonts w:ascii="Arial" w:eastAsia="Times New Roman" w:hAnsi="Arial"/>
      <w:b/>
      <w:color w:val="BC091B"/>
      <w:sz w:val="28"/>
      <w:szCs w:val="24"/>
    </w:rPr>
  </w:style>
  <w:style w:type="character" w:customStyle="1" w:styleId="PodnadpisChar">
    <w:name w:val="Podnadpis Char"/>
    <w:link w:val="Podnadpis"/>
    <w:uiPriority w:val="11"/>
    <w:rsid w:val="004900FF"/>
    <w:rPr>
      <w:rFonts w:ascii="Arial" w:eastAsia="Times New Roman" w:hAnsi="Arial"/>
      <w:b/>
      <w:color w:val="BC091B"/>
      <w:sz w:val="28"/>
      <w:szCs w:val="24"/>
      <w:lang w:bidi="ar-SA"/>
    </w:rPr>
  </w:style>
  <w:style w:type="paragraph" w:styleId="Textpoznpodarou">
    <w:name w:val="footnote text"/>
    <w:basedOn w:val="Normln"/>
    <w:link w:val="TextpoznpodarouChar"/>
    <w:unhideWhenUsed/>
    <w:rsid w:val="00C83D6F"/>
    <w:pPr>
      <w:spacing w:after="0" w:line="240" w:lineRule="auto"/>
    </w:pPr>
    <w:rPr>
      <w:rFonts w:ascii="Calibri" w:eastAsia="Calibri" w:hAnsi="Calibri"/>
      <w:szCs w:val="20"/>
      <w:lang w:eastAsia="en-US"/>
    </w:rPr>
  </w:style>
  <w:style w:type="character" w:customStyle="1" w:styleId="TextpoznpodarouChar">
    <w:name w:val="Text pozn. pod čarou Char"/>
    <w:link w:val="Textpoznpodarou"/>
    <w:rsid w:val="00C83D6F"/>
    <w:rPr>
      <w:rFonts w:ascii="Calibri" w:eastAsia="Calibri" w:hAnsi="Calibri" w:cs="Times New Roman"/>
      <w:lang w:eastAsia="en-US"/>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Znakapoznpodarou">
    <w:name w:val="footnote reference"/>
    <w:semiHidden/>
    <w:unhideWhenUsed/>
    <w:rsid w:val="00C83D6F"/>
    <w:rPr>
      <w:vertAlign w:val="superscript"/>
    </w:rPr>
  </w:style>
  <w:style w:type="character" w:styleId="Odkaznakoment">
    <w:name w:val="annotation reference"/>
    <w:uiPriority w:val="99"/>
    <w:semiHidden/>
    <w:unhideWhenUsed/>
    <w:rsid w:val="00C83D6F"/>
    <w:rPr>
      <w:sz w:val="16"/>
      <w:szCs w:val="16"/>
    </w:rPr>
  </w:style>
  <w:style w:type="paragraph" w:styleId="Textkomente">
    <w:name w:val="annotation text"/>
    <w:basedOn w:val="Normln"/>
    <w:link w:val="TextkomenteChar"/>
    <w:uiPriority w:val="99"/>
    <w:semiHidden/>
    <w:unhideWhenUsed/>
    <w:rsid w:val="00C83D6F"/>
    <w:pPr>
      <w:spacing w:after="200" w:line="240" w:lineRule="auto"/>
    </w:pPr>
    <w:rPr>
      <w:rFonts w:ascii="Calibri" w:eastAsia="Calibri" w:hAnsi="Calibri"/>
      <w:szCs w:val="20"/>
      <w:lang w:eastAsia="en-US"/>
    </w:rPr>
  </w:style>
  <w:style w:type="character" w:customStyle="1" w:styleId="TextkomenteChar">
    <w:name w:val="Text komentáře Char"/>
    <w:link w:val="Textkomente"/>
    <w:uiPriority w:val="99"/>
    <w:semiHidden/>
    <w:rsid w:val="00C83D6F"/>
    <w:rPr>
      <w:rFonts w:ascii="Calibri" w:eastAsia="Calibri" w:hAnsi="Calibri" w:cs="Times New Roman"/>
      <w:lang w:eastAsia="en-US"/>
    </w:rPr>
  </w:style>
  <w:style w:type="character" w:styleId="Sledovanodkaz">
    <w:name w:val="FollowedHyperlink"/>
    <w:uiPriority w:val="99"/>
    <w:semiHidden/>
    <w:unhideWhenUsed/>
    <w:rsid w:val="00F959EA"/>
    <w:rPr>
      <w:color w:val="800080"/>
      <w:u w:val="single"/>
    </w:rPr>
  </w:style>
  <w:style w:type="paragraph" w:styleId="Pedmtkomente">
    <w:name w:val="annotation subject"/>
    <w:basedOn w:val="Textkomente"/>
    <w:next w:val="Textkomente"/>
    <w:link w:val="PedmtkomenteChar"/>
    <w:uiPriority w:val="99"/>
    <w:semiHidden/>
    <w:unhideWhenUsed/>
    <w:rsid w:val="007D7D0C"/>
    <w:rPr>
      <w:b/>
      <w:bCs/>
    </w:rPr>
  </w:style>
  <w:style w:type="character" w:customStyle="1" w:styleId="PedmtkomenteChar">
    <w:name w:val="Předmět komentáře Char"/>
    <w:link w:val="Pedmtkomente"/>
    <w:uiPriority w:val="99"/>
    <w:semiHidden/>
    <w:rsid w:val="007D7D0C"/>
    <w:rPr>
      <w:rFonts w:ascii="Calibri" w:eastAsia="Calibri" w:hAnsi="Calibri" w:cs="Times New Roman"/>
      <w:b/>
      <w:bCs/>
      <w:lang w:eastAsia="en-US"/>
    </w:rPr>
  </w:style>
  <w:style w:type="paragraph" w:styleId="Odstavecseseznamem">
    <w:name w:val="List Paragraph"/>
    <w:basedOn w:val="Normln"/>
    <w:uiPriority w:val="34"/>
    <w:qFormat/>
    <w:rsid w:val="007D7D0C"/>
    <w:pPr>
      <w:spacing w:after="200" w:line="276"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7D7D0C"/>
    <w:pPr>
      <w:spacing w:before="100" w:beforeAutospacing="1" w:after="100" w:afterAutospacing="1" w:line="240" w:lineRule="auto"/>
    </w:pPr>
    <w:rPr>
      <w:rFonts w:ascii="Times New Roman" w:hAnsi="Times New Roman"/>
      <w:sz w:val="24"/>
    </w:rPr>
  </w:style>
  <w:style w:type="character" w:styleId="Zdraznn">
    <w:name w:val="Emphasis"/>
    <w:uiPriority w:val="20"/>
    <w:qFormat/>
    <w:rsid w:val="007D7D0C"/>
    <w:rPr>
      <w:i/>
      <w:iCs/>
    </w:rPr>
  </w:style>
  <w:style w:type="character" w:customStyle="1" w:styleId="bold">
    <w:name w:val="bold"/>
    <w:basedOn w:val="Standardnpsmoodstavce"/>
    <w:rsid w:val="007D7D0C"/>
  </w:style>
  <w:style w:type="paragraph" w:customStyle="1" w:styleId="Default">
    <w:name w:val="Default"/>
    <w:rsid w:val="007D7D0C"/>
    <w:pPr>
      <w:autoSpaceDE w:val="0"/>
      <w:autoSpaceDN w:val="0"/>
      <w:adjustRightInd w:val="0"/>
    </w:pPr>
    <w:rPr>
      <w:rFonts w:ascii="Times New Roman" w:hAnsi="Times New Roman"/>
      <w:color w:val="000000"/>
      <w:sz w:val="24"/>
      <w:szCs w:val="24"/>
      <w:lang w:eastAsia="en-US"/>
    </w:rPr>
  </w:style>
  <w:style w:type="paragraph" w:customStyle="1" w:styleId="part-odstavec">
    <w:name w:val="part-odstavec"/>
    <w:basedOn w:val="Normln"/>
    <w:rsid w:val="007D7D0C"/>
    <w:pPr>
      <w:spacing w:before="100" w:beforeAutospacing="1" w:after="100" w:afterAutospacing="1" w:line="240" w:lineRule="auto"/>
    </w:pPr>
    <w:rPr>
      <w:rFonts w:ascii="Times New Roman" w:hAnsi="Times New Roman"/>
      <w:sz w:val="24"/>
    </w:rPr>
  </w:style>
  <w:style w:type="character" w:styleId="PromnnHTML">
    <w:name w:val="HTML Variable"/>
    <w:uiPriority w:val="99"/>
    <w:semiHidden/>
    <w:unhideWhenUsed/>
    <w:rsid w:val="007D7D0C"/>
    <w:rPr>
      <w:i/>
      <w:iCs/>
    </w:rPr>
  </w:style>
  <w:style w:type="character" w:customStyle="1" w:styleId="mw-headline">
    <w:name w:val="mw-headline"/>
    <w:basedOn w:val="Standardnpsmoodstavce"/>
    <w:rsid w:val="007D7D0C"/>
  </w:style>
  <w:style w:type="paragraph" w:customStyle="1" w:styleId="Zhlav1">
    <w:name w:val="Záhlaví 1"/>
    <w:basedOn w:val="Normln"/>
    <w:next w:val="Zhlav2"/>
    <w:rsid w:val="007D7D0C"/>
    <w:pPr>
      <w:spacing w:after="120" w:line="240" w:lineRule="auto"/>
      <w:jc w:val="center"/>
    </w:pPr>
    <w:rPr>
      <w:rFonts w:ascii="Times New Roman" w:eastAsia="Symbol" w:hAnsi="Times New Roman"/>
      <w:b/>
      <w:sz w:val="22"/>
      <w:szCs w:val="20"/>
    </w:rPr>
  </w:style>
  <w:style w:type="paragraph" w:customStyle="1" w:styleId="Zhlav2">
    <w:name w:val="Záhlaví 2"/>
    <w:basedOn w:val="Zhlav1"/>
    <w:rsid w:val="007D7D0C"/>
    <w:pPr>
      <w:spacing w:after="0"/>
    </w:pPr>
    <w:rPr>
      <w:sz w:val="26"/>
    </w:rPr>
  </w:style>
  <w:style w:type="character" w:customStyle="1" w:styleId="h1a2">
    <w:name w:val="h1a2"/>
    <w:rsid w:val="007D7D0C"/>
    <w:rPr>
      <w:vanish w:val="0"/>
      <w:webHidden w:val="0"/>
      <w:sz w:val="24"/>
      <w:szCs w:val="24"/>
      <w:specVanish w:val="0"/>
    </w:rPr>
  </w:style>
  <w:style w:type="paragraph" w:customStyle="1" w:styleId="para">
    <w:name w:val="para"/>
    <w:basedOn w:val="Normln"/>
    <w:rsid w:val="007D7D0C"/>
    <w:pPr>
      <w:spacing w:before="144" w:after="144" w:line="240" w:lineRule="auto"/>
    </w:pPr>
    <w:rPr>
      <w:rFonts w:ascii="Times New Roman" w:hAnsi="Times New Roman"/>
      <w:sz w:val="24"/>
    </w:rPr>
  </w:style>
  <w:style w:type="paragraph" w:styleId="Nadpisobsahu">
    <w:name w:val="TOC Heading"/>
    <w:basedOn w:val="Nadpis1"/>
    <w:next w:val="Normln"/>
    <w:uiPriority w:val="39"/>
    <w:semiHidden/>
    <w:unhideWhenUsed/>
    <w:qFormat/>
    <w:rsid w:val="004028DB"/>
    <w:pPr>
      <w:spacing w:before="480" w:after="0" w:line="276" w:lineRule="auto"/>
      <w:contextualSpacing w:val="0"/>
      <w:outlineLvl w:val="9"/>
    </w:pPr>
    <w:rPr>
      <w:rFonts w:ascii="Cambria" w:eastAsia="Times New Roman" w:hAnsi="Cambria"/>
      <w:color w:val="365F91"/>
      <w:sz w:val="28"/>
      <w:lang w:eastAsia="en-US"/>
    </w:rPr>
  </w:style>
  <w:style w:type="character" w:customStyle="1" w:styleId="shorttext">
    <w:name w:val="short_text"/>
    <w:basedOn w:val="Standardnpsmoodstavce"/>
    <w:rsid w:val="0073133B"/>
  </w:style>
  <w:style w:type="numbering" w:customStyle="1" w:styleId="Bezseznamu1">
    <w:name w:val="Bez seznamu1"/>
    <w:next w:val="Bezseznamu"/>
    <w:uiPriority w:val="99"/>
    <w:semiHidden/>
    <w:unhideWhenUsed/>
    <w:rsid w:val="00BA121F"/>
  </w:style>
  <w:style w:type="numbering" w:customStyle="1" w:styleId="Bezseznamu11">
    <w:name w:val="Bez seznamu11"/>
    <w:next w:val="Bezseznamu"/>
    <w:uiPriority w:val="99"/>
    <w:semiHidden/>
    <w:unhideWhenUsed/>
    <w:rsid w:val="00BA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9916368">
      <w:bodyDiv w:val="1"/>
      <w:marLeft w:val="0"/>
      <w:marRight w:val="0"/>
      <w:marTop w:val="0"/>
      <w:marBottom w:val="0"/>
      <w:divBdr>
        <w:top w:val="none" w:sz="0" w:space="0" w:color="auto"/>
        <w:left w:val="none" w:sz="0" w:space="0" w:color="auto"/>
        <w:bottom w:val="none" w:sz="0" w:space="0" w:color="auto"/>
        <w:right w:val="none" w:sz="0" w:space="0" w:color="auto"/>
      </w:divBdr>
    </w:div>
    <w:div w:id="12004551">
      <w:bodyDiv w:val="1"/>
      <w:marLeft w:val="0"/>
      <w:marRight w:val="0"/>
      <w:marTop w:val="0"/>
      <w:marBottom w:val="0"/>
      <w:divBdr>
        <w:top w:val="none" w:sz="0" w:space="0" w:color="auto"/>
        <w:left w:val="none" w:sz="0" w:space="0" w:color="auto"/>
        <w:bottom w:val="none" w:sz="0" w:space="0" w:color="auto"/>
        <w:right w:val="none" w:sz="0" w:space="0" w:color="auto"/>
      </w:divBdr>
    </w:div>
    <w:div w:id="166755726">
      <w:bodyDiv w:val="1"/>
      <w:marLeft w:val="0"/>
      <w:marRight w:val="0"/>
      <w:marTop w:val="0"/>
      <w:marBottom w:val="0"/>
      <w:divBdr>
        <w:top w:val="none" w:sz="0" w:space="0" w:color="auto"/>
        <w:left w:val="none" w:sz="0" w:space="0" w:color="auto"/>
        <w:bottom w:val="none" w:sz="0" w:space="0" w:color="auto"/>
        <w:right w:val="none" w:sz="0" w:space="0" w:color="auto"/>
      </w:divBdr>
    </w:div>
    <w:div w:id="25482255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15963186">
      <w:bodyDiv w:val="1"/>
      <w:marLeft w:val="0"/>
      <w:marRight w:val="0"/>
      <w:marTop w:val="0"/>
      <w:marBottom w:val="0"/>
      <w:divBdr>
        <w:top w:val="none" w:sz="0" w:space="0" w:color="auto"/>
        <w:left w:val="none" w:sz="0" w:space="0" w:color="auto"/>
        <w:bottom w:val="none" w:sz="0" w:space="0" w:color="auto"/>
        <w:right w:val="none" w:sz="0" w:space="0" w:color="auto"/>
      </w:divBdr>
    </w:div>
    <w:div w:id="344553940">
      <w:bodyDiv w:val="1"/>
      <w:marLeft w:val="0"/>
      <w:marRight w:val="0"/>
      <w:marTop w:val="0"/>
      <w:marBottom w:val="0"/>
      <w:divBdr>
        <w:top w:val="none" w:sz="0" w:space="0" w:color="auto"/>
        <w:left w:val="none" w:sz="0" w:space="0" w:color="auto"/>
        <w:bottom w:val="none" w:sz="0" w:space="0" w:color="auto"/>
        <w:right w:val="none" w:sz="0" w:space="0" w:color="auto"/>
      </w:divBdr>
    </w:div>
    <w:div w:id="492987296">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5314289">
      <w:bodyDiv w:val="1"/>
      <w:marLeft w:val="0"/>
      <w:marRight w:val="0"/>
      <w:marTop w:val="0"/>
      <w:marBottom w:val="0"/>
      <w:divBdr>
        <w:top w:val="none" w:sz="0" w:space="0" w:color="auto"/>
        <w:left w:val="none" w:sz="0" w:space="0" w:color="auto"/>
        <w:bottom w:val="none" w:sz="0" w:space="0" w:color="auto"/>
        <w:right w:val="none" w:sz="0" w:space="0" w:color="auto"/>
      </w:divBdr>
    </w:div>
    <w:div w:id="611401507">
      <w:bodyDiv w:val="1"/>
      <w:marLeft w:val="0"/>
      <w:marRight w:val="0"/>
      <w:marTop w:val="0"/>
      <w:marBottom w:val="0"/>
      <w:divBdr>
        <w:top w:val="none" w:sz="0" w:space="0" w:color="auto"/>
        <w:left w:val="none" w:sz="0" w:space="0" w:color="auto"/>
        <w:bottom w:val="none" w:sz="0" w:space="0" w:color="auto"/>
        <w:right w:val="none" w:sz="0" w:space="0" w:color="auto"/>
      </w:divBdr>
    </w:div>
    <w:div w:id="616987796">
      <w:bodyDiv w:val="1"/>
      <w:marLeft w:val="0"/>
      <w:marRight w:val="0"/>
      <w:marTop w:val="0"/>
      <w:marBottom w:val="0"/>
      <w:divBdr>
        <w:top w:val="none" w:sz="0" w:space="0" w:color="auto"/>
        <w:left w:val="none" w:sz="0" w:space="0" w:color="auto"/>
        <w:bottom w:val="none" w:sz="0" w:space="0" w:color="auto"/>
        <w:right w:val="none" w:sz="0" w:space="0" w:color="auto"/>
      </w:divBdr>
    </w:div>
    <w:div w:id="66289987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6731671">
      <w:bodyDiv w:val="1"/>
      <w:marLeft w:val="0"/>
      <w:marRight w:val="0"/>
      <w:marTop w:val="0"/>
      <w:marBottom w:val="0"/>
      <w:divBdr>
        <w:top w:val="none" w:sz="0" w:space="0" w:color="auto"/>
        <w:left w:val="none" w:sz="0" w:space="0" w:color="auto"/>
        <w:bottom w:val="none" w:sz="0" w:space="0" w:color="auto"/>
        <w:right w:val="none" w:sz="0" w:space="0" w:color="auto"/>
      </w:divBdr>
    </w:div>
    <w:div w:id="773206935">
      <w:bodyDiv w:val="1"/>
      <w:marLeft w:val="0"/>
      <w:marRight w:val="0"/>
      <w:marTop w:val="0"/>
      <w:marBottom w:val="0"/>
      <w:divBdr>
        <w:top w:val="none" w:sz="0" w:space="0" w:color="auto"/>
        <w:left w:val="none" w:sz="0" w:space="0" w:color="auto"/>
        <w:bottom w:val="none" w:sz="0" w:space="0" w:color="auto"/>
        <w:right w:val="none" w:sz="0" w:space="0" w:color="auto"/>
      </w:divBdr>
    </w:div>
    <w:div w:id="807087330">
      <w:bodyDiv w:val="1"/>
      <w:marLeft w:val="0"/>
      <w:marRight w:val="0"/>
      <w:marTop w:val="0"/>
      <w:marBottom w:val="0"/>
      <w:divBdr>
        <w:top w:val="none" w:sz="0" w:space="0" w:color="auto"/>
        <w:left w:val="none" w:sz="0" w:space="0" w:color="auto"/>
        <w:bottom w:val="none" w:sz="0" w:space="0" w:color="auto"/>
        <w:right w:val="none" w:sz="0" w:space="0" w:color="auto"/>
      </w:divBdr>
    </w:div>
    <w:div w:id="879170166">
      <w:bodyDiv w:val="1"/>
      <w:marLeft w:val="0"/>
      <w:marRight w:val="0"/>
      <w:marTop w:val="0"/>
      <w:marBottom w:val="0"/>
      <w:divBdr>
        <w:top w:val="none" w:sz="0" w:space="0" w:color="auto"/>
        <w:left w:val="none" w:sz="0" w:space="0" w:color="auto"/>
        <w:bottom w:val="none" w:sz="0" w:space="0" w:color="auto"/>
        <w:right w:val="none" w:sz="0" w:space="0" w:color="auto"/>
      </w:divBdr>
    </w:div>
    <w:div w:id="936600120">
      <w:bodyDiv w:val="1"/>
      <w:marLeft w:val="0"/>
      <w:marRight w:val="0"/>
      <w:marTop w:val="0"/>
      <w:marBottom w:val="0"/>
      <w:divBdr>
        <w:top w:val="none" w:sz="0" w:space="0" w:color="auto"/>
        <w:left w:val="none" w:sz="0" w:space="0" w:color="auto"/>
        <w:bottom w:val="none" w:sz="0" w:space="0" w:color="auto"/>
        <w:right w:val="none" w:sz="0" w:space="0" w:color="auto"/>
      </w:divBdr>
    </w:div>
    <w:div w:id="959189711">
      <w:bodyDiv w:val="1"/>
      <w:marLeft w:val="0"/>
      <w:marRight w:val="0"/>
      <w:marTop w:val="0"/>
      <w:marBottom w:val="0"/>
      <w:divBdr>
        <w:top w:val="none" w:sz="0" w:space="0" w:color="auto"/>
        <w:left w:val="none" w:sz="0" w:space="0" w:color="auto"/>
        <w:bottom w:val="none" w:sz="0" w:space="0" w:color="auto"/>
        <w:right w:val="none" w:sz="0" w:space="0" w:color="auto"/>
      </w:divBdr>
    </w:div>
    <w:div w:id="1029254837">
      <w:bodyDiv w:val="1"/>
      <w:marLeft w:val="0"/>
      <w:marRight w:val="0"/>
      <w:marTop w:val="0"/>
      <w:marBottom w:val="0"/>
      <w:divBdr>
        <w:top w:val="none" w:sz="0" w:space="0" w:color="auto"/>
        <w:left w:val="none" w:sz="0" w:space="0" w:color="auto"/>
        <w:bottom w:val="none" w:sz="0" w:space="0" w:color="auto"/>
        <w:right w:val="none" w:sz="0" w:space="0" w:color="auto"/>
      </w:divBdr>
    </w:div>
    <w:div w:id="1114472426">
      <w:bodyDiv w:val="1"/>
      <w:marLeft w:val="0"/>
      <w:marRight w:val="0"/>
      <w:marTop w:val="0"/>
      <w:marBottom w:val="0"/>
      <w:divBdr>
        <w:top w:val="none" w:sz="0" w:space="0" w:color="auto"/>
        <w:left w:val="none" w:sz="0" w:space="0" w:color="auto"/>
        <w:bottom w:val="none" w:sz="0" w:space="0" w:color="auto"/>
        <w:right w:val="none" w:sz="0" w:space="0" w:color="auto"/>
      </w:divBdr>
    </w:div>
    <w:div w:id="1115127607">
      <w:bodyDiv w:val="1"/>
      <w:marLeft w:val="0"/>
      <w:marRight w:val="0"/>
      <w:marTop w:val="0"/>
      <w:marBottom w:val="0"/>
      <w:divBdr>
        <w:top w:val="none" w:sz="0" w:space="0" w:color="auto"/>
        <w:left w:val="none" w:sz="0" w:space="0" w:color="auto"/>
        <w:bottom w:val="none" w:sz="0" w:space="0" w:color="auto"/>
        <w:right w:val="none" w:sz="0" w:space="0" w:color="auto"/>
      </w:divBdr>
    </w:div>
    <w:div w:id="1146160896">
      <w:bodyDiv w:val="1"/>
      <w:marLeft w:val="0"/>
      <w:marRight w:val="0"/>
      <w:marTop w:val="0"/>
      <w:marBottom w:val="0"/>
      <w:divBdr>
        <w:top w:val="none" w:sz="0" w:space="0" w:color="auto"/>
        <w:left w:val="none" w:sz="0" w:space="0" w:color="auto"/>
        <w:bottom w:val="none" w:sz="0" w:space="0" w:color="auto"/>
        <w:right w:val="none" w:sz="0" w:space="0" w:color="auto"/>
      </w:divBdr>
    </w:div>
    <w:div w:id="1150712893">
      <w:bodyDiv w:val="1"/>
      <w:marLeft w:val="0"/>
      <w:marRight w:val="0"/>
      <w:marTop w:val="0"/>
      <w:marBottom w:val="0"/>
      <w:divBdr>
        <w:top w:val="none" w:sz="0" w:space="0" w:color="auto"/>
        <w:left w:val="none" w:sz="0" w:space="0" w:color="auto"/>
        <w:bottom w:val="none" w:sz="0" w:space="0" w:color="auto"/>
        <w:right w:val="none" w:sz="0" w:space="0" w:color="auto"/>
      </w:divBdr>
    </w:div>
    <w:div w:id="1198589016">
      <w:bodyDiv w:val="1"/>
      <w:marLeft w:val="0"/>
      <w:marRight w:val="0"/>
      <w:marTop w:val="0"/>
      <w:marBottom w:val="0"/>
      <w:divBdr>
        <w:top w:val="none" w:sz="0" w:space="0" w:color="auto"/>
        <w:left w:val="none" w:sz="0" w:space="0" w:color="auto"/>
        <w:bottom w:val="none" w:sz="0" w:space="0" w:color="auto"/>
        <w:right w:val="none" w:sz="0" w:space="0" w:color="auto"/>
      </w:divBdr>
      <w:divsChild>
        <w:div w:id="301544632">
          <w:marLeft w:val="0"/>
          <w:marRight w:val="0"/>
          <w:marTop w:val="0"/>
          <w:marBottom w:val="0"/>
          <w:divBdr>
            <w:top w:val="none" w:sz="0" w:space="0" w:color="auto"/>
            <w:left w:val="none" w:sz="0" w:space="0" w:color="auto"/>
            <w:bottom w:val="none" w:sz="0" w:space="0" w:color="auto"/>
            <w:right w:val="none" w:sz="0" w:space="0" w:color="auto"/>
          </w:divBdr>
        </w:div>
        <w:div w:id="272203355">
          <w:marLeft w:val="0"/>
          <w:marRight w:val="0"/>
          <w:marTop w:val="0"/>
          <w:marBottom w:val="0"/>
          <w:divBdr>
            <w:top w:val="none" w:sz="0" w:space="0" w:color="auto"/>
            <w:left w:val="none" w:sz="0" w:space="0" w:color="auto"/>
            <w:bottom w:val="none" w:sz="0" w:space="0" w:color="auto"/>
            <w:right w:val="none" w:sz="0" w:space="0" w:color="auto"/>
          </w:divBdr>
          <w:divsChild>
            <w:div w:id="329526809">
              <w:marLeft w:val="0"/>
              <w:marRight w:val="0"/>
              <w:marTop w:val="0"/>
              <w:marBottom w:val="0"/>
              <w:divBdr>
                <w:top w:val="none" w:sz="0" w:space="0" w:color="auto"/>
                <w:left w:val="none" w:sz="0" w:space="0" w:color="auto"/>
                <w:bottom w:val="none" w:sz="0" w:space="0" w:color="auto"/>
                <w:right w:val="none" w:sz="0" w:space="0" w:color="auto"/>
              </w:divBdr>
              <w:divsChild>
                <w:div w:id="44917577">
                  <w:marLeft w:val="0"/>
                  <w:marRight w:val="0"/>
                  <w:marTop w:val="0"/>
                  <w:marBottom w:val="0"/>
                  <w:divBdr>
                    <w:top w:val="none" w:sz="0" w:space="0" w:color="auto"/>
                    <w:left w:val="none" w:sz="0" w:space="0" w:color="auto"/>
                    <w:bottom w:val="none" w:sz="0" w:space="0" w:color="auto"/>
                    <w:right w:val="none" w:sz="0" w:space="0" w:color="auto"/>
                  </w:divBdr>
                  <w:divsChild>
                    <w:div w:id="513959536">
                      <w:marLeft w:val="0"/>
                      <w:marRight w:val="0"/>
                      <w:marTop w:val="0"/>
                      <w:marBottom w:val="0"/>
                      <w:divBdr>
                        <w:top w:val="none" w:sz="0" w:space="0" w:color="auto"/>
                        <w:left w:val="none" w:sz="0" w:space="0" w:color="auto"/>
                        <w:bottom w:val="none" w:sz="0" w:space="0" w:color="auto"/>
                        <w:right w:val="none" w:sz="0" w:space="0" w:color="auto"/>
                      </w:divBdr>
                      <w:divsChild>
                        <w:div w:id="44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9132">
          <w:marLeft w:val="0"/>
          <w:marRight w:val="0"/>
          <w:marTop w:val="0"/>
          <w:marBottom w:val="0"/>
          <w:divBdr>
            <w:top w:val="none" w:sz="0" w:space="0" w:color="auto"/>
            <w:left w:val="none" w:sz="0" w:space="0" w:color="auto"/>
            <w:bottom w:val="none" w:sz="0" w:space="0" w:color="auto"/>
            <w:right w:val="none" w:sz="0" w:space="0" w:color="auto"/>
          </w:divBdr>
          <w:divsChild>
            <w:div w:id="59450436">
              <w:marLeft w:val="0"/>
              <w:marRight w:val="0"/>
              <w:marTop w:val="0"/>
              <w:marBottom w:val="0"/>
              <w:divBdr>
                <w:top w:val="none" w:sz="0" w:space="0" w:color="auto"/>
                <w:left w:val="none" w:sz="0" w:space="0" w:color="auto"/>
                <w:bottom w:val="none" w:sz="0" w:space="0" w:color="auto"/>
                <w:right w:val="none" w:sz="0" w:space="0" w:color="auto"/>
              </w:divBdr>
              <w:divsChild>
                <w:div w:id="1129054712">
                  <w:marLeft w:val="0"/>
                  <w:marRight w:val="0"/>
                  <w:marTop w:val="0"/>
                  <w:marBottom w:val="0"/>
                  <w:divBdr>
                    <w:top w:val="none" w:sz="0" w:space="0" w:color="auto"/>
                    <w:left w:val="none" w:sz="0" w:space="0" w:color="auto"/>
                    <w:bottom w:val="none" w:sz="0" w:space="0" w:color="auto"/>
                    <w:right w:val="none" w:sz="0" w:space="0" w:color="auto"/>
                  </w:divBdr>
                  <w:divsChild>
                    <w:div w:id="1533229959">
                      <w:marLeft w:val="0"/>
                      <w:marRight w:val="0"/>
                      <w:marTop w:val="0"/>
                      <w:marBottom w:val="0"/>
                      <w:divBdr>
                        <w:top w:val="none" w:sz="0" w:space="0" w:color="auto"/>
                        <w:left w:val="none" w:sz="0" w:space="0" w:color="auto"/>
                        <w:bottom w:val="none" w:sz="0" w:space="0" w:color="auto"/>
                        <w:right w:val="none" w:sz="0" w:space="0" w:color="auto"/>
                      </w:divBdr>
                      <w:divsChild>
                        <w:div w:id="1544556521">
                          <w:marLeft w:val="0"/>
                          <w:marRight w:val="0"/>
                          <w:marTop w:val="0"/>
                          <w:marBottom w:val="0"/>
                          <w:divBdr>
                            <w:top w:val="none" w:sz="0" w:space="0" w:color="auto"/>
                            <w:left w:val="none" w:sz="0" w:space="0" w:color="auto"/>
                            <w:bottom w:val="none" w:sz="0" w:space="0" w:color="auto"/>
                            <w:right w:val="none" w:sz="0" w:space="0" w:color="auto"/>
                          </w:divBdr>
                          <w:divsChild>
                            <w:div w:id="3283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8781265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36098906">
      <w:bodyDiv w:val="1"/>
      <w:marLeft w:val="0"/>
      <w:marRight w:val="0"/>
      <w:marTop w:val="0"/>
      <w:marBottom w:val="0"/>
      <w:divBdr>
        <w:top w:val="none" w:sz="0" w:space="0" w:color="auto"/>
        <w:left w:val="none" w:sz="0" w:space="0" w:color="auto"/>
        <w:bottom w:val="none" w:sz="0" w:space="0" w:color="auto"/>
        <w:right w:val="none" w:sz="0" w:space="0" w:color="auto"/>
      </w:divBdr>
    </w:div>
    <w:div w:id="143840559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4419697">
      <w:bodyDiv w:val="1"/>
      <w:marLeft w:val="0"/>
      <w:marRight w:val="0"/>
      <w:marTop w:val="0"/>
      <w:marBottom w:val="0"/>
      <w:divBdr>
        <w:top w:val="none" w:sz="0" w:space="0" w:color="auto"/>
        <w:left w:val="none" w:sz="0" w:space="0" w:color="auto"/>
        <w:bottom w:val="none" w:sz="0" w:space="0" w:color="auto"/>
        <w:right w:val="none" w:sz="0" w:space="0" w:color="auto"/>
      </w:divBdr>
    </w:div>
    <w:div w:id="1508982702">
      <w:bodyDiv w:val="1"/>
      <w:marLeft w:val="0"/>
      <w:marRight w:val="0"/>
      <w:marTop w:val="0"/>
      <w:marBottom w:val="0"/>
      <w:divBdr>
        <w:top w:val="none" w:sz="0" w:space="0" w:color="auto"/>
        <w:left w:val="none" w:sz="0" w:space="0" w:color="auto"/>
        <w:bottom w:val="none" w:sz="0" w:space="0" w:color="auto"/>
        <w:right w:val="none" w:sz="0" w:space="0" w:color="auto"/>
      </w:divBdr>
    </w:div>
    <w:div w:id="1509061286">
      <w:bodyDiv w:val="1"/>
      <w:marLeft w:val="0"/>
      <w:marRight w:val="0"/>
      <w:marTop w:val="0"/>
      <w:marBottom w:val="0"/>
      <w:divBdr>
        <w:top w:val="none" w:sz="0" w:space="0" w:color="auto"/>
        <w:left w:val="none" w:sz="0" w:space="0" w:color="auto"/>
        <w:bottom w:val="none" w:sz="0" w:space="0" w:color="auto"/>
        <w:right w:val="none" w:sz="0" w:space="0" w:color="auto"/>
      </w:divBdr>
    </w:div>
    <w:div w:id="1586576392">
      <w:bodyDiv w:val="1"/>
      <w:marLeft w:val="0"/>
      <w:marRight w:val="0"/>
      <w:marTop w:val="0"/>
      <w:marBottom w:val="0"/>
      <w:divBdr>
        <w:top w:val="none" w:sz="0" w:space="0" w:color="auto"/>
        <w:left w:val="none" w:sz="0" w:space="0" w:color="auto"/>
        <w:bottom w:val="none" w:sz="0" w:space="0" w:color="auto"/>
        <w:right w:val="none" w:sz="0" w:space="0" w:color="auto"/>
      </w:divBdr>
    </w:div>
    <w:div w:id="1653679887">
      <w:bodyDiv w:val="1"/>
      <w:marLeft w:val="0"/>
      <w:marRight w:val="0"/>
      <w:marTop w:val="0"/>
      <w:marBottom w:val="0"/>
      <w:divBdr>
        <w:top w:val="none" w:sz="0" w:space="0" w:color="auto"/>
        <w:left w:val="none" w:sz="0" w:space="0" w:color="auto"/>
        <w:bottom w:val="none" w:sz="0" w:space="0" w:color="auto"/>
        <w:right w:val="none" w:sz="0" w:space="0" w:color="auto"/>
      </w:divBdr>
    </w:div>
    <w:div w:id="1707367122">
      <w:bodyDiv w:val="1"/>
      <w:marLeft w:val="0"/>
      <w:marRight w:val="0"/>
      <w:marTop w:val="0"/>
      <w:marBottom w:val="0"/>
      <w:divBdr>
        <w:top w:val="none" w:sz="0" w:space="0" w:color="auto"/>
        <w:left w:val="none" w:sz="0" w:space="0" w:color="auto"/>
        <w:bottom w:val="none" w:sz="0" w:space="0" w:color="auto"/>
        <w:right w:val="none" w:sz="0" w:space="0" w:color="auto"/>
      </w:divBdr>
    </w:div>
    <w:div w:id="1733693451">
      <w:bodyDiv w:val="1"/>
      <w:marLeft w:val="0"/>
      <w:marRight w:val="0"/>
      <w:marTop w:val="0"/>
      <w:marBottom w:val="0"/>
      <w:divBdr>
        <w:top w:val="none" w:sz="0" w:space="0" w:color="auto"/>
        <w:left w:val="none" w:sz="0" w:space="0" w:color="auto"/>
        <w:bottom w:val="none" w:sz="0" w:space="0" w:color="auto"/>
        <w:right w:val="none" w:sz="0" w:space="0" w:color="auto"/>
      </w:divBdr>
    </w:div>
    <w:div w:id="1742829607">
      <w:bodyDiv w:val="1"/>
      <w:marLeft w:val="0"/>
      <w:marRight w:val="0"/>
      <w:marTop w:val="0"/>
      <w:marBottom w:val="0"/>
      <w:divBdr>
        <w:top w:val="none" w:sz="0" w:space="0" w:color="auto"/>
        <w:left w:val="none" w:sz="0" w:space="0" w:color="auto"/>
        <w:bottom w:val="none" w:sz="0" w:space="0" w:color="auto"/>
        <w:right w:val="none" w:sz="0" w:space="0" w:color="auto"/>
      </w:divBdr>
    </w:div>
    <w:div w:id="1760247003">
      <w:bodyDiv w:val="1"/>
      <w:marLeft w:val="0"/>
      <w:marRight w:val="0"/>
      <w:marTop w:val="0"/>
      <w:marBottom w:val="0"/>
      <w:divBdr>
        <w:top w:val="none" w:sz="0" w:space="0" w:color="auto"/>
        <w:left w:val="none" w:sz="0" w:space="0" w:color="auto"/>
        <w:bottom w:val="none" w:sz="0" w:space="0" w:color="auto"/>
        <w:right w:val="none" w:sz="0" w:space="0" w:color="auto"/>
      </w:divBdr>
    </w:div>
    <w:div w:id="1867476660">
      <w:bodyDiv w:val="1"/>
      <w:marLeft w:val="0"/>
      <w:marRight w:val="0"/>
      <w:marTop w:val="0"/>
      <w:marBottom w:val="0"/>
      <w:divBdr>
        <w:top w:val="none" w:sz="0" w:space="0" w:color="auto"/>
        <w:left w:val="none" w:sz="0" w:space="0" w:color="auto"/>
        <w:bottom w:val="none" w:sz="0" w:space="0" w:color="auto"/>
        <w:right w:val="none" w:sz="0" w:space="0" w:color="auto"/>
      </w:divBdr>
    </w:div>
    <w:div w:id="1869415947">
      <w:bodyDiv w:val="1"/>
      <w:marLeft w:val="0"/>
      <w:marRight w:val="0"/>
      <w:marTop w:val="0"/>
      <w:marBottom w:val="0"/>
      <w:divBdr>
        <w:top w:val="none" w:sz="0" w:space="0" w:color="auto"/>
        <w:left w:val="none" w:sz="0" w:space="0" w:color="auto"/>
        <w:bottom w:val="none" w:sz="0" w:space="0" w:color="auto"/>
        <w:right w:val="none" w:sz="0" w:space="0" w:color="auto"/>
      </w:divBdr>
    </w:div>
    <w:div w:id="18787373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61948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21148401">
      <w:bodyDiv w:val="1"/>
      <w:marLeft w:val="0"/>
      <w:marRight w:val="0"/>
      <w:marTop w:val="0"/>
      <w:marBottom w:val="0"/>
      <w:divBdr>
        <w:top w:val="none" w:sz="0" w:space="0" w:color="auto"/>
        <w:left w:val="none" w:sz="0" w:space="0" w:color="auto"/>
        <w:bottom w:val="none" w:sz="0" w:space="0" w:color="auto"/>
        <w:right w:val="none" w:sz="0" w:space="0" w:color="auto"/>
      </w:divBdr>
    </w:div>
    <w:div w:id="212194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ncyklopedie.soc.cas.cz/w/Soubor_v%C3%BDb%C4%9Brov%C3%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6-03-29.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371E-83CA-4018-AE4F-36C1C651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spolecnost_2016-03-29.dot</Template>
  <TotalTime>67</TotalTime>
  <Pages>4</Pages>
  <Words>1815</Words>
  <Characters>10713</Characters>
  <Application>Microsoft Office Word</Application>
  <DocSecurity>0</DocSecurity>
  <Lines>89</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pubalova6594</dc:creator>
  <cp:lastModifiedBy>Kašparová Vendula</cp:lastModifiedBy>
  <cp:revision>19</cp:revision>
  <cp:lastPrinted>2018-08-14T09:15:00Z</cp:lastPrinted>
  <dcterms:created xsi:type="dcterms:W3CDTF">2023-01-11T12:58:00Z</dcterms:created>
  <dcterms:modified xsi:type="dcterms:W3CDTF">2023-02-09T09:04:00Z</dcterms:modified>
</cp:coreProperties>
</file>