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308A" w14:textId="7567D08F" w:rsidR="00F53917" w:rsidRPr="00D160FB" w:rsidRDefault="00F53917" w:rsidP="00F53917">
      <w:pPr>
        <w:pStyle w:val="Nadpis11"/>
        <w:rPr>
          <w:sz w:val="2"/>
          <w:szCs w:val="2"/>
          <w:lang w:val="en-GB"/>
        </w:rPr>
      </w:pPr>
      <w:bookmarkStart w:id="0" w:name="_Toc114134048"/>
      <w:bookmarkStart w:id="1" w:name="_Toc97736119"/>
      <w:bookmarkStart w:id="2" w:name="_Toc74643859"/>
      <w:bookmarkStart w:id="3" w:name="_Toc90395915"/>
      <w:bookmarkStart w:id="4" w:name="_Toc98245446"/>
      <w:bookmarkStart w:id="5" w:name="_Toc74643860"/>
      <w:bookmarkStart w:id="6" w:name="_Toc132874248"/>
      <w:r w:rsidRPr="00D160FB">
        <w:rPr>
          <w:lang w:val="en-GB"/>
        </w:rPr>
        <w:t>4</w:t>
      </w:r>
      <w:bookmarkStart w:id="7" w:name="_Toc511215218"/>
      <w:bookmarkStart w:id="8" w:name="_Toc19090679"/>
      <w:bookmarkStart w:id="9" w:name="_Toc74643856"/>
      <w:bookmarkStart w:id="10" w:name="_Toc42852411"/>
      <w:bookmarkStart w:id="11" w:name="_Toc74643857"/>
      <w:bookmarkEnd w:id="7"/>
      <w:bookmarkEnd w:id="8"/>
      <w:r w:rsidRPr="00D160FB">
        <w:rPr>
          <w:lang w:val="en-GB"/>
        </w:rPr>
        <w:t>. </w:t>
      </w:r>
      <w:r w:rsidR="00332D86" w:rsidRPr="00D160FB">
        <w:rPr>
          <w:lang w:val="en-GB"/>
        </w:rPr>
        <w:t>External Relations</w:t>
      </w:r>
      <w:bookmarkEnd w:id="6"/>
    </w:p>
    <w:tbl>
      <w:tblPr>
        <w:tblW w:w="9639" w:type="dxa"/>
        <w:tblInd w:w="-15" w:type="dxa"/>
        <w:tblCellMar>
          <w:left w:w="0" w:type="dxa"/>
          <w:right w:w="0" w:type="dxa"/>
        </w:tblCellMar>
        <w:tblLook w:val="00A0" w:firstRow="1" w:lastRow="0" w:firstColumn="1" w:lastColumn="0" w:noHBand="0" w:noVBand="0"/>
      </w:tblPr>
      <w:tblGrid>
        <w:gridCol w:w="1476"/>
        <w:gridCol w:w="152"/>
        <w:gridCol w:w="8011"/>
      </w:tblGrid>
      <w:tr w:rsidR="00F53917" w:rsidRPr="00D160FB" w14:paraId="1CD6B7E9" w14:textId="77777777" w:rsidTr="0063723A">
        <w:trPr>
          <w:trHeight w:val="145"/>
        </w:trPr>
        <w:tc>
          <w:tcPr>
            <w:tcW w:w="1476" w:type="dxa"/>
            <w:shd w:val="clear" w:color="auto" w:fill="auto"/>
            <w:tcMar>
              <w:left w:w="0" w:type="dxa"/>
            </w:tcMar>
          </w:tcPr>
          <w:p w14:paraId="50AA1438" w14:textId="5D82BB4F" w:rsidR="00F53917" w:rsidRPr="00D160FB" w:rsidRDefault="00282451" w:rsidP="00163868">
            <w:pPr>
              <w:pStyle w:val="Marginlie"/>
              <w:rPr>
                <w:lang w:val="en-GB"/>
              </w:rPr>
            </w:pPr>
            <w:r w:rsidRPr="00D160FB">
              <w:rPr>
                <w:lang w:val="en-GB"/>
              </w:rPr>
              <w:t xml:space="preserve">Value of </w:t>
            </w:r>
            <w:r w:rsidR="00BF4E10" w:rsidRPr="00D160FB">
              <w:rPr>
                <w:lang w:val="en-GB"/>
              </w:rPr>
              <w:t>export of goods</w:t>
            </w:r>
            <w:r w:rsidR="007930C1" w:rsidRPr="00D160FB">
              <w:rPr>
                <w:lang w:val="en-GB"/>
              </w:rPr>
              <w:t xml:space="preserve"> expanded mainly due to the strong rise of prices last year. </w:t>
            </w:r>
          </w:p>
        </w:tc>
        <w:tc>
          <w:tcPr>
            <w:tcW w:w="152" w:type="dxa"/>
            <w:shd w:val="clear" w:color="auto" w:fill="auto"/>
            <w:tcMar>
              <w:left w:w="0" w:type="dxa"/>
            </w:tcMar>
          </w:tcPr>
          <w:p w14:paraId="27D68C60"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6CD40528" w14:textId="1BFA4E78" w:rsidR="00F53917" w:rsidRPr="00D160FB" w:rsidRDefault="00725F9D" w:rsidP="00163868">
            <w:pPr>
              <w:spacing w:after="180"/>
              <w:rPr>
                <w:spacing w:val="-4"/>
                <w:lang w:val="en-GB"/>
              </w:rPr>
            </w:pPr>
            <w:r w:rsidRPr="00D160FB">
              <w:rPr>
                <w:spacing w:val="-4"/>
                <w:lang w:val="en-GB"/>
              </w:rPr>
              <w:t>Total value of export of goods</w:t>
            </w:r>
            <w:r w:rsidR="00F53917" w:rsidRPr="00D160FB">
              <w:rPr>
                <w:rStyle w:val="Znakapoznpodarou"/>
                <w:spacing w:val="-4"/>
                <w:lang w:val="en-GB"/>
              </w:rPr>
              <w:footnoteReference w:id="1"/>
            </w:r>
            <w:r w:rsidR="00F53917" w:rsidRPr="00D160FB">
              <w:rPr>
                <w:spacing w:val="-4"/>
                <w:lang w:val="en-GB"/>
              </w:rPr>
              <w:t xml:space="preserve"> </w:t>
            </w:r>
            <w:r w:rsidRPr="00D160FB">
              <w:rPr>
                <w:spacing w:val="-4"/>
                <w:lang w:val="en-GB"/>
              </w:rPr>
              <w:t xml:space="preserve">attained </w:t>
            </w:r>
            <w:r w:rsidR="00F53917" w:rsidRPr="00D160FB">
              <w:rPr>
                <w:spacing w:val="-4"/>
                <w:lang w:val="en-GB"/>
              </w:rPr>
              <w:t>4</w:t>
            </w:r>
            <w:r w:rsidRPr="00D160FB">
              <w:rPr>
                <w:spacing w:val="-4"/>
                <w:lang w:val="en-GB"/>
              </w:rPr>
              <w:t> </w:t>
            </w:r>
            <w:r w:rsidR="00F53917" w:rsidRPr="00D160FB">
              <w:rPr>
                <w:spacing w:val="-4"/>
                <w:lang w:val="en-GB"/>
              </w:rPr>
              <w:t>413</w:t>
            </w:r>
            <w:r w:rsidRPr="00D160FB">
              <w:rPr>
                <w:spacing w:val="-4"/>
                <w:lang w:val="en-GB"/>
              </w:rPr>
              <w:t>.</w:t>
            </w:r>
            <w:r w:rsidR="00F53917" w:rsidRPr="00D160FB">
              <w:rPr>
                <w:spacing w:val="-4"/>
                <w:lang w:val="en-GB"/>
              </w:rPr>
              <w:t>8</w:t>
            </w:r>
            <w:r w:rsidRPr="00D160FB">
              <w:rPr>
                <w:spacing w:val="-4"/>
                <w:lang w:val="en-GB"/>
              </w:rPr>
              <w:t xml:space="preserve"> CZK bn</w:t>
            </w:r>
            <w:r w:rsidR="00F53917" w:rsidRPr="00D160FB">
              <w:rPr>
                <w:rStyle w:val="Znakapoznpodarou"/>
                <w:spacing w:val="-4"/>
                <w:lang w:val="en-GB"/>
              </w:rPr>
              <w:footnoteReference w:id="2"/>
            </w:r>
            <w:r w:rsidRPr="00D160FB">
              <w:rPr>
                <w:spacing w:val="-4"/>
                <w:lang w:val="en-GB"/>
              </w:rPr>
              <w:t xml:space="preserve"> in year 2022 and </w:t>
            </w:r>
            <w:r w:rsidR="007930C1" w:rsidRPr="00D160FB">
              <w:rPr>
                <w:spacing w:val="-4"/>
                <w:lang w:val="en-GB"/>
              </w:rPr>
              <w:t>nominally</w:t>
            </w:r>
            <w:r w:rsidR="0003092C" w:rsidRPr="00D160FB">
              <w:rPr>
                <w:spacing w:val="-4"/>
                <w:lang w:val="en-GB"/>
              </w:rPr>
              <w:t xml:space="preserve"> thus increased by </w:t>
            </w:r>
            <w:r w:rsidR="00F53917" w:rsidRPr="00D160FB">
              <w:rPr>
                <w:spacing w:val="-4"/>
                <w:lang w:val="en-GB"/>
              </w:rPr>
              <w:t>532</w:t>
            </w:r>
            <w:r w:rsidR="0003092C" w:rsidRPr="00D160FB">
              <w:rPr>
                <w:spacing w:val="-4"/>
                <w:lang w:val="en-GB"/>
              </w:rPr>
              <w:t>.</w:t>
            </w:r>
            <w:r w:rsidR="00F53917" w:rsidRPr="00D160FB">
              <w:rPr>
                <w:spacing w:val="-4"/>
                <w:lang w:val="en-GB"/>
              </w:rPr>
              <w:t>4</w:t>
            </w:r>
            <w:r w:rsidR="0003092C" w:rsidRPr="00D160FB">
              <w:rPr>
                <w:spacing w:val="-4"/>
                <w:lang w:val="en-GB"/>
              </w:rPr>
              <w:t xml:space="preserve"> bn </w:t>
            </w:r>
            <w:r w:rsidR="00F53917" w:rsidRPr="00D160FB">
              <w:rPr>
                <w:spacing w:val="-4"/>
                <w:lang w:val="en-GB"/>
              </w:rPr>
              <w:t>(13</w:t>
            </w:r>
            <w:r w:rsidR="0003092C" w:rsidRPr="00D160FB">
              <w:rPr>
                <w:spacing w:val="-4"/>
                <w:lang w:val="en-GB"/>
              </w:rPr>
              <w:t>.</w:t>
            </w:r>
            <w:r w:rsidR="00F53917" w:rsidRPr="00D160FB">
              <w:rPr>
                <w:spacing w:val="-4"/>
                <w:lang w:val="en-GB"/>
              </w:rPr>
              <w:t xml:space="preserve">7%). </w:t>
            </w:r>
            <w:r w:rsidR="00153DD3" w:rsidRPr="00D160FB">
              <w:rPr>
                <w:spacing w:val="-4"/>
                <w:lang w:val="en-GB"/>
              </w:rPr>
              <w:t xml:space="preserve">However the growth of the price level participated on the relatively strong increase </w:t>
            </w:r>
            <w:r w:rsidR="00F53917" w:rsidRPr="00D160FB">
              <w:rPr>
                <w:spacing w:val="-4"/>
                <w:lang w:val="en-GB"/>
              </w:rPr>
              <w:t xml:space="preserve">– </w:t>
            </w:r>
            <w:r w:rsidR="00800D16" w:rsidRPr="00D160FB">
              <w:rPr>
                <w:spacing w:val="-4"/>
                <w:lang w:val="en-GB"/>
              </w:rPr>
              <w:t xml:space="preserve">the most for materials and energies, prices however </w:t>
            </w:r>
            <w:r w:rsidR="00153DD3" w:rsidRPr="00D160FB">
              <w:rPr>
                <w:spacing w:val="-4"/>
                <w:lang w:val="en-GB"/>
              </w:rPr>
              <w:t>significantly</w:t>
            </w:r>
            <w:r w:rsidR="00800D16" w:rsidRPr="00D160FB">
              <w:rPr>
                <w:spacing w:val="-4"/>
                <w:lang w:val="en-GB"/>
              </w:rPr>
              <w:t xml:space="preserve"> rose for the majority of types of goods</w:t>
            </w:r>
            <w:r w:rsidR="00F53917" w:rsidRPr="00D160FB">
              <w:rPr>
                <w:rStyle w:val="Znakapoznpodarou"/>
                <w:spacing w:val="-4"/>
                <w:lang w:val="en-GB"/>
              </w:rPr>
              <w:footnoteReference w:id="3"/>
            </w:r>
            <w:r w:rsidR="00F53917" w:rsidRPr="00D160FB">
              <w:rPr>
                <w:spacing w:val="-4"/>
                <w:lang w:val="en-GB"/>
              </w:rPr>
              <w:t xml:space="preserve">. </w:t>
            </w:r>
            <w:r w:rsidR="00800D16" w:rsidRPr="00D160FB">
              <w:rPr>
                <w:spacing w:val="-4"/>
                <w:lang w:val="en-GB"/>
              </w:rPr>
              <w:t xml:space="preserve">In individual quarters the year-on-year export dynamics </w:t>
            </w:r>
            <w:r w:rsidR="00B1401E" w:rsidRPr="00D160FB">
              <w:rPr>
                <w:spacing w:val="-4"/>
                <w:lang w:val="en-GB"/>
              </w:rPr>
              <w:t>continued at a strong level with the peak in Q</w:t>
            </w:r>
            <w:r w:rsidR="00F53917" w:rsidRPr="00D160FB">
              <w:rPr>
                <w:spacing w:val="-4"/>
                <w:lang w:val="en-GB"/>
              </w:rPr>
              <w:t>3</w:t>
            </w:r>
            <w:r w:rsidR="00B1401E" w:rsidRPr="00D160FB">
              <w:rPr>
                <w:spacing w:val="-4"/>
                <w:lang w:val="en-GB"/>
              </w:rPr>
              <w:t xml:space="preserve"> </w:t>
            </w:r>
            <w:r w:rsidR="00F53917" w:rsidRPr="00D160FB">
              <w:rPr>
                <w:spacing w:val="-4"/>
                <w:lang w:val="en-GB"/>
              </w:rPr>
              <w:t>(8</w:t>
            </w:r>
            <w:r w:rsidR="00B1401E" w:rsidRPr="00D160FB">
              <w:rPr>
                <w:spacing w:val="-4"/>
                <w:lang w:val="en-GB"/>
              </w:rPr>
              <w:t>.</w:t>
            </w:r>
            <w:r w:rsidR="00F53917" w:rsidRPr="00D160FB">
              <w:rPr>
                <w:spacing w:val="-4"/>
                <w:lang w:val="en-GB"/>
              </w:rPr>
              <w:t>3%, 11</w:t>
            </w:r>
            <w:r w:rsidR="00B1401E" w:rsidRPr="00D160FB">
              <w:rPr>
                <w:spacing w:val="-4"/>
                <w:lang w:val="en-GB"/>
              </w:rPr>
              <w:t>.</w:t>
            </w:r>
            <w:r w:rsidR="00F53917" w:rsidRPr="00D160FB">
              <w:rPr>
                <w:spacing w:val="-4"/>
                <w:lang w:val="en-GB"/>
              </w:rPr>
              <w:t>6% a</w:t>
            </w:r>
            <w:r w:rsidR="00B1401E" w:rsidRPr="00D160FB">
              <w:rPr>
                <w:spacing w:val="-4"/>
                <w:lang w:val="en-GB"/>
              </w:rPr>
              <w:t>nd</w:t>
            </w:r>
            <w:r w:rsidR="00F53917" w:rsidRPr="00D160FB">
              <w:rPr>
                <w:spacing w:val="-4"/>
                <w:lang w:val="en-GB"/>
              </w:rPr>
              <w:t xml:space="preserve"> 22</w:t>
            </w:r>
            <w:r w:rsidR="00B1401E" w:rsidRPr="00D160FB">
              <w:rPr>
                <w:spacing w:val="-4"/>
                <w:lang w:val="en-GB"/>
              </w:rPr>
              <w:t>.</w:t>
            </w:r>
            <w:r w:rsidR="00F53917" w:rsidRPr="00D160FB">
              <w:rPr>
                <w:spacing w:val="-4"/>
                <w:lang w:val="en-GB"/>
              </w:rPr>
              <w:t>3%</w:t>
            </w:r>
            <w:r w:rsidR="00B1401E" w:rsidRPr="00D160FB">
              <w:rPr>
                <w:spacing w:val="-4"/>
                <w:lang w:val="en-GB"/>
              </w:rPr>
              <w:t xml:space="preserve"> in individual quarters</w:t>
            </w:r>
            <w:r w:rsidR="00F53917" w:rsidRPr="00D160FB">
              <w:rPr>
                <w:spacing w:val="-4"/>
                <w:lang w:val="en-GB"/>
              </w:rPr>
              <w:t xml:space="preserve">). </w:t>
            </w:r>
            <w:r w:rsidR="00153DD3" w:rsidRPr="00D160FB">
              <w:rPr>
                <w:spacing w:val="-4"/>
                <w:lang w:val="en-GB"/>
              </w:rPr>
              <w:t xml:space="preserve">The value of export climbed up to </w:t>
            </w:r>
            <w:r w:rsidR="00F53917" w:rsidRPr="00D160FB">
              <w:rPr>
                <w:spacing w:val="-4"/>
                <w:lang w:val="en-GB"/>
              </w:rPr>
              <w:t>1</w:t>
            </w:r>
            <w:r w:rsidR="00153DD3" w:rsidRPr="00D160FB">
              <w:rPr>
                <w:spacing w:val="-4"/>
                <w:lang w:val="en-GB"/>
              </w:rPr>
              <w:t> </w:t>
            </w:r>
            <w:r w:rsidR="00F53917" w:rsidRPr="00D160FB">
              <w:rPr>
                <w:spacing w:val="-4"/>
                <w:lang w:val="en-GB"/>
              </w:rPr>
              <w:t>148</w:t>
            </w:r>
            <w:r w:rsidR="00153DD3" w:rsidRPr="00D160FB">
              <w:rPr>
                <w:spacing w:val="-4"/>
                <w:lang w:val="en-GB"/>
              </w:rPr>
              <w:t>.</w:t>
            </w:r>
            <w:r w:rsidR="00F53917" w:rsidRPr="00D160FB">
              <w:rPr>
                <w:spacing w:val="-4"/>
                <w:lang w:val="en-GB"/>
              </w:rPr>
              <w:t>4</w:t>
            </w:r>
            <w:r w:rsidR="00153DD3" w:rsidRPr="00D160FB">
              <w:rPr>
                <w:spacing w:val="-4"/>
                <w:lang w:val="en-GB"/>
              </w:rPr>
              <w:t xml:space="preserve"> CZK bn in Q4 and increased by </w:t>
            </w:r>
            <w:r w:rsidR="00F53917" w:rsidRPr="00D160FB">
              <w:rPr>
                <w:spacing w:val="-4"/>
                <w:lang w:val="en-GB"/>
              </w:rPr>
              <w:t>136</w:t>
            </w:r>
            <w:r w:rsidR="00153DD3" w:rsidRPr="00D160FB">
              <w:rPr>
                <w:spacing w:val="-4"/>
                <w:lang w:val="en-GB"/>
              </w:rPr>
              <w:t>.</w:t>
            </w:r>
            <w:r w:rsidR="00F53917" w:rsidRPr="00D160FB">
              <w:rPr>
                <w:spacing w:val="-4"/>
                <w:lang w:val="en-GB"/>
              </w:rPr>
              <w:t>2</w:t>
            </w:r>
            <w:r w:rsidR="00153DD3" w:rsidRPr="00D160FB">
              <w:rPr>
                <w:spacing w:val="-4"/>
                <w:lang w:val="en-GB"/>
              </w:rPr>
              <w:t xml:space="preserve"> bn year-on-year </w:t>
            </w:r>
            <w:r w:rsidR="00F53917" w:rsidRPr="00D160FB">
              <w:rPr>
                <w:spacing w:val="-4"/>
                <w:lang w:val="en-GB"/>
              </w:rPr>
              <w:t>(13</w:t>
            </w:r>
            <w:r w:rsidR="00153DD3" w:rsidRPr="00D160FB">
              <w:rPr>
                <w:spacing w:val="-4"/>
                <w:lang w:val="en-GB"/>
              </w:rPr>
              <w:t>.</w:t>
            </w:r>
            <w:r w:rsidR="00F53917" w:rsidRPr="00D160FB">
              <w:rPr>
                <w:spacing w:val="-4"/>
                <w:lang w:val="en-GB"/>
              </w:rPr>
              <w:t xml:space="preserve">5%). </w:t>
            </w:r>
            <w:r w:rsidR="00B1401E" w:rsidRPr="00D160FB">
              <w:rPr>
                <w:spacing w:val="-4"/>
                <w:lang w:val="en-GB"/>
              </w:rPr>
              <w:t xml:space="preserve">Price growth constituted a significant stimulus of the year-on-year dynamics throughout the whole year. The export was by 1.0% </w:t>
            </w:r>
            <w:r w:rsidR="0063723A">
              <w:rPr>
                <w:spacing w:val="-4"/>
                <w:lang w:val="en-GB"/>
              </w:rPr>
              <w:t>lower</w:t>
            </w:r>
            <w:r w:rsidR="00B1401E" w:rsidRPr="00D160FB">
              <w:rPr>
                <w:spacing w:val="-4"/>
                <w:lang w:val="en-GB"/>
              </w:rPr>
              <w:t xml:space="preserve"> </w:t>
            </w:r>
            <w:r w:rsidR="0063723A">
              <w:rPr>
                <w:spacing w:val="-4"/>
                <w:lang w:val="en-GB"/>
              </w:rPr>
              <w:t>quarter</w:t>
            </w:r>
            <w:r w:rsidR="00B1401E" w:rsidRPr="00D160FB">
              <w:rPr>
                <w:spacing w:val="-4"/>
                <w:lang w:val="en-GB"/>
              </w:rPr>
              <w:t>-on-</w:t>
            </w:r>
            <w:r w:rsidR="0063723A">
              <w:rPr>
                <w:spacing w:val="-4"/>
                <w:lang w:val="en-GB"/>
              </w:rPr>
              <w:t>quarter</w:t>
            </w:r>
            <w:r w:rsidR="00B1401E" w:rsidRPr="00D160FB">
              <w:rPr>
                <w:spacing w:val="-4"/>
                <w:lang w:val="en-GB"/>
              </w:rPr>
              <w:t xml:space="preserve"> based on the seasonally adjusted data. </w:t>
            </w:r>
            <w:r w:rsidR="00F53917" w:rsidRPr="00D160FB">
              <w:rPr>
                <w:spacing w:val="-4"/>
                <w:lang w:val="en-GB"/>
              </w:rPr>
              <w:t xml:space="preserve">     </w:t>
            </w:r>
          </w:p>
        </w:tc>
      </w:tr>
      <w:tr w:rsidR="00F53917" w:rsidRPr="00D160FB" w14:paraId="5649540B" w14:textId="77777777" w:rsidTr="0063723A">
        <w:trPr>
          <w:trHeight w:val="145"/>
        </w:trPr>
        <w:tc>
          <w:tcPr>
            <w:tcW w:w="1476" w:type="dxa"/>
            <w:shd w:val="clear" w:color="auto" w:fill="auto"/>
            <w:tcMar>
              <w:left w:w="0" w:type="dxa"/>
            </w:tcMar>
          </w:tcPr>
          <w:p w14:paraId="745A1A2B" w14:textId="037B56A5" w:rsidR="00F53917" w:rsidRPr="00D160FB" w:rsidRDefault="00E26122" w:rsidP="00163868">
            <w:pPr>
              <w:pStyle w:val="Marginlie"/>
              <w:rPr>
                <w:lang w:val="en-GB"/>
              </w:rPr>
            </w:pPr>
            <w:r w:rsidRPr="00D160FB">
              <w:rPr>
                <w:lang w:val="en-GB"/>
              </w:rPr>
              <w:t xml:space="preserve">Export grew faster into the EU countries. </w:t>
            </w:r>
          </w:p>
        </w:tc>
        <w:tc>
          <w:tcPr>
            <w:tcW w:w="152" w:type="dxa"/>
            <w:shd w:val="clear" w:color="auto" w:fill="auto"/>
            <w:tcMar>
              <w:left w:w="0" w:type="dxa"/>
            </w:tcMar>
          </w:tcPr>
          <w:p w14:paraId="3FAACA20"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1618F3B0" w14:textId="3D0166FD" w:rsidR="00F53917" w:rsidRPr="00D160FB" w:rsidRDefault="00F53917" w:rsidP="00163868">
            <w:pPr>
              <w:spacing w:after="180"/>
              <w:rPr>
                <w:spacing w:val="-4"/>
                <w:lang w:val="en-GB"/>
              </w:rPr>
            </w:pPr>
            <w:r w:rsidRPr="00D160FB">
              <w:rPr>
                <w:spacing w:val="-4"/>
                <w:lang w:val="en-GB"/>
              </w:rPr>
              <w:t>L</w:t>
            </w:r>
            <w:r w:rsidR="002C196C" w:rsidRPr="00D160FB">
              <w:rPr>
                <w:spacing w:val="-4"/>
                <w:lang w:val="en-GB"/>
              </w:rPr>
              <w:t xml:space="preserve">ast year’s increase of export of goods was for the most part allotted to the </w:t>
            </w:r>
            <w:r w:rsidR="00BF057E" w:rsidRPr="00D160FB">
              <w:rPr>
                <w:spacing w:val="-4"/>
                <w:lang w:val="en-GB"/>
              </w:rPr>
              <w:t>growth</w:t>
            </w:r>
            <w:r w:rsidR="002C196C" w:rsidRPr="00D160FB">
              <w:rPr>
                <w:spacing w:val="-4"/>
                <w:lang w:val="en-GB"/>
              </w:rPr>
              <w:t xml:space="preserve"> of export into the EU </w:t>
            </w:r>
            <w:r w:rsidR="00BF057E" w:rsidRPr="00D160FB">
              <w:rPr>
                <w:spacing w:val="-4"/>
                <w:lang w:val="en-GB"/>
              </w:rPr>
              <w:t>countries</w:t>
            </w:r>
            <w:r w:rsidR="002C196C" w:rsidRPr="00D160FB">
              <w:rPr>
                <w:spacing w:val="-4"/>
                <w:lang w:val="en-GB"/>
              </w:rPr>
              <w:t xml:space="preserve"> </w:t>
            </w:r>
            <w:r w:rsidRPr="00D160FB">
              <w:rPr>
                <w:spacing w:val="-4"/>
                <w:lang w:val="en-GB"/>
              </w:rPr>
              <w:t>(+472</w:t>
            </w:r>
            <w:r w:rsidR="00BF057E" w:rsidRPr="00D160FB">
              <w:rPr>
                <w:spacing w:val="-4"/>
                <w:lang w:val="en-GB"/>
              </w:rPr>
              <w:t>.</w:t>
            </w:r>
            <w:r w:rsidRPr="00D160FB">
              <w:rPr>
                <w:spacing w:val="-4"/>
                <w:lang w:val="en-GB"/>
              </w:rPr>
              <w:t>3</w:t>
            </w:r>
            <w:r w:rsidR="00BF057E" w:rsidRPr="00D160FB">
              <w:rPr>
                <w:spacing w:val="-4"/>
                <w:lang w:val="en-GB"/>
              </w:rPr>
              <w:t xml:space="preserve"> CZK bn, </w:t>
            </w:r>
            <w:r w:rsidRPr="00D160FB">
              <w:rPr>
                <w:spacing w:val="-4"/>
                <w:lang w:val="en-GB"/>
              </w:rPr>
              <w:t>15</w:t>
            </w:r>
            <w:r w:rsidR="00BF057E" w:rsidRPr="00D160FB">
              <w:rPr>
                <w:spacing w:val="-4"/>
                <w:lang w:val="en-GB"/>
              </w:rPr>
              <w:t>.</w:t>
            </w:r>
            <w:r w:rsidR="00ED2525" w:rsidRPr="00D160FB">
              <w:rPr>
                <w:spacing w:val="-4"/>
                <w:lang w:val="en-GB"/>
              </w:rPr>
              <w:t>4</w:t>
            </w:r>
            <w:r w:rsidRPr="00D160FB">
              <w:rPr>
                <w:spacing w:val="-4"/>
                <w:lang w:val="en-GB"/>
              </w:rPr>
              <w:t xml:space="preserve">%). </w:t>
            </w:r>
            <w:r w:rsidR="005A5F92" w:rsidRPr="00D160FB">
              <w:rPr>
                <w:spacing w:val="-4"/>
                <w:lang w:val="en-GB"/>
              </w:rPr>
              <w:t xml:space="preserve">Export outside the EU went up considerably slower </w:t>
            </w:r>
            <w:r w:rsidRPr="00D160FB">
              <w:rPr>
                <w:spacing w:val="-4"/>
                <w:lang w:val="en-GB"/>
              </w:rPr>
              <w:t>(+60</w:t>
            </w:r>
            <w:r w:rsidR="005A5F92" w:rsidRPr="00D160FB">
              <w:rPr>
                <w:spacing w:val="-4"/>
                <w:lang w:val="en-GB"/>
              </w:rPr>
              <w:t>.</w:t>
            </w:r>
            <w:r w:rsidRPr="00D160FB">
              <w:rPr>
                <w:spacing w:val="-4"/>
                <w:lang w:val="en-GB"/>
              </w:rPr>
              <w:t>2</w:t>
            </w:r>
            <w:r w:rsidR="005A5F92" w:rsidRPr="00D160FB">
              <w:rPr>
                <w:spacing w:val="-4"/>
                <w:lang w:val="en-GB"/>
              </w:rPr>
              <w:t xml:space="preserve"> CZK bn</w:t>
            </w:r>
            <w:r w:rsidRPr="00D160FB">
              <w:rPr>
                <w:spacing w:val="-4"/>
                <w:lang w:val="en-GB"/>
              </w:rPr>
              <w:t>, 7</w:t>
            </w:r>
            <w:r w:rsidR="005A5F92" w:rsidRPr="00D160FB">
              <w:rPr>
                <w:spacing w:val="-4"/>
                <w:lang w:val="en-GB"/>
              </w:rPr>
              <w:t>.</w:t>
            </w:r>
            <w:r w:rsidRPr="00D160FB">
              <w:rPr>
                <w:spacing w:val="-4"/>
                <w:lang w:val="en-GB"/>
              </w:rPr>
              <w:t xml:space="preserve">5%). </w:t>
            </w:r>
            <w:r w:rsidR="00374ED6" w:rsidRPr="00D160FB">
              <w:rPr>
                <w:spacing w:val="-4"/>
                <w:lang w:val="en-GB"/>
              </w:rPr>
              <w:t xml:space="preserve">Export to Germany </w:t>
            </w:r>
            <w:r w:rsidRPr="00D160FB">
              <w:rPr>
                <w:spacing w:val="-4"/>
                <w:lang w:val="en-GB"/>
              </w:rPr>
              <w:t>(+170</w:t>
            </w:r>
            <w:r w:rsidR="00374ED6" w:rsidRPr="00D160FB">
              <w:rPr>
                <w:spacing w:val="-4"/>
                <w:lang w:val="en-GB"/>
              </w:rPr>
              <w:t>.</w:t>
            </w:r>
            <w:r w:rsidRPr="00D160FB">
              <w:rPr>
                <w:spacing w:val="-4"/>
                <w:lang w:val="en-GB"/>
              </w:rPr>
              <w:t>6</w:t>
            </w:r>
            <w:r w:rsidR="00374ED6" w:rsidRPr="00D160FB">
              <w:rPr>
                <w:spacing w:val="-4"/>
                <w:lang w:val="en-GB"/>
              </w:rPr>
              <w:t xml:space="preserve"> CZK bn</w:t>
            </w:r>
            <w:r w:rsidRPr="00D160FB">
              <w:rPr>
                <w:spacing w:val="-4"/>
                <w:lang w:val="en-GB"/>
              </w:rPr>
              <w:t>, 14</w:t>
            </w:r>
            <w:r w:rsidR="00374ED6" w:rsidRPr="00D160FB">
              <w:rPr>
                <w:spacing w:val="-4"/>
                <w:lang w:val="en-GB"/>
              </w:rPr>
              <w:t>.</w:t>
            </w:r>
            <w:r w:rsidRPr="00D160FB">
              <w:rPr>
                <w:spacing w:val="-4"/>
                <w:lang w:val="en-GB"/>
              </w:rPr>
              <w:t xml:space="preserve">7%), </w:t>
            </w:r>
            <w:r w:rsidR="00374ED6" w:rsidRPr="00D160FB">
              <w:rPr>
                <w:spacing w:val="-4"/>
                <w:lang w:val="en-GB"/>
              </w:rPr>
              <w:t xml:space="preserve">Slovakia </w:t>
            </w:r>
            <w:r w:rsidRPr="00D160FB">
              <w:rPr>
                <w:spacing w:val="-4"/>
                <w:lang w:val="en-GB"/>
              </w:rPr>
              <w:t>(+70</w:t>
            </w:r>
            <w:r w:rsidR="00374ED6" w:rsidRPr="00D160FB">
              <w:rPr>
                <w:spacing w:val="-4"/>
                <w:lang w:val="en-GB"/>
              </w:rPr>
              <w:t>.</w:t>
            </w:r>
            <w:r w:rsidRPr="00D160FB">
              <w:rPr>
                <w:spacing w:val="-4"/>
                <w:lang w:val="en-GB"/>
              </w:rPr>
              <w:t>2</w:t>
            </w:r>
            <w:r w:rsidR="00374ED6" w:rsidRPr="00D160FB">
              <w:rPr>
                <w:spacing w:val="-4"/>
                <w:lang w:val="en-GB"/>
              </w:rPr>
              <w:t xml:space="preserve"> bn</w:t>
            </w:r>
            <w:r w:rsidRPr="00D160FB">
              <w:rPr>
                <w:spacing w:val="-4"/>
                <w:lang w:val="en-GB"/>
              </w:rPr>
              <w:t>, 18</w:t>
            </w:r>
            <w:r w:rsidR="00374ED6" w:rsidRPr="00D160FB">
              <w:rPr>
                <w:spacing w:val="-4"/>
                <w:lang w:val="en-GB"/>
              </w:rPr>
              <w:t>.</w:t>
            </w:r>
            <w:r w:rsidRPr="00D160FB">
              <w:rPr>
                <w:spacing w:val="-4"/>
                <w:lang w:val="en-GB"/>
              </w:rPr>
              <w:t>7%) a</w:t>
            </w:r>
            <w:r w:rsidR="00374ED6" w:rsidRPr="00D160FB">
              <w:rPr>
                <w:spacing w:val="-4"/>
                <w:lang w:val="en-GB"/>
              </w:rPr>
              <w:t xml:space="preserve">nd to Poland </w:t>
            </w:r>
            <w:r w:rsidRPr="00D160FB">
              <w:rPr>
                <w:spacing w:val="-4"/>
                <w:lang w:val="en-GB"/>
              </w:rPr>
              <w:t>(+38</w:t>
            </w:r>
            <w:r w:rsidR="00374ED6" w:rsidRPr="00D160FB">
              <w:rPr>
                <w:spacing w:val="-4"/>
                <w:lang w:val="en-GB"/>
              </w:rPr>
              <w:t>.</w:t>
            </w:r>
            <w:r w:rsidRPr="00D160FB">
              <w:rPr>
                <w:spacing w:val="-4"/>
                <w:lang w:val="en-GB"/>
              </w:rPr>
              <w:t>3</w:t>
            </w:r>
            <w:r w:rsidR="00374ED6" w:rsidRPr="00D160FB">
              <w:rPr>
                <w:spacing w:val="-4"/>
                <w:lang w:val="en-GB"/>
              </w:rPr>
              <w:t xml:space="preserve"> bn</w:t>
            </w:r>
            <w:r w:rsidRPr="00D160FB">
              <w:rPr>
                <w:spacing w:val="-4"/>
                <w:lang w:val="en-GB"/>
              </w:rPr>
              <w:t>, 14</w:t>
            </w:r>
            <w:r w:rsidR="00374ED6" w:rsidRPr="00D160FB">
              <w:rPr>
                <w:spacing w:val="-4"/>
                <w:lang w:val="en-GB"/>
              </w:rPr>
              <w:t>.</w:t>
            </w:r>
            <w:r w:rsidRPr="00D160FB">
              <w:rPr>
                <w:spacing w:val="-4"/>
                <w:lang w:val="en-GB"/>
              </w:rPr>
              <w:t>1%)</w:t>
            </w:r>
            <w:r w:rsidR="00374ED6" w:rsidRPr="00D160FB">
              <w:rPr>
                <w:spacing w:val="-4"/>
                <w:lang w:val="en-GB"/>
              </w:rPr>
              <w:t xml:space="preserve"> featured the highest increase</w:t>
            </w:r>
            <w:r w:rsidRPr="00D160FB">
              <w:rPr>
                <w:spacing w:val="-4"/>
                <w:lang w:val="en-GB"/>
              </w:rPr>
              <w:t xml:space="preserve">. </w:t>
            </w:r>
            <w:r w:rsidR="00021623" w:rsidRPr="00D160FB">
              <w:rPr>
                <w:spacing w:val="-4"/>
                <w:lang w:val="en-GB"/>
              </w:rPr>
              <w:t>The export of electricity played a significant role in the increase to Germany and Slovakia</w:t>
            </w:r>
            <w:r w:rsidRPr="00D160FB">
              <w:rPr>
                <w:rStyle w:val="Znakapoznpodarou"/>
                <w:spacing w:val="-4"/>
                <w:lang w:val="en-GB"/>
              </w:rPr>
              <w:footnoteReference w:id="4"/>
            </w:r>
            <w:r w:rsidRPr="00D160FB">
              <w:rPr>
                <w:spacing w:val="-4"/>
                <w:lang w:val="en-GB"/>
              </w:rPr>
              <w:t xml:space="preserve">. </w:t>
            </w:r>
            <w:r w:rsidR="00021623" w:rsidRPr="00D160FB">
              <w:rPr>
                <w:spacing w:val="-4"/>
                <w:lang w:val="en-GB"/>
              </w:rPr>
              <w:t xml:space="preserve">Export of motor vehicles grew the most for Poland. </w:t>
            </w:r>
            <w:r w:rsidR="001152E2" w:rsidRPr="00D160FB">
              <w:rPr>
                <w:spacing w:val="-4"/>
                <w:lang w:val="en-GB"/>
              </w:rPr>
              <w:t xml:space="preserve">Export to Italy </w:t>
            </w:r>
            <w:r w:rsidRPr="00D160FB">
              <w:rPr>
                <w:spacing w:val="-4"/>
                <w:lang w:val="en-GB"/>
              </w:rPr>
              <w:t>(+35</w:t>
            </w:r>
            <w:r w:rsidR="00C71060" w:rsidRPr="00D160FB">
              <w:rPr>
                <w:spacing w:val="-4"/>
                <w:lang w:val="en-GB"/>
              </w:rPr>
              <w:t>.</w:t>
            </w:r>
            <w:r w:rsidRPr="00D160FB">
              <w:rPr>
                <w:spacing w:val="-4"/>
                <w:lang w:val="en-GB"/>
              </w:rPr>
              <w:t>8</w:t>
            </w:r>
            <w:r w:rsidR="00C71060" w:rsidRPr="00D160FB">
              <w:rPr>
                <w:spacing w:val="-4"/>
                <w:lang w:val="en-GB"/>
              </w:rPr>
              <w:t xml:space="preserve"> CZK bn</w:t>
            </w:r>
            <w:r w:rsidRPr="00D160FB">
              <w:rPr>
                <w:spacing w:val="-4"/>
                <w:lang w:val="en-GB"/>
              </w:rPr>
              <w:t>, 23</w:t>
            </w:r>
            <w:r w:rsidR="00C71060" w:rsidRPr="00D160FB">
              <w:rPr>
                <w:spacing w:val="-4"/>
                <w:lang w:val="en-GB"/>
              </w:rPr>
              <w:t>.</w:t>
            </w:r>
            <w:r w:rsidRPr="00D160FB">
              <w:rPr>
                <w:spacing w:val="-4"/>
                <w:lang w:val="en-GB"/>
              </w:rPr>
              <w:t>7%), Franc</w:t>
            </w:r>
            <w:r w:rsidR="00C71060" w:rsidRPr="00D160FB">
              <w:rPr>
                <w:spacing w:val="-4"/>
                <w:lang w:val="en-GB"/>
              </w:rPr>
              <w:t xml:space="preserve">e </w:t>
            </w:r>
            <w:r w:rsidRPr="00D160FB">
              <w:rPr>
                <w:spacing w:val="-4"/>
                <w:lang w:val="en-GB"/>
              </w:rPr>
              <w:t>(+26</w:t>
            </w:r>
            <w:r w:rsidR="00C71060" w:rsidRPr="00D160FB">
              <w:rPr>
                <w:spacing w:val="-4"/>
                <w:lang w:val="en-GB"/>
              </w:rPr>
              <w:t>.</w:t>
            </w:r>
            <w:r w:rsidRPr="00D160FB">
              <w:rPr>
                <w:spacing w:val="-4"/>
                <w:lang w:val="en-GB"/>
              </w:rPr>
              <w:t>0</w:t>
            </w:r>
            <w:r w:rsidR="00C71060" w:rsidRPr="00D160FB">
              <w:rPr>
                <w:spacing w:val="-4"/>
                <w:lang w:val="en-GB"/>
              </w:rPr>
              <w:t xml:space="preserve"> bn</w:t>
            </w:r>
            <w:r w:rsidRPr="00D160FB">
              <w:rPr>
                <w:spacing w:val="-4"/>
                <w:lang w:val="en-GB"/>
              </w:rPr>
              <w:t>, 13</w:t>
            </w:r>
            <w:r w:rsidR="00C71060" w:rsidRPr="00D160FB">
              <w:rPr>
                <w:spacing w:val="-4"/>
                <w:lang w:val="en-GB"/>
              </w:rPr>
              <w:t>.</w:t>
            </w:r>
            <w:r w:rsidRPr="00D160FB">
              <w:rPr>
                <w:spacing w:val="-4"/>
                <w:lang w:val="en-GB"/>
              </w:rPr>
              <w:t xml:space="preserve">9%), </w:t>
            </w:r>
            <w:r w:rsidR="00C71060" w:rsidRPr="00D160FB">
              <w:rPr>
                <w:spacing w:val="-4"/>
                <w:lang w:val="en-GB"/>
              </w:rPr>
              <w:t xml:space="preserve">Austria </w:t>
            </w:r>
            <w:r w:rsidRPr="00D160FB">
              <w:rPr>
                <w:spacing w:val="-4"/>
                <w:lang w:val="en-GB"/>
              </w:rPr>
              <w:t>(+27</w:t>
            </w:r>
            <w:r w:rsidR="00C71060" w:rsidRPr="00D160FB">
              <w:rPr>
                <w:spacing w:val="-4"/>
                <w:lang w:val="en-GB"/>
              </w:rPr>
              <w:t>.</w:t>
            </w:r>
            <w:r w:rsidRPr="00D160FB">
              <w:rPr>
                <w:spacing w:val="-4"/>
                <w:lang w:val="en-GB"/>
              </w:rPr>
              <w:t>2</w:t>
            </w:r>
            <w:r w:rsidR="00C71060" w:rsidRPr="00D160FB">
              <w:rPr>
                <w:spacing w:val="-4"/>
                <w:lang w:val="en-GB"/>
              </w:rPr>
              <w:t xml:space="preserve"> bn</w:t>
            </w:r>
            <w:r w:rsidRPr="00D160FB">
              <w:rPr>
                <w:spacing w:val="-4"/>
                <w:lang w:val="en-GB"/>
              </w:rPr>
              <w:t>, 15</w:t>
            </w:r>
            <w:r w:rsidR="00C71060" w:rsidRPr="00D160FB">
              <w:rPr>
                <w:spacing w:val="-4"/>
                <w:lang w:val="en-GB"/>
              </w:rPr>
              <w:t>.</w:t>
            </w:r>
            <w:r w:rsidRPr="00D160FB">
              <w:rPr>
                <w:spacing w:val="-4"/>
                <w:lang w:val="en-GB"/>
              </w:rPr>
              <w:t>7%),</w:t>
            </w:r>
            <w:r w:rsidR="00C71060" w:rsidRPr="00D160FB">
              <w:rPr>
                <w:spacing w:val="-4"/>
                <w:lang w:val="en-GB"/>
              </w:rPr>
              <w:t xml:space="preserve"> the United States </w:t>
            </w:r>
            <w:r w:rsidRPr="00D160FB">
              <w:rPr>
                <w:spacing w:val="-4"/>
                <w:lang w:val="en-GB"/>
              </w:rPr>
              <w:t>(+22</w:t>
            </w:r>
            <w:r w:rsidR="00C71060" w:rsidRPr="00D160FB">
              <w:rPr>
                <w:spacing w:val="-4"/>
                <w:lang w:val="en-GB"/>
              </w:rPr>
              <w:t>.</w:t>
            </w:r>
            <w:r w:rsidRPr="00D160FB">
              <w:rPr>
                <w:spacing w:val="-4"/>
                <w:lang w:val="en-GB"/>
              </w:rPr>
              <w:t>9</w:t>
            </w:r>
            <w:r w:rsidR="00C71060" w:rsidRPr="00D160FB">
              <w:rPr>
                <w:spacing w:val="-4"/>
                <w:lang w:val="en-GB"/>
              </w:rPr>
              <w:t xml:space="preserve"> bn</w:t>
            </w:r>
            <w:r w:rsidRPr="00D160FB">
              <w:rPr>
                <w:spacing w:val="-4"/>
                <w:lang w:val="en-GB"/>
              </w:rPr>
              <w:t>, 24</w:t>
            </w:r>
            <w:r w:rsidR="00C71060" w:rsidRPr="00D160FB">
              <w:rPr>
                <w:spacing w:val="-4"/>
                <w:lang w:val="en-GB"/>
              </w:rPr>
              <w:t>.</w:t>
            </w:r>
            <w:r w:rsidRPr="00D160FB">
              <w:rPr>
                <w:spacing w:val="-4"/>
                <w:lang w:val="en-GB"/>
              </w:rPr>
              <w:t>6%) a</w:t>
            </w:r>
            <w:r w:rsidR="00C71060" w:rsidRPr="00D160FB">
              <w:rPr>
                <w:spacing w:val="-4"/>
                <w:lang w:val="en-GB"/>
              </w:rPr>
              <w:t xml:space="preserve">nd Spain </w:t>
            </w:r>
            <w:r w:rsidRPr="00D160FB">
              <w:rPr>
                <w:spacing w:val="-4"/>
                <w:lang w:val="en-GB"/>
              </w:rPr>
              <w:t>(+20</w:t>
            </w:r>
            <w:r w:rsidR="00C71060" w:rsidRPr="00D160FB">
              <w:rPr>
                <w:spacing w:val="-4"/>
                <w:lang w:val="en-GB"/>
              </w:rPr>
              <w:t>.</w:t>
            </w:r>
            <w:r w:rsidRPr="00D160FB">
              <w:rPr>
                <w:spacing w:val="-4"/>
                <w:lang w:val="en-GB"/>
              </w:rPr>
              <w:t>6</w:t>
            </w:r>
            <w:r w:rsidR="00C71060" w:rsidRPr="00D160FB">
              <w:rPr>
                <w:spacing w:val="-4"/>
                <w:lang w:val="en-GB"/>
              </w:rPr>
              <w:t xml:space="preserve"> bn</w:t>
            </w:r>
            <w:r w:rsidRPr="00D160FB">
              <w:rPr>
                <w:spacing w:val="-4"/>
                <w:lang w:val="en-GB"/>
              </w:rPr>
              <w:t>, 19</w:t>
            </w:r>
            <w:r w:rsidR="00C71060" w:rsidRPr="00D160FB">
              <w:rPr>
                <w:spacing w:val="-4"/>
                <w:lang w:val="en-GB"/>
              </w:rPr>
              <w:t>.</w:t>
            </w:r>
            <w:r w:rsidRPr="00D160FB">
              <w:rPr>
                <w:spacing w:val="-4"/>
                <w:lang w:val="en-GB"/>
              </w:rPr>
              <w:t>8%)</w:t>
            </w:r>
            <w:r w:rsidR="001152E2" w:rsidRPr="00D160FB">
              <w:rPr>
                <w:spacing w:val="-4"/>
                <w:lang w:val="en-GB"/>
              </w:rPr>
              <w:t xml:space="preserve"> also went up considerably</w:t>
            </w:r>
            <w:r w:rsidRPr="00D160FB">
              <w:rPr>
                <w:spacing w:val="-4"/>
                <w:lang w:val="en-GB"/>
              </w:rPr>
              <w:t>.</w:t>
            </w:r>
            <w:r w:rsidR="001152E2" w:rsidRPr="00D160FB">
              <w:rPr>
                <w:spacing w:val="-4"/>
                <w:lang w:val="en-GB"/>
              </w:rPr>
              <w:t xml:space="preserve"> </w:t>
            </w:r>
            <w:r w:rsidR="001E53BB" w:rsidRPr="00D160FB">
              <w:rPr>
                <w:spacing w:val="-4"/>
                <w:lang w:val="en-GB"/>
              </w:rPr>
              <w:t>The export had a substantial percentage increas</w:t>
            </w:r>
            <w:r w:rsidR="00D00D23" w:rsidRPr="00D160FB">
              <w:rPr>
                <w:spacing w:val="-4"/>
                <w:lang w:val="en-GB"/>
              </w:rPr>
              <w:t xml:space="preserve">e for some destinations, where the value of export is relatively low such as Kazakhstan </w:t>
            </w:r>
            <w:r w:rsidRPr="00D160FB">
              <w:rPr>
                <w:spacing w:val="-4"/>
                <w:lang w:val="en-GB"/>
              </w:rPr>
              <w:t>(170</w:t>
            </w:r>
            <w:r w:rsidR="00D00D23" w:rsidRPr="00D160FB">
              <w:rPr>
                <w:spacing w:val="-4"/>
                <w:lang w:val="en-GB"/>
              </w:rPr>
              <w:t>.</w:t>
            </w:r>
            <w:r w:rsidRPr="00D160FB">
              <w:rPr>
                <w:spacing w:val="-4"/>
                <w:lang w:val="en-GB"/>
              </w:rPr>
              <w:t xml:space="preserve">2%), </w:t>
            </w:r>
            <w:r w:rsidR="00D00D23" w:rsidRPr="00D160FB">
              <w:rPr>
                <w:spacing w:val="-4"/>
                <w:lang w:val="en-GB"/>
              </w:rPr>
              <w:t xml:space="preserve">the United Arab Emirates </w:t>
            </w:r>
            <w:r w:rsidRPr="00D160FB">
              <w:rPr>
                <w:spacing w:val="-4"/>
                <w:lang w:val="en-GB"/>
              </w:rPr>
              <w:t>(58</w:t>
            </w:r>
            <w:r w:rsidR="00D00D23" w:rsidRPr="00D160FB">
              <w:rPr>
                <w:spacing w:val="-4"/>
                <w:lang w:val="en-GB"/>
              </w:rPr>
              <w:t>.</w:t>
            </w:r>
            <w:r w:rsidRPr="00D160FB">
              <w:rPr>
                <w:spacing w:val="-4"/>
                <w:lang w:val="en-GB"/>
              </w:rPr>
              <w:t xml:space="preserve">9%), </w:t>
            </w:r>
            <w:r w:rsidR="00D00D23" w:rsidRPr="00D160FB">
              <w:rPr>
                <w:spacing w:val="-4"/>
                <w:lang w:val="en-GB"/>
              </w:rPr>
              <w:t xml:space="preserve">Azerbaijan </w:t>
            </w:r>
            <w:r w:rsidRPr="00D160FB">
              <w:rPr>
                <w:spacing w:val="-4"/>
                <w:lang w:val="en-GB"/>
              </w:rPr>
              <w:t>(73</w:t>
            </w:r>
            <w:r w:rsidR="00D00D23" w:rsidRPr="00D160FB">
              <w:rPr>
                <w:spacing w:val="-4"/>
                <w:lang w:val="en-GB"/>
              </w:rPr>
              <w:t>.</w:t>
            </w:r>
            <w:r w:rsidRPr="00D160FB">
              <w:rPr>
                <w:spacing w:val="-4"/>
                <w:lang w:val="en-GB"/>
              </w:rPr>
              <w:t xml:space="preserve">2%) </w:t>
            </w:r>
            <w:r w:rsidR="00D00D23" w:rsidRPr="00D160FB">
              <w:rPr>
                <w:spacing w:val="-4"/>
                <w:lang w:val="en-GB"/>
              </w:rPr>
              <w:t xml:space="preserve">or Mexico </w:t>
            </w:r>
            <w:r w:rsidRPr="00D160FB">
              <w:rPr>
                <w:spacing w:val="-4"/>
                <w:lang w:val="en-GB"/>
              </w:rPr>
              <w:t>(39</w:t>
            </w:r>
            <w:r w:rsidR="00D00D23" w:rsidRPr="00D160FB">
              <w:rPr>
                <w:spacing w:val="-4"/>
                <w:lang w:val="en-GB"/>
              </w:rPr>
              <w:t>.</w:t>
            </w:r>
            <w:r w:rsidRPr="00D160FB">
              <w:rPr>
                <w:spacing w:val="-4"/>
                <w:lang w:val="en-GB"/>
              </w:rPr>
              <w:t xml:space="preserve">7%). </w:t>
            </w:r>
            <w:r w:rsidR="001152E2" w:rsidRPr="00D160FB">
              <w:rPr>
                <w:spacing w:val="-4"/>
                <w:lang w:val="en-GB"/>
              </w:rPr>
              <w:t>Export into the majority of monitored countries grew last year.</w:t>
            </w:r>
            <w:r w:rsidR="00A9254E" w:rsidRPr="00D160FB">
              <w:rPr>
                <w:spacing w:val="-4"/>
                <w:lang w:val="en-GB"/>
              </w:rPr>
              <w:t xml:space="preserve"> Russia</w:t>
            </w:r>
            <w:r w:rsidR="003A6E2E" w:rsidRPr="00D160FB">
              <w:rPr>
                <w:spacing w:val="-4"/>
                <w:lang w:val="en-GB"/>
              </w:rPr>
              <w:t xml:space="preserve"> </w:t>
            </w:r>
            <w:r w:rsidRPr="00D160FB">
              <w:rPr>
                <w:spacing w:val="-4"/>
                <w:lang w:val="en-GB"/>
              </w:rPr>
              <w:t>(−48</w:t>
            </w:r>
            <w:r w:rsidR="003A6E2E" w:rsidRPr="00D160FB">
              <w:rPr>
                <w:spacing w:val="-4"/>
                <w:lang w:val="en-GB"/>
              </w:rPr>
              <w:t>.</w:t>
            </w:r>
            <w:r w:rsidRPr="00D160FB">
              <w:rPr>
                <w:spacing w:val="-4"/>
                <w:lang w:val="en-GB"/>
              </w:rPr>
              <w:t>3</w:t>
            </w:r>
            <w:r w:rsidR="003A6E2E" w:rsidRPr="00D160FB">
              <w:rPr>
                <w:spacing w:val="-4"/>
                <w:lang w:val="en-GB"/>
              </w:rPr>
              <w:t xml:space="preserve"> CZK bn</w:t>
            </w:r>
            <w:r w:rsidRPr="00D160FB">
              <w:rPr>
                <w:spacing w:val="-4"/>
                <w:lang w:val="en-GB"/>
              </w:rPr>
              <w:t>, −59</w:t>
            </w:r>
            <w:r w:rsidR="003A6E2E" w:rsidRPr="00D160FB">
              <w:rPr>
                <w:spacing w:val="-4"/>
                <w:lang w:val="en-GB"/>
              </w:rPr>
              <w:t>.</w:t>
            </w:r>
            <w:r w:rsidRPr="00D160FB">
              <w:rPr>
                <w:spacing w:val="-4"/>
                <w:lang w:val="en-GB"/>
              </w:rPr>
              <w:t>9%)</w:t>
            </w:r>
            <w:r w:rsidRPr="00D160FB">
              <w:rPr>
                <w:rStyle w:val="Znakapoznpodarou"/>
                <w:spacing w:val="-4"/>
                <w:lang w:val="en-GB"/>
              </w:rPr>
              <w:footnoteReference w:id="5"/>
            </w:r>
            <w:r w:rsidRPr="00D160FB">
              <w:rPr>
                <w:spacing w:val="-4"/>
                <w:lang w:val="en-GB"/>
              </w:rPr>
              <w:t xml:space="preserve">, </w:t>
            </w:r>
            <w:r w:rsidR="003A6E2E" w:rsidRPr="00D160FB">
              <w:rPr>
                <w:spacing w:val="-4"/>
                <w:lang w:val="en-GB"/>
              </w:rPr>
              <w:t xml:space="preserve">where the value of export following a series of deep slumps arrived at the lowest level since year 2005 </w:t>
            </w:r>
            <w:r w:rsidRPr="00D160FB">
              <w:rPr>
                <w:spacing w:val="-4"/>
                <w:lang w:val="en-GB"/>
              </w:rPr>
              <w:t>(32</w:t>
            </w:r>
            <w:r w:rsidR="003A6E2E" w:rsidRPr="00D160FB">
              <w:rPr>
                <w:spacing w:val="-4"/>
                <w:lang w:val="en-GB"/>
              </w:rPr>
              <w:t>.</w:t>
            </w:r>
            <w:r w:rsidRPr="00D160FB">
              <w:rPr>
                <w:spacing w:val="-4"/>
                <w:lang w:val="en-GB"/>
              </w:rPr>
              <w:t>3</w:t>
            </w:r>
            <w:r w:rsidR="003A6E2E" w:rsidRPr="00D160FB">
              <w:rPr>
                <w:spacing w:val="-4"/>
                <w:lang w:val="en-GB"/>
              </w:rPr>
              <w:t xml:space="preserve"> bn</w:t>
            </w:r>
            <w:r w:rsidRPr="00D160FB">
              <w:rPr>
                <w:spacing w:val="-4"/>
                <w:lang w:val="en-GB"/>
              </w:rPr>
              <w:t>)</w:t>
            </w:r>
            <w:r w:rsidR="003A6E2E" w:rsidRPr="00D160FB">
              <w:rPr>
                <w:spacing w:val="-4"/>
                <w:lang w:val="en-GB"/>
              </w:rPr>
              <w:t xml:space="preserve"> comprised a distinct exception</w:t>
            </w:r>
            <w:r w:rsidRPr="00D160FB">
              <w:rPr>
                <w:spacing w:val="-4"/>
                <w:lang w:val="en-GB"/>
              </w:rPr>
              <w:t xml:space="preserve">. </w:t>
            </w:r>
          </w:p>
        </w:tc>
      </w:tr>
      <w:tr w:rsidR="00F53917" w:rsidRPr="00D160FB" w14:paraId="547042DF" w14:textId="77777777" w:rsidTr="0063723A">
        <w:trPr>
          <w:trHeight w:val="145"/>
        </w:trPr>
        <w:tc>
          <w:tcPr>
            <w:tcW w:w="1476" w:type="dxa"/>
            <w:shd w:val="clear" w:color="auto" w:fill="auto"/>
            <w:tcMar>
              <w:left w:w="0" w:type="dxa"/>
            </w:tcMar>
          </w:tcPr>
          <w:p w14:paraId="562A112C" w14:textId="6F6F5B97" w:rsidR="00F53917" w:rsidRPr="00D160FB" w:rsidRDefault="005A18CF" w:rsidP="00163868">
            <w:pPr>
              <w:pStyle w:val="Marginlie"/>
              <w:rPr>
                <w:lang w:val="en-GB"/>
              </w:rPr>
            </w:pPr>
            <w:r w:rsidRPr="00D160FB">
              <w:rPr>
                <w:lang w:val="en-GB"/>
              </w:rPr>
              <w:t>The stagnating export into the countries outside the EUR revived at the end of the year</w:t>
            </w:r>
            <w:r w:rsidR="00F53917" w:rsidRPr="00D160FB">
              <w:rPr>
                <w:lang w:val="en-GB"/>
              </w:rPr>
              <w:t>.</w:t>
            </w:r>
          </w:p>
        </w:tc>
        <w:tc>
          <w:tcPr>
            <w:tcW w:w="152" w:type="dxa"/>
            <w:shd w:val="clear" w:color="auto" w:fill="auto"/>
            <w:tcMar>
              <w:left w:w="0" w:type="dxa"/>
            </w:tcMar>
          </w:tcPr>
          <w:p w14:paraId="26E1A365"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39462E70" w14:textId="19448E1D" w:rsidR="00F53917" w:rsidRPr="00D160FB" w:rsidRDefault="007812D2" w:rsidP="00163868">
            <w:pPr>
              <w:spacing w:after="180"/>
              <w:rPr>
                <w:spacing w:val="-4"/>
                <w:lang w:val="en-GB"/>
              </w:rPr>
            </w:pPr>
            <w:r w:rsidRPr="00D160FB">
              <w:rPr>
                <w:spacing w:val="-4"/>
                <w:lang w:val="en-GB"/>
              </w:rPr>
              <w:t xml:space="preserve">Export into the EU expanded by </w:t>
            </w:r>
            <w:r w:rsidR="00F53917" w:rsidRPr="00D160FB">
              <w:rPr>
                <w:spacing w:val="-4"/>
                <w:lang w:val="en-GB"/>
              </w:rPr>
              <w:t>109</w:t>
            </w:r>
            <w:r w:rsidRPr="00D160FB">
              <w:rPr>
                <w:spacing w:val="-4"/>
                <w:lang w:val="en-GB"/>
              </w:rPr>
              <w:t>.</w:t>
            </w:r>
            <w:r w:rsidR="00F53917" w:rsidRPr="00D160FB">
              <w:rPr>
                <w:spacing w:val="-4"/>
                <w:lang w:val="en-GB"/>
              </w:rPr>
              <w:t>5</w:t>
            </w:r>
            <w:r w:rsidRPr="00D160FB">
              <w:rPr>
                <w:spacing w:val="-4"/>
                <w:lang w:val="en-GB"/>
              </w:rPr>
              <w:t xml:space="preserve"> CZK bn </w:t>
            </w:r>
            <w:r w:rsidR="00F53917" w:rsidRPr="00D160FB">
              <w:rPr>
                <w:spacing w:val="-4"/>
                <w:lang w:val="en-GB"/>
              </w:rPr>
              <w:t>(13</w:t>
            </w:r>
            <w:r w:rsidRPr="00D160FB">
              <w:rPr>
                <w:spacing w:val="-4"/>
                <w:lang w:val="en-GB"/>
              </w:rPr>
              <w:t>.</w:t>
            </w:r>
            <w:r w:rsidR="00F53917" w:rsidRPr="00D160FB">
              <w:rPr>
                <w:spacing w:val="-4"/>
                <w:lang w:val="en-GB"/>
              </w:rPr>
              <w:t>7%)</w:t>
            </w:r>
            <w:r w:rsidRPr="00D160FB">
              <w:rPr>
                <w:spacing w:val="-4"/>
                <w:lang w:val="en-GB"/>
              </w:rPr>
              <w:t xml:space="preserve"> in Q4 itself and by</w:t>
            </w:r>
            <w:r w:rsidR="00513846" w:rsidRPr="00D160FB">
              <w:rPr>
                <w:spacing w:val="-4"/>
                <w:lang w:val="en-GB"/>
              </w:rPr>
              <w:t xml:space="preserve"> </w:t>
            </w:r>
            <w:r w:rsidR="00F53917" w:rsidRPr="00D160FB">
              <w:rPr>
                <w:spacing w:val="-4"/>
                <w:lang w:val="en-GB"/>
              </w:rPr>
              <w:t>26</w:t>
            </w:r>
            <w:r w:rsidR="00513846" w:rsidRPr="00D160FB">
              <w:rPr>
                <w:spacing w:val="-4"/>
                <w:lang w:val="en-GB"/>
              </w:rPr>
              <w:t>.</w:t>
            </w:r>
            <w:r w:rsidR="00F53917" w:rsidRPr="00D160FB">
              <w:rPr>
                <w:spacing w:val="-4"/>
                <w:lang w:val="en-GB"/>
              </w:rPr>
              <w:t>9</w:t>
            </w:r>
            <w:r w:rsidR="00513846" w:rsidRPr="00D160FB">
              <w:rPr>
                <w:spacing w:val="-4"/>
                <w:lang w:val="en-GB"/>
              </w:rPr>
              <w:t xml:space="preserve"> bn </w:t>
            </w:r>
            <w:r w:rsidR="00F53917" w:rsidRPr="00D160FB">
              <w:rPr>
                <w:spacing w:val="-4"/>
                <w:lang w:val="en-GB"/>
              </w:rPr>
              <w:t>(12</w:t>
            </w:r>
            <w:r w:rsidR="00513846" w:rsidRPr="00D160FB">
              <w:rPr>
                <w:spacing w:val="-4"/>
                <w:lang w:val="en-GB"/>
              </w:rPr>
              <w:t>.</w:t>
            </w:r>
            <w:r w:rsidR="00F53917" w:rsidRPr="00D160FB">
              <w:rPr>
                <w:spacing w:val="-4"/>
                <w:lang w:val="en-GB"/>
              </w:rPr>
              <w:t>8%)</w:t>
            </w:r>
            <w:r w:rsidR="00513846" w:rsidRPr="00D160FB">
              <w:rPr>
                <w:spacing w:val="-4"/>
                <w:lang w:val="en-GB"/>
              </w:rPr>
              <w:t xml:space="preserve"> outside the EU</w:t>
            </w:r>
            <w:r w:rsidR="00F53917" w:rsidRPr="00D160FB">
              <w:rPr>
                <w:spacing w:val="-4"/>
                <w:lang w:val="en-GB"/>
              </w:rPr>
              <w:t xml:space="preserve">. </w:t>
            </w:r>
            <w:r w:rsidR="00A22F57" w:rsidRPr="00D160FB">
              <w:rPr>
                <w:spacing w:val="-4"/>
                <w:lang w:val="en-GB"/>
              </w:rPr>
              <w:t xml:space="preserve">In retrospect, the strong recovery of export into the countries outside the EU is also apparent in the second half of the year </w:t>
            </w:r>
            <w:r w:rsidR="00F53917" w:rsidRPr="00D160FB">
              <w:rPr>
                <w:spacing w:val="-4"/>
                <w:lang w:val="en-GB"/>
              </w:rPr>
              <w:t>(</w:t>
            </w:r>
            <w:r w:rsidR="00A22F57" w:rsidRPr="00D160FB">
              <w:rPr>
                <w:spacing w:val="-4"/>
                <w:lang w:val="en-GB"/>
              </w:rPr>
              <w:t xml:space="preserve">year-on-year change </w:t>
            </w:r>
            <w:r w:rsidR="00F53917" w:rsidRPr="00D160FB">
              <w:rPr>
                <w:spacing w:val="-4"/>
                <w:lang w:val="en-GB"/>
              </w:rPr>
              <w:t>−1</w:t>
            </w:r>
            <w:r w:rsidR="00A22F57" w:rsidRPr="00D160FB">
              <w:rPr>
                <w:spacing w:val="-4"/>
                <w:lang w:val="en-GB"/>
              </w:rPr>
              <w:t>.</w:t>
            </w:r>
            <w:r w:rsidR="00F53917" w:rsidRPr="00D160FB">
              <w:rPr>
                <w:spacing w:val="-4"/>
                <w:lang w:val="en-GB"/>
              </w:rPr>
              <w:t>0%, 0</w:t>
            </w:r>
            <w:r w:rsidR="00A22F57" w:rsidRPr="00D160FB">
              <w:rPr>
                <w:spacing w:val="-4"/>
                <w:lang w:val="en-GB"/>
              </w:rPr>
              <w:t>.</w:t>
            </w:r>
            <w:r w:rsidR="00F53917" w:rsidRPr="00D160FB">
              <w:rPr>
                <w:spacing w:val="-4"/>
                <w:lang w:val="en-GB"/>
              </w:rPr>
              <w:t>3% a</w:t>
            </w:r>
            <w:r w:rsidR="00A22F57" w:rsidRPr="00D160FB">
              <w:rPr>
                <w:spacing w:val="-4"/>
                <w:lang w:val="en-GB"/>
              </w:rPr>
              <w:t>nd</w:t>
            </w:r>
            <w:r w:rsidR="00F53917" w:rsidRPr="00D160FB">
              <w:rPr>
                <w:spacing w:val="-4"/>
                <w:lang w:val="en-GB"/>
              </w:rPr>
              <w:t xml:space="preserve"> 18</w:t>
            </w:r>
            <w:r w:rsidR="00A22F57" w:rsidRPr="00D160FB">
              <w:rPr>
                <w:spacing w:val="-4"/>
                <w:lang w:val="en-GB"/>
              </w:rPr>
              <w:t>.</w:t>
            </w:r>
            <w:r w:rsidR="00F53917" w:rsidRPr="00D160FB">
              <w:rPr>
                <w:spacing w:val="-4"/>
                <w:lang w:val="en-GB"/>
              </w:rPr>
              <w:t>7%</w:t>
            </w:r>
            <w:r w:rsidR="00A22F57" w:rsidRPr="00D160FB">
              <w:rPr>
                <w:spacing w:val="-4"/>
                <w:lang w:val="en-GB"/>
              </w:rPr>
              <w:t xml:space="preserve"> in Q</w:t>
            </w:r>
            <w:r w:rsidR="00F53917" w:rsidRPr="00D160FB">
              <w:rPr>
                <w:spacing w:val="-4"/>
                <w:lang w:val="en-GB"/>
              </w:rPr>
              <w:t>1</w:t>
            </w:r>
            <w:r w:rsidR="00A22F57" w:rsidRPr="00D160FB">
              <w:rPr>
                <w:spacing w:val="-4"/>
                <w:lang w:val="en-GB"/>
              </w:rPr>
              <w:t xml:space="preserve"> to Q</w:t>
            </w:r>
            <w:r w:rsidR="00F53917" w:rsidRPr="00D160FB">
              <w:rPr>
                <w:spacing w:val="-4"/>
                <w:lang w:val="en-GB"/>
              </w:rPr>
              <w:t>3).</w:t>
            </w:r>
            <w:r w:rsidR="0007621D" w:rsidRPr="00D160FB">
              <w:rPr>
                <w:spacing w:val="-4"/>
                <w:lang w:val="en-GB"/>
              </w:rPr>
              <w:t xml:space="preserve"> </w:t>
            </w:r>
            <w:r w:rsidR="002122EA" w:rsidRPr="00D160FB">
              <w:rPr>
                <w:spacing w:val="-4"/>
                <w:lang w:val="en-GB"/>
              </w:rPr>
              <w:t xml:space="preserve">Export to Germany </w:t>
            </w:r>
            <w:r w:rsidR="00F53917" w:rsidRPr="00D160FB">
              <w:rPr>
                <w:spacing w:val="-4"/>
                <w:lang w:val="en-GB"/>
              </w:rPr>
              <w:t>(+41</w:t>
            </w:r>
            <w:r w:rsidR="002122EA" w:rsidRPr="00D160FB">
              <w:rPr>
                <w:spacing w:val="-4"/>
                <w:lang w:val="en-GB"/>
              </w:rPr>
              <w:t>.</w:t>
            </w:r>
            <w:r w:rsidR="00F53917" w:rsidRPr="00D160FB">
              <w:rPr>
                <w:spacing w:val="-4"/>
                <w:lang w:val="en-GB"/>
              </w:rPr>
              <w:t>7</w:t>
            </w:r>
            <w:r w:rsidR="002122EA" w:rsidRPr="00D160FB">
              <w:rPr>
                <w:spacing w:val="-4"/>
                <w:lang w:val="en-GB"/>
              </w:rPr>
              <w:t xml:space="preserve"> CZK bn</w:t>
            </w:r>
            <w:r w:rsidR="00F53917" w:rsidRPr="00D160FB">
              <w:rPr>
                <w:spacing w:val="-4"/>
                <w:lang w:val="en-GB"/>
              </w:rPr>
              <w:t>,</w:t>
            </w:r>
            <w:r w:rsidR="0007621D" w:rsidRPr="00D160FB">
              <w:rPr>
                <w:spacing w:val="-4"/>
                <w:lang w:val="en-GB"/>
              </w:rPr>
              <w:t xml:space="preserve"> </w:t>
            </w:r>
            <w:r w:rsidR="00F53917" w:rsidRPr="00D160FB">
              <w:rPr>
                <w:spacing w:val="-4"/>
                <w:lang w:val="en-GB"/>
              </w:rPr>
              <w:t>13</w:t>
            </w:r>
            <w:r w:rsidR="002122EA" w:rsidRPr="00D160FB">
              <w:rPr>
                <w:spacing w:val="-4"/>
                <w:lang w:val="en-GB"/>
              </w:rPr>
              <w:t>.</w:t>
            </w:r>
            <w:r w:rsidR="00F53917" w:rsidRPr="00D160FB">
              <w:rPr>
                <w:spacing w:val="-4"/>
                <w:lang w:val="en-GB"/>
              </w:rPr>
              <w:t>9%), Pol</w:t>
            </w:r>
            <w:r w:rsidR="002122EA" w:rsidRPr="00D160FB">
              <w:rPr>
                <w:spacing w:val="-4"/>
                <w:lang w:val="en-GB"/>
              </w:rPr>
              <w:t xml:space="preserve">and </w:t>
            </w:r>
            <w:r w:rsidR="00F53917" w:rsidRPr="00D160FB">
              <w:rPr>
                <w:spacing w:val="-4"/>
                <w:lang w:val="en-GB"/>
              </w:rPr>
              <w:t>(+9</w:t>
            </w:r>
            <w:r w:rsidR="002122EA" w:rsidRPr="00D160FB">
              <w:rPr>
                <w:spacing w:val="-4"/>
                <w:lang w:val="en-GB"/>
              </w:rPr>
              <w:t>.</w:t>
            </w:r>
            <w:r w:rsidR="00F53917" w:rsidRPr="00D160FB">
              <w:rPr>
                <w:spacing w:val="-4"/>
                <w:lang w:val="en-GB"/>
              </w:rPr>
              <w:t>8</w:t>
            </w:r>
            <w:r w:rsidR="002122EA" w:rsidRPr="00D160FB">
              <w:rPr>
                <w:spacing w:val="-4"/>
                <w:lang w:val="en-GB"/>
              </w:rPr>
              <w:t xml:space="preserve"> bn</w:t>
            </w:r>
            <w:r w:rsidR="00F53917" w:rsidRPr="00D160FB">
              <w:rPr>
                <w:spacing w:val="-4"/>
                <w:lang w:val="en-GB"/>
              </w:rPr>
              <w:t>, 13</w:t>
            </w:r>
            <w:r w:rsidR="002122EA" w:rsidRPr="00D160FB">
              <w:rPr>
                <w:spacing w:val="-4"/>
                <w:lang w:val="en-GB"/>
              </w:rPr>
              <w:t>.</w:t>
            </w:r>
            <w:r w:rsidR="00F53917" w:rsidRPr="00D160FB">
              <w:rPr>
                <w:spacing w:val="-4"/>
                <w:lang w:val="en-GB"/>
              </w:rPr>
              <w:t>8%), France (+9</w:t>
            </w:r>
            <w:r w:rsidR="002122EA" w:rsidRPr="00D160FB">
              <w:rPr>
                <w:spacing w:val="-4"/>
                <w:lang w:val="en-GB"/>
              </w:rPr>
              <w:t>.</w:t>
            </w:r>
            <w:r w:rsidR="00F53917" w:rsidRPr="00D160FB">
              <w:rPr>
                <w:spacing w:val="-4"/>
                <w:lang w:val="en-GB"/>
              </w:rPr>
              <w:t xml:space="preserve">5 </w:t>
            </w:r>
            <w:r w:rsidR="002122EA" w:rsidRPr="00D160FB">
              <w:rPr>
                <w:spacing w:val="-4"/>
                <w:lang w:val="en-GB"/>
              </w:rPr>
              <w:t>bn</w:t>
            </w:r>
            <w:r w:rsidR="00F53917" w:rsidRPr="00D160FB">
              <w:rPr>
                <w:spacing w:val="-4"/>
                <w:lang w:val="en-GB"/>
              </w:rPr>
              <w:t>, 21</w:t>
            </w:r>
            <w:r w:rsidR="002122EA" w:rsidRPr="00D160FB">
              <w:rPr>
                <w:spacing w:val="-4"/>
                <w:lang w:val="en-GB"/>
              </w:rPr>
              <w:t>.</w:t>
            </w:r>
            <w:r w:rsidR="00F53917" w:rsidRPr="00D160FB">
              <w:rPr>
                <w:spacing w:val="-4"/>
                <w:lang w:val="en-GB"/>
              </w:rPr>
              <w:t xml:space="preserve">0%), </w:t>
            </w:r>
            <w:r w:rsidR="002122EA" w:rsidRPr="00D160FB">
              <w:rPr>
                <w:spacing w:val="-4"/>
                <w:lang w:val="en-GB"/>
              </w:rPr>
              <w:t xml:space="preserve">Spain </w:t>
            </w:r>
            <w:r w:rsidR="00F53917" w:rsidRPr="00D160FB">
              <w:rPr>
                <w:spacing w:val="-4"/>
                <w:lang w:val="en-GB"/>
              </w:rPr>
              <w:t>(+9</w:t>
            </w:r>
            <w:r w:rsidR="002122EA" w:rsidRPr="00D160FB">
              <w:rPr>
                <w:spacing w:val="-4"/>
                <w:lang w:val="en-GB"/>
              </w:rPr>
              <w:t>.</w:t>
            </w:r>
            <w:r w:rsidR="00F53917" w:rsidRPr="00D160FB">
              <w:rPr>
                <w:spacing w:val="-4"/>
                <w:lang w:val="en-GB"/>
              </w:rPr>
              <w:t>4</w:t>
            </w:r>
            <w:r w:rsidR="002122EA" w:rsidRPr="00D160FB">
              <w:rPr>
                <w:spacing w:val="-4"/>
                <w:lang w:val="en-GB"/>
              </w:rPr>
              <w:t xml:space="preserve"> bn</w:t>
            </w:r>
            <w:r w:rsidR="00F53917" w:rsidRPr="00D160FB">
              <w:rPr>
                <w:spacing w:val="-4"/>
                <w:lang w:val="en-GB"/>
              </w:rPr>
              <w:t>, 39</w:t>
            </w:r>
            <w:r w:rsidR="002122EA" w:rsidRPr="00D160FB">
              <w:rPr>
                <w:spacing w:val="-4"/>
                <w:lang w:val="en-GB"/>
              </w:rPr>
              <w:t>.</w:t>
            </w:r>
            <w:r w:rsidR="00F53917" w:rsidRPr="00D160FB">
              <w:rPr>
                <w:spacing w:val="-4"/>
                <w:lang w:val="en-GB"/>
              </w:rPr>
              <w:t>1%), It</w:t>
            </w:r>
            <w:r w:rsidR="002122EA" w:rsidRPr="00D160FB">
              <w:rPr>
                <w:spacing w:val="-4"/>
                <w:lang w:val="en-GB"/>
              </w:rPr>
              <w:t xml:space="preserve">aly </w:t>
            </w:r>
            <w:r w:rsidR="00F53917" w:rsidRPr="00D160FB">
              <w:rPr>
                <w:spacing w:val="-4"/>
                <w:lang w:val="en-GB"/>
              </w:rPr>
              <w:t>(+8</w:t>
            </w:r>
            <w:r w:rsidR="002122EA" w:rsidRPr="00D160FB">
              <w:rPr>
                <w:spacing w:val="-4"/>
                <w:lang w:val="en-GB"/>
              </w:rPr>
              <w:t>.</w:t>
            </w:r>
            <w:r w:rsidR="00F53917" w:rsidRPr="00D160FB">
              <w:rPr>
                <w:spacing w:val="-4"/>
                <w:lang w:val="en-GB"/>
              </w:rPr>
              <w:t>7</w:t>
            </w:r>
            <w:r w:rsidR="002122EA" w:rsidRPr="00D160FB">
              <w:rPr>
                <w:spacing w:val="-4"/>
                <w:lang w:val="en-GB"/>
              </w:rPr>
              <w:t xml:space="preserve"> bn</w:t>
            </w:r>
            <w:r w:rsidR="00F53917" w:rsidRPr="00D160FB">
              <w:rPr>
                <w:spacing w:val="-4"/>
                <w:lang w:val="en-GB"/>
              </w:rPr>
              <w:t>, 21</w:t>
            </w:r>
            <w:r w:rsidR="002122EA" w:rsidRPr="00D160FB">
              <w:rPr>
                <w:spacing w:val="-4"/>
                <w:lang w:val="en-GB"/>
              </w:rPr>
              <w:t>.</w:t>
            </w:r>
            <w:r w:rsidR="00F53917" w:rsidRPr="00D160FB">
              <w:rPr>
                <w:spacing w:val="-4"/>
                <w:lang w:val="en-GB"/>
              </w:rPr>
              <w:t>8%) a</w:t>
            </w:r>
            <w:r w:rsidR="002122EA" w:rsidRPr="00D160FB">
              <w:rPr>
                <w:spacing w:val="-4"/>
                <w:lang w:val="en-GB"/>
              </w:rPr>
              <w:t xml:space="preserve">nd Belgium </w:t>
            </w:r>
            <w:r w:rsidR="00F53917" w:rsidRPr="00D160FB">
              <w:rPr>
                <w:spacing w:val="-4"/>
                <w:lang w:val="en-GB"/>
              </w:rPr>
              <w:t>(+5</w:t>
            </w:r>
            <w:r w:rsidR="002122EA" w:rsidRPr="00D160FB">
              <w:rPr>
                <w:spacing w:val="-4"/>
                <w:lang w:val="en-GB"/>
              </w:rPr>
              <w:t>.</w:t>
            </w:r>
            <w:r w:rsidR="00F53917" w:rsidRPr="00D160FB">
              <w:rPr>
                <w:spacing w:val="-4"/>
                <w:lang w:val="en-GB"/>
              </w:rPr>
              <w:t>4</w:t>
            </w:r>
            <w:r w:rsidR="002122EA" w:rsidRPr="00D160FB">
              <w:rPr>
                <w:spacing w:val="-4"/>
                <w:lang w:val="en-GB"/>
              </w:rPr>
              <w:t xml:space="preserve"> bn</w:t>
            </w:r>
            <w:r w:rsidR="00F53917" w:rsidRPr="00D160FB">
              <w:rPr>
                <w:spacing w:val="-4"/>
                <w:lang w:val="en-GB"/>
              </w:rPr>
              <w:t>, 25</w:t>
            </w:r>
            <w:r w:rsidR="002122EA" w:rsidRPr="00D160FB">
              <w:rPr>
                <w:spacing w:val="-4"/>
                <w:lang w:val="en-GB"/>
              </w:rPr>
              <w:t>.</w:t>
            </w:r>
            <w:r w:rsidR="00F53917" w:rsidRPr="00D160FB">
              <w:rPr>
                <w:spacing w:val="-4"/>
                <w:lang w:val="en-GB"/>
              </w:rPr>
              <w:t>8%)</w:t>
            </w:r>
            <w:r w:rsidR="002122EA" w:rsidRPr="00D160FB">
              <w:rPr>
                <w:spacing w:val="-4"/>
                <w:lang w:val="en-GB"/>
              </w:rPr>
              <w:t xml:space="preserve"> expanded the most year-on-year</w:t>
            </w:r>
            <w:r w:rsidR="00F53917" w:rsidRPr="00D160FB">
              <w:rPr>
                <w:spacing w:val="-4"/>
                <w:lang w:val="en-GB"/>
              </w:rPr>
              <w:t xml:space="preserve">. </w:t>
            </w:r>
            <w:r w:rsidR="002122EA" w:rsidRPr="00D160FB">
              <w:rPr>
                <w:spacing w:val="-4"/>
                <w:lang w:val="en-GB"/>
              </w:rPr>
              <w:t xml:space="preserve">Export to Russia plunged deeply year-on-year </w:t>
            </w:r>
            <w:r w:rsidR="00F53917" w:rsidRPr="00D160FB">
              <w:rPr>
                <w:spacing w:val="-4"/>
                <w:lang w:val="en-GB"/>
              </w:rPr>
              <w:t>(−11</w:t>
            </w:r>
            <w:r w:rsidR="002122EA" w:rsidRPr="00D160FB">
              <w:rPr>
                <w:spacing w:val="-4"/>
                <w:lang w:val="en-GB"/>
              </w:rPr>
              <w:t>.</w:t>
            </w:r>
            <w:r w:rsidR="00F53917" w:rsidRPr="00D160FB">
              <w:rPr>
                <w:spacing w:val="-4"/>
                <w:lang w:val="en-GB"/>
              </w:rPr>
              <w:t>9</w:t>
            </w:r>
            <w:r w:rsidR="002122EA" w:rsidRPr="00D160FB">
              <w:rPr>
                <w:spacing w:val="-4"/>
                <w:lang w:val="en-GB"/>
              </w:rPr>
              <w:t xml:space="preserve"> CZK bn</w:t>
            </w:r>
            <w:r w:rsidR="00F53917" w:rsidRPr="00D160FB">
              <w:rPr>
                <w:spacing w:val="-4"/>
                <w:lang w:val="en-GB"/>
              </w:rPr>
              <w:t xml:space="preserve">, </w:t>
            </w:r>
            <w:r w:rsidR="00ED2525" w:rsidRPr="00D160FB">
              <w:rPr>
                <w:spacing w:val="-4"/>
                <w:lang w:val="en-GB"/>
              </w:rPr>
              <w:t>−</w:t>
            </w:r>
            <w:r w:rsidR="00F53917" w:rsidRPr="00D160FB">
              <w:rPr>
                <w:spacing w:val="-4"/>
                <w:lang w:val="en-GB"/>
              </w:rPr>
              <w:t>66</w:t>
            </w:r>
            <w:r w:rsidR="002122EA" w:rsidRPr="00D160FB">
              <w:rPr>
                <w:spacing w:val="-4"/>
                <w:lang w:val="en-GB"/>
              </w:rPr>
              <w:t>.</w:t>
            </w:r>
            <w:r w:rsidR="00F53917" w:rsidRPr="00D160FB">
              <w:rPr>
                <w:spacing w:val="-4"/>
                <w:lang w:val="en-GB"/>
              </w:rPr>
              <w:t>5%).</w:t>
            </w:r>
          </w:p>
        </w:tc>
      </w:tr>
      <w:tr w:rsidR="00F53917" w:rsidRPr="00D160FB" w14:paraId="4477C446" w14:textId="77777777" w:rsidTr="0063723A">
        <w:trPr>
          <w:trHeight w:val="170"/>
        </w:trPr>
        <w:tc>
          <w:tcPr>
            <w:tcW w:w="1476" w:type="dxa"/>
            <w:shd w:val="clear" w:color="auto" w:fill="auto"/>
            <w:tcMar>
              <w:left w:w="0" w:type="dxa"/>
            </w:tcMar>
          </w:tcPr>
          <w:p w14:paraId="71C24A16" w14:textId="0CA50C00" w:rsidR="00F53917" w:rsidRPr="00D160FB" w:rsidRDefault="005A18CF" w:rsidP="00163868">
            <w:pPr>
              <w:pStyle w:val="Marginlie"/>
              <w:rPr>
                <w:lang w:val="en-GB"/>
              </w:rPr>
            </w:pPr>
            <w:r w:rsidRPr="00D160FB">
              <w:rPr>
                <w:lang w:val="en-GB"/>
              </w:rPr>
              <w:t xml:space="preserve">Export of motor vehicles the most stimulated the growth of export last year. </w:t>
            </w:r>
          </w:p>
        </w:tc>
        <w:tc>
          <w:tcPr>
            <w:tcW w:w="152" w:type="dxa"/>
            <w:shd w:val="clear" w:color="auto" w:fill="auto"/>
            <w:tcMar>
              <w:left w:w="0" w:type="dxa"/>
            </w:tcMar>
          </w:tcPr>
          <w:p w14:paraId="45A12F78"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53A6E3A3" w14:textId="2120FC6E" w:rsidR="00F53917" w:rsidRPr="00D160FB" w:rsidRDefault="00E72774" w:rsidP="00163868">
            <w:pPr>
              <w:spacing w:after="180"/>
              <w:rPr>
                <w:spacing w:val="-4"/>
                <w:lang w:val="en-GB"/>
              </w:rPr>
            </w:pPr>
            <w:r w:rsidRPr="00D160FB">
              <w:rPr>
                <w:spacing w:val="-4"/>
                <w:lang w:val="en-GB"/>
              </w:rPr>
              <w:t xml:space="preserve">In the view of the goods structure, the export of motor vehicles </w:t>
            </w:r>
            <w:r w:rsidR="00F53917" w:rsidRPr="00D160FB">
              <w:rPr>
                <w:spacing w:val="-4"/>
                <w:lang w:val="en-GB"/>
              </w:rPr>
              <w:t>(+101</w:t>
            </w:r>
            <w:r w:rsidRPr="00D160FB">
              <w:rPr>
                <w:spacing w:val="-4"/>
                <w:lang w:val="en-GB"/>
              </w:rPr>
              <w:t>.</w:t>
            </w:r>
            <w:r w:rsidR="00F53917" w:rsidRPr="00D160FB">
              <w:rPr>
                <w:spacing w:val="-4"/>
                <w:lang w:val="en-GB"/>
              </w:rPr>
              <w:t>4</w:t>
            </w:r>
            <w:r w:rsidRPr="00D160FB">
              <w:rPr>
                <w:spacing w:val="-4"/>
                <w:lang w:val="en-GB"/>
              </w:rPr>
              <w:t xml:space="preserve"> CZK bn</w:t>
            </w:r>
            <w:r w:rsidR="00F53917" w:rsidRPr="00D160FB">
              <w:rPr>
                <w:spacing w:val="-4"/>
                <w:lang w:val="en-GB"/>
              </w:rPr>
              <w:t>, 10</w:t>
            </w:r>
            <w:r w:rsidRPr="00D160FB">
              <w:rPr>
                <w:spacing w:val="-4"/>
                <w:lang w:val="en-GB"/>
              </w:rPr>
              <w:t>.</w:t>
            </w:r>
            <w:r w:rsidR="00F53917" w:rsidRPr="00D160FB">
              <w:rPr>
                <w:spacing w:val="-4"/>
                <w:lang w:val="en-GB"/>
              </w:rPr>
              <w:t>8%)</w:t>
            </w:r>
            <w:r w:rsidRPr="00D160FB">
              <w:rPr>
                <w:spacing w:val="-4"/>
                <w:lang w:val="en-GB"/>
              </w:rPr>
              <w:t xml:space="preserve"> electrical </w:t>
            </w:r>
            <w:r w:rsidR="005A6032">
              <w:rPr>
                <w:spacing w:val="-4"/>
                <w:lang w:val="en-GB"/>
              </w:rPr>
              <w:t>equipment</w:t>
            </w:r>
            <w:r w:rsidRPr="00D160FB">
              <w:rPr>
                <w:spacing w:val="-4"/>
                <w:lang w:val="en-GB"/>
              </w:rPr>
              <w:t xml:space="preserve"> </w:t>
            </w:r>
            <w:r w:rsidR="00F53917" w:rsidRPr="00D160FB">
              <w:rPr>
                <w:spacing w:val="-4"/>
                <w:lang w:val="en-GB"/>
              </w:rPr>
              <w:t>(+66</w:t>
            </w:r>
            <w:r w:rsidRPr="00D160FB">
              <w:rPr>
                <w:spacing w:val="-4"/>
                <w:lang w:val="en-GB"/>
              </w:rPr>
              <w:t>.</w:t>
            </w:r>
            <w:r w:rsidR="00F53917" w:rsidRPr="00D160FB">
              <w:rPr>
                <w:spacing w:val="-4"/>
                <w:lang w:val="en-GB"/>
              </w:rPr>
              <w:t>7</w:t>
            </w:r>
            <w:r w:rsidRPr="00D160FB">
              <w:rPr>
                <w:spacing w:val="-4"/>
                <w:lang w:val="en-GB"/>
              </w:rPr>
              <w:t xml:space="preserve"> bn</w:t>
            </w:r>
            <w:r w:rsidR="00F53917" w:rsidRPr="00D160FB">
              <w:rPr>
                <w:spacing w:val="-4"/>
                <w:lang w:val="en-GB"/>
              </w:rPr>
              <w:t>, 19</w:t>
            </w:r>
            <w:r w:rsidRPr="00D160FB">
              <w:rPr>
                <w:spacing w:val="-4"/>
                <w:lang w:val="en-GB"/>
              </w:rPr>
              <w:t>.</w:t>
            </w:r>
            <w:r w:rsidR="00F53917" w:rsidRPr="00D160FB">
              <w:rPr>
                <w:spacing w:val="-4"/>
                <w:lang w:val="en-GB"/>
              </w:rPr>
              <w:t>1%) a</w:t>
            </w:r>
            <w:r w:rsidRPr="00D160FB">
              <w:rPr>
                <w:spacing w:val="-4"/>
                <w:lang w:val="en-GB"/>
              </w:rPr>
              <w:t xml:space="preserve">nd electricity, gas, steam and air conditioning </w:t>
            </w:r>
            <w:r w:rsidR="00F53917" w:rsidRPr="00D160FB">
              <w:rPr>
                <w:spacing w:val="-4"/>
                <w:lang w:val="en-GB"/>
              </w:rPr>
              <w:t>(+58</w:t>
            </w:r>
            <w:r w:rsidRPr="00D160FB">
              <w:rPr>
                <w:spacing w:val="-4"/>
                <w:lang w:val="en-GB"/>
              </w:rPr>
              <w:t>.</w:t>
            </w:r>
            <w:r w:rsidR="00F53917" w:rsidRPr="00D160FB">
              <w:rPr>
                <w:spacing w:val="-4"/>
                <w:lang w:val="en-GB"/>
              </w:rPr>
              <w:t>9</w:t>
            </w:r>
            <w:r w:rsidRPr="00D160FB">
              <w:rPr>
                <w:spacing w:val="-4"/>
                <w:lang w:val="en-GB"/>
              </w:rPr>
              <w:t xml:space="preserve"> bn</w:t>
            </w:r>
            <w:r w:rsidR="00F53917" w:rsidRPr="00D160FB">
              <w:rPr>
                <w:spacing w:val="-4"/>
                <w:lang w:val="en-GB"/>
              </w:rPr>
              <w:t>, 97</w:t>
            </w:r>
            <w:r w:rsidRPr="00D160FB">
              <w:rPr>
                <w:spacing w:val="-4"/>
                <w:lang w:val="en-GB"/>
              </w:rPr>
              <w:t>.</w:t>
            </w:r>
            <w:r w:rsidR="00F53917" w:rsidRPr="00D160FB">
              <w:rPr>
                <w:spacing w:val="-4"/>
                <w:lang w:val="en-GB"/>
              </w:rPr>
              <w:t>5%)</w:t>
            </w:r>
            <w:r w:rsidRPr="00D160FB">
              <w:rPr>
                <w:spacing w:val="-4"/>
                <w:lang w:val="en-GB"/>
              </w:rPr>
              <w:t xml:space="preserve"> went up the most last year</w:t>
            </w:r>
            <w:r w:rsidR="00F53917" w:rsidRPr="00D160FB">
              <w:rPr>
                <w:spacing w:val="-4"/>
                <w:lang w:val="en-GB"/>
              </w:rPr>
              <w:t xml:space="preserve">. </w:t>
            </w:r>
            <w:r w:rsidR="00055F11" w:rsidRPr="00D160FB">
              <w:rPr>
                <w:spacing w:val="-4"/>
                <w:lang w:val="en-GB"/>
              </w:rPr>
              <w:t xml:space="preserve">Export of machinery and equipment </w:t>
            </w:r>
            <w:r w:rsidR="00F53917" w:rsidRPr="00D160FB">
              <w:rPr>
                <w:spacing w:val="-4"/>
                <w:lang w:val="en-GB"/>
              </w:rPr>
              <w:t>(+36</w:t>
            </w:r>
            <w:r w:rsidR="00055F11" w:rsidRPr="00D160FB">
              <w:rPr>
                <w:spacing w:val="-4"/>
                <w:lang w:val="en-GB"/>
              </w:rPr>
              <w:t>.</w:t>
            </w:r>
            <w:r w:rsidR="00F53917" w:rsidRPr="00D160FB">
              <w:rPr>
                <w:spacing w:val="-4"/>
                <w:lang w:val="en-GB"/>
              </w:rPr>
              <w:t>4</w:t>
            </w:r>
            <w:r w:rsidR="00055F11" w:rsidRPr="00D160FB">
              <w:rPr>
                <w:spacing w:val="-4"/>
                <w:lang w:val="en-GB"/>
              </w:rPr>
              <w:t xml:space="preserve"> CZK bn</w:t>
            </w:r>
            <w:r w:rsidR="00F53917" w:rsidRPr="00D160FB">
              <w:rPr>
                <w:spacing w:val="-4"/>
                <w:lang w:val="en-GB"/>
              </w:rPr>
              <w:t>, 7</w:t>
            </w:r>
            <w:r w:rsidR="00055F11" w:rsidRPr="00D160FB">
              <w:rPr>
                <w:spacing w:val="-4"/>
                <w:lang w:val="en-GB"/>
              </w:rPr>
              <w:t>.</w:t>
            </w:r>
            <w:r w:rsidR="00F53917" w:rsidRPr="00D160FB">
              <w:rPr>
                <w:spacing w:val="-4"/>
                <w:lang w:val="en-GB"/>
              </w:rPr>
              <w:t>9%), chemic</w:t>
            </w:r>
            <w:r w:rsidR="00055F11" w:rsidRPr="00D160FB">
              <w:rPr>
                <w:spacing w:val="-4"/>
                <w:lang w:val="en-GB"/>
              </w:rPr>
              <w:t xml:space="preserve">al substances and products </w:t>
            </w:r>
            <w:r w:rsidR="00F53917" w:rsidRPr="00D160FB">
              <w:rPr>
                <w:spacing w:val="-4"/>
                <w:lang w:val="en-GB"/>
              </w:rPr>
              <w:t>(+34</w:t>
            </w:r>
            <w:r w:rsidR="00055F11" w:rsidRPr="00D160FB">
              <w:rPr>
                <w:spacing w:val="-4"/>
                <w:lang w:val="en-GB"/>
              </w:rPr>
              <w:t>.</w:t>
            </w:r>
            <w:r w:rsidR="00F53917" w:rsidRPr="00D160FB">
              <w:rPr>
                <w:spacing w:val="-4"/>
                <w:lang w:val="en-GB"/>
              </w:rPr>
              <w:t>6</w:t>
            </w:r>
            <w:r w:rsidR="00055F11" w:rsidRPr="00D160FB">
              <w:rPr>
                <w:spacing w:val="-4"/>
                <w:lang w:val="en-GB"/>
              </w:rPr>
              <w:t xml:space="preserve"> bn</w:t>
            </w:r>
            <w:r w:rsidR="00F53917" w:rsidRPr="00D160FB">
              <w:rPr>
                <w:spacing w:val="-4"/>
                <w:lang w:val="en-GB"/>
              </w:rPr>
              <w:t>,</w:t>
            </w:r>
            <w:r w:rsidR="0007621D" w:rsidRPr="00D160FB">
              <w:rPr>
                <w:spacing w:val="-4"/>
                <w:lang w:val="en-GB"/>
              </w:rPr>
              <w:t xml:space="preserve"> </w:t>
            </w:r>
            <w:r w:rsidR="00F53917" w:rsidRPr="00D160FB">
              <w:rPr>
                <w:spacing w:val="-4"/>
                <w:lang w:val="en-GB"/>
              </w:rPr>
              <w:t>17</w:t>
            </w:r>
            <w:r w:rsidR="00055F11" w:rsidRPr="00D160FB">
              <w:rPr>
                <w:spacing w:val="-4"/>
                <w:lang w:val="en-GB"/>
              </w:rPr>
              <w:t>.</w:t>
            </w:r>
            <w:r w:rsidR="00F53917" w:rsidRPr="00D160FB">
              <w:rPr>
                <w:spacing w:val="-4"/>
                <w:lang w:val="en-GB"/>
              </w:rPr>
              <w:t xml:space="preserve">2%), </w:t>
            </w:r>
            <w:r w:rsidR="005A6032">
              <w:rPr>
                <w:spacing w:val="-4"/>
                <w:lang w:val="en-GB"/>
              </w:rPr>
              <w:t>fabricated metal</w:t>
            </w:r>
            <w:r w:rsidR="00055F11" w:rsidRPr="00D160FB">
              <w:rPr>
                <w:spacing w:val="-4"/>
                <w:lang w:val="en-GB"/>
              </w:rPr>
              <w:t xml:space="preserve"> products </w:t>
            </w:r>
            <w:r w:rsidR="00F53917" w:rsidRPr="00D160FB">
              <w:rPr>
                <w:spacing w:val="-4"/>
                <w:lang w:val="en-GB"/>
              </w:rPr>
              <w:t>(+32</w:t>
            </w:r>
            <w:r w:rsidR="00055F11" w:rsidRPr="00D160FB">
              <w:rPr>
                <w:spacing w:val="-4"/>
                <w:lang w:val="en-GB"/>
              </w:rPr>
              <w:t>.</w:t>
            </w:r>
            <w:r w:rsidR="00F53917" w:rsidRPr="00D160FB">
              <w:rPr>
                <w:spacing w:val="-4"/>
                <w:lang w:val="en-GB"/>
              </w:rPr>
              <w:t>1</w:t>
            </w:r>
            <w:r w:rsidR="00055F11" w:rsidRPr="00D160FB">
              <w:rPr>
                <w:spacing w:val="-4"/>
                <w:lang w:val="en-GB"/>
              </w:rPr>
              <w:t xml:space="preserve"> bn</w:t>
            </w:r>
            <w:r w:rsidR="00F53917" w:rsidRPr="00D160FB">
              <w:rPr>
                <w:spacing w:val="-4"/>
                <w:lang w:val="en-GB"/>
              </w:rPr>
              <w:t>, 13</w:t>
            </w:r>
            <w:r w:rsidR="00055F11" w:rsidRPr="00D160FB">
              <w:rPr>
                <w:spacing w:val="-4"/>
                <w:lang w:val="en-GB"/>
              </w:rPr>
              <w:t>.</w:t>
            </w:r>
            <w:r w:rsidR="00F53917" w:rsidRPr="00D160FB">
              <w:rPr>
                <w:spacing w:val="-4"/>
                <w:lang w:val="en-GB"/>
              </w:rPr>
              <w:t xml:space="preserve">3%), </w:t>
            </w:r>
            <w:r w:rsidR="00055F11" w:rsidRPr="00D160FB">
              <w:rPr>
                <w:spacing w:val="-4"/>
                <w:lang w:val="en-GB"/>
              </w:rPr>
              <w:t xml:space="preserve">food products </w:t>
            </w:r>
            <w:r w:rsidR="00F53917" w:rsidRPr="00D160FB">
              <w:rPr>
                <w:spacing w:val="-4"/>
                <w:lang w:val="en-GB"/>
              </w:rPr>
              <w:t>(+29</w:t>
            </w:r>
            <w:r w:rsidR="00055F11" w:rsidRPr="00D160FB">
              <w:rPr>
                <w:spacing w:val="-4"/>
                <w:lang w:val="en-GB"/>
              </w:rPr>
              <w:t>.</w:t>
            </w:r>
            <w:r w:rsidR="00F53917" w:rsidRPr="00D160FB">
              <w:rPr>
                <w:spacing w:val="-4"/>
                <w:lang w:val="en-GB"/>
              </w:rPr>
              <w:t>5</w:t>
            </w:r>
            <w:r w:rsidR="00055F11" w:rsidRPr="00D160FB">
              <w:rPr>
                <w:spacing w:val="-4"/>
                <w:lang w:val="en-GB"/>
              </w:rPr>
              <w:t xml:space="preserve"> bn</w:t>
            </w:r>
            <w:r w:rsidR="00F53917" w:rsidRPr="00D160FB">
              <w:rPr>
                <w:spacing w:val="-4"/>
                <w:lang w:val="en-GB"/>
              </w:rPr>
              <w:t>, 24</w:t>
            </w:r>
            <w:r w:rsidR="00055F11" w:rsidRPr="00D160FB">
              <w:rPr>
                <w:spacing w:val="-4"/>
                <w:lang w:val="en-GB"/>
              </w:rPr>
              <w:t>.</w:t>
            </w:r>
            <w:r w:rsidR="00F53917" w:rsidRPr="00D160FB">
              <w:rPr>
                <w:spacing w:val="-4"/>
                <w:lang w:val="en-GB"/>
              </w:rPr>
              <w:t>9%),</w:t>
            </w:r>
            <w:r w:rsidR="00055F11" w:rsidRPr="00D160FB">
              <w:rPr>
                <w:spacing w:val="-4"/>
                <w:lang w:val="en-GB"/>
              </w:rPr>
              <w:t xml:space="preserve"> basic metals </w:t>
            </w:r>
            <w:r w:rsidR="00F53917" w:rsidRPr="00D160FB">
              <w:rPr>
                <w:spacing w:val="-4"/>
                <w:lang w:val="en-GB"/>
              </w:rPr>
              <w:t>(+27</w:t>
            </w:r>
            <w:r w:rsidR="00055F11" w:rsidRPr="00D160FB">
              <w:rPr>
                <w:spacing w:val="-4"/>
                <w:lang w:val="en-GB"/>
              </w:rPr>
              <w:t>.</w:t>
            </w:r>
            <w:r w:rsidR="00F53917" w:rsidRPr="00D160FB">
              <w:rPr>
                <w:spacing w:val="-4"/>
                <w:lang w:val="en-GB"/>
              </w:rPr>
              <w:t>5</w:t>
            </w:r>
            <w:r w:rsidR="00055F11" w:rsidRPr="00D160FB">
              <w:rPr>
                <w:spacing w:val="-4"/>
                <w:lang w:val="en-GB"/>
              </w:rPr>
              <w:t xml:space="preserve"> bn</w:t>
            </w:r>
            <w:r w:rsidR="00F53917" w:rsidRPr="00D160FB">
              <w:rPr>
                <w:spacing w:val="-4"/>
                <w:lang w:val="en-GB"/>
              </w:rPr>
              <w:t>, 16</w:t>
            </w:r>
            <w:r w:rsidR="00055F11" w:rsidRPr="00D160FB">
              <w:rPr>
                <w:spacing w:val="-4"/>
                <w:lang w:val="en-GB"/>
              </w:rPr>
              <w:t>.</w:t>
            </w:r>
            <w:r w:rsidR="00F53917" w:rsidRPr="00D160FB">
              <w:rPr>
                <w:spacing w:val="-4"/>
                <w:lang w:val="en-GB"/>
              </w:rPr>
              <w:t>4%),</w:t>
            </w:r>
            <w:r w:rsidR="00055F11" w:rsidRPr="00D160FB">
              <w:rPr>
                <w:spacing w:val="-4"/>
                <w:lang w:val="en-GB"/>
              </w:rPr>
              <w:t xml:space="preserve"> rubber and plastic products </w:t>
            </w:r>
            <w:r w:rsidR="00F53917" w:rsidRPr="00D160FB">
              <w:rPr>
                <w:spacing w:val="-4"/>
                <w:lang w:val="en-GB"/>
              </w:rPr>
              <w:t>(+19</w:t>
            </w:r>
            <w:r w:rsidR="00055F11" w:rsidRPr="00D160FB">
              <w:rPr>
                <w:spacing w:val="-4"/>
                <w:lang w:val="en-GB"/>
              </w:rPr>
              <w:t>.</w:t>
            </w:r>
            <w:r w:rsidR="00F53917" w:rsidRPr="00D160FB">
              <w:rPr>
                <w:spacing w:val="-4"/>
                <w:lang w:val="en-GB"/>
              </w:rPr>
              <w:t>2</w:t>
            </w:r>
            <w:r w:rsidR="00055F11" w:rsidRPr="00D160FB">
              <w:rPr>
                <w:spacing w:val="-4"/>
                <w:lang w:val="en-GB"/>
              </w:rPr>
              <w:t xml:space="preserve"> bn</w:t>
            </w:r>
            <w:r w:rsidR="00F53917" w:rsidRPr="00D160FB">
              <w:rPr>
                <w:spacing w:val="-4"/>
                <w:lang w:val="en-GB"/>
              </w:rPr>
              <w:t>, 10</w:t>
            </w:r>
            <w:r w:rsidR="00055F11" w:rsidRPr="00D160FB">
              <w:rPr>
                <w:spacing w:val="-4"/>
                <w:lang w:val="en-GB"/>
              </w:rPr>
              <w:t>.</w:t>
            </w:r>
            <w:r w:rsidR="00F53917" w:rsidRPr="00D160FB">
              <w:rPr>
                <w:spacing w:val="-4"/>
                <w:lang w:val="en-GB"/>
              </w:rPr>
              <w:t>0%), pap</w:t>
            </w:r>
            <w:r w:rsidR="00055F11" w:rsidRPr="00D160FB">
              <w:rPr>
                <w:spacing w:val="-4"/>
                <w:lang w:val="en-GB"/>
              </w:rPr>
              <w:t xml:space="preserve">er and paper products </w:t>
            </w:r>
            <w:r w:rsidR="00F53917" w:rsidRPr="00D160FB">
              <w:rPr>
                <w:spacing w:val="-4"/>
                <w:lang w:val="en-GB"/>
              </w:rPr>
              <w:t>(+18</w:t>
            </w:r>
            <w:r w:rsidR="00055F11" w:rsidRPr="00D160FB">
              <w:rPr>
                <w:spacing w:val="-4"/>
                <w:lang w:val="en-GB"/>
              </w:rPr>
              <w:t>.</w:t>
            </w:r>
            <w:r w:rsidR="00F53917" w:rsidRPr="00D160FB">
              <w:rPr>
                <w:spacing w:val="-4"/>
                <w:lang w:val="en-GB"/>
              </w:rPr>
              <w:t>9</w:t>
            </w:r>
            <w:r w:rsidR="00055F11" w:rsidRPr="00D160FB">
              <w:rPr>
                <w:spacing w:val="-4"/>
                <w:lang w:val="en-GB"/>
              </w:rPr>
              <w:t xml:space="preserve"> bn</w:t>
            </w:r>
            <w:r w:rsidR="00F53917" w:rsidRPr="00D160FB">
              <w:rPr>
                <w:spacing w:val="-4"/>
                <w:lang w:val="en-GB"/>
              </w:rPr>
              <w:t>, 28</w:t>
            </w:r>
            <w:r w:rsidR="00055F11" w:rsidRPr="00D160FB">
              <w:rPr>
                <w:spacing w:val="-4"/>
                <w:lang w:val="en-GB"/>
              </w:rPr>
              <w:t>.</w:t>
            </w:r>
            <w:r w:rsidR="00F53917" w:rsidRPr="00D160FB">
              <w:rPr>
                <w:spacing w:val="-4"/>
                <w:lang w:val="en-GB"/>
              </w:rPr>
              <w:t xml:space="preserve">9%), </w:t>
            </w:r>
            <w:r w:rsidR="00055F11" w:rsidRPr="00D160FB">
              <w:rPr>
                <w:spacing w:val="-4"/>
                <w:lang w:val="en-GB"/>
              </w:rPr>
              <w:t xml:space="preserve">computers, electronic and optical </w:t>
            </w:r>
            <w:r w:rsidR="005A6032">
              <w:rPr>
                <w:spacing w:val="-4"/>
                <w:lang w:val="en-GB"/>
              </w:rPr>
              <w:t>products</w:t>
            </w:r>
            <w:r w:rsidR="00055F11" w:rsidRPr="00D160FB">
              <w:rPr>
                <w:spacing w:val="-4"/>
                <w:lang w:val="en-GB"/>
              </w:rPr>
              <w:t xml:space="preserve"> </w:t>
            </w:r>
            <w:r w:rsidR="00F53917" w:rsidRPr="00D160FB">
              <w:rPr>
                <w:spacing w:val="-4"/>
                <w:lang w:val="en-GB"/>
              </w:rPr>
              <w:t>(+16</w:t>
            </w:r>
            <w:r w:rsidR="00055F11" w:rsidRPr="00D160FB">
              <w:rPr>
                <w:spacing w:val="-4"/>
                <w:lang w:val="en-GB"/>
              </w:rPr>
              <w:t>.</w:t>
            </w:r>
            <w:r w:rsidR="00F53917" w:rsidRPr="00D160FB">
              <w:rPr>
                <w:spacing w:val="-4"/>
                <w:lang w:val="en-GB"/>
              </w:rPr>
              <w:t>9</w:t>
            </w:r>
            <w:r w:rsidR="00055F11" w:rsidRPr="00D160FB">
              <w:rPr>
                <w:spacing w:val="-4"/>
                <w:lang w:val="en-GB"/>
              </w:rPr>
              <w:t xml:space="preserve"> bn</w:t>
            </w:r>
            <w:r w:rsidR="00F53917" w:rsidRPr="00D160FB">
              <w:rPr>
                <w:spacing w:val="-4"/>
                <w:lang w:val="en-GB"/>
              </w:rPr>
              <w:t>, 4</w:t>
            </w:r>
            <w:r w:rsidR="00055F11" w:rsidRPr="00D160FB">
              <w:rPr>
                <w:spacing w:val="-4"/>
                <w:lang w:val="en-GB"/>
              </w:rPr>
              <w:t>.</w:t>
            </w:r>
            <w:r w:rsidR="00F53917" w:rsidRPr="00D160FB">
              <w:rPr>
                <w:spacing w:val="-4"/>
                <w:lang w:val="en-GB"/>
              </w:rPr>
              <w:t>1%)</w:t>
            </w:r>
            <w:r w:rsidR="00055F11" w:rsidRPr="00D160FB">
              <w:rPr>
                <w:spacing w:val="-4"/>
                <w:lang w:val="en-GB"/>
              </w:rPr>
              <w:t xml:space="preserve"> and coke and </w:t>
            </w:r>
            <w:r w:rsidR="00186538">
              <w:rPr>
                <w:spacing w:val="-4"/>
                <w:lang w:val="en-GB"/>
              </w:rPr>
              <w:t>refined petroleum</w:t>
            </w:r>
            <w:r w:rsidR="00055F11" w:rsidRPr="00D160FB">
              <w:rPr>
                <w:spacing w:val="-4"/>
                <w:lang w:val="en-GB"/>
              </w:rPr>
              <w:t xml:space="preserve"> products </w:t>
            </w:r>
            <w:r w:rsidR="00F53917" w:rsidRPr="00D160FB">
              <w:rPr>
                <w:spacing w:val="-4"/>
                <w:lang w:val="en-GB"/>
              </w:rPr>
              <w:t>(+15</w:t>
            </w:r>
            <w:r w:rsidR="00055F11" w:rsidRPr="00D160FB">
              <w:rPr>
                <w:spacing w:val="-4"/>
                <w:lang w:val="en-GB"/>
              </w:rPr>
              <w:t>.</w:t>
            </w:r>
            <w:r w:rsidR="00F53917" w:rsidRPr="00D160FB">
              <w:rPr>
                <w:spacing w:val="-4"/>
                <w:lang w:val="en-GB"/>
              </w:rPr>
              <w:t>4</w:t>
            </w:r>
            <w:r w:rsidR="00055F11" w:rsidRPr="00D160FB">
              <w:rPr>
                <w:spacing w:val="-4"/>
                <w:lang w:val="en-GB"/>
              </w:rPr>
              <w:t xml:space="preserve"> bn</w:t>
            </w:r>
            <w:r w:rsidR="00F53917" w:rsidRPr="00D160FB">
              <w:rPr>
                <w:spacing w:val="-4"/>
                <w:lang w:val="en-GB"/>
              </w:rPr>
              <w:t>, 36</w:t>
            </w:r>
            <w:r w:rsidR="00055F11" w:rsidRPr="00D160FB">
              <w:rPr>
                <w:spacing w:val="-4"/>
                <w:lang w:val="en-GB"/>
              </w:rPr>
              <w:t>.</w:t>
            </w:r>
            <w:r w:rsidR="00F53917" w:rsidRPr="00D160FB">
              <w:rPr>
                <w:spacing w:val="-4"/>
                <w:lang w:val="en-GB"/>
              </w:rPr>
              <w:t>1%)</w:t>
            </w:r>
            <w:r w:rsidR="00055F11" w:rsidRPr="00D160FB">
              <w:rPr>
                <w:spacing w:val="-4"/>
                <w:lang w:val="en-GB"/>
              </w:rPr>
              <w:t xml:space="preserve"> also attained a large increase</w:t>
            </w:r>
            <w:r w:rsidR="00F53917" w:rsidRPr="00D160FB">
              <w:rPr>
                <w:spacing w:val="-4"/>
                <w:lang w:val="en-GB"/>
              </w:rPr>
              <w:t xml:space="preserve">. </w:t>
            </w:r>
          </w:p>
        </w:tc>
      </w:tr>
      <w:tr w:rsidR="00F53917" w:rsidRPr="00D160FB" w14:paraId="7273EDC0" w14:textId="77777777" w:rsidTr="0063723A">
        <w:trPr>
          <w:trHeight w:val="170"/>
        </w:trPr>
        <w:tc>
          <w:tcPr>
            <w:tcW w:w="1476" w:type="dxa"/>
            <w:shd w:val="clear" w:color="auto" w:fill="auto"/>
            <w:tcMar>
              <w:left w:w="0" w:type="dxa"/>
            </w:tcMar>
          </w:tcPr>
          <w:p w14:paraId="41B18606" w14:textId="646594DD" w:rsidR="00F53917" w:rsidRPr="00D160FB" w:rsidRDefault="00F53917" w:rsidP="00163868">
            <w:pPr>
              <w:pStyle w:val="Marginlie"/>
              <w:rPr>
                <w:lang w:val="en-GB"/>
              </w:rPr>
            </w:pPr>
            <w:r w:rsidRPr="00D160FB">
              <w:rPr>
                <w:lang w:val="en-GB"/>
              </w:rPr>
              <w:t>Motor</w:t>
            </w:r>
            <w:r w:rsidR="005A18CF" w:rsidRPr="00D160FB">
              <w:rPr>
                <w:lang w:val="en-GB"/>
              </w:rPr>
              <w:t xml:space="preserve"> vehicles dominated the export growth in H</w:t>
            </w:r>
            <w:r w:rsidRPr="00D160FB">
              <w:rPr>
                <w:lang w:val="en-GB"/>
              </w:rPr>
              <w:t xml:space="preserve">2. </w:t>
            </w:r>
          </w:p>
        </w:tc>
        <w:tc>
          <w:tcPr>
            <w:tcW w:w="152" w:type="dxa"/>
            <w:shd w:val="clear" w:color="auto" w:fill="auto"/>
            <w:tcMar>
              <w:left w:w="0" w:type="dxa"/>
            </w:tcMar>
          </w:tcPr>
          <w:p w14:paraId="526F70CA" w14:textId="79B5BAE8"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1846E2B5" w14:textId="50410C7C" w:rsidR="00F53917" w:rsidRPr="00D160FB" w:rsidRDefault="005A18CF" w:rsidP="00163868">
            <w:pPr>
              <w:spacing w:after="180"/>
              <w:rPr>
                <w:spacing w:val="-4"/>
                <w:lang w:val="en-GB"/>
              </w:rPr>
            </w:pPr>
            <w:r w:rsidRPr="00D160FB">
              <w:rPr>
                <w:spacing w:val="-4"/>
                <w:lang w:val="en-GB"/>
              </w:rPr>
              <w:t xml:space="preserve">The export of motor vehicles grew the most year-on-year in Q4 itself </w:t>
            </w:r>
            <w:r w:rsidR="00F53917" w:rsidRPr="00D160FB">
              <w:rPr>
                <w:spacing w:val="-4"/>
                <w:lang w:val="en-GB"/>
              </w:rPr>
              <w:t>(+45</w:t>
            </w:r>
            <w:r w:rsidRPr="00D160FB">
              <w:rPr>
                <w:spacing w:val="-4"/>
                <w:lang w:val="en-GB"/>
              </w:rPr>
              <w:t>.</w:t>
            </w:r>
            <w:r w:rsidR="00F53917" w:rsidRPr="00D160FB">
              <w:rPr>
                <w:spacing w:val="-4"/>
                <w:lang w:val="en-GB"/>
              </w:rPr>
              <w:t>1</w:t>
            </w:r>
            <w:r w:rsidRPr="00D160FB">
              <w:rPr>
                <w:spacing w:val="-4"/>
                <w:lang w:val="en-GB"/>
              </w:rPr>
              <w:t xml:space="preserve"> CZK bn</w:t>
            </w:r>
            <w:r w:rsidR="00F53917" w:rsidRPr="00D160FB">
              <w:rPr>
                <w:spacing w:val="-4"/>
                <w:lang w:val="en-GB"/>
              </w:rPr>
              <w:t>, 19</w:t>
            </w:r>
            <w:r w:rsidRPr="00D160FB">
              <w:rPr>
                <w:spacing w:val="-4"/>
                <w:lang w:val="en-GB"/>
              </w:rPr>
              <w:t>.</w:t>
            </w:r>
            <w:r w:rsidR="00F53917" w:rsidRPr="00D160FB">
              <w:rPr>
                <w:spacing w:val="-4"/>
                <w:lang w:val="en-GB"/>
              </w:rPr>
              <w:t xml:space="preserve">3%). </w:t>
            </w:r>
            <w:r w:rsidR="00A43A2B" w:rsidRPr="00D160FB">
              <w:rPr>
                <w:spacing w:val="-4"/>
                <w:lang w:val="en-GB"/>
              </w:rPr>
              <w:t xml:space="preserve">Considerable annual addition for motor vehicles can be attributed for the major part to the development in H2. </w:t>
            </w:r>
            <w:r w:rsidR="00E30B71" w:rsidRPr="00D160FB">
              <w:rPr>
                <w:spacing w:val="-4"/>
                <w:lang w:val="en-GB"/>
              </w:rPr>
              <w:t xml:space="preserve">Export of electrical equipment </w:t>
            </w:r>
            <w:r w:rsidR="00F53917" w:rsidRPr="00D160FB">
              <w:rPr>
                <w:spacing w:val="-4"/>
                <w:lang w:val="en-GB"/>
              </w:rPr>
              <w:t>(+29</w:t>
            </w:r>
            <w:r w:rsidR="00E30B71" w:rsidRPr="00D160FB">
              <w:rPr>
                <w:spacing w:val="-4"/>
                <w:lang w:val="en-GB"/>
              </w:rPr>
              <w:t>.</w:t>
            </w:r>
            <w:r w:rsidR="00F53917" w:rsidRPr="00D160FB">
              <w:rPr>
                <w:spacing w:val="-4"/>
                <w:lang w:val="en-GB"/>
              </w:rPr>
              <w:t>6</w:t>
            </w:r>
            <w:r w:rsidR="00E30B71" w:rsidRPr="00D160FB">
              <w:rPr>
                <w:spacing w:val="-4"/>
                <w:lang w:val="en-GB"/>
              </w:rPr>
              <w:t xml:space="preserve"> CZK bn</w:t>
            </w:r>
            <w:r w:rsidR="00F53917" w:rsidRPr="00D160FB">
              <w:rPr>
                <w:spacing w:val="-4"/>
                <w:lang w:val="en-GB"/>
              </w:rPr>
              <w:t>, 33</w:t>
            </w:r>
            <w:r w:rsidR="00E30B71" w:rsidRPr="00D160FB">
              <w:rPr>
                <w:spacing w:val="-4"/>
                <w:lang w:val="en-GB"/>
              </w:rPr>
              <w:t>.</w:t>
            </w:r>
            <w:r w:rsidR="00F53917" w:rsidRPr="00D160FB">
              <w:rPr>
                <w:spacing w:val="-4"/>
                <w:lang w:val="en-GB"/>
              </w:rPr>
              <w:t xml:space="preserve">8%), </w:t>
            </w:r>
            <w:r w:rsidR="00E30B71" w:rsidRPr="00D160FB">
              <w:rPr>
                <w:spacing w:val="-4"/>
                <w:lang w:val="en-GB"/>
              </w:rPr>
              <w:t xml:space="preserve">machinery and </w:t>
            </w:r>
            <w:r w:rsidR="00E30B71" w:rsidRPr="00D160FB">
              <w:rPr>
                <w:spacing w:val="-4"/>
                <w:lang w:val="en-GB"/>
              </w:rPr>
              <w:lastRenderedPageBreak/>
              <w:t xml:space="preserve">equipment </w:t>
            </w:r>
            <w:r w:rsidR="00F53917" w:rsidRPr="00D160FB">
              <w:rPr>
                <w:spacing w:val="-4"/>
                <w:lang w:val="en-GB"/>
              </w:rPr>
              <w:t>(+19</w:t>
            </w:r>
            <w:r w:rsidR="00E30B71" w:rsidRPr="00D160FB">
              <w:rPr>
                <w:spacing w:val="-4"/>
                <w:lang w:val="en-GB"/>
              </w:rPr>
              <w:t>.</w:t>
            </w:r>
            <w:r w:rsidR="00F53917" w:rsidRPr="00D160FB">
              <w:rPr>
                <w:spacing w:val="-4"/>
                <w:lang w:val="en-GB"/>
              </w:rPr>
              <w:t>0</w:t>
            </w:r>
            <w:r w:rsidR="00E30B71" w:rsidRPr="00D160FB">
              <w:rPr>
                <w:spacing w:val="-4"/>
                <w:lang w:val="en-GB"/>
              </w:rPr>
              <w:t xml:space="preserve"> bn</w:t>
            </w:r>
            <w:r w:rsidR="00F53917" w:rsidRPr="00D160FB">
              <w:rPr>
                <w:spacing w:val="-4"/>
                <w:lang w:val="en-GB"/>
              </w:rPr>
              <w:t>, 16</w:t>
            </w:r>
            <w:r w:rsidR="00E30B71" w:rsidRPr="00D160FB">
              <w:rPr>
                <w:spacing w:val="-4"/>
                <w:lang w:val="en-GB"/>
              </w:rPr>
              <w:t>.</w:t>
            </w:r>
            <w:r w:rsidR="00F53917" w:rsidRPr="00D160FB">
              <w:rPr>
                <w:spacing w:val="-4"/>
                <w:lang w:val="en-GB"/>
              </w:rPr>
              <w:t xml:space="preserve">8%), </w:t>
            </w:r>
            <w:r w:rsidR="00E30B71" w:rsidRPr="00D160FB">
              <w:rPr>
                <w:spacing w:val="-4"/>
                <w:lang w:val="en-GB"/>
              </w:rPr>
              <w:t xml:space="preserve">computers, electrical and optical </w:t>
            </w:r>
            <w:r w:rsidR="005A6032">
              <w:rPr>
                <w:spacing w:val="-4"/>
                <w:lang w:val="en-GB"/>
              </w:rPr>
              <w:t>products</w:t>
            </w:r>
            <w:r w:rsidR="00E30B71" w:rsidRPr="00D160FB">
              <w:rPr>
                <w:spacing w:val="-4"/>
                <w:lang w:val="en-GB"/>
              </w:rPr>
              <w:t xml:space="preserve"> </w:t>
            </w:r>
            <w:r w:rsidR="00F53917" w:rsidRPr="00D160FB">
              <w:rPr>
                <w:spacing w:val="-4"/>
                <w:lang w:val="en-GB"/>
              </w:rPr>
              <w:t>(+13</w:t>
            </w:r>
            <w:r w:rsidR="00E30B71" w:rsidRPr="00D160FB">
              <w:rPr>
                <w:spacing w:val="-4"/>
                <w:lang w:val="en-GB"/>
              </w:rPr>
              <w:t>.</w:t>
            </w:r>
            <w:r w:rsidR="00F53917" w:rsidRPr="00D160FB">
              <w:rPr>
                <w:spacing w:val="-4"/>
                <w:lang w:val="en-GB"/>
              </w:rPr>
              <w:t>3</w:t>
            </w:r>
            <w:r w:rsidR="00E30B71" w:rsidRPr="00D160FB">
              <w:rPr>
                <w:spacing w:val="-4"/>
                <w:lang w:val="en-GB"/>
              </w:rPr>
              <w:t xml:space="preserve"> bn</w:t>
            </w:r>
            <w:r w:rsidR="00F53917" w:rsidRPr="00D160FB">
              <w:rPr>
                <w:spacing w:val="-4"/>
                <w:lang w:val="en-GB"/>
              </w:rPr>
              <w:t>, 12</w:t>
            </w:r>
            <w:r w:rsidR="00E30B71" w:rsidRPr="00D160FB">
              <w:rPr>
                <w:spacing w:val="-4"/>
                <w:lang w:val="en-GB"/>
              </w:rPr>
              <w:t>.</w:t>
            </w:r>
            <w:r w:rsidR="00F53917" w:rsidRPr="00D160FB">
              <w:rPr>
                <w:spacing w:val="-4"/>
                <w:lang w:val="en-GB"/>
              </w:rPr>
              <w:t>5%) a</w:t>
            </w:r>
            <w:r w:rsidR="00E30B71" w:rsidRPr="00D160FB">
              <w:rPr>
                <w:spacing w:val="-4"/>
                <w:lang w:val="en-GB"/>
              </w:rPr>
              <w:t xml:space="preserve">nd food products </w:t>
            </w:r>
            <w:r w:rsidR="00F53917" w:rsidRPr="00D160FB">
              <w:rPr>
                <w:spacing w:val="-4"/>
                <w:lang w:val="en-GB"/>
              </w:rPr>
              <w:t>(+9</w:t>
            </w:r>
            <w:r w:rsidR="00E30B71" w:rsidRPr="00D160FB">
              <w:rPr>
                <w:spacing w:val="-4"/>
                <w:lang w:val="en-GB"/>
              </w:rPr>
              <w:t>.</w:t>
            </w:r>
            <w:r w:rsidR="00F53917" w:rsidRPr="00D160FB">
              <w:rPr>
                <w:spacing w:val="-4"/>
                <w:lang w:val="en-GB"/>
              </w:rPr>
              <w:t>2</w:t>
            </w:r>
            <w:r w:rsidR="00E30B71" w:rsidRPr="00D160FB">
              <w:rPr>
                <w:spacing w:val="-4"/>
                <w:lang w:val="en-GB"/>
              </w:rPr>
              <w:t xml:space="preserve"> bn</w:t>
            </w:r>
            <w:r w:rsidR="00F53917" w:rsidRPr="00D160FB">
              <w:rPr>
                <w:spacing w:val="-4"/>
                <w:lang w:val="en-GB"/>
              </w:rPr>
              <w:t>, 28</w:t>
            </w:r>
            <w:r w:rsidR="00E30B71" w:rsidRPr="00D160FB">
              <w:rPr>
                <w:spacing w:val="-4"/>
                <w:lang w:val="en-GB"/>
              </w:rPr>
              <w:t>.</w:t>
            </w:r>
            <w:r w:rsidR="00F53917" w:rsidRPr="00D160FB">
              <w:rPr>
                <w:spacing w:val="-4"/>
                <w:lang w:val="en-GB"/>
              </w:rPr>
              <w:t>4%)</w:t>
            </w:r>
            <w:r w:rsidR="00E30B71" w:rsidRPr="00D160FB">
              <w:rPr>
                <w:spacing w:val="-4"/>
                <w:lang w:val="en-GB"/>
              </w:rPr>
              <w:t xml:space="preserve"> further strongly increased year-on-year in Q4</w:t>
            </w:r>
            <w:r w:rsidR="00F53917" w:rsidRPr="00D160FB">
              <w:rPr>
                <w:spacing w:val="-4"/>
                <w:lang w:val="en-GB"/>
              </w:rPr>
              <w:t xml:space="preserve">. </w:t>
            </w:r>
            <w:r w:rsidR="00D17F29" w:rsidRPr="00D160FB">
              <w:rPr>
                <w:spacing w:val="-4"/>
                <w:lang w:val="en-GB"/>
              </w:rPr>
              <w:t xml:space="preserve">Export of the majority of articles grew year-on-year, </w:t>
            </w:r>
            <w:r w:rsidR="00F52F07" w:rsidRPr="00D160FB">
              <w:rPr>
                <w:spacing w:val="-4"/>
                <w:lang w:val="en-GB"/>
              </w:rPr>
              <w:t>the growth trend however changed for electricity, gas, steam and air conditioning after a longer time in Q</w:t>
            </w:r>
            <w:r w:rsidR="00F53917" w:rsidRPr="00D160FB">
              <w:rPr>
                <w:spacing w:val="-4"/>
                <w:lang w:val="en-GB"/>
              </w:rPr>
              <w:t xml:space="preserve">4, </w:t>
            </w:r>
            <w:r w:rsidR="00F52F07" w:rsidRPr="00D160FB">
              <w:rPr>
                <w:spacing w:val="-4"/>
                <w:lang w:val="en-GB"/>
              </w:rPr>
              <w:t xml:space="preserve">when the export fell by </w:t>
            </w:r>
            <w:r w:rsidR="00F53917" w:rsidRPr="00D160FB">
              <w:rPr>
                <w:spacing w:val="-4"/>
                <w:lang w:val="en-GB"/>
              </w:rPr>
              <w:t>4</w:t>
            </w:r>
            <w:r w:rsidR="00F52F07" w:rsidRPr="00D160FB">
              <w:rPr>
                <w:spacing w:val="-4"/>
                <w:lang w:val="en-GB"/>
              </w:rPr>
              <w:t>.</w:t>
            </w:r>
            <w:r w:rsidR="00F53917" w:rsidRPr="00D160FB">
              <w:rPr>
                <w:spacing w:val="-4"/>
                <w:lang w:val="en-GB"/>
              </w:rPr>
              <w:t>0</w:t>
            </w:r>
            <w:r w:rsidR="00F52F07" w:rsidRPr="00D160FB">
              <w:rPr>
                <w:spacing w:val="-4"/>
                <w:lang w:val="en-GB"/>
              </w:rPr>
              <w:t xml:space="preserve"> CZK bn </w:t>
            </w:r>
            <w:r w:rsidR="00F53917" w:rsidRPr="00D160FB">
              <w:rPr>
                <w:spacing w:val="-4"/>
                <w:lang w:val="en-GB"/>
              </w:rPr>
              <w:t>(−11</w:t>
            </w:r>
            <w:r w:rsidR="00F52F07" w:rsidRPr="00D160FB">
              <w:rPr>
                <w:spacing w:val="-4"/>
                <w:lang w:val="en-GB"/>
              </w:rPr>
              <w:t>.</w:t>
            </w:r>
            <w:r w:rsidR="00F53917" w:rsidRPr="00D160FB">
              <w:rPr>
                <w:spacing w:val="-4"/>
                <w:lang w:val="en-GB"/>
              </w:rPr>
              <w:t>8%)</w:t>
            </w:r>
            <w:r w:rsidR="00F52F07" w:rsidRPr="00D160FB">
              <w:rPr>
                <w:spacing w:val="-4"/>
                <w:lang w:val="en-GB"/>
              </w:rPr>
              <w:t xml:space="preserve"> year-on-year after six quarters</w:t>
            </w:r>
            <w:r w:rsidR="00F53917" w:rsidRPr="00D160FB">
              <w:rPr>
                <w:spacing w:val="-4"/>
                <w:lang w:val="en-GB"/>
              </w:rPr>
              <w:t xml:space="preserve">. </w:t>
            </w:r>
            <w:r w:rsidR="00D17F29" w:rsidRPr="00D160FB">
              <w:rPr>
                <w:spacing w:val="-4"/>
                <w:lang w:val="en-GB"/>
              </w:rPr>
              <w:t>Export of basic metals also decreased year-on-year for the first time since Q</w:t>
            </w:r>
            <w:r w:rsidR="00F53917" w:rsidRPr="00D160FB">
              <w:rPr>
                <w:spacing w:val="-4"/>
                <w:lang w:val="en-GB"/>
              </w:rPr>
              <w:t>3</w:t>
            </w:r>
            <w:r w:rsidR="00D17F29" w:rsidRPr="00D160FB">
              <w:rPr>
                <w:spacing w:val="-4"/>
                <w:lang w:val="en-GB"/>
              </w:rPr>
              <w:t xml:space="preserve"> </w:t>
            </w:r>
            <w:r w:rsidR="00F53917" w:rsidRPr="00D160FB">
              <w:rPr>
                <w:spacing w:val="-4"/>
                <w:lang w:val="en-GB"/>
              </w:rPr>
              <w:t>2020</w:t>
            </w:r>
            <w:r w:rsidR="00D17F29" w:rsidRPr="00D160FB">
              <w:rPr>
                <w:spacing w:val="-4"/>
                <w:lang w:val="en-GB"/>
              </w:rPr>
              <w:t xml:space="preserve"> </w:t>
            </w:r>
            <w:r w:rsidR="00F53917" w:rsidRPr="00D160FB">
              <w:rPr>
                <w:spacing w:val="-4"/>
                <w:lang w:val="en-GB"/>
              </w:rPr>
              <w:t>(−2</w:t>
            </w:r>
            <w:r w:rsidR="00D17F29" w:rsidRPr="00D160FB">
              <w:rPr>
                <w:spacing w:val="-4"/>
                <w:lang w:val="en-GB"/>
              </w:rPr>
              <w:t>.</w:t>
            </w:r>
            <w:r w:rsidR="00F53917" w:rsidRPr="00D160FB">
              <w:rPr>
                <w:spacing w:val="-4"/>
                <w:lang w:val="en-GB"/>
              </w:rPr>
              <w:t>4</w:t>
            </w:r>
            <w:r w:rsidR="00D17F29" w:rsidRPr="00D160FB">
              <w:rPr>
                <w:spacing w:val="-4"/>
                <w:lang w:val="en-GB"/>
              </w:rPr>
              <w:t xml:space="preserve"> CZK bn</w:t>
            </w:r>
            <w:r w:rsidR="00F53917" w:rsidRPr="00D160FB">
              <w:rPr>
                <w:spacing w:val="-4"/>
                <w:lang w:val="en-GB"/>
              </w:rPr>
              <w:t>, −5</w:t>
            </w:r>
            <w:r w:rsidR="00D17F29" w:rsidRPr="00D160FB">
              <w:rPr>
                <w:spacing w:val="-4"/>
                <w:lang w:val="en-GB"/>
              </w:rPr>
              <w:t>.</w:t>
            </w:r>
            <w:r w:rsidR="00F53917" w:rsidRPr="00D160FB">
              <w:rPr>
                <w:spacing w:val="-4"/>
                <w:lang w:val="en-GB"/>
              </w:rPr>
              <w:t>4%).</w:t>
            </w:r>
          </w:p>
        </w:tc>
      </w:tr>
      <w:tr w:rsidR="00F53917" w:rsidRPr="00D160FB" w14:paraId="1EF80657" w14:textId="77777777" w:rsidTr="0063723A">
        <w:trPr>
          <w:trHeight w:val="126"/>
        </w:trPr>
        <w:tc>
          <w:tcPr>
            <w:tcW w:w="1476" w:type="dxa"/>
            <w:vMerge w:val="restart"/>
            <w:shd w:val="clear" w:color="auto" w:fill="auto"/>
            <w:tcMar>
              <w:left w:w="0" w:type="dxa"/>
            </w:tcMar>
          </w:tcPr>
          <w:p w14:paraId="6474E133" w14:textId="77777777" w:rsidR="00F53917" w:rsidRPr="00D160FB" w:rsidRDefault="00F53917" w:rsidP="00163868">
            <w:pPr>
              <w:pStyle w:val="Marginlie"/>
              <w:rPr>
                <w:lang w:val="en-GB"/>
              </w:rPr>
            </w:pPr>
          </w:p>
        </w:tc>
        <w:tc>
          <w:tcPr>
            <w:tcW w:w="152" w:type="dxa"/>
            <w:vMerge w:val="restart"/>
            <w:shd w:val="clear" w:color="auto" w:fill="auto"/>
            <w:tcMar>
              <w:left w:w="0" w:type="dxa"/>
            </w:tcMar>
          </w:tcPr>
          <w:p w14:paraId="72F04481"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0681070C" w14:textId="4951B763" w:rsidR="00F53917" w:rsidRPr="00D160FB" w:rsidRDefault="00CF6E02" w:rsidP="00163868">
            <w:pPr>
              <w:spacing w:after="0"/>
              <w:rPr>
                <w:spacing w:val="-4"/>
                <w:lang w:val="en-GB"/>
              </w:rPr>
            </w:pPr>
            <w:r w:rsidRPr="00D160FB">
              <w:rPr>
                <w:b/>
                <w:bCs/>
                <w:spacing w:val="-4"/>
                <w:lang w:val="en-GB"/>
              </w:rPr>
              <w:t xml:space="preserve">Chart  </w:t>
            </w:r>
            <w:r w:rsidR="00F53917" w:rsidRPr="00D160FB">
              <w:rPr>
                <w:b/>
                <w:bCs/>
                <w:spacing w:val="-4"/>
                <w:lang w:val="en-GB"/>
              </w:rPr>
              <w:t xml:space="preserve">9 </w:t>
            </w:r>
            <w:r w:rsidR="005C4841" w:rsidRPr="00D160FB">
              <w:rPr>
                <w:b/>
                <w:bCs/>
                <w:spacing w:val="-4"/>
                <w:lang w:val="en-GB"/>
              </w:rPr>
              <w:t>Export and import of goods (y-o-y change, in %) and b</w:t>
            </w:r>
            <w:r w:rsidR="002E7B0C" w:rsidRPr="00D160FB">
              <w:rPr>
                <w:rFonts w:cs="Arial"/>
                <w:b/>
                <w:bCs/>
                <w:color w:val="000000"/>
                <w:szCs w:val="20"/>
                <w:lang w:val="en-GB"/>
              </w:rPr>
              <w:t xml:space="preserve">alance of foreign trade with goods </w:t>
            </w:r>
            <w:r w:rsidR="002E7B0C" w:rsidRPr="00D160FB">
              <w:rPr>
                <w:rFonts w:cs="Arial"/>
                <w:color w:val="000000"/>
                <w:szCs w:val="20"/>
                <w:lang w:val="en-GB"/>
              </w:rPr>
              <w:t>(</w:t>
            </w:r>
            <w:r w:rsidR="005C4841" w:rsidRPr="00D160FB">
              <w:rPr>
                <w:rFonts w:cs="Arial"/>
                <w:color w:val="000000"/>
                <w:szCs w:val="20"/>
                <w:lang w:val="en-GB"/>
              </w:rPr>
              <w:t>in CZK bn, right axis</w:t>
            </w:r>
            <w:r w:rsidR="002E7B0C" w:rsidRPr="00D160FB">
              <w:rPr>
                <w:rFonts w:cs="Arial"/>
                <w:color w:val="000000"/>
                <w:szCs w:val="20"/>
                <w:lang w:val="en-GB"/>
              </w:rPr>
              <w:t>)</w:t>
            </w:r>
          </w:p>
        </w:tc>
      </w:tr>
      <w:tr w:rsidR="00F53917" w:rsidRPr="00D160FB" w14:paraId="7D3EC744" w14:textId="77777777" w:rsidTr="0063723A">
        <w:tblPrEx>
          <w:tblCellMar>
            <w:left w:w="70" w:type="dxa"/>
            <w:right w:w="70" w:type="dxa"/>
          </w:tblCellMar>
        </w:tblPrEx>
        <w:trPr>
          <w:trHeight w:val="125"/>
        </w:trPr>
        <w:tc>
          <w:tcPr>
            <w:tcW w:w="1476" w:type="dxa"/>
            <w:vMerge/>
          </w:tcPr>
          <w:p w14:paraId="2C180D2D" w14:textId="77777777" w:rsidR="00F53917" w:rsidRPr="00D160FB" w:rsidRDefault="00F53917" w:rsidP="00163868">
            <w:pPr>
              <w:pStyle w:val="Marginlie"/>
              <w:rPr>
                <w:lang w:val="en-GB"/>
              </w:rPr>
            </w:pPr>
          </w:p>
        </w:tc>
        <w:tc>
          <w:tcPr>
            <w:tcW w:w="152" w:type="dxa"/>
            <w:vMerge/>
          </w:tcPr>
          <w:p w14:paraId="31BE3B75" w14:textId="77777777" w:rsidR="00F53917" w:rsidRPr="00D160FB" w:rsidRDefault="00F53917" w:rsidP="00163868">
            <w:pPr>
              <w:pStyle w:val="Textpoznpodarou"/>
              <w:jc w:val="both"/>
              <w:rPr>
                <w:spacing w:val="-4"/>
                <w:lang w:val="en-GB"/>
              </w:rPr>
            </w:pPr>
          </w:p>
        </w:tc>
        <w:tc>
          <w:tcPr>
            <w:tcW w:w="8011" w:type="dxa"/>
            <w:shd w:val="clear" w:color="auto" w:fill="auto"/>
          </w:tcPr>
          <w:p w14:paraId="69FBD59D" w14:textId="1BBEAADD" w:rsidR="00F53917" w:rsidRPr="00D160FB" w:rsidRDefault="0063723A" w:rsidP="00163868">
            <w:pPr>
              <w:spacing w:after="0"/>
              <w:rPr>
                <w:lang w:val="en-GB"/>
              </w:rPr>
            </w:pPr>
            <w:r>
              <w:rPr>
                <w:noProof/>
              </w:rPr>
              <w:drawing>
                <wp:inline distT="0" distB="0" distL="0" distR="0" wp14:anchorId="7CADB301" wp14:editId="2EB91B96">
                  <wp:extent cx="4998600" cy="3359650"/>
                  <wp:effectExtent l="0" t="0" r="0" b="0"/>
                  <wp:docPr id="1091003655" name="Graf 1">
                    <a:extLst xmlns:a="http://schemas.openxmlformats.org/drawingml/2006/main">
                      <a:ext uri="{FF2B5EF4-FFF2-40B4-BE49-F238E27FC236}">
                        <a16:creationId xmlns:a16="http://schemas.microsoft.com/office/drawing/2014/main" id="{8E34A376-5955-451A-B8E8-536A257FF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53917" w:rsidRPr="00D160FB" w14:paraId="065DFCCC" w14:textId="77777777" w:rsidTr="0063723A">
        <w:trPr>
          <w:trHeight w:val="125"/>
        </w:trPr>
        <w:tc>
          <w:tcPr>
            <w:tcW w:w="1476" w:type="dxa"/>
            <w:vMerge/>
            <w:tcMar>
              <w:left w:w="0" w:type="dxa"/>
            </w:tcMar>
          </w:tcPr>
          <w:p w14:paraId="6C6F76BC" w14:textId="77777777" w:rsidR="00F53917" w:rsidRPr="00D160FB" w:rsidRDefault="00F53917" w:rsidP="00163868">
            <w:pPr>
              <w:pStyle w:val="Marginlie"/>
              <w:rPr>
                <w:lang w:val="en-GB"/>
              </w:rPr>
            </w:pPr>
          </w:p>
        </w:tc>
        <w:tc>
          <w:tcPr>
            <w:tcW w:w="152" w:type="dxa"/>
            <w:vMerge/>
            <w:tcMar>
              <w:left w:w="0" w:type="dxa"/>
            </w:tcMar>
          </w:tcPr>
          <w:p w14:paraId="0B2AEE08"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08FA5365" w14:textId="5D0C7B80" w:rsidR="002E7B0C" w:rsidRPr="0063723A" w:rsidRDefault="00E26122" w:rsidP="0063723A">
            <w:pPr>
              <w:spacing w:after="180"/>
              <w:rPr>
                <w:sz w:val="14"/>
                <w:szCs w:val="14"/>
                <w:lang w:val="en-GB"/>
              </w:rPr>
            </w:pPr>
            <w:r w:rsidRPr="00D160FB">
              <w:rPr>
                <w:sz w:val="14"/>
                <w:szCs w:val="14"/>
                <w:lang w:val="en-GB"/>
              </w:rPr>
              <w:t>Source</w:t>
            </w:r>
            <w:r w:rsidR="00F53917" w:rsidRPr="00D160FB">
              <w:rPr>
                <w:sz w:val="14"/>
                <w:szCs w:val="14"/>
                <w:lang w:val="en-GB"/>
              </w:rPr>
              <w:t xml:space="preserve">: </w:t>
            </w:r>
            <w:r w:rsidRPr="00D160FB">
              <w:rPr>
                <w:sz w:val="14"/>
                <w:szCs w:val="14"/>
                <w:lang w:val="en-GB"/>
              </w:rPr>
              <w:t>CZSO</w:t>
            </w:r>
          </w:p>
        </w:tc>
      </w:tr>
      <w:tr w:rsidR="00F53917" w:rsidRPr="00D160FB" w14:paraId="45A816F5" w14:textId="77777777" w:rsidTr="0063723A">
        <w:trPr>
          <w:trHeight w:val="145"/>
        </w:trPr>
        <w:tc>
          <w:tcPr>
            <w:tcW w:w="1476" w:type="dxa"/>
            <w:shd w:val="clear" w:color="auto" w:fill="auto"/>
            <w:tcMar>
              <w:left w:w="0" w:type="dxa"/>
            </w:tcMar>
          </w:tcPr>
          <w:p w14:paraId="5EB7CCF0" w14:textId="7129B601" w:rsidR="00F53917" w:rsidRPr="00D160FB" w:rsidRDefault="00F53917" w:rsidP="00163868">
            <w:pPr>
              <w:pStyle w:val="Marginlie"/>
              <w:rPr>
                <w:lang w:val="en-GB"/>
              </w:rPr>
            </w:pPr>
            <w:r w:rsidRPr="00D160FB">
              <w:rPr>
                <w:lang w:val="en-GB"/>
              </w:rPr>
              <w:t xml:space="preserve">Import </w:t>
            </w:r>
            <w:r w:rsidR="00E26122" w:rsidRPr="00D160FB">
              <w:rPr>
                <w:lang w:val="en-GB"/>
              </w:rPr>
              <w:t xml:space="preserve">grew stronger than export last year. </w:t>
            </w:r>
          </w:p>
        </w:tc>
        <w:tc>
          <w:tcPr>
            <w:tcW w:w="152" w:type="dxa"/>
            <w:shd w:val="clear" w:color="auto" w:fill="auto"/>
            <w:tcMar>
              <w:left w:w="0" w:type="dxa"/>
            </w:tcMar>
          </w:tcPr>
          <w:p w14:paraId="4C3E012F"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01C0346E" w14:textId="018B5E40" w:rsidR="00F53917" w:rsidRPr="00D160FB" w:rsidRDefault="00A43A2B" w:rsidP="00163868">
            <w:pPr>
              <w:spacing w:after="180"/>
              <w:rPr>
                <w:spacing w:val="-4"/>
                <w:lang w:val="en-GB"/>
              </w:rPr>
            </w:pPr>
            <w:r w:rsidRPr="00D160FB">
              <w:rPr>
                <w:spacing w:val="-4"/>
                <w:lang w:val="en-GB"/>
              </w:rPr>
              <w:t xml:space="preserve">Import of goods reached the value of </w:t>
            </w:r>
            <w:r w:rsidR="00F53917" w:rsidRPr="00D160FB">
              <w:rPr>
                <w:spacing w:val="-4"/>
                <w:lang w:val="en-GB"/>
              </w:rPr>
              <w:t>4</w:t>
            </w:r>
            <w:r w:rsidRPr="00D160FB">
              <w:rPr>
                <w:spacing w:val="-4"/>
                <w:lang w:val="en-GB"/>
              </w:rPr>
              <w:t> </w:t>
            </w:r>
            <w:r w:rsidR="00F53917" w:rsidRPr="00D160FB">
              <w:rPr>
                <w:spacing w:val="-4"/>
                <w:lang w:val="en-GB"/>
              </w:rPr>
              <w:t>613</w:t>
            </w:r>
            <w:r w:rsidRPr="00D160FB">
              <w:rPr>
                <w:spacing w:val="-4"/>
                <w:lang w:val="en-GB"/>
              </w:rPr>
              <w:t>.</w:t>
            </w:r>
            <w:r w:rsidR="00F53917" w:rsidRPr="00D160FB">
              <w:rPr>
                <w:spacing w:val="-4"/>
                <w:lang w:val="en-GB"/>
              </w:rPr>
              <w:t xml:space="preserve">5 </w:t>
            </w:r>
            <w:r w:rsidRPr="00D160FB">
              <w:rPr>
                <w:spacing w:val="-4"/>
                <w:lang w:val="en-GB"/>
              </w:rPr>
              <w:t xml:space="preserve">CZK bn for the whole year 2022 and it was by </w:t>
            </w:r>
            <w:r w:rsidR="00F53917" w:rsidRPr="00D160FB">
              <w:rPr>
                <w:spacing w:val="-4"/>
                <w:lang w:val="en-GB"/>
              </w:rPr>
              <w:t>723</w:t>
            </w:r>
            <w:r w:rsidRPr="00D160FB">
              <w:rPr>
                <w:spacing w:val="-4"/>
                <w:lang w:val="en-GB"/>
              </w:rPr>
              <w:t>.</w:t>
            </w:r>
            <w:r w:rsidR="00F53917" w:rsidRPr="00D160FB">
              <w:rPr>
                <w:spacing w:val="-4"/>
                <w:lang w:val="en-GB"/>
              </w:rPr>
              <w:t>0</w:t>
            </w:r>
            <w:r w:rsidRPr="00D160FB">
              <w:rPr>
                <w:spacing w:val="-4"/>
                <w:lang w:val="en-GB"/>
              </w:rPr>
              <w:t xml:space="preserve"> bn higher </w:t>
            </w:r>
            <w:r w:rsidR="00F53917" w:rsidRPr="00D160FB">
              <w:rPr>
                <w:spacing w:val="-4"/>
                <w:lang w:val="en-GB"/>
              </w:rPr>
              <w:t>(18</w:t>
            </w:r>
            <w:r w:rsidRPr="00D160FB">
              <w:rPr>
                <w:spacing w:val="-4"/>
                <w:lang w:val="en-GB"/>
              </w:rPr>
              <w:t>.</w:t>
            </w:r>
            <w:r w:rsidR="00F53917" w:rsidRPr="00D160FB">
              <w:rPr>
                <w:spacing w:val="-4"/>
                <w:lang w:val="en-GB"/>
              </w:rPr>
              <w:t xml:space="preserve">6%). </w:t>
            </w:r>
            <w:r w:rsidR="007910F6" w:rsidRPr="00D160FB">
              <w:rPr>
                <w:spacing w:val="-4"/>
                <w:lang w:val="en-GB"/>
              </w:rPr>
              <w:t xml:space="preserve">The import dynamics thus to a large extent exceeded the export last year, </w:t>
            </w:r>
            <w:r w:rsidR="006B5898" w:rsidRPr="00D160FB">
              <w:rPr>
                <w:spacing w:val="-4"/>
                <w:lang w:val="en-GB"/>
              </w:rPr>
              <w:t>which was mainly due to the sharp rise of prices of the imported materials</w:t>
            </w:r>
            <w:r w:rsidR="00F53917" w:rsidRPr="00D160FB">
              <w:rPr>
                <w:rStyle w:val="Znakapoznpodarou"/>
                <w:spacing w:val="-4"/>
                <w:lang w:val="en-GB"/>
              </w:rPr>
              <w:footnoteReference w:id="6"/>
            </w:r>
            <w:r w:rsidR="00F53917" w:rsidRPr="00D160FB">
              <w:rPr>
                <w:spacing w:val="-4"/>
                <w:lang w:val="en-GB"/>
              </w:rPr>
              <w:t>.</w:t>
            </w:r>
            <w:r w:rsidR="006B5898" w:rsidRPr="00D160FB">
              <w:rPr>
                <w:spacing w:val="-4"/>
                <w:lang w:val="en-GB"/>
              </w:rPr>
              <w:t xml:space="preserve"> The year-on-year additions to import overtook the export in all quarters of the year. </w:t>
            </w:r>
            <w:r w:rsidR="00F30CA2" w:rsidRPr="00D160FB">
              <w:rPr>
                <w:spacing w:val="-4"/>
                <w:lang w:val="en-GB"/>
              </w:rPr>
              <w:t xml:space="preserve">The import gradually increased by </w:t>
            </w:r>
            <w:r w:rsidR="00F53917" w:rsidRPr="00D160FB">
              <w:rPr>
                <w:spacing w:val="-4"/>
                <w:lang w:val="en-GB"/>
              </w:rPr>
              <w:t>16</w:t>
            </w:r>
            <w:r w:rsidR="00F30CA2" w:rsidRPr="00D160FB">
              <w:rPr>
                <w:spacing w:val="-4"/>
                <w:lang w:val="en-GB"/>
              </w:rPr>
              <w:t>.</w:t>
            </w:r>
            <w:r w:rsidR="00F53917" w:rsidRPr="00D160FB">
              <w:rPr>
                <w:spacing w:val="-4"/>
                <w:lang w:val="en-GB"/>
              </w:rPr>
              <w:t>9%, 20</w:t>
            </w:r>
            <w:r w:rsidR="00F30CA2" w:rsidRPr="00D160FB">
              <w:rPr>
                <w:spacing w:val="-4"/>
                <w:lang w:val="en-GB"/>
              </w:rPr>
              <w:t>.</w:t>
            </w:r>
            <w:r w:rsidR="00F53917" w:rsidRPr="00D160FB">
              <w:rPr>
                <w:spacing w:val="-4"/>
                <w:lang w:val="en-GB"/>
              </w:rPr>
              <w:t>3% a</w:t>
            </w:r>
            <w:r w:rsidR="00F30CA2" w:rsidRPr="00D160FB">
              <w:rPr>
                <w:spacing w:val="-4"/>
                <w:lang w:val="en-GB"/>
              </w:rPr>
              <w:t>nd</w:t>
            </w:r>
            <w:r w:rsidR="00F53917" w:rsidRPr="00D160FB">
              <w:rPr>
                <w:spacing w:val="-4"/>
                <w:lang w:val="en-GB"/>
              </w:rPr>
              <w:t xml:space="preserve"> 22</w:t>
            </w:r>
            <w:r w:rsidR="00F30CA2" w:rsidRPr="00D160FB">
              <w:rPr>
                <w:spacing w:val="-4"/>
                <w:lang w:val="en-GB"/>
              </w:rPr>
              <w:t>.</w:t>
            </w:r>
            <w:r w:rsidR="00F53917" w:rsidRPr="00D160FB">
              <w:rPr>
                <w:spacing w:val="-4"/>
                <w:lang w:val="en-GB"/>
              </w:rPr>
              <w:t xml:space="preserve">3% </w:t>
            </w:r>
            <w:r w:rsidR="00F30CA2" w:rsidRPr="00D160FB">
              <w:rPr>
                <w:spacing w:val="-4"/>
                <w:lang w:val="en-GB"/>
              </w:rPr>
              <w:t>in Q</w:t>
            </w:r>
            <w:r w:rsidR="00F53917" w:rsidRPr="00D160FB">
              <w:rPr>
                <w:spacing w:val="-4"/>
                <w:lang w:val="en-GB"/>
              </w:rPr>
              <w:t>1</w:t>
            </w:r>
            <w:r w:rsidR="00F30CA2" w:rsidRPr="00D160FB">
              <w:rPr>
                <w:spacing w:val="-4"/>
                <w:lang w:val="en-GB"/>
              </w:rPr>
              <w:t xml:space="preserve"> to Q</w:t>
            </w:r>
            <w:r w:rsidR="00F53917" w:rsidRPr="00D160FB">
              <w:rPr>
                <w:spacing w:val="-4"/>
                <w:lang w:val="en-GB"/>
              </w:rPr>
              <w:t>3</w:t>
            </w:r>
            <w:r w:rsidR="00F30CA2" w:rsidRPr="00D160FB">
              <w:rPr>
                <w:spacing w:val="-4"/>
                <w:lang w:val="en-GB"/>
              </w:rPr>
              <w:t xml:space="preserve"> year-on-year</w:t>
            </w:r>
            <w:r w:rsidR="00F53917" w:rsidRPr="00D160FB">
              <w:rPr>
                <w:spacing w:val="-4"/>
                <w:lang w:val="en-GB"/>
              </w:rPr>
              <w:t xml:space="preserve">. </w:t>
            </w:r>
            <w:r w:rsidR="00C65C81" w:rsidRPr="00D160FB">
              <w:rPr>
                <w:spacing w:val="-4"/>
                <w:lang w:val="en-GB"/>
              </w:rPr>
              <w:t xml:space="preserve">The value of import reached </w:t>
            </w:r>
            <w:r w:rsidR="00F53917" w:rsidRPr="00D160FB">
              <w:rPr>
                <w:spacing w:val="-4"/>
                <w:lang w:val="en-GB"/>
              </w:rPr>
              <w:t>1</w:t>
            </w:r>
            <w:r w:rsidR="00C65C81" w:rsidRPr="00D160FB">
              <w:rPr>
                <w:spacing w:val="-4"/>
                <w:lang w:val="en-GB"/>
              </w:rPr>
              <w:t> </w:t>
            </w:r>
            <w:r w:rsidR="00F53917" w:rsidRPr="00D160FB">
              <w:rPr>
                <w:spacing w:val="-4"/>
                <w:lang w:val="en-GB"/>
              </w:rPr>
              <w:t>198</w:t>
            </w:r>
            <w:r w:rsidR="00C65C81" w:rsidRPr="00D160FB">
              <w:rPr>
                <w:spacing w:val="-4"/>
                <w:lang w:val="en-GB"/>
              </w:rPr>
              <w:t>.</w:t>
            </w:r>
            <w:r w:rsidR="00F53917" w:rsidRPr="00D160FB">
              <w:rPr>
                <w:spacing w:val="-4"/>
                <w:lang w:val="en-GB"/>
              </w:rPr>
              <w:t>8</w:t>
            </w:r>
            <w:r w:rsidR="00C65C81" w:rsidRPr="00D160FB">
              <w:rPr>
                <w:spacing w:val="-4"/>
                <w:lang w:val="en-GB"/>
              </w:rPr>
              <w:t xml:space="preserve"> CZK bn </w:t>
            </w:r>
            <w:r w:rsidR="00F30CA2" w:rsidRPr="00D160FB">
              <w:rPr>
                <w:spacing w:val="-4"/>
                <w:lang w:val="en-GB"/>
              </w:rPr>
              <w:t xml:space="preserve">in Q4 and went up by </w:t>
            </w:r>
            <w:r w:rsidR="00F53917" w:rsidRPr="00D160FB">
              <w:rPr>
                <w:spacing w:val="-4"/>
                <w:lang w:val="en-GB"/>
              </w:rPr>
              <w:t>157</w:t>
            </w:r>
            <w:r w:rsidR="00F30CA2" w:rsidRPr="00D160FB">
              <w:rPr>
                <w:spacing w:val="-4"/>
                <w:lang w:val="en-GB"/>
              </w:rPr>
              <w:t>.</w:t>
            </w:r>
            <w:r w:rsidR="00F53917" w:rsidRPr="00D160FB">
              <w:rPr>
                <w:spacing w:val="-4"/>
                <w:lang w:val="en-GB"/>
              </w:rPr>
              <w:t>3</w:t>
            </w:r>
            <w:r w:rsidR="00F30CA2" w:rsidRPr="00D160FB">
              <w:rPr>
                <w:spacing w:val="-4"/>
                <w:lang w:val="en-GB"/>
              </w:rPr>
              <w:t xml:space="preserve"> bn year-on-year </w:t>
            </w:r>
            <w:r w:rsidR="00F53917" w:rsidRPr="00D160FB">
              <w:rPr>
                <w:spacing w:val="-4"/>
                <w:lang w:val="en-GB"/>
              </w:rPr>
              <w:t>(15</w:t>
            </w:r>
            <w:r w:rsidR="00F30CA2" w:rsidRPr="00D160FB">
              <w:rPr>
                <w:spacing w:val="-4"/>
                <w:lang w:val="en-GB"/>
              </w:rPr>
              <w:t>.</w:t>
            </w:r>
            <w:r w:rsidR="00F53917" w:rsidRPr="00D160FB">
              <w:rPr>
                <w:spacing w:val="-4"/>
                <w:lang w:val="en-GB"/>
              </w:rPr>
              <w:t xml:space="preserve">1%). </w:t>
            </w:r>
            <w:r w:rsidR="00C466EF" w:rsidRPr="00D160FB">
              <w:rPr>
                <w:spacing w:val="-4"/>
                <w:lang w:val="en-GB"/>
              </w:rPr>
              <w:t xml:space="preserve">Quarter-on-quarter, the </w:t>
            </w:r>
            <w:r w:rsidR="00F53917" w:rsidRPr="00D160FB">
              <w:rPr>
                <w:spacing w:val="-4"/>
                <w:lang w:val="en-GB"/>
              </w:rPr>
              <w:t>(se</w:t>
            </w:r>
            <w:r w:rsidR="00C466EF" w:rsidRPr="00D160FB">
              <w:rPr>
                <w:spacing w:val="-4"/>
                <w:lang w:val="en-GB"/>
              </w:rPr>
              <w:t>asonally adjusted</w:t>
            </w:r>
            <w:r w:rsidR="00F53917" w:rsidRPr="00D160FB">
              <w:rPr>
                <w:spacing w:val="-4"/>
                <w:lang w:val="en-GB"/>
              </w:rPr>
              <w:t xml:space="preserve">) </w:t>
            </w:r>
            <w:r w:rsidR="00C466EF" w:rsidRPr="00D160FB">
              <w:rPr>
                <w:spacing w:val="-4"/>
                <w:lang w:val="en-GB"/>
              </w:rPr>
              <w:t>impor</w:t>
            </w:r>
            <w:r w:rsidR="006B5898" w:rsidRPr="00D160FB">
              <w:rPr>
                <w:spacing w:val="-4"/>
                <w:lang w:val="en-GB"/>
              </w:rPr>
              <w:t>t</w:t>
            </w:r>
            <w:r w:rsidR="00C466EF" w:rsidRPr="00D160FB">
              <w:rPr>
                <w:spacing w:val="-4"/>
                <w:lang w:val="en-GB"/>
              </w:rPr>
              <w:t xml:space="preserve"> went down by </w:t>
            </w:r>
            <w:r w:rsidR="00F53917" w:rsidRPr="00D160FB">
              <w:rPr>
                <w:spacing w:val="-4"/>
                <w:lang w:val="en-GB"/>
              </w:rPr>
              <w:t>1</w:t>
            </w:r>
            <w:r w:rsidR="00C466EF" w:rsidRPr="00D160FB">
              <w:rPr>
                <w:spacing w:val="-4"/>
                <w:lang w:val="en-GB"/>
              </w:rPr>
              <w:t>.</w:t>
            </w:r>
            <w:r w:rsidR="00F53917" w:rsidRPr="00D160FB">
              <w:rPr>
                <w:spacing w:val="-4"/>
                <w:lang w:val="en-GB"/>
              </w:rPr>
              <w:t xml:space="preserve">9%.       </w:t>
            </w:r>
          </w:p>
        </w:tc>
      </w:tr>
      <w:tr w:rsidR="00F53917" w:rsidRPr="00D160FB" w14:paraId="3A56C3EA" w14:textId="77777777" w:rsidTr="0063723A">
        <w:trPr>
          <w:trHeight w:val="145"/>
        </w:trPr>
        <w:tc>
          <w:tcPr>
            <w:tcW w:w="1476" w:type="dxa"/>
            <w:shd w:val="clear" w:color="auto" w:fill="auto"/>
            <w:tcMar>
              <w:left w:w="0" w:type="dxa"/>
            </w:tcMar>
          </w:tcPr>
          <w:p w14:paraId="5C859B48" w14:textId="3BE47EBA" w:rsidR="00F53917" w:rsidRPr="00D160FB" w:rsidRDefault="00DA5378" w:rsidP="00163868">
            <w:pPr>
              <w:pStyle w:val="Marginlie"/>
              <w:rPr>
                <w:lang w:val="en-GB"/>
              </w:rPr>
            </w:pPr>
            <w:r w:rsidRPr="00D160FB">
              <w:rPr>
                <w:lang w:val="en-GB"/>
              </w:rPr>
              <w:t xml:space="preserve">Increase of import from countries outside the EU exceeded the increase from the EU countries. </w:t>
            </w:r>
          </w:p>
        </w:tc>
        <w:tc>
          <w:tcPr>
            <w:tcW w:w="152" w:type="dxa"/>
            <w:shd w:val="clear" w:color="auto" w:fill="auto"/>
            <w:tcMar>
              <w:left w:w="0" w:type="dxa"/>
            </w:tcMar>
          </w:tcPr>
          <w:p w14:paraId="0CA307AE"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656A4E9D" w14:textId="681434A3" w:rsidR="00F53917" w:rsidRPr="00D160FB" w:rsidRDefault="002B322D" w:rsidP="00163868">
            <w:pPr>
              <w:spacing w:after="180"/>
              <w:rPr>
                <w:spacing w:val="-4"/>
                <w:lang w:val="en-GB"/>
              </w:rPr>
            </w:pPr>
            <w:r w:rsidRPr="00D160FB">
              <w:rPr>
                <w:spacing w:val="-4"/>
                <w:lang w:val="en-GB"/>
              </w:rPr>
              <w:t xml:space="preserve">Effect of the rising prices of materials is apparent on the difference between the percentage increase of the import from the EU </w:t>
            </w:r>
            <w:r w:rsidR="00F53917" w:rsidRPr="00D160FB">
              <w:rPr>
                <w:spacing w:val="-4"/>
                <w:lang w:val="en-GB"/>
              </w:rPr>
              <w:t>(+303</w:t>
            </w:r>
            <w:r w:rsidRPr="00D160FB">
              <w:rPr>
                <w:spacing w:val="-4"/>
                <w:lang w:val="en-GB"/>
              </w:rPr>
              <w:t>.</w:t>
            </w:r>
            <w:r w:rsidR="00F53917" w:rsidRPr="00D160FB">
              <w:rPr>
                <w:spacing w:val="-4"/>
                <w:lang w:val="en-GB"/>
              </w:rPr>
              <w:t>9</w:t>
            </w:r>
            <w:r w:rsidRPr="00D160FB">
              <w:rPr>
                <w:spacing w:val="-4"/>
                <w:lang w:val="en-GB"/>
              </w:rPr>
              <w:t xml:space="preserve"> CZK bn</w:t>
            </w:r>
            <w:r w:rsidR="00F53917" w:rsidRPr="00D160FB">
              <w:rPr>
                <w:spacing w:val="-4"/>
                <w:lang w:val="en-GB"/>
              </w:rPr>
              <w:t>, 12</w:t>
            </w:r>
            <w:r w:rsidRPr="00D160FB">
              <w:rPr>
                <w:spacing w:val="-4"/>
                <w:lang w:val="en-GB"/>
              </w:rPr>
              <w:t>.</w:t>
            </w:r>
            <w:r w:rsidR="00F53917" w:rsidRPr="00D160FB">
              <w:rPr>
                <w:spacing w:val="-4"/>
                <w:lang w:val="en-GB"/>
              </w:rPr>
              <w:t>5%) a</w:t>
            </w:r>
            <w:r w:rsidRPr="00D160FB">
              <w:rPr>
                <w:spacing w:val="-4"/>
                <w:lang w:val="en-GB"/>
              </w:rPr>
              <w:t xml:space="preserve">nd countries outside the EU </w:t>
            </w:r>
            <w:r w:rsidR="00F53917" w:rsidRPr="00D160FB">
              <w:rPr>
                <w:spacing w:val="-4"/>
                <w:lang w:val="en-GB"/>
              </w:rPr>
              <w:t>(+415</w:t>
            </w:r>
            <w:r w:rsidRPr="00D160FB">
              <w:rPr>
                <w:spacing w:val="-4"/>
                <w:lang w:val="en-GB"/>
              </w:rPr>
              <w:t>.</w:t>
            </w:r>
            <w:r w:rsidR="00F53917" w:rsidRPr="00D160FB">
              <w:rPr>
                <w:spacing w:val="-4"/>
                <w:lang w:val="en-GB"/>
              </w:rPr>
              <w:t>7</w:t>
            </w:r>
            <w:r w:rsidRPr="00D160FB">
              <w:rPr>
                <w:spacing w:val="-4"/>
                <w:lang w:val="en-GB"/>
              </w:rPr>
              <w:t xml:space="preserve"> bn</w:t>
            </w:r>
            <w:r w:rsidR="00F53917" w:rsidRPr="00D160FB">
              <w:rPr>
                <w:spacing w:val="-4"/>
                <w:lang w:val="en-GB"/>
              </w:rPr>
              <w:t>, 29</w:t>
            </w:r>
            <w:r w:rsidRPr="00D160FB">
              <w:rPr>
                <w:spacing w:val="-4"/>
                <w:lang w:val="en-GB"/>
              </w:rPr>
              <w:t>.</w:t>
            </w:r>
            <w:r w:rsidR="00F53917" w:rsidRPr="00D160FB">
              <w:rPr>
                <w:spacing w:val="-4"/>
                <w:lang w:val="en-GB"/>
              </w:rPr>
              <w:t xml:space="preserve">2%), </w:t>
            </w:r>
            <w:r w:rsidR="00E07392" w:rsidRPr="00D160FB">
              <w:rPr>
                <w:spacing w:val="-4"/>
                <w:lang w:val="en-GB"/>
              </w:rPr>
              <w:t>where the main portion of the imported oil and natural gas comes form</w:t>
            </w:r>
            <w:r w:rsidR="00F53917" w:rsidRPr="00D160FB">
              <w:rPr>
                <w:spacing w:val="-4"/>
                <w:lang w:val="en-GB"/>
              </w:rPr>
              <w:t xml:space="preserve">. </w:t>
            </w:r>
            <w:r w:rsidR="000F53AE" w:rsidRPr="00D160FB">
              <w:rPr>
                <w:spacing w:val="-4"/>
                <w:lang w:val="en-GB"/>
              </w:rPr>
              <w:t xml:space="preserve">Import from China grew the most </w:t>
            </w:r>
            <w:r w:rsidR="00F53917" w:rsidRPr="00D160FB">
              <w:rPr>
                <w:spacing w:val="-4"/>
                <w:lang w:val="en-GB"/>
              </w:rPr>
              <w:t>(+125</w:t>
            </w:r>
            <w:r w:rsidR="000F53AE" w:rsidRPr="00D160FB">
              <w:rPr>
                <w:spacing w:val="-4"/>
                <w:lang w:val="en-GB"/>
              </w:rPr>
              <w:t>.</w:t>
            </w:r>
            <w:r w:rsidR="00F53917" w:rsidRPr="00D160FB">
              <w:rPr>
                <w:spacing w:val="-4"/>
                <w:lang w:val="en-GB"/>
              </w:rPr>
              <w:t xml:space="preserve">0 </w:t>
            </w:r>
            <w:r w:rsidR="000F53AE" w:rsidRPr="00D160FB">
              <w:rPr>
                <w:spacing w:val="-4"/>
                <w:lang w:val="en-GB"/>
              </w:rPr>
              <w:t>CZK bn</w:t>
            </w:r>
            <w:r w:rsidR="00F53917" w:rsidRPr="00D160FB">
              <w:rPr>
                <w:spacing w:val="-4"/>
                <w:lang w:val="en-GB"/>
              </w:rPr>
              <w:t>, 2</w:t>
            </w:r>
            <w:r w:rsidR="00ED2525" w:rsidRPr="00D160FB">
              <w:rPr>
                <w:spacing w:val="-4"/>
                <w:lang w:val="en-GB"/>
              </w:rPr>
              <w:t>6</w:t>
            </w:r>
            <w:r w:rsidR="000F53AE" w:rsidRPr="00D160FB">
              <w:rPr>
                <w:spacing w:val="-4"/>
                <w:lang w:val="en-GB"/>
              </w:rPr>
              <w:t>.</w:t>
            </w:r>
            <w:r w:rsidR="00ED2525" w:rsidRPr="00D160FB">
              <w:rPr>
                <w:spacing w:val="-4"/>
                <w:lang w:val="en-GB"/>
              </w:rPr>
              <w:t>6</w:t>
            </w:r>
            <w:r w:rsidR="00F53917" w:rsidRPr="00D160FB">
              <w:rPr>
                <w:spacing w:val="-4"/>
                <w:lang w:val="en-GB"/>
              </w:rPr>
              <w:t xml:space="preserve">%), </w:t>
            </w:r>
            <w:r w:rsidR="000F53AE" w:rsidRPr="00D160FB">
              <w:rPr>
                <w:spacing w:val="-4"/>
                <w:lang w:val="en-GB"/>
              </w:rPr>
              <w:t xml:space="preserve">import from Russia had the second largest increase due to the provision of natural gas </w:t>
            </w:r>
            <w:r w:rsidR="00F53917" w:rsidRPr="00D160FB">
              <w:rPr>
                <w:spacing w:val="-4"/>
                <w:lang w:val="en-GB"/>
              </w:rPr>
              <w:t>(+113</w:t>
            </w:r>
            <w:r w:rsidR="000F53AE" w:rsidRPr="00D160FB">
              <w:rPr>
                <w:spacing w:val="-4"/>
                <w:lang w:val="en-GB"/>
              </w:rPr>
              <w:t>.</w:t>
            </w:r>
            <w:r w:rsidR="00F53917" w:rsidRPr="00D160FB">
              <w:rPr>
                <w:spacing w:val="-4"/>
                <w:lang w:val="en-GB"/>
              </w:rPr>
              <w:t>8</w:t>
            </w:r>
            <w:r w:rsidR="000F53AE" w:rsidRPr="00D160FB">
              <w:rPr>
                <w:spacing w:val="-4"/>
                <w:lang w:val="en-GB"/>
              </w:rPr>
              <w:t xml:space="preserve"> CZK bn</w:t>
            </w:r>
            <w:r w:rsidR="00F53917" w:rsidRPr="00D160FB">
              <w:rPr>
                <w:spacing w:val="-4"/>
                <w:lang w:val="en-GB"/>
              </w:rPr>
              <w:t>, 74</w:t>
            </w:r>
            <w:r w:rsidR="000F53AE" w:rsidRPr="00D160FB">
              <w:rPr>
                <w:spacing w:val="-4"/>
                <w:lang w:val="en-GB"/>
              </w:rPr>
              <w:t>.</w:t>
            </w:r>
            <w:r w:rsidR="00F53917" w:rsidRPr="00D160FB">
              <w:rPr>
                <w:spacing w:val="-4"/>
                <w:lang w:val="en-GB"/>
              </w:rPr>
              <w:t>9%) a</w:t>
            </w:r>
            <w:r w:rsidR="000F53AE" w:rsidRPr="00D160FB">
              <w:rPr>
                <w:spacing w:val="-4"/>
                <w:lang w:val="en-GB"/>
              </w:rPr>
              <w:t xml:space="preserve">nd Germany ranked the third </w:t>
            </w:r>
            <w:r w:rsidR="00F53917" w:rsidRPr="00D160FB">
              <w:rPr>
                <w:spacing w:val="-4"/>
                <w:lang w:val="en-GB"/>
              </w:rPr>
              <w:t>(+89</w:t>
            </w:r>
            <w:r w:rsidR="000F53AE" w:rsidRPr="00D160FB">
              <w:rPr>
                <w:spacing w:val="-4"/>
                <w:lang w:val="en-GB"/>
              </w:rPr>
              <w:t>.</w:t>
            </w:r>
            <w:r w:rsidR="00F53917" w:rsidRPr="00D160FB">
              <w:rPr>
                <w:spacing w:val="-4"/>
                <w:lang w:val="en-GB"/>
              </w:rPr>
              <w:t>4</w:t>
            </w:r>
            <w:r w:rsidR="000F53AE" w:rsidRPr="00D160FB">
              <w:rPr>
                <w:spacing w:val="-4"/>
                <w:lang w:val="en-GB"/>
              </w:rPr>
              <w:t xml:space="preserve"> bn</w:t>
            </w:r>
            <w:r w:rsidR="00F53917" w:rsidRPr="00D160FB">
              <w:rPr>
                <w:spacing w:val="-4"/>
                <w:lang w:val="en-GB"/>
              </w:rPr>
              <w:t>, 9</w:t>
            </w:r>
            <w:r w:rsidR="000F53AE" w:rsidRPr="00D160FB">
              <w:rPr>
                <w:spacing w:val="-4"/>
                <w:lang w:val="en-GB"/>
              </w:rPr>
              <w:t>.</w:t>
            </w:r>
            <w:r w:rsidR="00F53917" w:rsidRPr="00D160FB">
              <w:rPr>
                <w:spacing w:val="-4"/>
                <w:lang w:val="en-GB"/>
              </w:rPr>
              <w:t xml:space="preserve">9%). </w:t>
            </w:r>
            <w:r w:rsidR="00E07392" w:rsidRPr="00D160FB">
              <w:rPr>
                <w:spacing w:val="-4"/>
                <w:lang w:val="en-GB"/>
              </w:rPr>
              <w:t xml:space="preserve">Import from Poland </w:t>
            </w:r>
            <w:r w:rsidR="00F53917" w:rsidRPr="00D160FB">
              <w:rPr>
                <w:spacing w:val="-4"/>
                <w:lang w:val="en-GB"/>
              </w:rPr>
              <w:t>(+66</w:t>
            </w:r>
            <w:r w:rsidR="00E07392" w:rsidRPr="00D160FB">
              <w:rPr>
                <w:spacing w:val="-4"/>
                <w:lang w:val="en-GB"/>
              </w:rPr>
              <w:t>.</w:t>
            </w:r>
            <w:r w:rsidR="00F53917" w:rsidRPr="00D160FB">
              <w:rPr>
                <w:spacing w:val="-4"/>
                <w:lang w:val="en-GB"/>
              </w:rPr>
              <w:t>2</w:t>
            </w:r>
            <w:r w:rsidR="00E07392" w:rsidRPr="00D160FB">
              <w:rPr>
                <w:spacing w:val="-4"/>
                <w:lang w:val="en-GB"/>
              </w:rPr>
              <w:t xml:space="preserve"> CZK bn</w:t>
            </w:r>
            <w:r w:rsidR="00F53917" w:rsidRPr="00D160FB">
              <w:rPr>
                <w:spacing w:val="-4"/>
                <w:lang w:val="en-GB"/>
              </w:rPr>
              <w:t>, 19</w:t>
            </w:r>
            <w:r w:rsidR="00E07392" w:rsidRPr="00D160FB">
              <w:rPr>
                <w:spacing w:val="-4"/>
                <w:lang w:val="en-GB"/>
              </w:rPr>
              <w:t>.</w:t>
            </w:r>
            <w:r w:rsidR="00F53917" w:rsidRPr="00D160FB">
              <w:rPr>
                <w:spacing w:val="-4"/>
                <w:lang w:val="en-GB"/>
              </w:rPr>
              <w:t>4%)</w:t>
            </w:r>
            <w:r w:rsidR="00E07392" w:rsidRPr="00D160FB">
              <w:rPr>
                <w:spacing w:val="-4"/>
                <w:lang w:val="en-GB"/>
              </w:rPr>
              <w:t xml:space="preserve"> also grew strongly</w:t>
            </w:r>
            <w:r w:rsidR="00F53917" w:rsidRPr="00D160FB">
              <w:rPr>
                <w:spacing w:val="-4"/>
                <w:lang w:val="en-GB"/>
              </w:rPr>
              <w:t>.</w:t>
            </w:r>
            <w:r w:rsidR="00E07392" w:rsidRPr="00D160FB">
              <w:rPr>
                <w:spacing w:val="-4"/>
                <w:lang w:val="en-GB"/>
              </w:rPr>
              <w:t xml:space="preserve"> </w:t>
            </w:r>
            <w:r w:rsidR="008E490D" w:rsidRPr="00D160FB">
              <w:rPr>
                <w:spacing w:val="-4"/>
                <w:lang w:val="en-GB"/>
              </w:rPr>
              <w:t xml:space="preserve">The effort to lower the reliance on Russia in the import of the natural gas is noticeable on the sharp growth of the value of import from Norway </w:t>
            </w:r>
            <w:r w:rsidR="00F53917" w:rsidRPr="00D160FB">
              <w:rPr>
                <w:spacing w:val="-4"/>
                <w:lang w:val="en-GB"/>
              </w:rPr>
              <w:t>(+38</w:t>
            </w:r>
            <w:r w:rsidR="008E490D" w:rsidRPr="00D160FB">
              <w:rPr>
                <w:spacing w:val="-4"/>
                <w:lang w:val="en-GB"/>
              </w:rPr>
              <w:t>.</w:t>
            </w:r>
            <w:r w:rsidR="00F53917" w:rsidRPr="00D160FB">
              <w:rPr>
                <w:spacing w:val="-4"/>
                <w:lang w:val="en-GB"/>
              </w:rPr>
              <w:t>3</w:t>
            </w:r>
            <w:r w:rsidR="008E490D" w:rsidRPr="00D160FB">
              <w:rPr>
                <w:spacing w:val="-4"/>
                <w:lang w:val="en-GB"/>
              </w:rPr>
              <w:t xml:space="preserve"> CZK bn</w:t>
            </w:r>
            <w:r w:rsidR="00F53917" w:rsidRPr="00D160FB">
              <w:rPr>
                <w:spacing w:val="-4"/>
                <w:lang w:val="en-GB"/>
              </w:rPr>
              <w:t xml:space="preserve">, </w:t>
            </w:r>
            <w:r w:rsidR="008E490D" w:rsidRPr="00D160FB">
              <w:rPr>
                <w:spacing w:val="-4"/>
                <w:lang w:val="en-GB"/>
              </w:rPr>
              <w:t>import was boosted fivefold</w:t>
            </w:r>
            <w:r w:rsidR="00F53917" w:rsidRPr="00D160FB">
              <w:rPr>
                <w:spacing w:val="-4"/>
                <w:lang w:val="en-GB"/>
              </w:rPr>
              <w:t>)</w:t>
            </w:r>
            <w:r w:rsidR="008E490D" w:rsidRPr="00D160FB">
              <w:rPr>
                <w:spacing w:val="-4"/>
                <w:lang w:val="en-GB"/>
              </w:rPr>
              <w:t xml:space="preserve"> and Azerbaijan </w:t>
            </w:r>
            <w:r w:rsidR="00F53917" w:rsidRPr="00D160FB">
              <w:rPr>
                <w:spacing w:val="-4"/>
                <w:lang w:val="en-GB"/>
              </w:rPr>
              <w:t>(+21</w:t>
            </w:r>
            <w:r w:rsidR="008E490D" w:rsidRPr="00D160FB">
              <w:rPr>
                <w:spacing w:val="-4"/>
                <w:lang w:val="en-GB"/>
              </w:rPr>
              <w:t>.</w:t>
            </w:r>
            <w:r w:rsidR="00F53917" w:rsidRPr="00D160FB">
              <w:rPr>
                <w:spacing w:val="-4"/>
                <w:lang w:val="en-GB"/>
              </w:rPr>
              <w:t>2</w:t>
            </w:r>
            <w:r w:rsidR="008E490D" w:rsidRPr="00D160FB">
              <w:rPr>
                <w:spacing w:val="-4"/>
                <w:lang w:val="en-GB"/>
              </w:rPr>
              <w:t xml:space="preserve"> bn</w:t>
            </w:r>
            <w:r w:rsidR="00F53917" w:rsidRPr="00D160FB">
              <w:rPr>
                <w:spacing w:val="-4"/>
                <w:lang w:val="en-GB"/>
              </w:rPr>
              <w:t>, 160</w:t>
            </w:r>
            <w:r w:rsidR="008E490D" w:rsidRPr="00D160FB">
              <w:rPr>
                <w:spacing w:val="-4"/>
                <w:lang w:val="en-GB"/>
              </w:rPr>
              <w:t>.</w:t>
            </w:r>
            <w:r w:rsidR="00F53917" w:rsidRPr="00D160FB">
              <w:rPr>
                <w:spacing w:val="-4"/>
                <w:lang w:val="en-GB"/>
              </w:rPr>
              <w:t>5%)</w:t>
            </w:r>
            <w:r w:rsidR="00F53917" w:rsidRPr="00D160FB">
              <w:rPr>
                <w:rStyle w:val="Znakapoznpodarou"/>
                <w:spacing w:val="-4"/>
                <w:lang w:val="en-GB"/>
              </w:rPr>
              <w:footnoteReference w:id="7"/>
            </w:r>
            <w:r w:rsidR="00F53917" w:rsidRPr="00D160FB">
              <w:rPr>
                <w:spacing w:val="-4"/>
                <w:lang w:val="en-GB"/>
              </w:rPr>
              <w:t>.</w:t>
            </w:r>
            <w:r w:rsidR="0058364F" w:rsidRPr="00D160FB">
              <w:rPr>
                <w:spacing w:val="-4"/>
                <w:lang w:val="en-GB"/>
              </w:rPr>
              <w:t xml:space="preserve"> Larger decrease was recorded only for import from </w:t>
            </w:r>
            <w:r w:rsidR="00564E64" w:rsidRPr="00D160FB">
              <w:rPr>
                <w:spacing w:val="-4"/>
                <w:lang w:val="en-GB"/>
              </w:rPr>
              <w:t xml:space="preserve">Kazakhstan </w:t>
            </w:r>
            <w:r w:rsidR="00F53917" w:rsidRPr="00D160FB">
              <w:rPr>
                <w:spacing w:val="-4"/>
                <w:lang w:val="en-GB"/>
              </w:rPr>
              <w:t>(−3</w:t>
            </w:r>
            <w:r w:rsidR="00564E64" w:rsidRPr="00D160FB">
              <w:rPr>
                <w:spacing w:val="-4"/>
                <w:lang w:val="en-GB"/>
              </w:rPr>
              <w:t>.</w:t>
            </w:r>
            <w:r w:rsidR="00F53917" w:rsidRPr="00D160FB">
              <w:rPr>
                <w:spacing w:val="-4"/>
                <w:lang w:val="en-GB"/>
              </w:rPr>
              <w:t>5</w:t>
            </w:r>
            <w:r w:rsidR="00564E64" w:rsidRPr="00D160FB">
              <w:rPr>
                <w:spacing w:val="-4"/>
                <w:lang w:val="en-GB"/>
              </w:rPr>
              <w:t xml:space="preserve"> CZK bn</w:t>
            </w:r>
            <w:r w:rsidR="00F53917" w:rsidRPr="00D160FB">
              <w:rPr>
                <w:spacing w:val="-4"/>
                <w:lang w:val="en-GB"/>
              </w:rPr>
              <w:t>, −20</w:t>
            </w:r>
            <w:r w:rsidR="00564E64" w:rsidRPr="00D160FB">
              <w:rPr>
                <w:spacing w:val="-4"/>
                <w:lang w:val="en-GB"/>
              </w:rPr>
              <w:t>.</w:t>
            </w:r>
            <w:r w:rsidR="00F53917" w:rsidRPr="00D160FB">
              <w:rPr>
                <w:spacing w:val="-4"/>
                <w:lang w:val="en-GB"/>
              </w:rPr>
              <w:t>4%) a</w:t>
            </w:r>
            <w:r w:rsidR="00564E64" w:rsidRPr="00D160FB">
              <w:rPr>
                <w:spacing w:val="-4"/>
                <w:lang w:val="en-GB"/>
              </w:rPr>
              <w:t xml:space="preserve">nd Ukraine </w:t>
            </w:r>
            <w:r w:rsidR="00F53917" w:rsidRPr="00D160FB">
              <w:rPr>
                <w:spacing w:val="-4"/>
                <w:lang w:val="en-GB"/>
              </w:rPr>
              <w:t>(−2</w:t>
            </w:r>
            <w:r w:rsidR="00564E64" w:rsidRPr="00D160FB">
              <w:rPr>
                <w:spacing w:val="-4"/>
                <w:lang w:val="en-GB"/>
              </w:rPr>
              <w:t>.</w:t>
            </w:r>
            <w:r w:rsidR="00F53917" w:rsidRPr="00D160FB">
              <w:rPr>
                <w:spacing w:val="-4"/>
                <w:lang w:val="en-GB"/>
              </w:rPr>
              <w:t>4</w:t>
            </w:r>
            <w:r w:rsidR="00564E64" w:rsidRPr="00D160FB">
              <w:rPr>
                <w:spacing w:val="-4"/>
                <w:lang w:val="en-GB"/>
              </w:rPr>
              <w:t xml:space="preserve"> bn</w:t>
            </w:r>
            <w:r w:rsidR="00F53917" w:rsidRPr="00D160FB">
              <w:rPr>
                <w:spacing w:val="-4"/>
                <w:lang w:val="en-GB"/>
              </w:rPr>
              <w:t>, −6</w:t>
            </w:r>
            <w:r w:rsidR="00564E64" w:rsidRPr="00D160FB">
              <w:rPr>
                <w:spacing w:val="-4"/>
                <w:lang w:val="en-GB"/>
              </w:rPr>
              <w:t>.</w:t>
            </w:r>
            <w:r w:rsidR="00F53917" w:rsidRPr="00D160FB">
              <w:rPr>
                <w:spacing w:val="-4"/>
                <w:lang w:val="en-GB"/>
              </w:rPr>
              <w:t>4%).</w:t>
            </w:r>
            <w:r w:rsidR="00DB04B2" w:rsidRPr="00D160FB">
              <w:rPr>
                <w:spacing w:val="-4"/>
                <w:lang w:val="en-GB"/>
              </w:rPr>
              <w:t xml:space="preserve"> Significant percentage </w:t>
            </w:r>
            <w:r w:rsidR="00DB04B2" w:rsidRPr="00D160FB">
              <w:rPr>
                <w:spacing w:val="-4"/>
                <w:lang w:val="en-GB"/>
              </w:rPr>
              <w:lastRenderedPageBreak/>
              <w:t xml:space="preserve">increases were also recorded for the import from the United Arab Emirates last year </w:t>
            </w:r>
            <w:r w:rsidR="00F53917" w:rsidRPr="00D160FB">
              <w:rPr>
                <w:spacing w:val="-4"/>
                <w:lang w:val="en-GB"/>
              </w:rPr>
              <w:t>(87</w:t>
            </w:r>
            <w:r w:rsidR="00DB04B2" w:rsidRPr="00D160FB">
              <w:rPr>
                <w:spacing w:val="-4"/>
                <w:lang w:val="en-GB"/>
              </w:rPr>
              <w:t>.</w:t>
            </w:r>
            <w:r w:rsidR="00F53917" w:rsidRPr="00D160FB">
              <w:rPr>
                <w:spacing w:val="-4"/>
                <w:lang w:val="en-GB"/>
              </w:rPr>
              <w:t>7%),</w:t>
            </w:r>
            <w:r w:rsidR="00DB04B2" w:rsidRPr="00D160FB">
              <w:rPr>
                <w:spacing w:val="-4"/>
                <w:lang w:val="en-GB"/>
              </w:rPr>
              <w:t xml:space="preserve"> Greece </w:t>
            </w:r>
            <w:r w:rsidR="00F53917" w:rsidRPr="00D160FB">
              <w:rPr>
                <w:spacing w:val="-4"/>
                <w:lang w:val="en-GB"/>
              </w:rPr>
              <w:t>(43</w:t>
            </w:r>
            <w:r w:rsidR="00DB04B2" w:rsidRPr="00D160FB">
              <w:rPr>
                <w:spacing w:val="-4"/>
                <w:lang w:val="en-GB"/>
              </w:rPr>
              <w:t>.</w:t>
            </w:r>
            <w:r w:rsidR="00F53917" w:rsidRPr="00D160FB">
              <w:rPr>
                <w:spacing w:val="-4"/>
                <w:lang w:val="en-GB"/>
              </w:rPr>
              <w:t>2%), Bul</w:t>
            </w:r>
            <w:r w:rsidR="00DB04B2" w:rsidRPr="00D160FB">
              <w:rPr>
                <w:spacing w:val="-4"/>
                <w:lang w:val="en-GB"/>
              </w:rPr>
              <w:t xml:space="preserve">garia </w:t>
            </w:r>
            <w:r w:rsidR="00F53917" w:rsidRPr="00D160FB">
              <w:rPr>
                <w:spacing w:val="-4"/>
                <w:lang w:val="en-GB"/>
              </w:rPr>
              <w:t>(40</w:t>
            </w:r>
            <w:r w:rsidR="00DB04B2" w:rsidRPr="00D160FB">
              <w:rPr>
                <w:spacing w:val="-4"/>
                <w:lang w:val="en-GB"/>
              </w:rPr>
              <w:t>.</w:t>
            </w:r>
            <w:r w:rsidR="00F53917" w:rsidRPr="00D160FB">
              <w:rPr>
                <w:spacing w:val="-4"/>
                <w:lang w:val="en-GB"/>
              </w:rPr>
              <w:t>8%), Indi</w:t>
            </w:r>
            <w:r w:rsidR="00DB04B2" w:rsidRPr="00D160FB">
              <w:rPr>
                <w:spacing w:val="-4"/>
                <w:lang w:val="en-GB"/>
              </w:rPr>
              <w:t xml:space="preserve">a </w:t>
            </w:r>
            <w:r w:rsidR="00F53917" w:rsidRPr="00D160FB">
              <w:rPr>
                <w:spacing w:val="-4"/>
                <w:lang w:val="en-GB"/>
              </w:rPr>
              <w:t>(40</w:t>
            </w:r>
            <w:r w:rsidR="00DB04B2" w:rsidRPr="00D160FB">
              <w:rPr>
                <w:spacing w:val="-4"/>
                <w:lang w:val="en-GB"/>
              </w:rPr>
              <w:t>.</w:t>
            </w:r>
            <w:r w:rsidR="00F53917" w:rsidRPr="00D160FB">
              <w:rPr>
                <w:spacing w:val="-4"/>
                <w:lang w:val="en-GB"/>
              </w:rPr>
              <w:t>7%), Indon</w:t>
            </w:r>
            <w:r w:rsidR="00DB04B2" w:rsidRPr="00D160FB">
              <w:rPr>
                <w:spacing w:val="-4"/>
                <w:lang w:val="en-GB"/>
              </w:rPr>
              <w:t xml:space="preserve">esia </w:t>
            </w:r>
            <w:r w:rsidR="00F53917" w:rsidRPr="00D160FB">
              <w:rPr>
                <w:spacing w:val="-4"/>
                <w:lang w:val="en-GB"/>
              </w:rPr>
              <w:t>(40</w:t>
            </w:r>
            <w:r w:rsidR="00DB04B2" w:rsidRPr="00D160FB">
              <w:rPr>
                <w:spacing w:val="-4"/>
                <w:lang w:val="en-GB"/>
              </w:rPr>
              <w:t>.</w:t>
            </w:r>
            <w:r w:rsidR="00F53917" w:rsidRPr="00D160FB">
              <w:rPr>
                <w:spacing w:val="-4"/>
                <w:lang w:val="en-GB"/>
              </w:rPr>
              <w:t>5%)</w:t>
            </w:r>
            <w:r w:rsidR="00DB04B2" w:rsidRPr="00D160FB">
              <w:rPr>
                <w:spacing w:val="-4"/>
                <w:lang w:val="en-GB"/>
              </w:rPr>
              <w:t xml:space="preserve"> or Israel </w:t>
            </w:r>
            <w:r w:rsidR="00F53917" w:rsidRPr="00D160FB">
              <w:rPr>
                <w:spacing w:val="-4"/>
                <w:lang w:val="en-GB"/>
              </w:rPr>
              <w:t>(30</w:t>
            </w:r>
            <w:r w:rsidR="00DB04B2" w:rsidRPr="00D160FB">
              <w:rPr>
                <w:spacing w:val="-4"/>
                <w:lang w:val="en-GB"/>
              </w:rPr>
              <w:t>.</w:t>
            </w:r>
            <w:r w:rsidR="00F53917" w:rsidRPr="00D160FB">
              <w:rPr>
                <w:spacing w:val="-4"/>
                <w:lang w:val="en-GB"/>
              </w:rPr>
              <w:t xml:space="preserve">0%). </w:t>
            </w:r>
            <w:r w:rsidR="00C32DF9" w:rsidRPr="00D160FB">
              <w:rPr>
                <w:spacing w:val="-4"/>
                <w:lang w:val="en-GB"/>
              </w:rPr>
              <w:t xml:space="preserve">Import of goods from the EU went up by </w:t>
            </w:r>
            <w:r w:rsidR="00F53917" w:rsidRPr="00D160FB">
              <w:rPr>
                <w:spacing w:val="-4"/>
                <w:lang w:val="en-GB"/>
              </w:rPr>
              <w:t>55</w:t>
            </w:r>
            <w:r w:rsidR="00C32DF9" w:rsidRPr="00D160FB">
              <w:rPr>
                <w:spacing w:val="-4"/>
                <w:lang w:val="en-GB"/>
              </w:rPr>
              <w:t>.</w:t>
            </w:r>
            <w:r w:rsidR="00F53917" w:rsidRPr="00D160FB">
              <w:rPr>
                <w:spacing w:val="-4"/>
                <w:lang w:val="en-GB"/>
              </w:rPr>
              <w:t>6</w:t>
            </w:r>
            <w:r w:rsidR="00C32DF9" w:rsidRPr="00D160FB">
              <w:rPr>
                <w:spacing w:val="-4"/>
                <w:lang w:val="en-GB"/>
              </w:rPr>
              <w:t xml:space="preserve"> CZK bn year-on-year </w:t>
            </w:r>
            <w:r w:rsidR="00F53917" w:rsidRPr="00D160FB">
              <w:rPr>
                <w:spacing w:val="-4"/>
                <w:lang w:val="en-GB"/>
              </w:rPr>
              <w:t>(8</w:t>
            </w:r>
            <w:r w:rsidR="00C32DF9" w:rsidRPr="00D160FB">
              <w:rPr>
                <w:spacing w:val="-4"/>
                <w:lang w:val="en-GB"/>
              </w:rPr>
              <w:t>.</w:t>
            </w:r>
            <w:r w:rsidR="00F53917" w:rsidRPr="00D160FB">
              <w:rPr>
                <w:spacing w:val="-4"/>
                <w:lang w:val="en-GB"/>
              </w:rPr>
              <w:t>8%)</w:t>
            </w:r>
            <w:r w:rsidR="004F66AD" w:rsidRPr="00D160FB">
              <w:rPr>
                <w:spacing w:val="-4"/>
                <w:lang w:val="en-GB"/>
              </w:rPr>
              <w:t xml:space="preserve"> in Q4 itself and import outside the EU by </w:t>
            </w:r>
            <w:r w:rsidR="00F53917" w:rsidRPr="00D160FB">
              <w:rPr>
                <w:spacing w:val="-4"/>
                <w:lang w:val="en-GB"/>
              </w:rPr>
              <w:t>101</w:t>
            </w:r>
            <w:r w:rsidR="004F66AD" w:rsidRPr="00D160FB">
              <w:rPr>
                <w:spacing w:val="-4"/>
                <w:lang w:val="en-GB"/>
              </w:rPr>
              <w:t>.</w:t>
            </w:r>
            <w:r w:rsidR="00F53917" w:rsidRPr="00D160FB">
              <w:rPr>
                <w:spacing w:val="-4"/>
                <w:lang w:val="en-GB"/>
              </w:rPr>
              <w:t>7</w:t>
            </w:r>
            <w:r w:rsidR="004F66AD" w:rsidRPr="00D160FB">
              <w:rPr>
                <w:spacing w:val="-4"/>
                <w:lang w:val="en-GB"/>
              </w:rPr>
              <w:t xml:space="preserve"> bn </w:t>
            </w:r>
            <w:r w:rsidR="00F53917" w:rsidRPr="00D160FB">
              <w:rPr>
                <w:spacing w:val="-4"/>
                <w:lang w:val="en-GB"/>
              </w:rPr>
              <w:t>(25</w:t>
            </w:r>
            <w:r w:rsidR="004F66AD" w:rsidRPr="00D160FB">
              <w:rPr>
                <w:spacing w:val="-4"/>
                <w:lang w:val="en-GB"/>
              </w:rPr>
              <w:t>.</w:t>
            </w:r>
            <w:r w:rsidR="00F53917" w:rsidRPr="00D160FB">
              <w:rPr>
                <w:spacing w:val="-4"/>
                <w:lang w:val="en-GB"/>
              </w:rPr>
              <w:t xml:space="preserve">1%). </w:t>
            </w:r>
            <w:r w:rsidR="00012C8A" w:rsidRPr="00D160FB">
              <w:rPr>
                <w:spacing w:val="-4"/>
                <w:lang w:val="en-GB"/>
              </w:rPr>
              <w:t xml:space="preserve">The largest year-on-year increase occurred for import from China </w:t>
            </w:r>
            <w:r w:rsidR="00F53917" w:rsidRPr="00D160FB">
              <w:rPr>
                <w:spacing w:val="-4"/>
                <w:lang w:val="en-GB"/>
              </w:rPr>
              <w:t>(+46</w:t>
            </w:r>
            <w:r w:rsidR="00012C8A" w:rsidRPr="00D160FB">
              <w:rPr>
                <w:spacing w:val="-4"/>
                <w:lang w:val="en-GB"/>
              </w:rPr>
              <w:t>.</w:t>
            </w:r>
            <w:r w:rsidR="00F53917" w:rsidRPr="00D160FB">
              <w:rPr>
                <w:spacing w:val="-4"/>
                <w:lang w:val="en-GB"/>
              </w:rPr>
              <w:t>0</w:t>
            </w:r>
            <w:r w:rsidR="00012C8A" w:rsidRPr="00D160FB">
              <w:rPr>
                <w:spacing w:val="-4"/>
                <w:lang w:val="en-GB"/>
              </w:rPr>
              <w:t xml:space="preserve"> CZK bn</w:t>
            </w:r>
            <w:r w:rsidR="00F53917" w:rsidRPr="00D160FB">
              <w:rPr>
                <w:spacing w:val="-4"/>
                <w:lang w:val="en-GB"/>
              </w:rPr>
              <w:t>, 33</w:t>
            </w:r>
            <w:r w:rsidR="00012C8A" w:rsidRPr="00D160FB">
              <w:rPr>
                <w:spacing w:val="-4"/>
                <w:lang w:val="en-GB"/>
              </w:rPr>
              <w:t>.</w:t>
            </w:r>
            <w:r w:rsidR="00F53917" w:rsidRPr="00D160FB">
              <w:rPr>
                <w:spacing w:val="-4"/>
                <w:lang w:val="en-GB"/>
              </w:rPr>
              <w:t>2%) a</w:t>
            </w:r>
            <w:r w:rsidR="00012C8A" w:rsidRPr="00D160FB">
              <w:rPr>
                <w:spacing w:val="-4"/>
                <w:lang w:val="en-GB"/>
              </w:rPr>
              <w:t xml:space="preserve">nd Norway </w:t>
            </w:r>
            <w:r w:rsidR="00F53917" w:rsidRPr="00D160FB">
              <w:rPr>
                <w:spacing w:val="-4"/>
                <w:lang w:val="en-GB"/>
              </w:rPr>
              <w:t>(+37</w:t>
            </w:r>
            <w:r w:rsidR="00012C8A" w:rsidRPr="00D160FB">
              <w:rPr>
                <w:spacing w:val="-4"/>
                <w:lang w:val="en-GB"/>
              </w:rPr>
              <w:t>.</w:t>
            </w:r>
            <w:r w:rsidR="00F53917" w:rsidRPr="00D160FB">
              <w:rPr>
                <w:spacing w:val="-4"/>
                <w:lang w:val="en-GB"/>
              </w:rPr>
              <w:t>1</w:t>
            </w:r>
            <w:r w:rsidR="00012C8A" w:rsidRPr="00D160FB">
              <w:rPr>
                <w:spacing w:val="-4"/>
                <w:lang w:val="en-GB"/>
              </w:rPr>
              <w:t xml:space="preserve"> bn</w:t>
            </w:r>
            <w:r w:rsidR="00F53917" w:rsidRPr="00D160FB">
              <w:rPr>
                <w:spacing w:val="-4"/>
                <w:lang w:val="en-GB"/>
              </w:rPr>
              <w:t xml:space="preserve">, </w:t>
            </w:r>
            <w:r w:rsidR="00012C8A" w:rsidRPr="00D160FB">
              <w:rPr>
                <w:spacing w:val="-4"/>
                <w:lang w:val="en-GB"/>
              </w:rPr>
              <w:t>the value of import expanded by more than elevenfold</w:t>
            </w:r>
            <w:r w:rsidR="00F53917" w:rsidRPr="00D160FB">
              <w:rPr>
                <w:spacing w:val="-4"/>
                <w:lang w:val="en-GB"/>
              </w:rPr>
              <w:t xml:space="preserve">). </w:t>
            </w:r>
            <w:r w:rsidR="00BB58A9" w:rsidRPr="00D160FB">
              <w:rPr>
                <w:spacing w:val="-4"/>
                <w:lang w:val="en-GB"/>
              </w:rPr>
              <w:t xml:space="preserve">Increase of the import from Norway was simultaneously accompanied by the year-on-year slump for Russia </w:t>
            </w:r>
            <w:r w:rsidR="00F53917" w:rsidRPr="00D160FB">
              <w:rPr>
                <w:spacing w:val="-4"/>
                <w:lang w:val="en-GB"/>
              </w:rPr>
              <w:t>(−25</w:t>
            </w:r>
            <w:r w:rsidR="00BB58A9" w:rsidRPr="00D160FB">
              <w:rPr>
                <w:spacing w:val="-4"/>
                <w:lang w:val="en-GB"/>
              </w:rPr>
              <w:t>.</w:t>
            </w:r>
            <w:r w:rsidR="00F53917" w:rsidRPr="00D160FB">
              <w:rPr>
                <w:spacing w:val="-4"/>
                <w:lang w:val="en-GB"/>
              </w:rPr>
              <w:t>6</w:t>
            </w:r>
            <w:r w:rsidR="00BB58A9" w:rsidRPr="00D160FB">
              <w:rPr>
                <w:spacing w:val="-4"/>
                <w:lang w:val="en-GB"/>
              </w:rPr>
              <w:t xml:space="preserve"> CZK bn</w:t>
            </w:r>
            <w:r w:rsidR="00F53917" w:rsidRPr="00D160FB">
              <w:rPr>
                <w:spacing w:val="-4"/>
                <w:lang w:val="en-GB"/>
              </w:rPr>
              <w:t>, −48</w:t>
            </w:r>
            <w:r w:rsidR="00BB58A9" w:rsidRPr="00D160FB">
              <w:rPr>
                <w:spacing w:val="-4"/>
                <w:lang w:val="en-GB"/>
              </w:rPr>
              <w:t>.</w:t>
            </w:r>
            <w:r w:rsidR="00F53917" w:rsidRPr="00D160FB">
              <w:rPr>
                <w:spacing w:val="-4"/>
                <w:lang w:val="en-GB"/>
              </w:rPr>
              <w:t xml:space="preserve">0%). </w:t>
            </w:r>
            <w:r w:rsidR="004F66AD" w:rsidRPr="00D160FB">
              <w:rPr>
                <w:spacing w:val="-4"/>
                <w:lang w:val="en-GB"/>
              </w:rPr>
              <w:t xml:space="preserve">Import from Germany </w:t>
            </w:r>
            <w:r w:rsidR="00F53917" w:rsidRPr="00D160FB">
              <w:rPr>
                <w:spacing w:val="-4"/>
                <w:lang w:val="en-GB"/>
              </w:rPr>
              <w:t>(+21</w:t>
            </w:r>
            <w:r w:rsidR="004F66AD" w:rsidRPr="00D160FB">
              <w:rPr>
                <w:spacing w:val="-4"/>
                <w:lang w:val="en-GB"/>
              </w:rPr>
              <w:t>.</w:t>
            </w:r>
            <w:r w:rsidR="00F53917" w:rsidRPr="00D160FB">
              <w:rPr>
                <w:spacing w:val="-4"/>
                <w:lang w:val="en-GB"/>
              </w:rPr>
              <w:t>9</w:t>
            </w:r>
            <w:r w:rsidR="004F66AD" w:rsidRPr="00D160FB">
              <w:rPr>
                <w:spacing w:val="-4"/>
                <w:lang w:val="en-GB"/>
              </w:rPr>
              <w:t xml:space="preserve"> CZK bn</w:t>
            </w:r>
            <w:r w:rsidR="00F53917" w:rsidRPr="00D160FB">
              <w:rPr>
                <w:spacing w:val="-4"/>
                <w:lang w:val="en-GB"/>
              </w:rPr>
              <w:t>, 9</w:t>
            </w:r>
            <w:r w:rsidR="004F66AD" w:rsidRPr="00D160FB">
              <w:rPr>
                <w:spacing w:val="-4"/>
                <w:lang w:val="en-GB"/>
              </w:rPr>
              <w:t>.</w:t>
            </w:r>
            <w:r w:rsidR="00F53917" w:rsidRPr="00D160FB">
              <w:rPr>
                <w:spacing w:val="-4"/>
                <w:lang w:val="en-GB"/>
              </w:rPr>
              <w:t>8%),</w:t>
            </w:r>
            <w:r w:rsidR="004F66AD" w:rsidRPr="00D160FB">
              <w:rPr>
                <w:spacing w:val="-4"/>
                <w:lang w:val="en-GB"/>
              </w:rPr>
              <w:t xml:space="preserve"> the </w:t>
            </w:r>
            <w:r w:rsidR="00DB04B2" w:rsidRPr="00D160FB">
              <w:rPr>
                <w:spacing w:val="-4"/>
                <w:lang w:val="en-GB"/>
              </w:rPr>
              <w:t>United States</w:t>
            </w:r>
            <w:r w:rsidR="004F66AD" w:rsidRPr="00D160FB">
              <w:rPr>
                <w:spacing w:val="-4"/>
                <w:lang w:val="en-GB"/>
              </w:rPr>
              <w:t xml:space="preserve"> </w:t>
            </w:r>
            <w:r w:rsidR="00F53917" w:rsidRPr="00D160FB">
              <w:rPr>
                <w:spacing w:val="-4"/>
                <w:lang w:val="en-GB"/>
              </w:rPr>
              <w:t>(+10</w:t>
            </w:r>
            <w:r w:rsidR="004F66AD" w:rsidRPr="00D160FB">
              <w:rPr>
                <w:spacing w:val="-4"/>
                <w:lang w:val="en-GB"/>
              </w:rPr>
              <w:t>.</w:t>
            </w:r>
            <w:r w:rsidR="00F53917" w:rsidRPr="00D160FB">
              <w:rPr>
                <w:spacing w:val="-4"/>
                <w:lang w:val="en-GB"/>
              </w:rPr>
              <w:t>0</w:t>
            </w:r>
            <w:r w:rsidR="004F66AD" w:rsidRPr="00D160FB">
              <w:rPr>
                <w:spacing w:val="-4"/>
                <w:lang w:val="en-GB"/>
              </w:rPr>
              <w:t xml:space="preserve"> bn</w:t>
            </w:r>
            <w:r w:rsidR="00F53917" w:rsidRPr="00D160FB">
              <w:rPr>
                <w:spacing w:val="-4"/>
                <w:lang w:val="en-GB"/>
              </w:rPr>
              <w:t>, 36</w:t>
            </w:r>
            <w:r w:rsidR="004F66AD" w:rsidRPr="00D160FB">
              <w:rPr>
                <w:spacing w:val="-4"/>
                <w:lang w:val="en-GB"/>
              </w:rPr>
              <w:t>.</w:t>
            </w:r>
            <w:r w:rsidR="00F53917" w:rsidRPr="00D160FB">
              <w:rPr>
                <w:spacing w:val="-4"/>
                <w:lang w:val="en-GB"/>
              </w:rPr>
              <w:t>3%), Pol</w:t>
            </w:r>
            <w:r w:rsidR="004F66AD" w:rsidRPr="00D160FB">
              <w:rPr>
                <w:spacing w:val="-4"/>
                <w:lang w:val="en-GB"/>
              </w:rPr>
              <w:t xml:space="preserve">and </w:t>
            </w:r>
            <w:r w:rsidR="00F53917" w:rsidRPr="00D160FB">
              <w:rPr>
                <w:spacing w:val="-4"/>
                <w:lang w:val="en-GB"/>
              </w:rPr>
              <w:t>(+9</w:t>
            </w:r>
            <w:r w:rsidR="004F66AD" w:rsidRPr="00D160FB">
              <w:rPr>
                <w:spacing w:val="-4"/>
                <w:lang w:val="en-GB"/>
              </w:rPr>
              <w:t>.</w:t>
            </w:r>
            <w:r w:rsidR="00F53917" w:rsidRPr="00D160FB">
              <w:rPr>
                <w:spacing w:val="-4"/>
                <w:lang w:val="en-GB"/>
              </w:rPr>
              <w:t>3</w:t>
            </w:r>
            <w:r w:rsidR="004F66AD" w:rsidRPr="00D160FB">
              <w:rPr>
                <w:spacing w:val="-4"/>
                <w:lang w:val="en-GB"/>
              </w:rPr>
              <w:t xml:space="preserve"> bn</w:t>
            </w:r>
            <w:r w:rsidR="00F53917" w:rsidRPr="00D160FB">
              <w:rPr>
                <w:spacing w:val="-4"/>
                <w:lang w:val="en-GB"/>
              </w:rPr>
              <w:t>, 10</w:t>
            </w:r>
            <w:r w:rsidR="004F66AD" w:rsidRPr="00D160FB">
              <w:rPr>
                <w:spacing w:val="-4"/>
                <w:lang w:val="en-GB"/>
              </w:rPr>
              <w:t>.</w:t>
            </w:r>
            <w:r w:rsidR="00F53917" w:rsidRPr="00D160FB">
              <w:rPr>
                <w:spacing w:val="-4"/>
                <w:lang w:val="en-GB"/>
              </w:rPr>
              <w:t xml:space="preserve">2%), </w:t>
            </w:r>
            <w:r w:rsidR="004F66AD" w:rsidRPr="00D160FB">
              <w:rPr>
                <w:spacing w:val="-4"/>
                <w:lang w:val="en-GB"/>
              </w:rPr>
              <w:t xml:space="preserve">Azerbaijan </w:t>
            </w:r>
            <w:r w:rsidR="00F53917" w:rsidRPr="00D160FB">
              <w:rPr>
                <w:spacing w:val="-4"/>
                <w:lang w:val="en-GB"/>
              </w:rPr>
              <w:t>(+6</w:t>
            </w:r>
            <w:r w:rsidR="004F66AD" w:rsidRPr="00D160FB">
              <w:rPr>
                <w:spacing w:val="-4"/>
                <w:lang w:val="en-GB"/>
              </w:rPr>
              <w:t>.</w:t>
            </w:r>
            <w:r w:rsidR="00F53917" w:rsidRPr="00D160FB">
              <w:rPr>
                <w:spacing w:val="-4"/>
                <w:lang w:val="en-GB"/>
              </w:rPr>
              <w:t>2</w:t>
            </w:r>
            <w:r w:rsidR="004F66AD" w:rsidRPr="00D160FB">
              <w:rPr>
                <w:spacing w:val="-4"/>
                <w:lang w:val="en-GB"/>
              </w:rPr>
              <w:t xml:space="preserve"> bn</w:t>
            </w:r>
            <w:r w:rsidR="00F53917" w:rsidRPr="00D160FB">
              <w:rPr>
                <w:spacing w:val="-4"/>
                <w:lang w:val="en-GB"/>
              </w:rPr>
              <w:t>, 139</w:t>
            </w:r>
            <w:r w:rsidR="004F66AD" w:rsidRPr="00D160FB">
              <w:rPr>
                <w:spacing w:val="-4"/>
                <w:lang w:val="en-GB"/>
              </w:rPr>
              <w:t>.</w:t>
            </w:r>
            <w:r w:rsidR="00F53917" w:rsidRPr="00D160FB">
              <w:rPr>
                <w:spacing w:val="-4"/>
                <w:lang w:val="en-GB"/>
              </w:rPr>
              <w:t>2%) a</w:t>
            </w:r>
            <w:r w:rsidR="004F66AD" w:rsidRPr="00D160FB">
              <w:rPr>
                <w:spacing w:val="-4"/>
                <w:lang w:val="en-GB"/>
              </w:rPr>
              <w:t xml:space="preserve">nd the Great Britain </w:t>
            </w:r>
            <w:r w:rsidR="00F53917" w:rsidRPr="00D160FB">
              <w:rPr>
                <w:spacing w:val="-4"/>
                <w:lang w:val="en-GB"/>
              </w:rPr>
              <w:t>(+6</w:t>
            </w:r>
            <w:r w:rsidR="004F66AD" w:rsidRPr="00D160FB">
              <w:rPr>
                <w:spacing w:val="-4"/>
                <w:lang w:val="en-GB"/>
              </w:rPr>
              <w:t>.</w:t>
            </w:r>
            <w:r w:rsidR="00F53917" w:rsidRPr="00D160FB">
              <w:rPr>
                <w:spacing w:val="-4"/>
                <w:lang w:val="en-GB"/>
              </w:rPr>
              <w:t>1</w:t>
            </w:r>
            <w:r w:rsidR="004F66AD" w:rsidRPr="00D160FB">
              <w:rPr>
                <w:spacing w:val="-4"/>
                <w:lang w:val="en-GB"/>
              </w:rPr>
              <w:t xml:space="preserve"> bn</w:t>
            </w:r>
            <w:r w:rsidR="00F53917" w:rsidRPr="00D160FB">
              <w:rPr>
                <w:spacing w:val="-4"/>
                <w:lang w:val="en-GB"/>
              </w:rPr>
              <w:t>, 38</w:t>
            </w:r>
            <w:r w:rsidR="004F66AD" w:rsidRPr="00D160FB">
              <w:rPr>
                <w:spacing w:val="-4"/>
                <w:lang w:val="en-GB"/>
              </w:rPr>
              <w:t>.</w:t>
            </w:r>
            <w:r w:rsidR="00F53917" w:rsidRPr="00D160FB">
              <w:rPr>
                <w:spacing w:val="-4"/>
                <w:lang w:val="en-GB"/>
              </w:rPr>
              <w:t>0%)</w:t>
            </w:r>
            <w:r w:rsidR="004F66AD" w:rsidRPr="00D160FB">
              <w:rPr>
                <w:spacing w:val="-4"/>
                <w:lang w:val="en-GB"/>
              </w:rPr>
              <w:t xml:space="preserve"> also grew strongly</w:t>
            </w:r>
            <w:r w:rsidR="00F53917" w:rsidRPr="00D160FB">
              <w:rPr>
                <w:spacing w:val="-4"/>
                <w:lang w:val="en-GB"/>
              </w:rPr>
              <w:t>.</w:t>
            </w:r>
          </w:p>
        </w:tc>
      </w:tr>
      <w:tr w:rsidR="00F53917" w:rsidRPr="00D160FB" w14:paraId="72061DED" w14:textId="77777777" w:rsidTr="0063723A">
        <w:trPr>
          <w:trHeight w:val="145"/>
        </w:trPr>
        <w:tc>
          <w:tcPr>
            <w:tcW w:w="1476" w:type="dxa"/>
            <w:shd w:val="clear" w:color="auto" w:fill="auto"/>
            <w:tcMar>
              <w:left w:w="0" w:type="dxa"/>
            </w:tcMar>
          </w:tcPr>
          <w:p w14:paraId="2DA6AA8C" w14:textId="771AE444" w:rsidR="00F53917" w:rsidRPr="00D160FB" w:rsidRDefault="00307D33" w:rsidP="00163868">
            <w:pPr>
              <w:pStyle w:val="Marginlie"/>
              <w:rPr>
                <w:lang w:val="en-GB"/>
              </w:rPr>
            </w:pPr>
            <w:r w:rsidRPr="00D160FB">
              <w:rPr>
                <w:lang w:val="en-GB"/>
              </w:rPr>
              <w:lastRenderedPageBreak/>
              <w:t xml:space="preserve">Import of goods was growing mainly due to the effect of oil and natural gas. Import of electrical equipment sharply jumped up in the second half of the year. </w:t>
            </w:r>
          </w:p>
        </w:tc>
        <w:tc>
          <w:tcPr>
            <w:tcW w:w="152" w:type="dxa"/>
            <w:shd w:val="clear" w:color="auto" w:fill="auto"/>
            <w:tcMar>
              <w:left w:w="0" w:type="dxa"/>
            </w:tcMar>
          </w:tcPr>
          <w:p w14:paraId="6DE97BB9"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313C5142" w14:textId="25382190" w:rsidR="00F53917" w:rsidRPr="00D160FB" w:rsidRDefault="00307D33" w:rsidP="00163868">
            <w:pPr>
              <w:spacing w:after="180"/>
              <w:rPr>
                <w:lang w:val="en-GB"/>
              </w:rPr>
            </w:pPr>
            <w:r w:rsidRPr="00D160FB">
              <w:rPr>
                <w:spacing w:val="-4"/>
                <w:lang w:val="en-GB"/>
              </w:rPr>
              <w:t xml:space="preserve">The value of imports of oil and natural gas grew the most </w:t>
            </w:r>
            <w:r w:rsidR="00F53917" w:rsidRPr="00D160FB">
              <w:rPr>
                <w:spacing w:val="-4"/>
                <w:lang w:val="en-GB"/>
              </w:rPr>
              <w:t>(+190</w:t>
            </w:r>
            <w:r w:rsidRPr="00D160FB">
              <w:rPr>
                <w:spacing w:val="-4"/>
                <w:lang w:val="en-GB"/>
              </w:rPr>
              <w:t>.</w:t>
            </w:r>
            <w:r w:rsidR="00F53917" w:rsidRPr="00D160FB">
              <w:rPr>
                <w:spacing w:val="-4"/>
                <w:lang w:val="en-GB"/>
              </w:rPr>
              <w:t>0</w:t>
            </w:r>
            <w:r w:rsidRPr="00D160FB">
              <w:rPr>
                <w:spacing w:val="-4"/>
                <w:lang w:val="en-GB"/>
              </w:rPr>
              <w:t xml:space="preserve"> CZK bn</w:t>
            </w:r>
            <w:r w:rsidR="00F53917" w:rsidRPr="00D160FB">
              <w:rPr>
                <w:spacing w:val="-4"/>
                <w:lang w:val="en-GB"/>
              </w:rPr>
              <w:t>, 123</w:t>
            </w:r>
            <w:r w:rsidRPr="00D160FB">
              <w:rPr>
                <w:spacing w:val="-4"/>
                <w:lang w:val="en-GB"/>
              </w:rPr>
              <w:t>.</w:t>
            </w:r>
            <w:r w:rsidR="00F53917" w:rsidRPr="00D160FB">
              <w:rPr>
                <w:spacing w:val="-4"/>
                <w:lang w:val="en-GB"/>
              </w:rPr>
              <w:t>1%)</w:t>
            </w:r>
            <w:r w:rsidRPr="00D160FB">
              <w:rPr>
                <w:spacing w:val="-4"/>
                <w:lang w:val="en-GB"/>
              </w:rPr>
              <w:t xml:space="preserve"> in year 2022</w:t>
            </w:r>
            <w:r w:rsidR="00F53917" w:rsidRPr="00D160FB">
              <w:rPr>
                <w:spacing w:val="-4"/>
                <w:lang w:val="en-GB"/>
              </w:rPr>
              <w:t xml:space="preserve">. </w:t>
            </w:r>
            <w:r w:rsidR="005B5A17" w:rsidRPr="00D160FB">
              <w:rPr>
                <w:spacing w:val="-4"/>
                <w:lang w:val="en-GB"/>
              </w:rPr>
              <w:t xml:space="preserve">Mainly under the influence of the revival in the second half of the year, the import of electrical equipment also strongly increased </w:t>
            </w:r>
            <w:r w:rsidR="00F53917" w:rsidRPr="00D160FB">
              <w:rPr>
                <w:spacing w:val="-4"/>
                <w:lang w:val="en-GB"/>
              </w:rPr>
              <w:t>(+8</w:t>
            </w:r>
            <w:r w:rsidR="00ED2525" w:rsidRPr="00D160FB">
              <w:rPr>
                <w:spacing w:val="-4"/>
                <w:lang w:val="en-GB"/>
              </w:rPr>
              <w:t>9</w:t>
            </w:r>
            <w:r w:rsidR="005B5A17" w:rsidRPr="00D160FB">
              <w:rPr>
                <w:spacing w:val="-4"/>
                <w:lang w:val="en-GB"/>
              </w:rPr>
              <w:t>.</w:t>
            </w:r>
            <w:r w:rsidR="00F53917" w:rsidRPr="00D160FB">
              <w:rPr>
                <w:spacing w:val="-4"/>
                <w:lang w:val="en-GB"/>
              </w:rPr>
              <w:t>7</w:t>
            </w:r>
            <w:r w:rsidR="005B5A17" w:rsidRPr="00D160FB">
              <w:rPr>
                <w:spacing w:val="-4"/>
                <w:lang w:val="en-GB"/>
              </w:rPr>
              <w:t xml:space="preserve"> CZK bn</w:t>
            </w:r>
            <w:r w:rsidR="00F53917" w:rsidRPr="00D160FB">
              <w:rPr>
                <w:spacing w:val="-4"/>
                <w:lang w:val="en-GB"/>
              </w:rPr>
              <w:t>, 26</w:t>
            </w:r>
            <w:r w:rsidR="005B5A17" w:rsidRPr="00D160FB">
              <w:rPr>
                <w:spacing w:val="-4"/>
                <w:lang w:val="en-GB"/>
              </w:rPr>
              <w:t>.</w:t>
            </w:r>
            <w:r w:rsidR="00F53917" w:rsidRPr="00D160FB">
              <w:rPr>
                <w:spacing w:val="-4"/>
                <w:lang w:val="en-GB"/>
              </w:rPr>
              <w:t xml:space="preserve">0%). </w:t>
            </w:r>
            <w:r w:rsidR="009F7BE2" w:rsidRPr="00D160FB">
              <w:rPr>
                <w:spacing w:val="-4"/>
                <w:lang w:val="en-GB"/>
              </w:rPr>
              <w:t xml:space="preserve">Notable increases were also recorded for the import of basic metals </w:t>
            </w:r>
            <w:r w:rsidR="00F53917" w:rsidRPr="00D160FB">
              <w:rPr>
                <w:spacing w:val="-4"/>
                <w:lang w:val="en-GB"/>
              </w:rPr>
              <w:t>(+57</w:t>
            </w:r>
            <w:r w:rsidR="009F7BE2" w:rsidRPr="00D160FB">
              <w:rPr>
                <w:spacing w:val="-4"/>
                <w:lang w:val="en-GB"/>
              </w:rPr>
              <w:t>.</w:t>
            </w:r>
            <w:r w:rsidR="00F53917" w:rsidRPr="00D160FB">
              <w:rPr>
                <w:spacing w:val="-4"/>
                <w:lang w:val="en-GB"/>
              </w:rPr>
              <w:t>1</w:t>
            </w:r>
            <w:r w:rsidR="009F7BE2" w:rsidRPr="00D160FB">
              <w:rPr>
                <w:spacing w:val="-4"/>
                <w:lang w:val="en-GB"/>
              </w:rPr>
              <w:t xml:space="preserve"> CZK bn</w:t>
            </w:r>
            <w:r w:rsidR="00F53917" w:rsidRPr="00D160FB">
              <w:rPr>
                <w:spacing w:val="-4"/>
                <w:lang w:val="en-GB"/>
              </w:rPr>
              <w:t>, 17</w:t>
            </w:r>
            <w:r w:rsidR="009F7BE2" w:rsidRPr="00D160FB">
              <w:rPr>
                <w:spacing w:val="-4"/>
                <w:lang w:val="en-GB"/>
              </w:rPr>
              <w:t>.</w:t>
            </w:r>
            <w:r w:rsidR="00F53917" w:rsidRPr="00D160FB">
              <w:rPr>
                <w:spacing w:val="-4"/>
                <w:lang w:val="en-GB"/>
              </w:rPr>
              <w:t>7%),</w:t>
            </w:r>
            <w:r w:rsidR="009F7BE2" w:rsidRPr="00D160FB">
              <w:rPr>
                <w:spacing w:val="-4"/>
                <w:lang w:val="en-GB"/>
              </w:rPr>
              <w:t xml:space="preserve"> chemical substances and products </w:t>
            </w:r>
            <w:r w:rsidR="00F53917" w:rsidRPr="00D160FB">
              <w:rPr>
                <w:spacing w:val="-4"/>
                <w:lang w:val="en-GB"/>
              </w:rPr>
              <w:t>(+52</w:t>
            </w:r>
            <w:r w:rsidR="009F7BE2" w:rsidRPr="00D160FB">
              <w:rPr>
                <w:spacing w:val="-4"/>
                <w:lang w:val="en-GB"/>
              </w:rPr>
              <w:t>.</w:t>
            </w:r>
            <w:r w:rsidR="00F53917" w:rsidRPr="00D160FB">
              <w:rPr>
                <w:spacing w:val="-4"/>
                <w:lang w:val="en-GB"/>
              </w:rPr>
              <w:t>1</w:t>
            </w:r>
            <w:r w:rsidR="009F7BE2" w:rsidRPr="00D160FB">
              <w:rPr>
                <w:spacing w:val="-4"/>
                <w:lang w:val="en-GB"/>
              </w:rPr>
              <w:t xml:space="preserve"> bn</w:t>
            </w:r>
            <w:r w:rsidR="00F53917" w:rsidRPr="00D160FB">
              <w:rPr>
                <w:spacing w:val="-4"/>
                <w:lang w:val="en-GB"/>
              </w:rPr>
              <w:t>, 15</w:t>
            </w:r>
            <w:r w:rsidR="009F7BE2" w:rsidRPr="00D160FB">
              <w:rPr>
                <w:spacing w:val="-4"/>
                <w:lang w:val="en-GB"/>
              </w:rPr>
              <w:t>.</w:t>
            </w:r>
            <w:r w:rsidR="00F53917" w:rsidRPr="00D160FB">
              <w:rPr>
                <w:spacing w:val="-4"/>
                <w:lang w:val="en-GB"/>
              </w:rPr>
              <w:t>2%), motor</w:t>
            </w:r>
            <w:r w:rsidR="009F7BE2" w:rsidRPr="00D160FB">
              <w:rPr>
                <w:spacing w:val="-4"/>
                <w:lang w:val="en-GB"/>
              </w:rPr>
              <w:t xml:space="preserve"> vehicles </w:t>
            </w:r>
            <w:r w:rsidR="00F53917" w:rsidRPr="00D160FB">
              <w:rPr>
                <w:spacing w:val="-4"/>
                <w:lang w:val="en-GB"/>
              </w:rPr>
              <w:t>(+66</w:t>
            </w:r>
            <w:r w:rsidR="009F7BE2" w:rsidRPr="00D160FB">
              <w:rPr>
                <w:spacing w:val="-4"/>
                <w:lang w:val="en-GB"/>
              </w:rPr>
              <w:t>.</w:t>
            </w:r>
            <w:r w:rsidR="00F53917" w:rsidRPr="00D160FB">
              <w:rPr>
                <w:spacing w:val="-4"/>
                <w:lang w:val="en-GB"/>
              </w:rPr>
              <w:t>0</w:t>
            </w:r>
            <w:r w:rsidR="009F7BE2" w:rsidRPr="00D160FB">
              <w:rPr>
                <w:spacing w:val="-4"/>
                <w:lang w:val="en-GB"/>
              </w:rPr>
              <w:t xml:space="preserve"> bn</w:t>
            </w:r>
            <w:r w:rsidR="00F53917" w:rsidRPr="00D160FB">
              <w:rPr>
                <w:spacing w:val="-4"/>
                <w:lang w:val="en-GB"/>
              </w:rPr>
              <w:t>, 12</w:t>
            </w:r>
            <w:r w:rsidR="009F7BE2" w:rsidRPr="00D160FB">
              <w:rPr>
                <w:spacing w:val="-4"/>
                <w:lang w:val="en-GB"/>
              </w:rPr>
              <w:t>.</w:t>
            </w:r>
            <w:r w:rsidR="00F53917" w:rsidRPr="00D160FB">
              <w:rPr>
                <w:spacing w:val="-4"/>
                <w:lang w:val="en-GB"/>
              </w:rPr>
              <w:t xml:space="preserve">8%), </w:t>
            </w:r>
            <w:r w:rsidR="009F7BE2" w:rsidRPr="00D160FB">
              <w:rPr>
                <w:spacing w:val="-4"/>
                <w:lang w:val="en-GB"/>
              </w:rPr>
              <w:t xml:space="preserve">coke and </w:t>
            </w:r>
            <w:r w:rsidR="00186538">
              <w:rPr>
                <w:spacing w:val="-4"/>
                <w:lang w:val="en-GB"/>
              </w:rPr>
              <w:t>refined petroleum</w:t>
            </w:r>
            <w:r w:rsidR="009F7BE2" w:rsidRPr="00D160FB">
              <w:rPr>
                <w:spacing w:val="-4"/>
                <w:lang w:val="en-GB"/>
              </w:rPr>
              <w:t xml:space="preserve"> products </w:t>
            </w:r>
            <w:r w:rsidR="00F53917" w:rsidRPr="00D160FB">
              <w:rPr>
                <w:spacing w:val="-4"/>
                <w:lang w:val="en-GB"/>
              </w:rPr>
              <w:t>(+38</w:t>
            </w:r>
            <w:r w:rsidR="009F7BE2" w:rsidRPr="00D160FB">
              <w:rPr>
                <w:spacing w:val="-4"/>
                <w:lang w:val="en-GB"/>
              </w:rPr>
              <w:t>.</w:t>
            </w:r>
            <w:r w:rsidR="00F53917" w:rsidRPr="00D160FB">
              <w:rPr>
                <w:spacing w:val="-4"/>
                <w:lang w:val="en-GB"/>
              </w:rPr>
              <w:t>2</w:t>
            </w:r>
            <w:r w:rsidR="009F7BE2" w:rsidRPr="00D160FB">
              <w:rPr>
                <w:spacing w:val="-4"/>
                <w:lang w:val="en-GB"/>
              </w:rPr>
              <w:t xml:space="preserve"> bn</w:t>
            </w:r>
            <w:r w:rsidR="00F53917" w:rsidRPr="00D160FB">
              <w:rPr>
                <w:spacing w:val="-4"/>
                <w:lang w:val="en-GB"/>
              </w:rPr>
              <w:t>, 55</w:t>
            </w:r>
            <w:r w:rsidR="009F7BE2" w:rsidRPr="00D160FB">
              <w:rPr>
                <w:spacing w:val="-4"/>
                <w:lang w:val="en-GB"/>
              </w:rPr>
              <w:t>.</w:t>
            </w:r>
            <w:r w:rsidR="00F53917" w:rsidRPr="00D160FB">
              <w:rPr>
                <w:spacing w:val="-4"/>
                <w:lang w:val="en-GB"/>
              </w:rPr>
              <w:t>2%), p</w:t>
            </w:r>
            <w:r w:rsidR="009F7BE2" w:rsidRPr="00D160FB">
              <w:rPr>
                <w:spacing w:val="-4"/>
                <w:lang w:val="en-GB"/>
              </w:rPr>
              <w:t xml:space="preserve">harmaceutical products </w:t>
            </w:r>
            <w:r w:rsidR="00F53917" w:rsidRPr="00D160FB">
              <w:rPr>
                <w:spacing w:val="-4"/>
                <w:lang w:val="en-GB"/>
              </w:rPr>
              <w:t>(+35</w:t>
            </w:r>
            <w:r w:rsidR="009F7BE2" w:rsidRPr="00D160FB">
              <w:rPr>
                <w:spacing w:val="-4"/>
                <w:lang w:val="en-GB"/>
              </w:rPr>
              <w:t>.</w:t>
            </w:r>
            <w:r w:rsidR="00F53917" w:rsidRPr="00D160FB">
              <w:rPr>
                <w:spacing w:val="-4"/>
                <w:lang w:val="en-GB"/>
              </w:rPr>
              <w:t>8</w:t>
            </w:r>
            <w:r w:rsidR="009F7BE2" w:rsidRPr="00D160FB">
              <w:rPr>
                <w:spacing w:val="-4"/>
                <w:lang w:val="en-GB"/>
              </w:rPr>
              <w:t xml:space="preserve"> bn</w:t>
            </w:r>
            <w:r w:rsidR="00F53917" w:rsidRPr="00D160FB">
              <w:rPr>
                <w:spacing w:val="-4"/>
                <w:lang w:val="en-GB"/>
              </w:rPr>
              <w:t>, 20</w:t>
            </w:r>
            <w:r w:rsidR="009F7BE2" w:rsidRPr="00D160FB">
              <w:rPr>
                <w:spacing w:val="-4"/>
                <w:lang w:val="en-GB"/>
              </w:rPr>
              <w:t>.</w:t>
            </w:r>
            <w:r w:rsidR="00F53917" w:rsidRPr="00D160FB">
              <w:rPr>
                <w:spacing w:val="-4"/>
                <w:lang w:val="en-GB"/>
              </w:rPr>
              <w:t xml:space="preserve">7%), </w:t>
            </w:r>
            <w:r w:rsidR="009F7BE2" w:rsidRPr="00D160FB">
              <w:rPr>
                <w:spacing w:val="-4"/>
                <w:lang w:val="en-GB"/>
              </w:rPr>
              <w:t xml:space="preserve">machinery and equipment </w:t>
            </w:r>
            <w:r w:rsidR="00F53917" w:rsidRPr="00D160FB">
              <w:rPr>
                <w:spacing w:val="-4"/>
                <w:lang w:val="en-GB"/>
              </w:rPr>
              <w:t>(+32</w:t>
            </w:r>
            <w:r w:rsidR="009F7BE2" w:rsidRPr="00D160FB">
              <w:rPr>
                <w:spacing w:val="-4"/>
                <w:lang w:val="en-GB"/>
              </w:rPr>
              <w:t>.</w:t>
            </w:r>
            <w:r w:rsidR="00F53917" w:rsidRPr="00D160FB">
              <w:rPr>
                <w:spacing w:val="-4"/>
                <w:lang w:val="en-GB"/>
              </w:rPr>
              <w:t xml:space="preserve">5 </w:t>
            </w:r>
            <w:r w:rsidR="009F7BE2" w:rsidRPr="00D160FB">
              <w:rPr>
                <w:spacing w:val="-4"/>
                <w:lang w:val="en-GB"/>
              </w:rPr>
              <w:t>bn</w:t>
            </w:r>
            <w:r w:rsidR="00F53917" w:rsidRPr="00D160FB">
              <w:rPr>
                <w:spacing w:val="-4"/>
                <w:lang w:val="en-GB"/>
              </w:rPr>
              <w:t>, 8</w:t>
            </w:r>
            <w:r w:rsidR="009F7BE2" w:rsidRPr="00D160FB">
              <w:rPr>
                <w:spacing w:val="-4"/>
                <w:lang w:val="en-GB"/>
              </w:rPr>
              <w:t>.</w:t>
            </w:r>
            <w:r w:rsidR="00F53917" w:rsidRPr="00D160FB">
              <w:rPr>
                <w:spacing w:val="-4"/>
                <w:lang w:val="en-GB"/>
              </w:rPr>
              <w:t xml:space="preserve">9%) </w:t>
            </w:r>
            <w:r w:rsidR="009F7BE2" w:rsidRPr="00D160FB">
              <w:rPr>
                <w:spacing w:val="-4"/>
                <w:lang w:val="en-GB"/>
              </w:rPr>
              <w:t xml:space="preserve">or </w:t>
            </w:r>
            <w:r w:rsidR="005A6032">
              <w:rPr>
                <w:spacing w:val="-4"/>
                <w:lang w:val="en-GB"/>
              </w:rPr>
              <w:t>fabricated metal</w:t>
            </w:r>
            <w:r w:rsidR="005A6032" w:rsidRPr="00D160FB">
              <w:rPr>
                <w:spacing w:val="-4"/>
                <w:lang w:val="en-GB"/>
              </w:rPr>
              <w:t xml:space="preserve"> products</w:t>
            </w:r>
            <w:r w:rsidR="009F7BE2" w:rsidRPr="00D160FB">
              <w:rPr>
                <w:spacing w:val="-4"/>
                <w:lang w:val="en-GB"/>
              </w:rPr>
              <w:t xml:space="preserve"> </w:t>
            </w:r>
            <w:r w:rsidR="00F53917" w:rsidRPr="00D160FB">
              <w:rPr>
                <w:spacing w:val="-4"/>
                <w:lang w:val="en-GB"/>
              </w:rPr>
              <w:t>(+22</w:t>
            </w:r>
            <w:r w:rsidR="009F7BE2" w:rsidRPr="00D160FB">
              <w:rPr>
                <w:spacing w:val="-4"/>
                <w:lang w:val="en-GB"/>
              </w:rPr>
              <w:t>.</w:t>
            </w:r>
            <w:r w:rsidR="00F53917" w:rsidRPr="00D160FB">
              <w:rPr>
                <w:spacing w:val="-4"/>
                <w:lang w:val="en-GB"/>
              </w:rPr>
              <w:t>1</w:t>
            </w:r>
            <w:r w:rsidR="009F7BE2" w:rsidRPr="00D160FB">
              <w:rPr>
                <w:spacing w:val="-4"/>
                <w:lang w:val="en-GB"/>
              </w:rPr>
              <w:t xml:space="preserve"> bn</w:t>
            </w:r>
            <w:r w:rsidR="00F53917" w:rsidRPr="00D160FB">
              <w:rPr>
                <w:spacing w:val="-4"/>
                <w:lang w:val="en-GB"/>
              </w:rPr>
              <w:t>, 12</w:t>
            </w:r>
            <w:r w:rsidR="009F7BE2" w:rsidRPr="00D160FB">
              <w:rPr>
                <w:spacing w:val="-4"/>
                <w:lang w:val="en-GB"/>
              </w:rPr>
              <w:t>.</w:t>
            </w:r>
            <w:r w:rsidR="00F53917" w:rsidRPr="00D160FB">
              <w:rPr>
                <w:spacing w:val="-4"/>
                <w:lang w:val="en-GB"/>
              </w:rPr>
              <w:t xml:space="preserve">6%). </w:t>
            </w:r>
            <w:r w:rsidR="00CA2B32" w:rsidRPr="00D160FB">
              <w:rPr>
                <w:spacing w:val="-4"/>
                <w:lang w:val="en-GB"/>
              </w:rPr>
              <w:t xml:space="preserve">For the majority of the mentioned articles, mainly the change of prices stimulated the increases. </w:t>
            </w:r>
            <w:r w:rsidR="00CE1BE3" w:rsidRPr="00D160FB">
              <w:rPr>
                <w:spacing w:val="-4"/>
                <w:lang w:val="en-GB"/>
              </w:rPr>
              <w:t xml:space="preserve">Together with the renewal of demand for fossil fuels in connection to the energy crisis it was also the case of revival of import of black and brown coal and lignite </w:t>
            </w:r>
            <w:r w:rsidR="00F53917" w:rsidRPr="00D160FB">
              <w:rPr>
                <w:spacing w:val="-4"/>
                <w:lang w:val="en-GB"/>
              </w:rPr>
              <w:t>(+17</w:t>
            </w:r>
            <w:r w:rsidR="00CE1BE3" w:rsidRPr="00D160FB">
              <w:rPr>
                <w:spacing w:val="-4"/>
                <w:lang w:val="en-GB"/>
              </w:rPr>
              <w:t>.</w:t>
            </w:r>
            <w:r w:rsidR="00F53917" w:rsidRPr="00D160FB">
              <w:rPr>
                <w:spacing w:val="-4"/>
                <w:lang w:val="en-GB"/>
              </w:rPr>
              <w:t>2</w:t>
            </w:r>
            <w:r w:rsidR="00CE1BE3" w:rsidRPr="00D160FB">
              <w:rPr>
                <w:spacing w:val="-4"/>
                <w:lang w:val="en-GB"/>
              </w:rPr>
              <w:t xml:space="preserve"> CZK bn</w:t>
            </w:r>
            <w:r w:rsidR="00F53917" w:rsidRPr="00D160FB">
              <w:rPr>
                <w:spacing w:val="-4"/>
                <w:lang w:val="en-GB"/>
              </w:rPr>
              <w:t>, 117</w:t>
            </w:r>
            <w:r w:rsidR="00CE1BE3" w:rsidRPr="00D160FB">
              <w:rPr>
                <w:spacing w:val="-4"/>
                <w:lang w:val="en-GB"/>
              </w:rPr>
              <w:t>.</w:t>
            </w:r>
            <w:r w:rsidR="00F53917" w:rsidRPr="00D160FB">
              <w:rPr>
                <w:spacing w:val="-4"/>
                <w:lang w:val="en-GB"/>
              </w:rPr>
              <w:t>2%) a</w:t>
            </w:r>
            <w:r w:rsidR="00CE1BE3" w:rsidRPr="00D160FB">
              <w:rPr>
                <w:spacing w:val="-4"/>
                <w:lang w:val="en-GB"/>
              </w:rPr>
              <w:t xml:space="preserve">nd electricity, gas, steam and air conditioning </w:t>
            </w:r>
            <w:r w:rsidR="00F53917" w:rsidRPr="00D160FB">
              <w:rPr>
                <w:spacing w:val="-4"/>
                <w:lang w:val="en-GB"/>
              </w:rPr>
              <w:t>(+12</w:t>
            </w:r>
            <w:r w:rsidR="00CE1BE3" w:rsidRPr="00D160FB">
              <w:rPr>
                <w:spacing w:val="-4"/>
                <w:lang w:val="en-GB"/>
              </w:rPr>
              <w:t>.</w:t>
            </w:r>
            <w:r w:rsidR="00F53917" w:rsidRPr="00D160FB">
              <w:rPr>
                <w:spacing w:val="-4"/>
                <w:lang w:val="en-GB"/>
              </w:rPr>
              <w:t>3</w:t>
            </w:r>
            <w:r w:rsidR="00CE1BE3" w:rsidRPr="00D160FB">
              <w:rPr>
                <w:spacing w:val="-4"/>
                <w:lang w:val="en-GB"/>
              </w:rPr>
              <w:t xml:space="preserve"> bn</w:t>
            </w:r>
            <w:r w:rsidR="00F53917" w:rsidRPr="00D160FB">
              <w:rPr>
                <w:spacing w:val="-4"/>
                <w:lang w:val="en-GB"/>
              </w:rPr>
              <w:t>, 50</w:t>
            </w:r>
            <w:r w:rsidR="00CE1BE3" w:rsidRPr="00D160FB">
              <w:rPr>
                <w:spacing w:val="-4"/>
                <w:lang w:val="en-GB"/>
              </w:rPr>
              <w:t>.</w:t>
            </w:r>
            <w:r w:rsidR="00F53917" w:rsidRPr="00D160FB">
              <w:rPr>
                <w:spacing w:val="-4"/>
                <w:lang w:val="en-GB"/>
              </w:rPr>
              <w:t xml:space="preserve">2%). </w:t>
            </w:r>
            <w:r w:rsidR="006547DA" w:rsidRPr="00D160FB">
              <w:rPr>
                <w:spacing w:val="-4"/>
                <w:lang w:val="en-GB"/>
              </w:rPr>
              <w:t xml:space="preserve">Import of </w:t>
            </w:r>
            <w:r w:rsidR="00C57023" w:rsidRPr="00D160FB">
              <w:rPr>
                <w:spacing w:val="-4"/>
                <w:lang w:val="en-GB"/>
              </w:rPr>
              <w:t xml:space="preserve">electrical </w:t>
            </w:r>
            <w:r w:rsidR="005A6032">
              <w:rPr>
                <w:spacing w:val="-4"/>
                <w:lang w:val="en-GB"/>
              </w:rPr>
              <w:t>equipment</w:t>
            </w:r>
            <w:r w:rsidR="00C57023" w:rsidRPr="00D160FB">
              <w:rPr>
                <w:spacing w:val="-4"/>
                <w:lang w:val="en-GB"/>
              </w:rPr>
              <w:t xml:space="preserve"> </w:t>
            </w:r>
            <w:r w:rsidR="00F53917" w:rsidRPr="00D160FB">
              <w:rPr>
                <w:spacing w:val="-4"/>
                <w:lang w:val="en-GB"/>
              </w:rPr>
              <w:t>(+44</w:t>
            </w:r>
            <w:r w:rsidR="00C57023" w:rsidRPr="00D160FB">
              <w:rPr>
                <w:spacing w:val="-4"/>
                <w:lang w:val="en-GB"/>
              </w:rPr>
              <w:t>.</w:t>
            </w:r>
            <w:r w:rsidR="00F53917" w:rsidRPr="00D160FB">
              <w:rPr>
                <w:spacing w:val="-4"/>
                <w:lang w:val="en-GB"/>
              </w:rPr>
              <w:t xml:space="preserve">8 </w:t>
            </w:r>
            <w:r w:rsidR="00C57023" w:rsidRPr="00D160FB">
              <w:rPr>
                <w:spacing w:val="-4"/>
                <w:lang w:val="en-GB"/>
              </w:rPr>
              <w:t>CZK bn</w:t>
            </w:r>
            <w:r w:rsidR="00F53917" w:rsidRPr="00D160FB">
              <w:rPr>
                <w:spacing w:val="-4"/>
                <w:lang w:val="en-GB"/>
              </w:rPr>
              <w:t>, 50</w:t>
            </w:r>
            <w:r w:rsidR="00C57023" w:rsidRPr="00D160FB">
              <w:rPr>
                <w:spacing w:val="-4"/>
                <w:lang w:val="en-GB"/>
              </w:rPr>
              <w:t>.</w:t>
            </w:r>
            <w:r w:rsidR="00F53917" w:rsidRPr="00D160FB">
              <w:rPr>
                <w:spacing w:val="-4"/>
                <w:lang w:val="en-GB"/>
              </w:rPr>
              <w:t>9%), motor</w:t>
            </w:r>
            <w:r w:rsidR="00C57023" w:rsidRPr="00D160FB">
              <w:rPr>
                <w:spacing w:val="-4"/>
                <w:lang w:val="en-GB"/>
              </w:rPr>
              <w:t xml:space="preserve"> vehicles </w:t>
            </w:r>
            <w:r w:rsidR="00F53917" w:rsidRPr="00D160FB">
              <w:rPr>
                <w:spacing w:val="-4"/>
                <w:lang w:val="en-GB"/>
              </w:rPr>
              <w:t>(+31</w:t>
            </w:r>
            <w:r w:rsidR="00C57023" w:rsidRPr="00D160FB">
              <w:rPr>
                <w:spacing w:val="-4"/>
                <w:lang w:val="en-GB"/>
              </w:rPr>
              <w:t>.</w:t>
            </w:r>
            <w:r w:rsidR="00F53917" w:rsidRPr="00D160FB">
              <w:rPr>
                <w:spacing w:val="-4"/>
                <w:lang w:val="en-GB"/>
              </w:rPr>
              <w:t>1</w:t>
            </w:r>
            <w:r w:rsidR="00C57023" w:rsidRPr="00D160FB">
              <w:rPr>
                <w:spacing w:val="-4"/>
                <w:lang w:val="en-GB"/>
              </w:rPr>
              <w:t xml:space="preserve"> bn</w:t>
            </w:r>
            <w:r w:rsidR="00F53917" w:rsidRPr="00D160FB">
              <w:rPr>
                <w:spacing w:val="-4"/>
                <w:lang w:val="en-GB"/>
              </w:rPr>
              <w:t>, 25</w:t>
            </w:r>
            <w:r w:rsidR="00C57023" w:rsidRPr="00D160FB">
              <w:rPr>
                <w:spacing w:val="-4"/>
                <w:lang w:val="en-GB"/>
              </w:rPr>
              <w:t>.</w:t>
            </w:r>
            <w:r w:rsidR="00F53917" w:rsidRPr="00D160FB">
              <w:rPr>
                <w:spacing w:val="-4"/>
                <w:lang w:val="en-GB"/>
              </w:rPr>
              <w:t xml:space="preserve">0%) </w:t>
            </w:r>
            <w:r w:rsidR="00C57023" w:rsidRPr="00D160FB">
              <w:rPr>
                <w:spacing w:val="-4"/>
                <w:lang w:val="en-GB"/>
              </w:rPr>
              <w:t xml:space="preserve">and oil and natural gas </w:t>
            </w:r>
            <w:r w:rsidR="00F53917" w:rsidRPr="00D160FB">
              <w:rPr>
                <w:spacing w:val="-4"/>
                <w:lang w:val="en-GB"/>
              </w:rPr>
              <w:t>(+28</w:t>
            </w:r>
            <w:r w:rsidR="00662860" w:rsidRPr="00D160FB">
              <w:rPr>
                <w:spacing w:val="-4"/>
                <w:lang w:val="en-GB"/>
              </w:rPr>
              <w:t>.</w:t>
            </w:r>
            <w:r w:rsidR="00F53917" w:rsidRPr="00D160FB">
              <w:rPr>
                <w:spacing w:val="-4"/>
                <w:lang w:val="en-GB"/>
              </w:rPr>
              <w:t>7</w:t>
            </w:r>
            <w:r w:rsidR="00662860" w:rsidRPr="00D160FB">
              <w:rPr>
                <w:spacing w:val="-4"/>
                <w:lang w:val="en-GB"/>
              </w:rPr>
              <w:t xml:space="preserve"> bn</w:t>
            </w:r>
            <w:r w:rsidR="00F53917" w:rsidRPr="00D160FB">
              <w:rPr>
                <w:spacing w:val="-4"/>
                <w:lang w:val="en-GB"/>
              </w:rPr>
              <w:t>, 52</w:t>
            </w:r>
            <w:r w:rsidR="00662860" w:rsidRPr="00D160FB">
              <w:rPr>
                <w:spacing w:val="-4"/>
                <w:lang w:val="en-GB"/>
              </w:rPr>
              <w:t>.</w:t>
            </w:r>
            <w:r w:rsidR="00F53917" w:rsidRPr="00D160FB">
              <w:rPr>
                <w:spacing w:val="-4"/>
                <w:lang w:val="en-GB"/>
              </w:rPr>
              <w:t>4%)</w:t>
            </w:r>
            <w:r w:rsidR="006547DA" w:rsidRPr="00D160FB">
              <w:rPr>
                <w:spacing w:val="-4"/>
                <w:lang w:val="en-GB"/>
              </w:rPr>
              <w:t xml:space="preserve"> was growing the fastest year-on-year</w:t>
            </w:r>
            <w:r w:rsidR="00CE1BE3" w:rsidRPr="00D160FB">
              <w:rPr>
                <w:spacing w:val="-4"/>
                <w:lang w:val="en-GB"/>
              </w:rPr>
              <w:t xml:space="preserve"> in Q4</w:t>
            </w:r>
            <w:r w:rsidR="00F53917" w:rsidRPr="00D160FB">
              <w:rPr>
                <w:spacing w:val="-4"/>
                <w:lang w:val="en-GB"/>
              </w:rPr>
              <w:t xml:space="preserve">, </w:t>
            </w:r>
            <w:r w:rsidR="00662860" w:rsidRPr="00D160FB">
              <w:rPr>
                <w:spacing w:val="-4"/>
                <w:lang w:val="en-GB"/>
              </w:rPr>
              <w:t xml:space="preserve">the slump of dynamics however </w:t>
            </w:r>
            <w:r w:rsidR="00825406" w:rsidRPr="00D160FB">
              <w:rPr>
                <w:spacing w:val="-4"/>
                <w:lang w:val="en-GB"/>
              </w:rPr>
              <w:t xml:space="preserve">continued here </w:t>
            </w:r>
            <w:r w:rsidR="00F53917" w:rsidRPr="00D160FB">
              <w:rPr>
                <w:spacing w:val="-4"/>
                <w:lang w:val="en-GB"/>
              </w:rPr>
              <w:t>(</w:t>
            </w:r>
            <w:r w:rsidR="00742227" w:rsidRPr="00D160FB">
              <w:rPr>
                <w:spacing w:val="-4"/>
                <w:lang w:val="en-GB"/>
              </w:rPr>
              <w:t>it was the lowest addition since Q</w:t>
            </w:r>
            <w:r w:rsidR="00F53917" w:rsidRPr="00D160FB">
              <w:rPr>
                <w:spacing w:val="-4"/>
                <w:lang w:val="en-GB"/>
              </w:rPr>
              <w:t>3</w:t>
            </w:r>
            <w:r w:rsidR="00742227" w:rsidRPr="00D160FB">
              <w:rPr>
                <w:spacing w:val="-4"/>
                <w:lang w:val="en-GB"/>
              </w:rPr>
              <w:t xml:space="preserve"> </w:t>
            </w:r>
            <w:r w:rsidR="00F53917" w:rsidRPr="00D160FB">
              <w:rPr>
                <w:spacing w:val="-4"/>
                <w:lang w:val="en-GB"/>
              </w:rPr>
              <w:t xml:space="preserve">2021). </w:t>
            </w:r>
            <w:r w:rsidR="001D57D2" w:rsidRPr="00D160FB">
              <w:rPr>
                <w:spacing w:val="-4"/>
                <w:lang w:val="en-GB"/>
              </w:rPr>
              <w:t xml:space="preserve">Increase was also notable for machinery and equipment </w:t>
            </w:r>
            <w:r w:rsidR="00F53917" w:rsidRPr="00D160FB">
              <w:rPr>
                <w:spacing w:val="-4"/>
                <w:lang w:val="en-GB"/>
              </w:rPr>
              <w:t>(+12</w:t>
            </w:r>
            <w:r w:rsidR="001D57D2" w:rsidRPr="00D160FB">
              <w:rPr>
                <w:spacing w:val="-4"/>
                <w:lang w:val="en-GB"/>
              </w:rPr>
              <w:t>.</w:t>
            </w:r>
            <w:r w:rsidR="00F53917" w:rsidRPr="00D160FB">
              <w:rPr>
                <w:spacing w:val="-4"/>
                <w:lang w:val="en-GB"/>
              </w:rPr>
              <w:t>4</w:t>
            </w:r>
            <w:r w:rsidR="001D57D2" w:rsidRPr="00D160FB">
              <w:rPr>
                <w:spacing w:val="-4"/>
                <w:lang w:val="en-GB"/>
              </w:rPr>
              <w:t xml:space="preserve"> CZK bn</w:t>
            </w:r>
            <w:r w:rsidR="00F53917" w:rsidRPr="00D160FB">
              <w:rPr>
                <w:spacing w:val="-4"/>
                <w:lang w:val="en-GB"/>
              </w:rPr>
              <w:t>, 13</w:t>
            </w:r>
            <w:r w:rsidR="001D57D2" w:rsidRPr="00D160FB">
              <w:rPr>
                <w:spacing w:val="-4"/>
                <w:lang w:val="en-GB"/>
              </w:rPr>
              <w:t>.</w:t>
            </w:r>
            <w:r w:rsidR="00F53917" w:rsidRPr="00D160FB">
              <w:rPr>
                <w:spacing w:val="-4"/>
                <w:lang w:val="en-GB"/>
              </w:rPr>
              <w:t xml:space="preserve">1%), </w:t>
            </w:r>
            <w:r w:rsidR="001D57D2" w:rsidRPr="00D160FB">
              <w:rPr>
                <w:spacing w:val="-4"/>
                <w:lang w:val="en-GB"/>
              </w:rPr>
              <w:t xml:space="preserve">food products </w:t>
            </w:r>
            <w:r w:rsidR="00F53917" w:rsidRPr="00D160FB">
              <w:rPr>
                <w:spacing w:val="-4"/>
                <w:lang w:val="en-GB"/>
              </w:rPr>
              <w:t>(+8</w:t>
            </w:r>
            <w:r w:rsidR="001D57D2" w:rsidRPr="00D160FB">
              <w:rPr>
                <w:spacing w:val="-4"/>
                <w:lang w:val="en-GB"/>
              </w:rPr>
              <w:t>.</w:t>
            </w:r>
            <w:r w:rsidR="00F53917" w:rsidRPr="00D160FB">
              <w:rPr>
                <w:spacing w:val="-4"/>
                <w:lang w:val="en-GB"/>
              </w:rPr>
              <w:t>9</w:t>
            </w:r>
            <w:r w:rsidR="001D57D2" w:rsidRPr="00D160FB">
              <w:rPr>
                <w:spacing w:val="-4"/>
                <w:lang w:val="en-GB"/>
              </w:rPr>
              <w:t xml:space="preserve"> bn</w:t>
            </w:r>
            <w:r w:rsidR="00F53917" w:rsidRPr="00D160FB">
              <w:rPr>
                <w:spacing w:val="-4"/>
                <w:lang w:val="en-GB"/>
              </w:rPr>
              <w:t>,</w:t>
            </w:r>
            <w:r w:rsidR="001D57D2" w:rsidRPr="00D160FB">
              <w:rPr>
                <w:spacing w:val="-4"/>
                <w:lang w:val="en-GB"/>
              </w:rPr>
              <w:t xml:space="preserve"> </w:t>
            </w:r>
            <w:r w:rsidR="00F53917" w:rsidRPr="00D160FB">
              <w:rPr>
                <w:spacing w:val="-4"/>
                <w:lang w:val="en-GB"/>
              </w:rPr>
              <w:t>18</w:t>
            </w:r>
            <w:r w:rsidR="001D57D2" w:rsidRPr="00D160FB">
              <w:rPr>
                <w:spacing w:val="-4"/>
                <w:lang w:val="en-GB"/>
              </w:rPr>
              <w:t>.</w:t>
            </w:r>
            <w:r w:rsidR="00F53917" w:rsidRPr="00D160FB">
              <w:rPr>
                <w:spacing w:val="-4"/>
                <w:lang w:val="en-GB"/>
              </w:rPr>
              <w:t xml:space="preserve">3%), </w:t>
            </w:r>
            <w:r w:rsidR="001D57D2" w:rsidRPr="00D160FB">
              <w:rPr>
                <w:spacing w:val="-4"/>
                <w:lang w:val="en-GB"/>
              </w:rPr>
              <w:t xml:space="preserve">coke and </w:t>
            </w:r>
            <w:r w:rsidR="00186538">
              <w:rPr>
                <w:spacing w:val="-4"/>
                <w:lang w:val="en-GB"/>
              </w:rPr>
              <w:t>refined petroleum</w:t>
            </w:r>
            <w:r w:rsidR="001D57D2" w:rsidRPr="00D160FB">
              <w:rPr>
                <w:spacing w:val="-4"/>
                <w:lang w:val="en-GB"/>
              </w:rPr>
              <w:t xml:space="preserve"> products </w:t>
            </w:r>
            <w:r w:rsidR="00F53917" w:rsidRPr="00D160FB">
              <w:rPr>
                <w:spacing w:val="-4"/>
                <w:lang w:val="en-GB"/>
              </w:rPr>
              <w:t>(+6</w:t>
            </w:r>
            <w:r w:rsidR="001D57D2" w:rsidRPr="00D160FB">
              <w:rPr>
                <w:spacing w:val="-4"/>
                <w:lang w:val="en-GB"/>
              </w:rPr>
              <w:t>.</w:t>
            </w:r>
            <w:r w:rsidR="00F53917" w:rsidRPr="00D160FB">
              <w:rPr>
                <w:spacing w:val="-4"/>
                <w:lang w:val="en-GB"/>
              </w:rPr>
              <w:t>1</w:t>
            </w:r>
            <w:r w:rsidR="001D57D2" w:rsidRPr="00D160FB">
              <w:rPr>
                <w:spacing w:val="-4"/>
                <w:lang w:val="en-GB"/>
              </w:rPr>
              <w:t xml:space="preserve"> bn</w:t>
            </w:r>
            <w:r w:rsidR="00F53917" w:rsidRPr="00D160FB">
              <w:rPr>
                <w:spacing w:val="-4"/>
                <w:lang w:val="en-GB"/>
              </w:rPr>
              <w:t>, 29</w:t>
            </w:r>
            <w:r w:rsidR="001D57D2" w:rsidRPr="00D160FB">
              <w:rPr>
                <w:spacing w:val="-4"/>
                <w:lang w:val="en-GB"/>
              </w:rPr>
              <w:t>.</w:t>
            </w:r>
            <w:r w:rsidR="00F53917" w:rsidRPr="00D160FB">
              <w:rPr>
                <w:spacing w:val="-4"/>
                <w:lang w:val="en-GB"/>
              </w:rPr>
              <w:t xml:space="preserve">5%), </w:t>
            </w:r>
            <w:r w:rsidR="00186538">
              <w:rPr>
                <w:spacing w:val="-4"/>
                <w:lang w:val="en-GB"/>
              </w:rPr>
              <w:t>fabricated metal</w:t>
            </w:r>
            <w:r w:rsidR="001D57D2" w:rsidRPr="00D160FB">
              <w:rPr>
                <w:spacing w:val="-4"/>
                <w:lang w:val="en-GB"/>
              </w:rPr>
              <w:t xml:space="preserve"> products </w:t>
            </w:r>
            <w:r w:rsidR="00F53917" w:rsidRPr="00D160FB">
              <w:rPr>
                <w:spacing w:val="-4"/>
                <w:lang w:val="en-GB"/>
              </w:rPr>
              <w:t>(+5</w:t>
            </w:r>
            <w:r w:rsidR="001D57D2" w:rsidRPr="00D160FB">
              <w:rPr>
                <w:spacing w:val="-4"/>
                <w:lang w:val="en-GB"/>
              </w:rPr>
              <w:t>.</w:t>
            </w:r>
            <w:r w:rsidR="00F53917" w:rsidRPr="00D160FB">
              <w:rPr>
                <w:spacing w:val="-4"/>
                <w:lang w:val="en-GB"/>
              </w:rPr>
              <w:t>7</w:t>
            </w:r>
            <w:r w:rsidR="001D57D2" w:rsidRPr="00D160FB">
              <w:rPr>
                <w:spacing w:val="-4"/>
                <w:lang w:val="en-GB"/>
              </w:rPr>
              <w:t xml:space="preserve"> bn</w:t>
            </w:r>
            <w:r w:rsidR="00F53917" w:rsidRPr="00D160FB">
              <w:rPr>
                <w:spacing w:val="-4"/>
                <w:lang w:val="en-GB"/>
              </w:rPr>
              <w:t>, 12</w:t>
            </w:r>
            <w:r w:rsidR="001D57D2" w:rsidRPr="00D160FB">
              <w:rPr>
                <w:spacing w:val="-4"/>
                <w:lang w:val="en-GB"/>
              </w:rPr>
              <w:t>.</w:t>
            </w:r>
            <w:r w:rsidR="00F53917" w:rsidRPr="00D160FB">
              <w:rPr>
                <w:spacing w:val="-4"/>
                <w:lang w:val="en-GB"/>
              </w:rPr>
              <w:t>6%) a</w:t>
            </w:r>
            <w:r w:rsidR="001D57D2" w:rsidRPr="00D160FB">
              <w:rPr>
                <w:spacing w:val="-4"/>
                <w:lang w:val="en-GB"/>
              </w:rPr>
              <w:t xml:space="preserve">nd chemical substances and products </w:t>
            </w:r>
            <w:r w:rsidR="00F53917" w:rsidRPr="00D160FB">
              <w:rPr>
                <w:spacing w:val="-4"/>
                <w:lang w:val="en-GB"/>
              </w:rPr>
              <w:t>(+5</w:t>
            </w:r>
            <w:r w:rsidR="001D57D2" w:rsidRPr="00D160FB">
              <w:rPr>
                <w:spacing w:val="-4"/>
                <w:lang w:val="en-GB"/>
              </w:rPr>
              <w:t>.</w:t>
            </w:r>
            <w:r w:rsidR="00F53917" w:rsidRPr="00D160FB">
              <w:rPr>
                <w:spacing w:val="-4"/>
                <w:lang w:val="en-GB"/>
              </w:rPr>
              <w:t>3</w:t>
            </w:r>
            <w:r w:rsidR="001D57D2" w:rsidRPr="00D160FB">
              <w:rPr>
                <w:spacing w:val="-4"/>
                <w:lang w:val="en-GB"/>
              </w:rPr>
              <w:t xml:space="preserve"> bn</w:t>
            </w:r>
            <w:r w:rsidR="00F53917" w:rsidRPr="00D160FB">
              <w:rPr>
                <w:spacing w:val="-4"/>
                <w:lang w:val="en-GB"/>
              </w:rPr>
              <w:t>, 6</w:t>
            </w:r>
            <w:r w:rsidR="001D57D2" w:rsidRPr="00D160FB">
              <w:rPr>
                <w:spacing w:val="-4"/>
                <w:lang w:val="en-GB"/>
              </w:rPr>
              <w:t>.</w:t>
            </w:r>
            <w:r w:rsidR="00F53917" w:rsidRPr="00D160FB">
              <w:rPr>
                <w:spacing w:val="-4"/>
                <w:lang w:val="en-GB"/>
              </w:rPr>
              <w:t xml:space="preserve">0%). </w:t>
            </w:r>
            <w:r w:rsidR="00430114" w:rsidRPr="00D160FB">
              <w:rPr>
                <w:spacing w:val="-4"/>
                <w:lang w:val="en-GB"/>
              </w:rPr>
              <w:t xml:space="preserve">Import of basic metals </w:t>
            </w:r>
            <w:r w:rsidR="00F53917" w:rsidRPr="00D160FB">
              <w:rPr>
                <w:spacing w:val="-4"/>
                <w:lang w:val="en-GB"/>
              </w:rPr>
              <w:t>(−5</w:t>
            </w:r>
            <w:r w:rsidR="00430114" w:rsidRPr="00D160FB">
              <w:rPr>
                <w:spacing w:val="-4"/>
                <w:lang w:val="en-GB"/>
              </w:rPr>
              <w:t>.</w:t>
            </w:r>
            <w:r w:rsidR="00F53917" w:rsidRPr="00D160FB">
              <w:rPr>
                <w:spacing w:val="-4"/>
                <w:lang w:val="en-GB"/>
              </w:rPr>
              <w:t>3</w:t>
            </w:r>
            <w:r w:rsidR="00430114" w:rsidRPr="00D160FB">
              <w:rPr>
                <w:spacing w:val="-4"/>
                <w:lang w:val="en-GB"/>
              </w:rPr>
              <w:t xml:space="preserve"> bn</w:t>
            </w:r>
            <w:r w:rsidR="00F53917" w:rsidRPr="00D160FB">
              <w:rPr>
                <w:spacing w:val="-4"/>
                <w:lang w:val="en-GB"/>
              </w:rPr>
              <w:t>, −6</w:t>
            </w:r>
            <w:r w:rsidR="00430114" w:rsidRPr="00D160FB">
              <w:rPr>
                <w:spacing w:val="-4"/>
                <w:lang w:val="en-GB"/>
              </w:rPr>
              <w:t>.</w:t>
            </w:r>
            <w:r w:rsidR="00F53917" w:rsidRPr="00D160FB">
              <w:rPr>
                <w:spacing w:val="-4"/>
                <w:lang w:val="en-GB"/>
              </w:rPr>
              <w:t>0%) a</w:t>
            </w:r>
            <w:r w:rsidR="00430114" w:rsidRPr="00D160FB">
              <w:rPr>
                <w:spacing w:val="-4"/>
                <w:lang w:val="en-GB"/>
              </w:rPr>
              <w:t xml:space="preserve">nd electricity, gas, steam and air conditioning </w:t>
            </w:r>
            <w:r w:rsidR="00F53917" w:rsidRPr="00D160FB">
              <w:rPr>
                <w:spacing w:val="-4"/>
                <w:lang w:val="en-GB"/>
              </w:rPr>
              <w:t>(−1</w:t>
            </w:r>
            <w:r w:rsidR="00430114" w:rsidRPr="00D160FB">
              <w:rPr>
                <w:spacing w:val="-4"/>
                <w:lang w:val="en-GB"/>
              </w:rPr>
              <w:t>.</w:t>
            </w:r>
            <w:r w:rsidR="00F53917" w:rsidRPr="00D160FB">
              <w:rPr>
                <w:spacing w:val="-4"/>
                <w:lang w:val="en-GB"/>
              </w:rPr>
              <w:t>4</w:t>
            </w:r>
            <w:r w:rsidR="00430114" w:rsidRPr="00D160FB">
              <w:rPr>
                <w:spacing w:val="-4"/>
                <w:lang w:val="en-GB"/>
              </w:rPr>
              <w:t xml:space="preserve"> bn</w:t>
            </w:r>
            <w:r w:rsidR="00F53917" w:rsidRPr="00D160FB">
              <w:rPr>
                <w:spacing w:val="-4"/>
                <w:lang w:val="en-GB"/>
              </w:rPr>
              <w:t>, −14</w:t>
            </w:r>
            <w:r w:rsidR="00430114" w:rsidRPr="00D160FB">
              <w:rPr>
                <w:spacing w:val="-4"/>
                <w:lang w:val="en-GB"/>
              </w:rPr>
              <w:t>.</w:t>
            </w:r>
            <w:r w:rsidR="00F53917" w:rsidRPr="00D160FB">
              <w:rPr>
                <w:spacing w:val="-4"/>
                <w:lang w:val="en-GB"/>
              </w:rPr>
              <w:t>5%)</w:t>
            </w:r>
            <w:r w:rsidR="00430114" w:rsidRPr="00D160FB">
              <w:rPr>
                <w:spacing w:val="-4"/>
                <w:lang w:val="en-GB"/>
              </w:rPr>
              <w:t xml:space="preserve"> dropped the most year-on-year</w:t>
            </w:r>
            <w:r w:rsidR="00F53917" w:rsidRPr="00D160FB">
              <w:rPr>
                <w:spacing w:val="-4"/>
                <w:lang w:val="en-GB"/>
              </w:rPr>
              <w:t xml:space="preserve">.       </w:t>
            </w:r>
          </w:p>
        </w:tc>
      </w:tr>
      <w:tr w:rsidR="00F53917" w:rsidRPr="00D160FB" w14:paraId="75B65A82" w14:textId="77777777" w:rsidTr="0063723A">
        <w:trPr>
          <w:trHeight w:val="145"/>
        </w:trPr>
        <w:tc>
          <w:tcPr>
            <w:tcW w:w="1476" w:type="dxa"/>
            <w:shd w:val="clear" w:color="auto" w:fill="auto"/>
            <w:tcMar>
              <w:left w:w="0" w:type="dxa"/>
            </w:tcMar>
          </w:tcPr>
          <w:p w14:paraId="6FB6FBD7" w14:textId="57B7B157" w:rsidR="00F53917" w:rsidRPr="00D160FB" w:rsidRDefault="00E26122" w:rsidP="00163868">
            <w:pPr>
              <w:pStyle w:val="Marginlie"/>
              <w:rPr>
                <w:lang w:val="en-GB"/>
              </w:rPr>
            </w:pPr>
            <w:r w:rsidRPr="00D160FB">
              <w:rPr>
                <w:lang w:val="en-GB"/>
              </w:rPr>
              <w:t xml:space="preserve">Total </w:t>
            </w:r>
            <w:r w:rsidR="00071FF1" w:rsidRPr="00D160FB">
              <w:rPr>
                <w:lang w:val="en-GB"/>
              </w:rPr>
              <w:t xml:space="preserve">balance of foreign trade with goods ended in deep deficit last year. </w:t>
            </w:r>
          </w:p>
        </w:tc>
        <w:tc>
          <w:tcPr>
            <w:tcW w:w="152" w:type="dxa"/>
            <w:shd w:val="clear" w:color="auto" w:fill="auto"/>
            <w:tcMar>
              <w:left w:w="0" w:type="dxa"/>
            </w:tcMar>
          </w:tcPr>
          <w:p w14:paraId="59E852ED"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40C2369F" w14:textId="3CCC0B1C" w:rsidR="00F53917" w:rsidRPr="00D160FB" w:rsidRDefault="00F53917" w:rsidP="00163868">
            <w:pPr>
              <w:spacing w:after="180"/>
              <w:rPr>
                <w:spacing w:val="-4"/>
                <w:lang w:val="en-GB"/>
              </w:rPr>
            </w:pPr>
            <w:r w:rsidRPr="00D160FB">
              <w:rPr>
                <w:spacing w:val="-4"/>
                <w:lang w:val="en-GB"/>
              </w:rPr>
              <w:t>B</w:t>
            </w:r>
            <w:r w:rsidR="00A46894" w:rsidRPr="00D160FB">
              <w:rPr>
                <w:spacing w:val="-4"/>
                <w:lang w:val="en-GB"/>
              </w:rPr>
              <w:t xml:space="preserve">alance of foreign trade with goods ended in deficit of </w:t>
            </w:r>
            <w:r w:rsidRPr="00D160FB">
              <w:rPr>
                <w:spacing w:val="-4"/>
                <w:lang w:val="en-GB"/>
              </w:rPr>
              <w:t>199</w:t>
            </w:r>
            <w:r w:rsidR="00A46894" w:rsidRPr="00D160FB">
              <w:rPr>
                <w:spacing w:val="-4"/>
                <w:lang w:val="en-GB"/>
              </w:rPr>
              <w:t>.</w:t>
            </w:r>
            <w:r w:rsidRPr="00D160FB">
              <w:rPr>
                <w:spacing w:val="-4"/>
                <w:lang w:val="en-GB"/>
              </w:rPr>
              <w:t>7</w:t>
            </w:r>
            <w:r w:rsidR="00A46894" w:rsidRPr="00D160FB">
              <w:rPr>
                <w:spacing w:val="-4"/>
                <w:lang w:val="en-GB"/>
              </w:rPr>
              <w:t xml:space="preserve"> CZK bn last year. It was the second annual deficit in a row and it worsened by </w:t>
            </w:r>
            <w:r w:rsidRPr="00D160FB">
              <w:rPr>
                <w:spacing w:val="-4"/>
                <w:lang w:val="en-GB"/>
              </w:rPr>
              <w:t>190</w:t>
            </w:r>
            <w:r w:rsidR="00A46894" w:rsidRPr="00D160FB">
              <w:rPr>
                <w:spacing w:val="-4"/>
                <w:lang w:val="en-GB"/>
              </w:rPr>
              <w:t>.</w:t>
            </w:r>
            <w:r w:rsidRPr="00D160FB">
              <w:rPr>
                <w:spacing w:val="-4"/>
                <w:lang w:val="en-GB"/>
              </w:rPr>
              <w:t>5</w:t>
            </w:r>
            <w:r w:rsidR="00A46894" w:rsidRPr="00D160FB">
              <w:rPr>
                <w:spacing w:val="-4"/>
                <w:lang w:val="en-GB"/>
              </w:rPr>
              <w:t xml:space="preserve"> CZK bn. The balance was negative in all last year’s quarters and </w:t>
            </w:r>
            <w:r w:rsidR="00515079" w:rsidRPr="00D160FB">
              <w:rPr>
                <w:spacing w:val="-4"/>
                <w:lang w:val="en-GB"/>
              </w:rPr>
              <w:t>attained the sixth deficit in a row in Q</w:t>
            </w:r>
            <w:r w:rsidRPr="00D160FB">
              <w:rPr>
                <w:spacing w:val="-4"/>
                <w:lang w:val="en-GB"/>
              </w:rPr>
              <w:t>4</w:t>
            </w:r>
            <w:r w:rsidR="00515079" w:rsidRPr="00D160FB">
              <w:rPr>
                <w:spacing w:val="-4"/>
                <w:lang w:val="en-GB"/>
              </w:rPr>
              <w:t xml:space="preserve">, this time in the amount of </w:t>
            </w:r>
            <w:r w:rsidRPr="00D160FB">
              <w:rPr>
                <w:spacing w:val="-4"/>
                <w:lang w:val="en-GB"/>
              </w:rPr>
              <w:t>50</w:t>
            </w:r>
            <w:r w:rsidR="00515079" w:rsidRPr="00D160FB">
              <w:rPr>
                <w:spacing w:val="-4"/>
                <w:lang w:val="en-GB"/>
              </w:rPr>
              <w:t>.</w:t>
            </w:r>
            <w:r w:rsidRPr="00D160FB">
              <w:rPr>
                <w:spacing w:val="-4"/>
                <w:lang w:val="en-GB"/>
              </w:rPr>
              <w:t>4</w:t>
            </w:r>
            <w:r w:rsidR="00515079" w:rsidRPr="00D160FB">
              <w:rPr>
                <w:spacing w:val="-4"/>
                <w:lang w:val="en-GB"/>
              </w:rPr>
              <w:t xml:space="preserve"> CZK bn</w:t>
            </w:r>
            <w:r w:rsidRPr="00D160FB">
              <w:rPr>
                <w:spacing w:val="-4"/>
                <w:lang w:val="en-GB"/>
              </w:rPr>
              <w:t xml:space="preserve">. </w:t>
            </w:r>
            <w:r w:rsidR="00515079" w:rsidRPr="00D160FB">
              <w:rPr>
                <w:spacing w:val="-4"/>
                <w:lang w:val="en-GB"/>
              </w:rPr>
              <w:t xml:space="preserve">The deficit deteriorated by </w:t>
            </w:r>
            <w:r w:rsidRPr="00D160FB">
              <w:rPr>
                <w:spacing w:val="-4"/>
                <w:lang w:val="en-GB"/>
              </w:rPr>
              <w:t>21</w:t>
            </w:r>
            <w:r w:rsidR="00515079" w:rsidRPr="00D160FB">
              <w:rPr>
                <w:spacing w:val="-4"/>
                <w:lang w:val="en-GB"/>
              </w:rPr>
              <w:t>.</w:t>
            </w:r>
            <w:r w:rsidRPr="00D160FB">
              <w:rPr>
                <w:spacing w:val="-4"/>
                <w:lang w:val="en-GB"/>
              </w:rPr>
              <w:t>1</w:t>
            </w:r>
            <w:r w:rsidR="00515079" w:rsidRPr="00D160FB">
              <w:rPr>
                <w:spacing w:val="-4"/>
                <w:lang w:val="en-GB"/>
              </w:rPr>
              <w:t xml:space="preserve"> CZK bn year-on-year</w:t>
            </w:r>
            <w:r w:rsidRPr="00D160FB">
              <w:rPr>
                <w:spacing w:val="-4"/>
                <w:lang w:val="en-GB"/>
              </w:rPr>
              <w:t>. Se</w:t>
            </w:r>
            <w:r w:rsidR="00B774BD" w:rsidRPr="00D160FB">
              <w:rPr>
                <w:spacing w:val="-4"/>
                <w:lang w:val="en-GB"/>
              </w:rPr>
              <w:t>asonally adjusted data</w:t>
            </w:r>
            <w:r w:rsidR="005A6032">
              <w:rPr>
                <w:spacing w:val="-4"/>
                <w:lang w:val="en-GB"/>
              </w:rPr>
              <w:t xml:space="preserve"> </w:t>
            </w:r>
            <w:r w:rsidR="00160385" w:rsidRPr="00D160FB">
              <w:rPr>
                <w:spacing w:val="-4"/>
                <w:lang w:val="en-GB"/>
              </w:rPr>
              <w:t>nevertheless suggest</w:t>
            </w:r>
            <w:r w:rsidR="00B774BD" w:rsidRPr="00D160FB">
              <w:rPr>
                <w:spacing w:val="-4"/>
                <w:lang w:val="en-GB"/>
              </w:rPr>
              <w:t xml:space="preserve"> that the balance was improving quarter-on-quarter for the second quarter in a row. </w:t>
            </w:r>
            <w:r w:rsidRPr="00D160FB">
              <w:rPr>
                <w:spacing w:val="-4"/>
                <w:lang w:val="en-GB"/>
              </w:rPr>
              <w:t xml:space="preserve"> </w:t>
            </w:r>
          </w:p>
        </w:tc>
      </w:tr>
      <w:tr w:rsidR="00F53917" w:rsidRPr="00D160FB" w14:paraId="5823B1B1" w14:textId="77777777" w:rsidTr="0063723A">
        <w:trPr>
          <w:trHeight w:val="145"/>
        </w:trPr>
        <w:tc>
          <w:tcPr>
            <w:tcW w:w="1476" w:type="dxa"/>
            <w:shd w:val="clear" w:color="auto" w:fill="auto"/>
            <w:tcMar>
              <w:left w:w="0" w:type="dxa"/>
            </w:tcMar>
          </w:tcPr>
          <w:p w14:paraId="6FBB2AE1" w14:textId="27455D07" w:rsidR="00F53917" w:rsidRPr="00D160FB" w:rsidRDefault="00401837" w:rsidP="00163868">
            <w:pPr>
              <w:pStyle w:val="Marginlie"/>
              <w:rPr>
                <w:lang w:val="en-GB"/>
              </w:rPr>
            </w:pPr>
            <w:r w:rsidRPr="00D160FB">
              <w:rPr>
                <w:lang w:val="en-GB"/>
              </w:rPr>
              <w:t xml:space="preserve">Growth of the prices of materials impacted the balance deterioration. It was also related to the deepening of the trade deficit with the countries outside the EU.  </w:t>
            </w:r>
          </w:p>
        </w:tc>
        <w:tc>
          <w:tcPr>
            <w:tcW w:w="152" w:type="dxa"/>
            <w:shd w:val="clear" w:color="auto" w:fill="auto"/>
            <w:tcMar>
              <w:left w:w="0" w:type="dxa"/>
            </w:tcMar>
          </w:tcPr>
          <w:p w14:paraId="7A68EB1A"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26103DE8" w14:textId="7AD30384" w:rsidR="00F53917" w:rsidRPr="00D160FB" w:rsidRDefault="0035547E" w:rsidP="00163868">
            <w:pPr>
              <w:spacing w:after="180"/>
              <w:rPr>
                <w:spacing w:val="-4"/>
                <w:lang w:val="en-GB"/>
              </w:rPr>
            </w:pPr>
            <w:r w:rsidRPr="00D160FB">
              <w:rPr>
                <w:spacing w:val="-4"/>
                <w:lang w:val="en-GB"/>
              </w:rPr>
              <w:t xml:space="preserve">Worsening of the balance of foreign trade with goods was completely attributed to the trade with countries outside the EU last year </w:t>
            </w:r>
            <w:r w:rsidR="00F53917" w:rsidRPr="00D160FB">
              <w:rPr>
                <w:spacing w:val="-4"/>
                <w:lang w:val="en-GB"/>
              </w:rPr>
              <w:t>(</w:t>
            </w:r>
            <w:r w:rsidR="008C58EF" w:rsidRPr="00D160FB">
              <w:rPr>
                <w:spacing w:val="-4"/>
                <w:lang w:val="en-GB"/>
              </w:rPr>
              <w:t xml:space="preserve">deficit deepening by </w:t>
            </w:r>
            <w:r w:rsidR="00F53917" w:rsidRPr="00D160FB">
              <w:rPr>
                <w:spacing w:val="-4"/>
                <w:lang w:val="en-GB"/>
              </w:rPr>
              <w:t>355</w:t>
            </w:r>
            <w:r w:rsidR="008C58EF" w:rsidRPr="00D160FB">
              <w:rPr>
                <w:spacing w:val="-4"/>
                <w:lang w:val="en-GB"/>
              </w:rPr>
              <w:t>.</w:t>
            </w:r>
            <w:r w:rsidR="00F53917" w:rsidRPr="00D160FB">
              <w:rPr>
                <w:spacing w:val="-4"/>
                <w:lang w:val="en-GB"/>
              </w:rPr>
              <w:t>5</w:t>
            </w:r>
            <w:r w:rsidR="008C58EF" w:rsidRPr="00D160FB">
              <w:rPr>
                <w:spacing w:val="-4"/>
                <w:lang w:val="en-GB"/>
              </w:rPr>
              <w:t xml:space="preserve"> CZK bn</w:t>
            </w:r>
            <w:r w:rsidR="00F53917" w:rsidRPr="00D160FB">
              <w:rPr>
                <w:spacing w:val="-4"/>
                <w:lang w:val="en-GB"/>
              </w:rPr>
              <w:t xml:space="preserve">). </w:t>
            </w:r>
            <w:r w:rsidR="006C0CFA" w:rsidRPr="00D160FB">
              <w:rPr>
                <w:spacing w:val="-4"/>
                <w:lang w:val="en-GB"/>
              </w:rPr>
              <w:t xml:space="preserve">Even the record improvement of the trade balance with the EU by </w:t>
            </w:r>
            <w:r w:rsidR="00F53917" w:rsidRPr="00D160FB">
              <w:rPr>
                <w:spacing w:val="-4"/>
                <w:lang w:val="en-GB"/>
              </w:rPr>
              <w:t>168</w:t>
            </w:r>
            <w:r w:rsidR="006C0CFA" w:rsidRPr="00D160FB">
              <w:rPr>
                <w:spacing w:val="-4"/>
                <w:lang w:val="en-GB"/>
              </w:rPr>
              <w:t>.</w:t>
            </w:r>
            <w:r w:rsidR="00F53917" w:rsidRPr="00D160FB">
              <w:rPr>
                <w:spacing w:val="-4"/>
                <w:lang w:val="en-GB"/>
              </w:rPr>
              <w:t>4</w:t>
            </w:r>
            <w:r w:rsidR="006C0CFA" w:rsidRPr="00D160FB">
              <w:rPr>
                <w:spacing w:val="-4"/>
                <w:lang w:val="en-GB"/>
              </w:rPr>
              <w:t xml:space="preserve"> CZK bn was thus not sufficient for the maintaining the total overall surplus. </w:t>
            </w:r>
            <w:r w:rsidR="00190759" w:rsidRPr="00D160FB">
              <w:rPr>
                <w:spacing w:val="-4"/>
                <w:lang w:val="en-GB"/>
              </w:rPr>
              <w:t xml:space="preserve">Trade with Russia </w:t>
            </w:r>
            <w:r w:rsidR="00F53917" w:rsidRPr="00D160FB">
              <w:rPr>
                <w:spacing w:val="-4"/>
                <w:lang w:val="en-GB"/>
              </w:rPr>
              <w:t>(−162</w:t>
            </w:r>
            <w:r w:rsidR="00190759" w:rsidRPr="00D160FB">
              <w:rPr>
                <w:spacing w:val="-4"/>
                <w:lang w:val="en-GB"/>
              </w:rPr>
              <w:t>.</w:t>
            </w:r>
            <w:r w:rsidR="00F53917" w:rsidRPr="00D160FB">
              <w:rPr>
                <w:spacing w:val="-4"/>
                <w:lang w:val="en-GB"/>
              </w:rPr>
              <w:t>1</w:t>
            </w:r>
            <w:r w:rsidR="00190759" w:rsidRPr="00D160FB">
              <w:rPr>
                <w:spacing w:val="-4"/>
                <w:lang w:val="en-GB"/>
              </w:rPr>
              <w:t xml:space="preserve"> CZK bn</w:t>
            </w:r>
            <w:r w:rsidR="00F53917" w:rsidRPr="00D160FB">
              <w:rPr>
                <w:spacing w:val="-4"/>
                <w:lang w:val="en-GB"/>
              </w:rPr>
              <w:t xml:space="preserve">), </w:t>
            </w:r>
            <w:r w:rsidR="00190759" w:rsidRPr="00D160FB">
              <w:rPr>
                <w:spacing w:val="-4"/>
                <w:lang w:val="en-GB"/>
              </w:rPr>
              <w:t xml:space="preserve">China </w:t>
            </w:r>
            <w:r w:rsidR="00F53917" w:rsidRPr="00D160FB">
              <w:rPr>
                <w:spacing w:val="-4"/>
                <w:lang w:val="en-GB"/>
              </w:rPr>
              <w:t>(−127</w:t>
            </w:r>
            <w:r w:rsidR="00190759" w:rsidRPr="00D160FB">
              <w:rPr>
                <w:spacing w:val="-4"/>
                <w:lang w:val="en-GB"/>
              </w:rPr>
              <w:t>.</w:t>
            </w:r>
            <w:r w:rsidR="00F53917" w:rsidRPr="00D160FB">
              <w:rPr>
                <w:spacing w:val="-4"/>
                <w:lang w:val="en-GB"/>
              </w:rPr>
              <w:t>2</w:t>
            </w:r>
            <w:r w:rsidR="00190759" w:rsidRPr="00D160FB">
              <w:rPr>
                <w:spacing w:val="-4"/>
                <w:lang w:val="en-GB"/>
              </w:rPr>
              <w:t xml:space="preserve"> bn</w:t>
            </w:r>
            <w:r w:rsidR="00F53917" w:rsidRPr="00D160FB">
              <w:rPr>
                <w:spacing w:val="-4"/>
                <w:lang w:val="en-GB"/>
              </w:rPr>
              <w:t>), N</w:t>
            </w:r>
            <w:r w:rsidR="00190759" w:rsidRPr="00D160FB">
              <w:rPr>
                <w:spacing w:val="-4"/>
                <w:lang w:val="en-GB"/>
              </w:rPr>
              <w:t xml:space="preserve">orway </w:t>
            </w:r>
            <w:r w:rsidR="00F53917" w:rsidRPr="00D160FB">
              <w:rPr>
                <w:spacing w:val="-4"/>
                <w:lang w:val="en-GB"/>
              </w:rPr>
              <w:t>(−34</w:t>
            </w:r>
            <w:r w:rsidR="00190759" w:rsidRPr="00D160FB">
              <w:rPr>
                <w:spacing w:val="-4"/>
                <w:lang w:val="en-GB"/>
              </w:rPr>
              <w:t>.</w:t>
            </w:r>
            <w:r w:rsidR="00F53917" w:rsidRPr="00D160FB">
              <w:rPr>
                <w:spacing w:val="-4"/>
                <w:lang w:val="en-GB"/>
              </w:rPr>
              <w:t>0</w:t>
            </w:r>
            <w:r w:rsidR="00190759" w:rsidRPr="00D160FB">
              <w:rPr>
                <w:spacing w:val="-4"/>
                <w:lang w:val="en-GB"/>
              </w:rPr>
              <w:t xml:space="preserve"> bn</w:t>
            </w:r>
            <w:r w:rsidR="00F53917" w:rsidRPr="00D160FB">
              <w:rPr>
                <w:spacing w:val="-4"/>
                <w:lang w:val="en-GB"/>
              </w:rPr>
              <w:t>), Pol</w:t>
            </w:r>
            <w:r w:rsidR="00190759" w:rsidRPr="00D160FB">
              <w:rPr>
                <w:spacing w:val="-4"/>
                <w:lang w:val="en-GB"/>
              </w:rPr>
              <w:t xml:space="preserve">and </w:t>
            </w:r>
            <w:r w:rsidR="00F53917" w:rsidRPr="00D160FB">
              <w:rPr>
                <w:spacing w:val="-4"/>
                <w:lang w:val="en-GB"/>
              </w:rPr>
              <w:t>(−27</w:t>
            </w:r>
            <w:r w:rsidR="00190759" w:rsidRPr="00D160FB">
              <w:rPr>
                <w:spacing w:val="-4"/>
                <w:lang w:val="en-GB"/>
              </w:rPr>
              <w:t>.</w:t>
            </w:r>
            <w:r w:rsidR="00F53917" w:rsidRPr="00D160FB">
              <w:rPr>
                <w:spacing w:val="-4"/>
                <w:lang w:val="en-GB"/>
              </w:rPr>
              <w:t>9</w:t>
            </w:r>
            <w:r w:rsidR="00190759" w:rsidRPr="00D160FB">
              <w:rPr>
                <w:spacing w:val="-4"/>
                <w:lang w:val="en-GB"/>
              </w:rPr>
              <w:t xml:space="preserve"> bn</w:t>
            </w:r>
            <w:r w:rsidR="00F53917" w:rsidRPr="00D160FB">
              <w:rPr>
                <w:spacing w:val="-4"/>
                <w:lang w:val="en-GB"/>
              </w:rPr>
              <w:t>) a</w:t>
            </w:r>
            <w:r w:rsidR="00190759" w:rsidRPr="00D160FB">
              <w:rPr>
                <w:spacing w:val="-4"/>
                <w:lang w:val="en-GB"/>
              </w:rPr>
              <w:t xml:space="preserve">nd Azerbaijan </w:t>
            </w:r>
            <w:r w:rsidR="00F53917" w:rsidRPr="00D160FB">
              <w:rPr>
                <w:spacing w:val="-4"/>
                <w:lang w:val="en-GB"/>
              </w:rPr>
              <w:t>(−19</w:t>
            </w:r>
            <w:r w:rsidR="00190759" w:rsidRPr="00D160FB">
              <w:rPr>
                <w:spacing w:val="-4"/>
                <w:lang w:val="en-GB"/>
              </w:rPr>
              <w:t>.</w:t>
            </w:r>
            <w:r w:rsidR="00F53917" w:rsidRPr="00D160FB">
              <w:rPr>
                <w:spacing w:val="-4"/>
                <w:lang w:val="en-GB"/>
              </w:rPr>
              <w:t>9</w:t>
            </w:r>
            <w:r w:rsidR="00190759" w:rsidRPr="00D160FB">
              <w:rPr>
                <w:spacing w:val="-4"/>
                <w:lang w:val="en-GB"/>
              </w:rPr>
              <w:t xml:space="preserve"> bn</w:t>
            </w:r>
            <w:r w:rsidR="00F53917" w:rsidRPr="00D160FB">
              <w:rPr>
                <w:spacing w:val="-4"/>
                <w:lang w:val="en-GB"/>
              </w:rPr>
              <w:t>)</w:t>
            </w:r>
            <w:r w:rsidR="008C58EF" w:rsidRPr="00D160FB">
              <w:rPr>
                <w:spacing w:val="-4"/>
                <w:lang w:val="en-GB"/>
              </w:rPr>
              <w:t xml:space="preserve"> worked the most in the direction of balance deterioration last year</w:t>
            </w:r>
            <w:r w:rsidR="00F53917" w:rsidRPr="00D160FB">
              <w:rPr>
                <w:spacing w:val="-4"/>
                <w:lang w:val="en-GB"/>
              </w:rPr>
              <w:t xml:space="preserve">. </w:t>
            </w:r>
            <w:r w:rsidR="008C58EF" w:rsidRPr="00D160FB">
              <w:rPr>
                <w:spacing w:val="-4"/>
                <w:lang w:val="en-GB"/>
              </w:rPr>
              <w:t xml:space="preserve">On the contrary, the balance improved in case of trade with Germany </w:t>
            </w:r>
            <w:r w:rsidR="00F53917" w:rsidRPr="00D160FB">
              <w:rPr>
                <w:spacing w:val="-4"/>
                <w:lang w:val="en-GB"/>
              </w:rPr>
              <w:t>(+81</w:t>
            </w:r>
            <w:r w:rsidR="008C58EF" w:rsidRPr="00D160FB">
              <w:rPr>
                <w:spacing w:val="-4"/>
                <w:lang w:val="en-GB"/>
              </w:rPr>
              <w:t>.</w:t>
            </w:r>
            <w:r w:rsidR="00F53917" w:rsidRPr="00D160FB">
              <w:rPr>
                <w:spacing w:val="-4"/>
                <w:lang w:val="en-GB"/>
              </w:rPr>
              <w:t>2</w:t>
            </w:r>
            <w:r w:rsidR="008C58EF" w:rsidRPr="00D160FB">
              <w:rPr>
                <w:spacing w:val="-4"/>
                <w:lang w:val="en-GB"/>
              </w:rPr>
              <w:t xml:space="preserve"> CZK bn</w:t>
            </w:r>
            <w:r w:rsidR="00F53917" w:rsidRPr="00D160FB">
              <w:rPr>
                <w:spacing w:val="-4"/>
                <w:lang w:val="en-GB"/>
              </w:rPr>
              <w:t>), Slov</w:t>
            </w:r>
            <w:r w:rsidR="008C58EF" w:rsidRPr="00D160FB">
              <w:rPr>
                <w:spacing w:val="-4"/>
                <w:lang w:val="en-GB"/>
              </w:rPr>
              <w:t xml:space="preserve">akia </w:t>
            </w:r>
            <w:r w:rsidR="00F53917" w:rsidRPr="00D160FB">
              <w:rPr>
                <w:spacing w:val="-4"/>
                <w:lang w:val="en-GB"/>
              </w:rPr>
              <w:t>(+46</w:t>
            </w:r>
            <w:r w:rsidR="008C58EF" w:rsidRPr="00D160FB">
              <w:rPr>
                <w:spacing w:val="-4"/>
                <w:lang w:val="en-GB"/>
              </w:rPr>
              <w:t>.</w:t>
            </w:r>
            <w:r w:rsidR="00F53917" w:rsidRPr="00D160FB">
              <w:rPr>
                <w:spacing w:val="-4"/>
                <w:lang w:val="en-GB"/>
              </w:rPr>
              <w:t>4</w:t>
            </w:r>
            <w:r w:rsidR="008C58EF" w:rsidRPr="00D160FB">
              <w:rPr>
                <w:spacing w:val="-4"/>
                <w:lang w:val="en-GB"/>
              </w:rPr>
              <w:t xml:space="preserve"> bn</w:t>
            </w:r>
            <w:r w:rsidR="00F53917" w:rsidRPr="00D160FB">
              <w:rPr>
                <w:spacing w:val="-4"/>
                <w:lang w:val="en-GB"/>
              </w:rPr>
              <w:t>), It</w:t>
            </w:r>
            <w:r w:rsidR="008C58EF" w:rsidRPr="00D160FB">
              <w:rPr>
                <w:spacing w:val="-4"/>
                <w:lang w:val="en-GB"/>
              </w:rPr>
              <w:t xml:space="preserve">aly </w:t>
            </w:r>
            <w:r w:rsidR="00F53917" w:rsidRPr="00D160FB">
              <w:rPr>
                <w:spacing w:val="-4"/>
                <w:lang w:val="en-GB"/>
              </w:rPr>
              <w:t>(+15</w:t>
            </w:r>
            <w:r w:rsidR="008C58EF" w:rsidRPr="00D160FB">
              <w:rPr>
                <w:spacing w:val="-4"/>
                <w:lang w:val="en-GB"/>
              </w:rPr>
              <w:t>.</w:t>
            </w:r>
            <w:r w:rsidR="00F53917" w:rsidRPr="00D160FB">
              <w:rPr>
                <w:spacing w:val="-4"/>
                <w:lang w:val="en-GB"/>
              </w:rPr>
              <w:t>5</w:t>
            </w:r>
            <w:r w:rsidR="008C58EF" w:rsidRPr="00D160FB">
              <w:rPr>
                <w:spacing w:val="-4"/>
                <w:lang w:val="en-GB"/>
              </w:rPr>
              <w:t xml:space="preserve"> bn</w:t>
            </w:r>
            <w:r w:rsidR="00F53917" w:rsidRPr="00D160FB">
              <w:rPr>
                <w:spacing w:val="-4"/>
                <w:lang w:val="en-GB"/>
              </w:rPr>
              <w:t xml:space="preserve">), </w:t>
            </w:r>
            <w:r w:rsidR="008C58EF" w:rsidRPr="00D160FB">
              <w:rPr>
                <w:spacing w:val="-4"/>
                <w:lang w:val="en-GB"/>
              </w:rPr>
              <w:t xml:space="preserve">Spain </w:t>
            </w:r>
            <w:r w:rsidR="00F53917" w:rsidRPr="00D160FB">
              <w:rPr>
                <w:spacing w:val="-4"/>
                <w:lang w:val="en-GB"/>
              </w:rPr>
              <w:t>(+11</w:t>
            </w:r>
            <w:r w:rsidR="008C58EF" w:rsidRPr="00D160FB">
              <w:rPr>
                <w:spacing w:val="-4"/>
                <w:lang w:val="en-GB"/>
              </w:rPr>
              <w:t>.</w:t>
            </w:r>
            <w:r w:rsidR="00F53917" w:rsidRPr="00D160FB">
              <w:rPr>
                <w:spacing w:val="-4"/>
                <w:lang w:val="en-GB"/>
              </w:rPr>
              <w:t>2</w:t>
            </w:r>
            <w:r w:rsidR="008C58EF" w:rsidRPr="00D160FB">
              <w:rPr>
                <w:spacing w:val="-4"/>
                <w:lang w:val="en-GB"/>
              </w:rPr>
              <w:t xml:space="preserve"> bn</w:t>
            </w:r>
            <w:r w:rsidR="00F53917" w:rsidRPr="00D160FB">
              <w:rPr>
                <w:spacing w:val="-4"/>
                <w:lang w:val="en-GB"/>
              </w:rPr>
              <w:t xml:space="preserve">), </w:t>
            </w:r>
            <w:r w:rsidR="008C58EF" w:rsidRPr="00D160FB">
              <w:rPr>
                <w:spacing w:val="-4"/>
                <w:lang w:val="en-GB"/>
              </w:rPr>
              <w:t xml:space="preserve">Hungary </w:t>
            </w:r>
            <w:r w:rsidR="00F53917" w:rsidRPr="00D160FB">
              <w:rPr>
                <w:spacing w:val="-4"/>
                <w:lang w:val="en-GB"/>
              </w:rPr>
              <w:t>(+11</w:t>
            </w:r>
            <w:r w:rsidR="008C58EF" w:rsidRPr="00D160FB">
              <w:rPr>
                <w:spacing w:val="-4"/>
                <w:lang w:val="en-GB"/>
              </w:rPr>
              <w:t>.</w:t>
            </w:r>
            <w:r w:rsidR="00F53917" w:rsidRPr="00D160FB">
              <w:rPr>
                <w:spacing w:val="-4"/>
                <w:lang w:val="en-GB"/>
              </w:rPr>
              <w:t>1</w:t>
            </w:r>
            <w:r w:rsidR="008C58EF" w:rsidRPr="00D160FB">
              <w:rPr>
                <w:spacing w:val="-4"/>
                <w:lang w:val="en-GB"/>
              </w:rPr>
              <w:t xml:space="preserve"> bn</w:t>
            </w:r>
            <w:r w:rsidR="00F53917" w:rsidRPr="00D160FB">
              <w:rPr>
                <w:spacing w:val="-4"/>
                <w:lang w:val="en-GB"/>
              </w:rPr>
              <w:t>)</w:t>
            </w:r>
            <w:r w:rsidR="008C58EF" w:rsidRPr="00D160FB">
              <w:rPr>
                <w:spacing w:val="-4"/>
                <w:lang w:val="en-GB"/>
              </w:rPr>
              <w:t xml:space="preserve"> or </w:t>
            </w:r>
            <w:r w:rsidR="00190759" w:rsidRPr="00D160FB">
              <w:rPr>
                <w:spacing w:val="-4"/>
                <w:lang w:val="en-GB"/>
              </w:rPr>
              <w:t>Kazakhstan</w:t>
            </w:r>
            <w:r w:rsidR="008C58EF" w:rsidRPr="00D160FB">
              <w:rPr>
                <w:spacing w:val="-4"/>
                <w:lang w:val="en-GB"/>
              </w:rPr>
              <w:t xml:space="preserve"> </w:t>
            </w:r>
            <w:r w:rsidR="00F53917" w:rsidRPr="00D160FB">
              <w:rPr>
                <w:spacing w:val="-4"/>
                <w:lang w:val="en-GB"/>
              </w:rPr>
              <w:t>(+10</w:t>
            </w:r>
            <w:r w:rsidR="008C58EF" w:rsidRPr="00D160FB">
              <w:rPr>
                <w:spacing w:val="-4"/>
                <w:lang w:val="en-GB"/>
              </w:rPr>
              <w:t>.</w:t>
            </w:r>
            <w:r w:rsidR="00F53917" w:rsidRPr="00D160FB">
              <w:rPr>
                <w:spacing w:val="-4"/>
                <w:lang w:val="en-GB"/>
              </w:rPr>
              <w:t>9</w:t>
            </w:r>
            <w:r w:rsidR="008C58EF" w:rsidRPr="00D160FB">
              <w:rPr>
                <w:spacing w:val="-4"/>
                <w:lang w:val="en-GB"/>
              </w:rPr>
              <w:t xml:space="preserve"> bn</w:t>
            </w:r>
            <w:r w:rsidR="00F53917" w:rsidRPr="00D160FB">
              <w:rPr>
                <w:spacing w:val="-4"/>
                <w:lang w:val="en-GB"/>
              </w:rPr>
              <w:t xml:space="preserve">). </w:t>
            </w:r>
            <w:r w:rsidR="002F0009" w:rsidRPr="00D160FB">
              <w:rPr>
                <w:spacing w:val="-4"/>
                <w:lang w:val="en-GB"/>
              </w:rPr>
              <w:t>In Q</w:t>
            </w:r>
            <w:r w:rsidR="00F53917" w:rsidRPr="00D160FB">
              <w:rPr>
                <w:spacing w:val="-4"/>
                <w:lang w:val="en-GB"/>
              </w:rPr>
              <w:t>4</w:t>
            </w:r>
            <w:r w:rsidR="002F0009" w:rsidRPr="00D160FB">
              <w:rPr>
                <w:spacing w:val="-4"/>
                <w:lang w:val="en-GB"/>
              </w:rPr>
              <w:t xml:space="preserve"> itself, the trade balance with China </w:t>
            </w:r>
            <w:r w:rsidR="00F53917" w:rsidRPr="00D160FB">
              <w:rPr>
                <w:spacing w:val="-4"/>
                <w:lang w:val="en-GB"/>
              </w:rPr>
              <w:t>(−46</w:t>
            </w:r>
            <w:r w:rsidR="002F0009" w:rsidRPr="00D160FB">
              <w:rPr>
                <w:spacing w:val="-4"/>
                <w:lang w:val="en-GB"/>
              </w:rPr>
              <w:t>.</w:t>
            </w:r>
            <w:r w:rsidR="00F53917" w:rsidRPr="00D160FB">
              <w:rPr>
                <w:spacing w:val="-4"/>
                <w:lang w:val="en-GB"/>
              </w:rPr>
              <w:t>8</w:t>
            </w:r>
            <w:r w:rsidR="002F0009" w:rsidRPr="00D160FB">
              <w:rPr>
                <w:spacing w:val="-4"/>
                <w:lang w:val="en-GB"/>
              </w:rPr>
              <w:t xml:space="preserve"> CZK bn</w:t>
            </w:r>
            <w:r w:rsidR="00F53917" w:rsidRPr="00D160FB">
              <w:rPr>
                <w:spacing w:val="-4"/>
                <w:lang w:val="en-GB"/>
              </w:rPr>
              <w:t>) a</w:t>
            </w:r>
            <w:r w:rsidR="002F0009" w:rsidRPr="00D160FB">
              <w:rPr>
                <w:spacing w:val="-4"/>
                <w:lang w:val="en-GB"/>
              </w:rPr>
              <w:t xml:space="preserve">nd Norway </w:t>
            </w:r>
            <w:r w:rsidR="00F53917" w:rsidRPr="00D160FB">
              <w:rPr>
                <w:spacing w:val="-4"/>
                <w:lang w:val="en-GB"/>
              </w:rPr>
              <w:t>(−35</w:t>
            </w:r>
            <w:r w:rsidR="002F0009" w:rsidRPr="00D160FB">
              <w:rPr>
                <w:spacing w:val="-4"/>
                <w:lang w:val="en-GB"/>
              </w:rPr>
              <w:t>.</w:t>
            </w:r>
            <w:r w:rsidR="00F53917" w:rsidRPr="00D160FB">
              <w:rPr>
                <w:spacing w:val="-4"/>
                <w:lang w:val="en-GB"/>
              </w:rPr>
              <w:t>5</w:t>
            </w:r>
            <w:r w:rsidR="002F0009" w:rsidRPr="00D160FB">
              <w:rPr>
                <w:spacing w:val="-4"/>
                <w:lang w:val="en-GB"/>
              </w:rPr>
              <w:t xml:space="preserve"> bn</w:t>
            </w:r>
            <w:r w:rsidR="00F53917" w:rsidRPr="00D160FB">
              <w:rPr>
                <w:spacing w:val="-4"/>
                <w:lang w:val="en-GB"/>
              </w:rPr>
              <w:t>)</w:t>
            </w:r>
            <w:r w:rsidR="002F0009" w:rsidRPr="00D160FB">
              <w:rPr>
                <w:spacing w:val="-4"/>
                <w:lang w:val="en-GB"/>
              </w:rPr>
              <w:t xml:space="preserve"> worsened the most year-on-year</w:t>
            </w:r>
            <w:r w:rsidR="00F53917" w:rsidRPr="00D160FB">
              <w:rPr>
                <w:spacing w:val="-4"/>
                <w:lang w:val="en-GB"/>
              </w:rPr>
              <w:t xml:space="preserve">. </w:t>
            </w:r>
            <w:r w:rsidR="008706B0" w:rsidRPr="00D160FB">
              <w:rPr>
                <w:spacing w:val="-4"/>
                <w:lang w:val="en-GB"/>
              </w:rPr>
              <w:t xml:space="preserve">Smaller downswings were then recorded for the trade with the United States </w:t>
            </w:r>
            <w:r w:rsidR="00F53917" w:rsidRPr="00D160FB">
              <w:rPr>
                <w:spacing w:val="-4"/>
                <w:lang w:val="en-GB"/>
              </w:rPr>
              <w:t>(−6</w:t>
            </w:r>
            <w:r w:rsidR="008706B0" w:rsidRPr="00D160FB">
              <w:rPr>
                <w:spacing w:val="-4"/>
                <w:lang w:val="en-GB"/>
              </w:rPr>
              <w:t>.</w:t>
            </w:r>
            <w:r w:rsidR="00F53917" w:rsidRPr="00D160FB">
              <w:rPr>
                <w:spacing w:val="-4"/>
                <w:lang w:val="en-GB"/>
              </w:rPr>
              <w:t>3</w:t>
            </w:r>
            <w:r w:rsidR="008706B0" w:rsidRPr="00D160FB">
              <w:rPr>
                <w:spacing w:val="-4"/>
                <w:lang w:val="en-GB"/>
              </w:rPr>
              <w:t xml:space="preserve"> CZK bn</w:t>
            </w:r>
            <w:r w:rsidR="00F53917" w:rsidRPr="00D160FB">
              <w:rPr>
                <w:spacing w:val="-4"/>
                <w:lang w:val="en-GB"/>
              </w:rPr>
              <w:t>),</w:t>
            </w:r>
            <w:r w:rsidR="008706B0" w:rsidRPr="00D160FB">
              <w:rPr>
                <w:spacing w:val="-4"/>
                <w:lang w:val="en-GB"/>
              </w:rPr>
              <w:t xml:space="preserve"> Azerbaijan </w:t>
            </w:r>
            <w:r w:rsidR="00F53917" w:rsidRPr="00D160FB">
              <w:rPr>
                <w:spacing w:val="-4"/>
                <w:lang w:val="en-GB"/>
              </w:rPr>
              <w:t>(−5</w:t>
            </w:r>
            <w:r w:rsidR="008706B0" w:rsidRPr="00D160FB">
              <w:rPr>
                <w:spacing w:val="-4"/>
                <w:lang w:val="en-GB"/>
              </w:rPr>
              <w:t>.</w:t>
            </w:r>
            <w:r w:rsidR="00F53917" w:rsidRPr="00D160FB">
              <w:rPr>
                <w:spacing w:val="-4"/>
                <w:lang w:val="en-GB"/>
              </w:rPr>
              <w:t>7</w:t>
            </w:r>
            <w:r w:rsidR="008706B0" w:rsidRPr="00D160FB">
              <w:rPr>
                <w:spacing w:val="-4"/>
                <w:lang w:val="en-GB"/>
              </w:rPr>
              <w:t xml:space="preserve"> bn</w:t>
            </w:r>
            <w:r w:rsidR="00F53917" w:rsidRPr="00D160FB">
              <w:rPr>
                <w:spacing w:val="-4"/>
                <w:lang w:val="en-GB"/>
              </w:rPr>
              <w:t>)</w:t>
            </w:r>
            <w:r w:rsidR="008706B0" w:rsidRPr="00D160FB">
              <w:rPr>
                <w:spacing w:val="-4"/>
                <w:lang w:val="en-GB"/>
              </w:rPr>
              <w:t xml:space="preserve"> or South Korea </w:t>
            </w:r>
            <w:r w:rsidR="00F53917" w:rsidRPr="00D160FB">
              <w:rPr>
                <w:spacing w:val="-4"/>
                <w:lang w:val="en-GB"/>
              </w:rPr>
              <w:t>(−4</w:t>
            </w:r>
            <w:r w:rsidR="008706B0" w:rsidRPr="00D160FB">
              <w:rPr>
                <w:spacing w:val="-4"/>
                <w:lang w:val="en-GB"/>
              </w:rPr>
              <w:t>.</w:t>
            </w:r>
            <w:r w:rsidR="00F53917" w:rsidRPr="00D160FB">
              <w:rPr>
                <w:spacing w:val="-4"/>
                <w:lang w:val="en-GB"/>
              </w:rPr>
              <w:t>9</w:t>
            </w:r>
            <w:r w:rsidR="008706B0" w:rsidRPr="00D160FB">
              <w:rPr>
                <w:spacing w:val="-4"/>
                <w:lang w:val="en-GB"/>
              </w:rPr>
              <w:t xml:space="preserve"> bn</w:t>
            </w:r>
            <w:r w:rsidR="00F53917" w:rsidRPr="00D160FB">
              <w:rPr>
                <w:spacing w:val="-4"/>
                <w:lang w:val="en-GB"/>
              </w:rPr>
              <w:t xml:space="preserve">). </w:t>
            </w:r>
            <w:r w:rsidR="004E2567" w:rsidRPr="00D160FB">
              <w:rPr>
                <w:spacing w:val="-4"/>
                <w:lang w:val="en-GB"/>
              </w:rPr>
              <w:t xml:space="preserve">The foreign trade result was markedly better in case of Germany </w:t>
            </w:r>
            <w:r w:rsidR="00F53917" w:rsidRPr="00D160FB">
              <w:rPr>
                <w:spacing w:val="-4"/>
                <w:lang w:val="en-GB"/>
              </w:rPr>
              <w:t>(+19</w:t>
            </w:r>
            <w:r w:rsidR="004E2567" w:rsidRPr="00D160FB">
              <w:rPr>
                <w:spacing w:val="-4"/>
                <w:lang w:val="en-GB"/>
              </w:rPr>
              <w:t>.</w:t>
            </w:r>
            <w:r w:rsidR="00F53917" w:rsidRPr="00D160FB">
              <w:rPr>
                <w:spacing w:val="-4"/>
                <w:lang w:val="en-GB"/>
              </w:rPr>
              <w:t>8</w:t>
            </w:r>
            <w:r w:rsidR="004E2567" w:rsidRPr="00D160FB">
              <w:rPr>
                <w:spacing w:val="-4"/>
                <w:lang w:val="en-GB"/>
              </w:rPr>
              <w:t xml:space="preserve"> CZK bn</w:t>
            </w:r>
            <w:r w:rsidR="00F53917" w:rsidRPr="00D160FB">
              <w:rPr>
                <w:spacing w:val="-4"/>
                <w:lang w:val="en-GB"/>
              </w:rPr>
              <w:t>) a</w:t>
            </w:r>
            <w:r w:rsidR="004E2567" w:rsidRPr="00D160FB">
              <w:rPr>
                <w:spacing w:val="-4"/>
                <w:lang w:val="en-GB"/>
              </w:rPr>
              <w:t xml:space="preserve">nd Russia </w:t>
            </w:r>
            <w:r w:rsidR="00F53917" w:rsidRPr="00D160FB">
              <w:rPr>
                <w:spacing w:val="-4"/>
                <w:lang w:val="en-GB"/>
              </w:rPr>
              <w:t>(</w:t>
            </w:r>
            <w:r w:rsidR="005A6032">
              <w:rPr>
                <w:spacing w:val="-4"/>
                <w:lang w:val="en-GB"/>
              </w:rPr>
              <w:t>+</w:t>
            </w:r>
            <w:r w:rsidR="00F53917" w:rsidRPr="00D160FB">
              <w:rPr>
                <w:spacing w:val="-4"/>
                <w:lang w:val="en-GB"/>
              </w:rPr>
              <w:t>13</w:t>
            </w:r>
            <w:r w:rsidR="004E2567" w:rsidRPr="00D160FB">
              <w:rPr>
                <w:spacing w:val="-4"/>
                <w:lang w:val="en-GB"/>
              </w:rPr>
              <w:t>.</w:t>
            </w:r>
            <w:r w:rsidR="00F53917" w:rsidRPr="00D160FB">
              <w:rPr>
                <w:spacing w:val="-4"/>
                <w:lang w:val="en-GB"/>
              </w:rPr>
              <w:t>7</w:t>
            </w:r>
            <w:r w:rsidR="004E2567" w:rsidRPr="00D160FB">
              <w:rPr>
                <w:spacing w:val="-4"/>
                <w:lang w:val="en-GB"/>
              </w:rPr>
              <w:t xml:space="preserve"> bn</w:t>
            </w:r>
            <w:r w:rsidR="00F53917" w:rsidRPr="00D160FB">
              <w:rPr>
                <w:spacing w:val="-4"/>
                <w:lang w:val="en-GB"/>
              </w:rPr>
              <w:t xml:space="preserve">). </w:t>
            </w:r>
            <w:r w:rsidR="00527CAF" w:rsidRPr="00D160FB">
              <w:rPr>
                <w:spacing w:val="-4"/>
                <w:lang w:val="en-GB"/>
              </w:rPr>
              <w:t xml:space="preserve">Trade with Italy </w:t>
            </w:r>
            <w:r w:rsidR="00F53917" w:rsidRPr="00D160FB">
              <w:rPr>
                <w:spacing w:val="-4"/>
                <w:lang w:val="en-GB"/>
              </w:rPr>
              <w:t>(+6</w:t>
            </w:r>
            <w:r w:rsidR="00527CAF" w:rsidRPr="00D160FB">
              <w:rPr>
                <w:spacing w:val="-4"/>
                <w:lang w:val="en-GB"/>
              </w:rPr>
              <w:t>.</w:t>
            </w:r>
            <w:r w:rsidR="00F53917" w:rsidRPr="00D160FB">
              <w:rPr>
                <w:spacing w:val="-4"/>
                <w:lang w:val="en-GB"/>
              </w:rPr>
              <w:t>5</w:t>
            </w:r>
            <w:r w:rsidR="00527CAF" w:rsidRPr="00D160FB">
              <w:rPr>
                <w:spacing w:val="-4"/>
                <w:lang w:val="en-GB"/>
              </w:rPr>
              <w:t xml:space="preserve"> CZK bn</w:t>
            </w:r>
            <w:r w:rsidR="00F53917" w:rsidRPr="00D160FB">
              <w:rPr>
                <w:spacing w:val="-4"/>
                <w:lang w:val="en-GB"/>
              </w:rPr>
              <w:t>),</w:t>
            </w:r>
            <w:r w:rsidR="00527CAF" w:rsidRPr="00D160FB">
              <w:rPr>
                <w:spacing w:val="-4"/>
                <w:lang w:val="en-GB"/>
              </w:rPr>
              <w:t xml:space="preserve"> Spain </w:t>
            </w:r>
            <w:r w:rsidR="00F53917" w:rsidRPr="00D160FB">
              <w:rPr>
                <w:spacing w:val="-4"/>
                <w:lang w:val="en-GB"/>
              </w:rPr>
              <w:t>(+6</w:t>
            </w:r>
            <w:r w:rsidR="00527CAF" w:rsidRPr="00D160FB">
              <w:rPr>
                <w:spacing w:val="-4"/>
                <w:lang w:val="en-GB"/>
              </w:rPr>
              <w:t>.</w:t>
            </w:r>
            <w:r w:rsidR="00F53917" w:rsidRPr="00D160FB">
              <w:rPr>
                <w:spacing w:val="-4"/>
                <w:lang w:val="en-GB"/>
              </w:rPr>
              <w:t>3</w:t>
            </w:r>
            <w:r w:rsidR="00527CAF" w:rsidRPr="00D160FB">
              <w:rPr>
                <w:spacing w:val="-4"/>
                <w:lang w:val="en-GB"/>
              </w:rPr>
              <w:t xml:space="preserve"> bn</w:t>
            </w:r>
            <w:r w:rsidR="00F53917" w:rsidRPr="00D160FB">
              <w:rPr>
                <w:spacing w:val="-4"/>
                <w:lang w:val="en-GB"/>
              </w:rPr>
              <w:t>), Slov</w:t>
            </w:r>
            <w:r w:rsidR="00527CAF" w:rsidRPr="00D160FB">
              <w:rPr>
                <w:spacing w:val="-4"/>
                <w:lang w:val="en-GB"/>
              </w:rPr>
              <w:t xml:space="preserve">akia </w:t>
            </w:r>
            <w:r w:rsidR="00F53917" w:rsidRPr="00D160FB">
              <w:rPr>
                <w:spacing w:val="-4"/>
                <w:lang w:val="en-GB"/>
              </w:rPr>
              <w:t>(+5</w:t>
            </w:r>
            <w:r w:rsidR="00527CAF" w:rsidRPr="00D160FB">
              <w:rPr>
                <w:spacing w:val="-4"/>
                <w:lang w:val="en-GB"/>
              </w:rPr>
              <w:t>.</w:t>
            </w:r>
            <w:r w:rsidR="00F53917" w:rsidRPr="00D160FB">
              <w:rPr>
                <w:spacing w:val="-4"/>
                <w:lang w:val="en-GB"/>
              </w:rPr>
              <w:t>1</w:t>
            </w:r>
            <w:r w:rsidR="00527CAF" w:rsidRPr="00D160FB">
              <w:rPr>
                <w:spacing w:val="-4"/>
                <w:lang w:val="en-GB"/>
              </w:rPr>
              <w:t xml:space="preserve"> bn</w:t>
            </w:r>
            <w:r w:rsidR="00F53917" w:rsidRPr="00D160FB">
              <w:rPr>
                <w:spacing w:val="-4"/>
                <w:lang w:val="en-GB"/>
              </w:rPr>
              <w:t xml:space="preserve">), </w:t>
            </w:r>
            <w:r w:rsidR="00527CAF" w:rsidRPr="00D160FB">
              <w:rPr>
                <w:spacing w:val="-4"/>
                <w:lang w:val="en-GB"/>
              </w:rPr>
              <w:t xml:space="preserve">Kazakhstan </w:t>
            </w:r>
            <w:r w:rsidR="00F53917" w:rsidRPr="00D160FB">
              <w:rPr>
                <w:spacing w:val="-4"/>
                <w:lang w:val="en-GB"/>
              </w:rPr>
              <w:t>(+5</w:t>
            </w:r>
            <w:r w:rsidR="00527CAF" w:rsidRPr="00D160FB">
              <w:rPr>
                <w:spacing w:val="-4"/>
                <w:lang w:val="en-GB"/>
              </w:rPr>
              <w:t>.</w:t>
            </w:r>
            <w:r w:rsidR="00F53917" w:rsidRPr="00D160FB">
              <w:rPr>
                <w:spacing w:val="-4"/>
                <w:lang w:val="en-GB"/>
              </w:rPr>
              <w:t>1</w:t>
            </w:r>
            <w:r w:rsidR="00527CAF" w:rsidRPr="00D160FB">
              <w:rPr>
                <w:spacing w:val="-4"/>
                <w:lang w:val="en-GB"/>
              </w:rPr>
              <w:t xml:space="preserve"> bn</w:t>
            </w:r>
            <w:r w:rsidR="00F53917" w:rsidRPr="00D160FB">
              <w:rPr>
                <w:spacing w:val="-4"/>
                <w:lang w:val="en-GB"/>
              </w:rPr>
              <w:t xml:space="preserve">), </w:t>
            </w:r>
            <w:r w:rsidR="00527CAF" w:rsidRPr="00D160FB">
              <w:rPr>
                <w:spacing w:val="-4"/>
                <w:lang w:val="en-GB"/>
              </w:rPr>
              <w:t xml:space="preserve">Switzerland </w:t>
            </w:r>
            <w:r w:rsidR="00F53917" w:rsidRPr="00D160FB">
              <w:rPr>
                <w:spacing w:val="-4"/>
                <w:lang w:val="en-GB"/>
              </w:rPr>
              <w:t>(+5</w:t>
            </w:r>
            <w:r w:rsidR="00527CAF" w:rsidRPr="00D160FB">
              <w:rPr>
                <w:spacing w:val="-4"/>
                <w:lang w:val="en-GB"/>
              </w:rPr>
              <w:t>.</w:t>
            </w:r>
            <w:r w:rsidR="00F53917" w:rsidRPr="00D160FB">
              <w:rPr>
                <w:spacing w:val="-4"/>
                <w:lang w:val="en-GB"/>
              </w:rPr>
              <w:t>1</w:t>
            </w:r>
            <w:r w:rsidR="00527CAF" w:rsidRPr="00D160FB">
              <w:rPr>
                <w:spacing w:val="-4"/>
                <w:lang w:val="en-GB"/>
              </w:rPr>
              <w:t xml:space="preserve"> bn</w:t>
            </w:r>
            <w:r w:rsidR="00F53917" w:rsidRPr="00D160FB">
              <w:rPr>
                <w:spacing w:val="-4"/>
                <w:lang w:val="en-GB"/>
              </w:rPr>
              <w:t>),</w:t>
            </w:r>
            <w:r w:rsidR="00527CAF" w:rsidRPr="00D160FB">
              <w:rPr>
                <w:spacing w:val="-4"/>
                <w:lang w:val="en-GB"/>
              </w:rPr>
              <w:t xml:space="preserve"> Austria </w:t>
            </w:r>
            <w:r w:rsidR="00F53917" w:rsidRPr="00D160FB">
              <w:rPr>
                <w:spacing w:val="-4"/>
                <w:lang w:val="en-GB"/>
              </w:rPr>
              <w:t>(+4</w:t>
            </w:r>
            <w:r w:rsidR="00527CAF" w:rsidRPr="00D160FB">
              <w:rPr>
                <w:spacing w:val="-4"/>
                <w:lang w:val="en-GB"/>
              </w:rPr>
              <w:t>.</w:t>
            </w:r>
            <w:r w:rsidR="00F53917" w:rsidRPr="00D160FB">
              <w:rPr>
                <w:spacing w:val="-4"/>
                <w:lang w:val="en-GB"/>
              </w:rPr>
              <w:t>5</w:t>
            </w:r>
            <w:r w:rsidR="00527CAF" w:rsidRPr="00D160FB">
              <w:rPr>
                <w:spacing w:val="-4"/>
                <w:lang w:val="en-GB"/>
              </w:rPr>
              <w:t xml:space="preserve"> bn</w:t>
            </w:r>
            <w:r w:rsidR="00F53917" w:rsidRPr="00D160FB">
              <w:rPr>
                <w:spacing w:val="-4"/>
                <w:lang w:val="en-GB"/>
              </w:rPr>
              <w:t xml:space="preserve">) </w:t>
            </w:r>
            <w:r w:rsidR="00527CAF" w:rsidRPr="00D160FB">
              <w:rPr>
                <w:spacing w:val="-4"/>
                <w:lang w:val="en-GB"/>
              </w:rPr>
              <w:t xml:space="preserve">or France </w:t>
            </w:r>
            <w:r w:rsidR="00F53917" w:rsidRPr="00D160FB">
              <w:rPr>
                <w:spacing w:val="-4"/>
                <w:lang w:val="en-GB"/>
              </w:rPr>
              <w:t>(+4</w:t>
            </w:r>
            <w:r w:rsidR="00527CAF" w:rsidRPr="00D160FB">
              <w:rPr>
                <w:spacing w:val="-4"/>
                <w:lang w:val="en-GB"/>
              </w:rPr>
              <w:t>.</w:t>
            </w:r>
            <w:r w:rsidR="00F53917" w:rsidRPr="00D160FB">
              <w:rPr>
                <w:spacing w:val="-4"/>
                <w:lang w:val="en-GB"/>
              </w:rPr>
              <w:t xml:space="preserve">3 </w:t>
            </w:r>
            <w:r w:rsidR="00527CAF" w:rsidRPr="00D160FB">
              <w:rPr>
                <w:spacing w:val="-4"/>
                <w:lang w:val="en-GB"/>
              </w:rPr>
              <w:t>bn</w:t>
            </w:r>
            <w:r w:rsidR="00F53917" w:rsidRPr="00D160FB">
              <w:rPr>
                <w:spacing w:val="-4"/>
                <w:lang w:val="en-GB"/>
              </w:rPr>
              <w:t>)</w:t>
            </w:r>
            <w:r w:rsidR="00527CAF" w:rsidRPr="00D160FB">
              <w:rPr>
                <w:spacing w:val="-4"/>
                <w:lang w:val="en-GB"/>
              </w:rPr>
              <w:t xml:space="preserve"> also worked in the direction of surplus</w:t>
            </w:r>
            <w:r w:rsidR="00F53917" w:rsidRPr="00D160FB">
              <w:rPr>
                <w:spacing w:val="-4"/>
                <w:lang w:val="en-GB"/>
              </w:rPr>
              <w:t xml:space="preserve">.    </w:t>
            </w:r>
          </w:p>
        </w:tc>
      </w:tr>
      <w:tr w:rsidR="00F53917" w:rsidRPr="00D160FB" w14:paraId="6E599C6B" w14:textId="77777777" w:rsidTr="0063723A">
        <w:trPr>
          <w:trHeight w:val="145"/>
        </w:trPr>
        <w:tc>
          <w:tcPr>
            <w:tcW w:w="1476" w:type="dxa"/>
            <w:shd w:val="clear" w:color="auto" w:fill="auto"/>
            <w:tcMar>
              <w:left w:w="0" w:type="dxa"/>
            </w:tcMar>
          </w:tcPr>
          <w:p w14:paraId="6C64A6EB" w14:textId="091C60C1" w:rsidR="00F53917" w:rsidRPr="00D160FB" w:rsidRDefault="0026632F" w:rsidP="00163868">
            <w:pPr>
              <w:pStyle w:val="Marginlie"/>
              <w:rPr>
                <w:lang w:val="en-GB"/>
              </w:rPr>
            </w:pPr>
            <w:r w:rsidRPr="00D160FB">
              <w:rPr>
                <w:lang w:val="en-GB"/>
              </w:rPr>
              <w:t xml:space="preserve">Trade with oil and natural gas was the main cause of the foreign trade with </w:t>
            </w:r>
            <w:r w:rsidRPr="00D160FB">
              <w:rPr>
                <w:lang w:val="en-GB"/>
              </w:rPr>
              <w:lastRenderedPageBreak/>
              <w:t xml:space="preserve">goods balance deterioration. </w:t>
            </w:r>
          </w:p>
        </w:tc>
        <w:tc>
          <w:tcPr>
            <w:tcW w:w="152" w:type="dxa"/>
            <w:shd w:val="clear" w:color="auto" w:fill="auto"/>
            <w:tcMar>
              <w:left w:w="0" w:type="dxa"/>
            </w:tcMar>
          </w:tcPr>
          <w:p w14:paraId="6C647A7B"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65BBBD4A" w14:textId="5A7A49CD" w:rsidR="00F53917" w:rsidRPr="00D160FB" w:rsidRDefault="0026632F" w:rsidP="00163868">
            <w:pPr>
              <w:spacing w:after="180"/>
              <w:rPr>
                <w:spacing w:val="-4"/>
                <w:lang w:val="en-GB"/>
              </w:rPr>
            </w:pPr>
            <w:r w:rsidRPr="00D160FB">
              <w:rPr>
                <w:spacing w:val="-4"/>
                <w:lang w:val="en-GB"/>
              </w:rPr>
              <w:t xml:space="preserve">Balance of trade with oil and natural gas worsened the most </w:t>
            </w:r>
            <w:r w:rsidR="00F53917" w:rsidRPr="00D160FB">
              <w:rPr>
                <w:spacing w:val="-4"/>
                <w:lang w:val="en-GB"/>
              </w:rPr>
              <w:t>(−177</w:t>
            </w:r>
            <w:r w:rsidRPr="00D160FB">
              <w:rPr>
                <w:spacing w:val="-4"/>
                <w:lang w:val="en-GB"/>
              </w:rPr>
              <w:t>.</w:t>
            </w:r>
            <w:r w:rsidR="00F53917" w:rsidRPr="00D160FB">
              <w:rPr>
                <w:spacing w:val="-4"/>
                <w:lang w:val="en-GB"/>
              </w:rPr>
              <w:t>0</w:t>
            </w:r>
            <w:r w:rsidRPr="00D160FB">
              <w:rPr>
                <w:spacing w:val="-4"/>
                <w:lang w:val="en-GB"/>
              </w:rPr>
              <w:t xml:space="preserve"> CZK bn</w:t>
            </w:r>
            <w:r w:rsidR="00F53917" w:rsidRPr="00D160FB">
              <w:rPr>
                <w:spacing w:val="-4"/>
                <w:lang w:val="en-GB"/>
              </w:rPr>
              <w:t xml:space="preserve">) </w:t>
            </w:r>
            <w:r w:rsidRPr="00D160FB">
              <w:rPr>
                <w:spacing w:val="-4"/>
                <w:lang w:val="en-GB"/>
              </w:rPr>
              <w:t xml:space="preserve">last year and further with basic metals </w:t>
            </w:r>
            <w:r w:rsidR="00F53917" w:rsidRPr="00D160FB">
              <w:rPr>
                <w:spacing w:val="-4"/>
                <w:lang w:val="en-GB"/>
              </w:rPr>
              <w:t>(−29</w:t>
            </w:r>
            <w:r w:rsidRPr="00D160FB">
              <w:rPr>
                <w:spacing w:val="-4"/>
                <w:lang w:val="en-GB"/>
              </w:rPr>
              <w:t>.</w:t>
            </w:r>
            <w:r w:rsidR="00F53917" w:rsidRPr="00D160FB">
              <w:rPr>
                <w:spacing w:val="-4"/>
                <w:lang w:val="en-GB"/>
              </w:rPr>
              <w:t>6</w:t>
            </w:r>
            <w:r w:rsidRPr="00D160FB">
              <w:rPr>
                <w:spacing w:val="-4"/>
                <w:lang w:val="en-GB"/>
              </w:rPr>
              <w:t xml:space="preserve"> bn</w:t>
            </w:r>
            <w:r w:rsidR="00F53917" w:rsidRPr="00D160FB">
              <w:rPr>
                <w:spacing w:val="-4"/>
                <w:lang w:val="en-GB"/>
              </w:rPr>
              <w:t>), ele</w:t>
            </w:r>
            <w:r w:rsidRPr="00D160FB">
              <w:rPr>
                <w:spacing w:val="-4"/>
                <w:lang w:val="en-GB"/>
              </w:rPr>
              <w:t xml:space="preserve">ctrical equipment </w:t>
            </w:r>
            <w:r w:rsidR="00F53917" w:rsidRPr="00D160FB">
              <w:rPr>
                <w:spacing w:val="-4"/>
                <w:lang w:val="en-GB"/>
              </w:rPr>
              <w:t>(−23</w:t>
            </w:r>
            <w:r w:rsidRPr="00D160FB">
              <w:rPr>
                <w:spacing w:val="-4"/>
                <w:lang w:val="en-GB"/>
              </w:rPr>
              <w:t>.</w:t>
            </w:r>
            <w:r w:rsidR="00F53917" w:rsidRPr="00D160FB">
              <w:rPr>
                <w:spacing w:val="-4"/>
                <w:lang w:val="en-GB"/>
              </w:rPr>
              <w:t>0</w:t>
            </w:r>
            <w:r w:rsidRPr="00D160FB">
              <w:rPr>
                <w:spacing w:val="-4"/>
                <w:lang w:val="en-GB"/>
              </w:rPr>
              <w:t xml:space="preserve"> bn</w:t>
            </w:r>
            <w:r w:rsidR="00F53917" w:rsidRPr="00D160FB">
              <w:rPr>
                <w:spacing w:val="-4"/>
                <w:lang w:val="en-GB"/>
              </w:rPr>
              <w:t>),</w:t>
            </w:r>
            <w:r w:rsidRPr="00D160FB">
              <w:rPr>
                <w:spacing w:val="-4"/>
                <w:lang w:val="en-GB"/>
              </w:rPr>
              <w:t xml:space="preserve"> coke and </w:t>
            </w:r>
            <w:r w:rsidR="00186538">
              <w:rPr>
                <w:spacing w:val="-4"/>
                <w:lang w:val="en-GB"/>
              </w:rPr>
              <w:t>refined petroleum</w:t>
            </w:r>
            <w:r w:rsidRPr="00D160FB">
              <w:rPr>
                <w:spacing w:val="-4"/>
                <w:lang w:val="en-GB"/>
              </w:rPr>
              <w:t xml:space="preserve"> products </w:t>
            </w:r>
            <w:r w:rsidR="00F53917" w:rsidRPr="00D160FB">
              <w:rPr>
                <w:spacing w:val="-4"/>
                <w:lang w:val="en-GB"/>
              </w:rPr>
              <w:t>(−22</w:t>
            </w:r>
            <w:r w:rsidRPr="00D160FB">
              <w:rPr>
                <w:spacing w:val="-4"/>
                <w:lang w:val="en-GB"/>
              </w:rPr>
              <w:t>.</w:t>
            </w:r>
            <w:r w:rsidR="00F53917" w:rsidRPr="00D160FB">
              <w:rPr>
                <w:spacing w:val="-4"/>
                <w:lang w:val="en-GB"/>
              </w:rPr>
              <w:t>8</w:t>
            </w:r>
            <w:r w:rsidRPr="00D160FB">
              <w:rPr>
                <w:spacing w:val="-4"/>
                <w:lang w:val="en-GB"/>
              </w:rPr>
              <w:t xml:space="preserve"> bn</w:t>
            </w:r>
            <w:r w:rsidR="00F53917" w:rsidRPr="00D160FB">
              <w:rPr>
                <w:spacing w:val="-4"/>
                <w:lang w:val="en-GB"/>
              </w:rPr>
              <w:t>) a</w:t>
            </w:r>
            <w:r w:rsidRPr="00D160FB">
              <w:rPr>
                <w:spacing w:val="-4"/>
                <w:lang w:val="en-GB"/>
              </w:rPr>
              <w:t xml:space="preserve">nd chemical substances and products </w:t>
            </w:r>
            <w:r w:rsidR="00F53917" w:rsidRPr="00D160FB">
              <w:rPr>
                <w:spacing w:val="-4"/>
                <w:lang w:val="en-GB"/>
              </w:rPr>
              <w:t>(−17</w:t>
            </w:r>
            <w:r w:rsidRPr="00D160FB">
              <w:rPr>
                <w:spacing w:val="-4"/>
                <w:lang w:val="en-GB"/>
              </w:rPr>
              <w:t>.</w:t>
            </w:r>
            <w:r w:rsidR="00F53917" w:rsidRPr="00D160FB">
              <w:rPr>
                <w:spacing w:val="-4"/>
                <w:lang w:val="en-GB"/>
              </w:rPr>
              <w:t>6</w:t>
            </w:r>
            <w:r w:rsidRPr="00D160FB">
              <w:rPr>
                <w:spacing w:val="-4"/>
                <w:lang w:val="en-GB"/>
              </w:rPr>
              <w:t xml:space="preserve"> bn</w:t>
            </w:r>
            <w:r w:rsidR="00F53917" w:rsidRPr="00D160FB">
              <w:rPr>
                <w:spacing w:val="-4"/>
                <w:lang w:val="en-GB"/>
              </w:rPr>
              <w:t xml:space="preserve">). </w:t>
            </w:r>
            <w:r w:rsidR="00E95DAB" w:rsidRPr="00D160FB">
              <w:rPr>
                <w:spacing w:val="-4"/>
                <w:lang w:val="en-GB"/>
              </w:rPr>
              <w:t xml:space="preserve">Trade with brown coal and lignite </w:t>
            </w:r>
            <w:r w:rsidR="00F53917" w:rsidRPr="00D160FB">
              <w:rPr>
                <w:spacing w:val="-4"/>
                <w:lang w:val="en-GB"/>
              </w:rPr>
              <w:t>(−14</w:t>
            </w:r>
            <w:r w:rsidR="00E95DAB" w:rsidRPr="00D160FB">
              <w:rPr>
                <w:spacing w:val="-4"/>
                <w:lang w:val="en-GB"/>
              </w:rPr>
              <w:t>.</w:t>
            </w:r>
            <w:r w:rsidR="00F53917" w:rsidRPr="00D160FB">
              <w:rPr>
                <w:spacing w:val="-4"/>
                <w:lang w:val="en-GB"/>
              </w:rPr>
              <w:t>0</w:t>
            </w:r>
            <w:r w:rsidR="00E95DAB" w:rsidRPr="00D160FB">
              <w:rPr>
                <w:spacing w:val="-4"/>
                <w:lang w:val="en-GB"/>
              </w:rPr>
              <w:t xml:space="preserve"> CZK bn</w:t>
            </w:r>
            <w:r w:rsidR="00F53917" w:rsidRPr="00D160FB">
              <w:rPr>
                <w:spacing w:val="-4"/>
                <w:lang w:val="en-GB"/>
              </w:rPr>
              <w:t>),</w:t>
            </w:r>
            <w:r w:rsidR="00E95DAB" w:rsidRPr="00D160FB">
              <w:rPr>
                <w:spacing w:val="-4"/>
                <w:lang w:val="en-GB"/>
              </w:rPr>
              <w:t xml:space="preserve"> wearing apparel </w:t>
            </w:r>
            <w:r w:rsidR="00F53917" w:rsidRPr="00D160FB">
              <w:rPr>
                <w:spacing w:val="-4"/>
                <w:lang w:val="en-GB"/>
              </w:rPr>
              <w:t>(−9</w:t>
            </w:r>
            <w:r w:rsidR="00E95DAB" w:rsidRPr="00D160FB">
              <w:rPr>
                <w:spacing w:val="-4"/>
                <w:lang w:val="en-GB"/>
              </w:rPr>
              <w:t>.</w:t>
            </w:r>
            <w:r w:rsidR="00F53917" w:rsidRPr="00D160FB">
              <w:rPr>
                <w:spacing w:val="-4"/>
                <w:lang w:val="en-GB"/>
              </w:rPr>
              <w:t>8</w:t>
            </w:r>
            <w:r w:rsidR="00E95DAB" w:rsidRPr="00D160FB">
              <w:rPr>
                <w:spacing w:val="-4"/>
                <w:lang w:val="en-GB"/>
              </w:rPr>
              <w:t xml:space="preserve"> bn</w:t>
            </w:r>
            <w:r w:rsidR="00F53917" w:rsidRPr="00D160FB">
              <w:rPr>
                <w:spacing w:val="-4"/>
                <w:lang w:val="en-GB"/>
              </w:rPr>
              <w:t xml:space="preserve">), </w:t>
            </w:r>
            <w:r w:rsidR="00E95DAB" w:rsidRPr="00D160FB">
              <w:rPr>
                <w:spacing w:val="-4"/>
                <w:lang w:val="en-GB"/>
              </w:rPr>
              <w:t xml:space="preserve">food products </w:t>
            </w:r>
            <w:r w:rsidR="00F53917" w:rsidRPr="00D160FB">
              <w:rPr>
                <w:spacing w:val="-4"/>
                <w:lang w:val="en-GB"/>
              </w:rPr>
              <w:t>(−6</w:t>
            </w:r>
            <w:r w:rsidR="00E95DAB" w:rsidRPr="00D160FB">
              <w:rPr>
                <w:spacing w:val="-4"/>
                <w:lang w:val="en-GB"/>
              </w:rPr>
              <w:t>.</w:t>
            </w:r>
            <w:r w:rsidR="00F53917" w:rsidRPr="00D160FB">
              <w:rPr>
                <w:spacing w:val="-4"/>
                <w:lang w:val="en-GB"/>
              </w:rPr>
              <w:t>3</w:t>
            </w:r>
            <w:r w:rsidR="00E95DAB" w:rsidRPr="00D160FB">
              <w:rPr>
                <w:spacing w:val="-4"/>
                <w:lang w:val="en-GB"/>
              </w:rPr>
              <w:t xml:space="preserve"> bn</w:t>
            </w:r>
            <w:r w:rsidR="00F53917" w:rsidRPr="00D160FB">
              <w:rPr>
                <w:spacing w:val="-4"/>
                <w:lang w:val="en-GB"/>
              </w:rPr>
              <w:t>),</w:t>
            </w:r>
            <w:r w:rsidR="00E95DAB" w:rsidRPr="00D160FB">
              <w:rPr>
                <w:spacing w:val="-4"/>
                <w:lang w:val="en-GB"/>
              </w:rPr>
              <w:t xml:space="preserve"> other products </w:t>
            </w:r>
            <w:r w:rsidR="00E95DAB" w:rsidRPr="00D160FB">
              <w:rPr>
                <w:spacing w:val="-4"/>
                <w:lang w:val="en-GB"/>
              </w:rPr>
              <w:lastRenderedPageBreak/>
              <w:t xml:space="preserve">of manufacturing </w:t>
            </w:r>
            <w:r w:rsidR="00F53917" w:rsidRPr="00D160FB">
              <w:rPr>
                <w:spacing w:val="-4"/>
                <w:lang w:val="en-GB"/>
              </w:rPr>
              <w:t>(−4</w:t>
            </w:r>
            <w:r w:rsidR="00E95DAB" w:rsidRPr="00D160FB">
              <w:rPr>
                <w:spacing w:val="-4"/>
                <w:lang w:val="en-GB"/>
              </w:rPr>
              <w:t>.</w:t>
            </w:r>
            <w:r w:rsidR="00F53917" w:rsidRPr="00D160FB">
              <w:rPr>
                <w:spacing w:val="-4"/>
                <w:lang w:val="en-GB"/>
              </w:rPr>
              <w:t>7</w:t>
            </w:r>
            <w:r w:rsidR="00E95DAB" w:rsidRPr="00D160FB">
              <w:rPr>
                <w:spacing w:val="-4"/>
                <w:lang w:val="en-GB"/>
              </w:rPr>
              <w:t xml:space="preserve"> bn</w:t>
            </w:r>
            <w:r w:rsidR="00F53917" w:rsidRPr="00D160FB">
              <w:rPr>
                <w:spacing w:val="-4"/>
                <w:lang w:val="en-GB"/>
              </w:rPr>
              <w:t xml:space="preserve">), </w:t>
            </w:r>
            <w:r w:rsidR="00E95DAB" w:rsidRPr="00D160FB">
              <w:rPr>
                <w:spacing w:val="-4"/>
                <w:lang w:val="en-GB"/>
              </w:rPr>
              <w:t xml:space="preserve">other transport equipment </w:t>
            </w:r>
            <w:r w:rsidR="00F53917" w:rsidRPr="00D160FB">
              <w:rPr>
                <w:spacing w:val="-4"/>
                <w:lang w:val="en-GB"/>
              </w:rPr>
              <w:t>(−4</w:t>
            </w:r>
            <w:r w:rsidR="00E95DAB" w:rsidRPr="00D160FB">
              <w:rPr>
                <w:spacing w:val="-4"/>
                <w:lang w:val="en-GB"/>
              </w:rPr>
              <w:t>.</w:t>
            </w:r>
            <w:r w:rsidR="00F53917" w:rsidRPr="00D160FB">
              <w:rPr>
                <w:spacing w:val="-4"/>
                <w:lang w:val="en-GB"/>
              </w:rPr>
              <w:t>6</w:t>
            </w:r>
            <w:r w:rsidR="00E95DAB" w:rsidRPr="00D160FB">
              <w:rPr>
                <w:spacing w:val="-4"/>
                <w:lang w:val="en-GB"/>
              </w:rPr>
              <w:t xml:space="preserve"> bn</w:t>
            </w:r>
            <w:r w:rsidR="00F53917" w:rsidRPr="00D160FB">
              <w:rPr>
                <w:spacing w:val="-4"/>
                <w:lang w:val="en-GB"/>
              </w:rPr>
              <w:t>)</w:t>
            </w:r>
            <w:r w:rsidR="00E95DAB" w:rsidRPr="00D160FB">
              <w:rPr>
                <w:spacing w:val="-4"/>
                <w:lang w:val="en-GB"/>
              </w:rPr>
              <w:t xml:space="preserve"> or </w:t>
            </w:r>
            <w:r w:rsidR="002376D3" w:rsidRPr="00D160FB">
              <w:rPr>
                <w:spacing w:val="-4"/>
                <w:lang w:val="en-GB"/>
              </w:rPr>
              <w:t xml:space="preserve">leather and associated products </w:t>
            </w:r>
            <w:r w:rsidR="00F53917" w:rsidRPr="00D160FB">
              <w:rPr>
                <w:spacing w:val="-4"/>
                <w:lang w:val="en-GB"/>
              </w:rPr>
              <w:t>(−4</w:t>
            </w:r>
            <w:r w:rsidR="002376D3" w:rsidRPr="00D160FB">
              <w:rPr>
                <w:spacing w:val="-4"/>
                <w:lang w:val="en-GB"/>
              </w:rPr>
              <w:t>.</w:t>
            </w:r>
            <w:r w:rsidR="00F53917" w:rsidRPr="00D160FB">
              <w:rPr>
                <w:spacing w:val="-4"/>
                <w:lang w:val="en-GB"/>
              </w:rPr>
              <w:t>5</w:t>
            </w:r>
            <w:r w:rsidR="002376D3" w:rsidRPr="00D160FB">
              <w:rPr>
                <w:spacing w:val="-4"/>
                <w:lang w:val="en-GB"/>
              </w:rPr>
              <w:t xml:space="preserve"> bn</w:t>
            </w:r>
            <w:r w:rsidR="00F53917" w:rsidRPr="00D160FB">
              <w:rPr>
                <w:spacing w:val="-4"/>
                <w:lang w:val="en-GB"/>
              </w:rPr>
              <w:t>)</w:t>
            </w:r>
            <w:r w:rsidR="00E95DAB" w:rsidRPr="00D160FB">
              <w:rPr>
                <w:spacing w:val="-4"/>
                <w:lang w:val="en-GB"/>
              </w:rPr>
              <w:t xml:space="preserve"> also had an adverse effect on the total balance</w:t>
            </w:r>
            <w:r w:rsidR="00F53917" w:rsidRPr="00D160FB">
              <w:rPr>
                <w:spacing w:val="-4"/>
                <w:lang w:val="en-GB"/>
              </w:rPr>
              <w:t xml:space="preserve">. </w:t>
            </w:r>
            <w:r w:rsidR="00E95DAB" w:rsidRPr="00D160FB">
              <w:rPr>
                <w:spacing w:val="-4"/>
                <w:lang w:val="en-GB"/>
              </w:rPr>
              <w:t>Balance improvement on the con</w:t>
            </w:r>
            <w:r w:rsidR="002376D3" w:rsidRPr="00D160FB">
              <w:rPr>
                <w:spacing w:val="-4"/>
                <w:lang w:val="en-GB"/>
              </w:rPr>
              <w:t xml:space="preserve">trary </w:t>
            </w:r>
            <w:r w:rsidR="00E95DAB" w:rsidRPr="00D160FB">
              <w:rPr>
                <w:spacing w:val="-4"/>
                <w:lang w:val="en-GB"/>
              </w:rPr>
              <w:t xml:space="preserve">occurred in case of trade with electricity, gas, steam and air conditioning </w:t>
            </w:r>
            <w:r w:rsidR="00F53917" w:rsidRPr="00D160FB">
              <w:rPr>
                <w:spacing w:val="-4"/>
                <w:lang w:val="en-GB"/>
              </w:rPr>
              <w:t>(+46</w:t>
            </w:r>
            <w:r w:rsidR="00E95DAB" w:rsidRPr="00D160FB">
              <w:rPr>
                <w:spacing w:val="-4"/>
                <w:lang w:val="en-GB"/>
              </w:rPr>
              <w:t>.</w:t>
            </w:r>
            <w:r w:rsidR="00F53917" w:rsidRPr="00D160FB">
              <w:rPr>
                <w:spacing w:val="-4"/>
                <w:lang w:val="en-GB"/>
              </w:rPr>
              <w:t>6</w:t>
            </w:r>
            <w:r w:rsidR="00E95DAB" w:rsidRPr="00D160FB">
              <w:rPr>
                <w:spacing w:val="-4"/>
                <w:lang w:val="en-GB"/>
              </w:rPr>
              <w:t xml:space="preserve"> CZK bn</w:t>
            </w:r>
            <w:r w:rsidR="00F53917" w:rsidRPr="00D160FB">
              <w:rPr>
                <w:spacing w:val="-4"/>
                <w:lang w:val="en-GB"/>
              </w:rPr>
              <w:t>), motor</w:t>
            </w:r>
            <w:r w:rsidR="00E95DAB" w:rsidRPr="00D160FB">
              <w:rPr>
                <w:spacing w:val="-4"/>
                <w:lang w:val="en-GB"/>
              </w:rPr>
              <w:t xml:space="preserve"> vehicles </w:t>
            </w:r>
            <w:r w:rsidR="00F53917" w:rsidRPr="00D160FB">
              <w:rPr>
                <w:spacing w:val="-4"/>
                <w:lang w:val="en-GB"/>
              </w:rPr>
              <w:t>(+35</w:t>
            </w:r>
            <w:r w:rsidR="00E95DAB" w:rsidRPr="00D160FB">
              <w:rPr>
                <w:spacing w:val="-4"/>
                <w:lang w:val="en-GB"/>
              </w:rPr>
              <w:t>.</w:t>
            </w:r>
            <w:r w:rsidR="00F53917" w:rsidRPr="00D160FB">
              <w:rPr>
                <w:spacing w:val="-4"/>
                <w:lang w:val="en-GB"/>
              </w:rPr>
              <w:t>4</w:t>
            </w:r>
            <w:r w:rsidR="00E95DAB" w:rsidRPr="00D160FB">
              <w:rPr>
                <w:spacing w:val="-4"/>
                <w:lang w:val="en-GB"/>
              </w:rPr>
              <w:t xml:space="preserve"> bn</w:t>
            </w:r>
            <w:r w:rsidR="00F53917" w:rsidRPr="00D160FB">
              <w:rPr>
                <w:spacing w:val="-4"/>
                <w:lang w:val="en-GB"/>
              </w:rPr>
              <w:t>),</w:t>
            </w:r>
            <w:r w:rsidR="00E95DAB" w:rsidRPr="00D160FB">
              <w:rPr>
                <w:spacing w:val="-4"/>
                <w:lang w:val="en-GB"/>
              </w:rPr>
              <w:t xml:space="preserve"> </w:t>
            </w:r>
            <w:r w:rsidR="00186538">
              <w:rPr>
                <w:spacing w:val="-4"/>
                <w:lang w:val="en-GB"/>
              </w:rPr>
              <w:t>fabricated metal</w:t>
            </w:r>
            <w:r w:rsidR="00E95DAB" w:rsidRPr="00D160FB">
              <w:rPr>
                <w:spacing w:val="-4"/>
                <w:lang w:val="en-GB"/>
              </w:rPr>
              <w:t xml:space="preserve"> products </w:t>
            </w:r>
            <w:r w:rsidR="00F53917" w:rsidRPr="00D160FB">
              <w:rPr>
                <w:spacing w:val="-4"/>
                <w:lang w:val="en-GB"/>
              </w:rPr>
              <w:t>(+10</w:t>
            </w:r>
            <w:r w:rsidR="00E95DAB" w:rsidRPr="00D160FB">
              <w:rPr>
                <w:spacing w:val="-4"/>
                <w:lang w:val="en-GB"/>
              </w:rPr>
              <w:t>.</w:t>
            </w:r>
            <w:r w:rsidR="00F53917" w:rsidRPr="00D160FB">
              <w:rPr>
                <w:spacing w:val="-4"/>
                <w:lang w:val="en-GB"/>
              </w:rPr>
              <w:t>0</w:t>
            </w:r>
            <w:r w:rsidR="00E95DAB" w:rsidRPr="00D160FB">
              <w:rPr>
                <w:spacing w:val="-4"/>
                <w:lang w:val="en-GB"/>
              </w:rPr>
              <w:t xml:space="preserve"> bn</w:t>
            </w:r>
            <w:r w:rsidR="00F53917" w:rsidRPr="00D160FB">
              <w:rPr>
                <w:spacing w:val="-4"/>
                <w:lang w:val="en-GB"/>
              </w:rPr>
              <w:t xml:space="preserve">) </w:t>
            </w:r>
            <w:r w:rsidR="00E95DAB" w:rsidRPr="00D160FB">
              <w:rPr>
                <w:spacing w:val="-4"/>
                <w:lang w:val="en-GB"/>
              </w:rPr>
              <w:t xml:space="preserve">or products of agriculture and hunting </w:t>
            </w:r>
            <w:r w:rsidR="00F53917" w:rsidRPr="00D160FB">
              <w:rPr>
                <w:spacing w:val="-4"/>
                <w:lang w:val="en-GB"/>
              </w:rPr>
              <w:t>(+7</w:t>
            </w:r>
            <w:r w:rsidR="00E95DAB" w:rsidRPr="00D160FB">
              <w:rPr>
                <w:spacing w:val="-4"/>
                <w:lang w:val="en-GB"/>
              </w:rPr>
              <w:t>.</w:t>
            </w:r>
            <w:r w:rsidR="00F53917" w:rsidRPr="00D160FB">
              <w:rPr>
                <w:spacing w:val="-4"/>
                <w:lang w:val="en-GB"/>
              </w:rPr>
              <w:t>9</w:t>
            </w:r>
            <w:r w:rsidR="00E95DAB" w:rsidRPr="00D160FB">
              <w:rPr>
                <w:spacing w:val="-4"/>
                <w:lang w:val="en-GB"/>
              </w:rPr>
              <w:t xml:space="preserve"> bn</w:t>
            </w:r>
            <w:r w:rsidR="00F53917" w:rsidRPr="00D160FB">
              <w:rPr>
                <w:spacing w:val="-4"/>
                <w:lang w:val="en-GB"/>
              </w:rPr>
              <w:t xml:space="preserve">). </w:t>
            </w:r>
          </w:p>
        </w:tc>
      </w:tr>
      <w:tr w:rsidR="00F53917" w:rsidRPr="00D160FB" w14:paraId="7B223ABE" w14:textId="77777777" w:rsidTr="0063723A">
        <w:trPr>
          <w:trHeight w:val="145"/>
        </w:trPr>
        <w:tc>
          <w:tcPr>
            <w:tcW w:w="1476" w:type="dxa"/>
            <w:shd w:val="clear" w:color="auto" w:fill="auto"/>
            <w:tcMar>
              <w:left w:w="0" w:type="dxa"/>
            </w:tcMar>
          </w:tcPr>
          <w:p w14:paraId="7ED29B38" w14:textId="558DAC03" w:rsidR="00F53917" w:rsidRPr="00D160FB" w:rsidRDefault="0047053B" w:rsidP="00163868">
            <w:pPr>
              <w:pStyle w:val="Marginlie"/>
              <w:rPr>
                <w:lang w:val="en-GB"/>
              </w:rPr>
            </w:pPr>
            <w:r w:rsidRPr="00D160FB">
              <w:rPr>
                <w:lang w:val="en-GB"/>
              </w:rPr>
              <w:lastRenderedPageBreak/>
              <w:t>Trade with oil and natur</w:t>
            </w:r>
            <w:r w:rsidR="00312E51">
              <w:rPr>
                <w:lang w:val="en-GB"/>
              </w:rPr>
              <w:t>al gas and electrical equipment</w:t>
            </w:r>
            <w:r w:rsidRPr="00D160FB">
              <w:rPr>
                <w:lang w:val="en-GB"/>
              </w:rPr>
              <w:t xml:space="preserve"> worsened the balance at the end of the year. </w:t>
            </w:r>
          </w:p>
        </w:tc>
        <w:tc>
          <w:tcPr>
            <w:tcW w:w="152" w:type="dxa"/>
            <w:shd w:val="clear" w:color="auto" w:fill="auto"/>
            <w:tcMar>
              <w:left w:w="0" w:type="dxa"/>
            </w:tcMar>
          </w:tcPr>
          <w:p w14:paraId="7099B857"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5441CB54" w14:textId="3AA3A82F" w:rsidR="00F53917" w:rsidRPr="00D160FB" w:rsidRDefault="0047053B" w:rsidP="00163868">
            <w:pPr>
              <w:spacing w:after="180"/>
              <w:rPr>
                <w:spacing w:val="-4"/>
                <w:lang w:val="en-GB"/>
              </w:rPr>
            </w:pPr>
            <w:r w:rsidRPr="00D160FB">
              <w:rPr>
                <w:spacing w:val="-4"/>
                <w:lang w:val="en-GB"/>
              </w:rPr>
              <w:t xml:space="preserve">Trade with oil and natural gas </w:t>
            </w:r>
            <w:r w:rsidR="00F53917" w:rsidRPr="00D160FB">
              <w:rPr>
                <w:spacing w:val="-4"/>
                <w:lang w:val="en-GB"/>
              </w:rPr>
              <w:t>(−24</w:t>
            </w:r>
            <w:r w:rsidRPr="00D160FB">
              <w:rPr>
                <w:spacing w:val="-4"/>
                <w:lang w:val="en-GB"/>
              </w:rPr>
              <w:t>.</w:t>
            </w:r>
            <w:r w:rsidR="00F53917" w:rsidRPr="00D160FB">
              <w:rPr>
                <w:spacing w:val="-4"/>
                <w:lang w:val="en-GB"/>
              </w:rPr>
              <w:t>6</w:t>
            </w:r>
            <w:r w:rsidRPr="00D160FB">
              <w:rPr>
                <w:spacing w:val="-4"/>
                <w:lang w:val="en-GB"/>
              </w:rPr>
              <w:t xml:space="preserve"> CZK bn</w:t>
            </w:r>
            <w:r w:rsidR="00F53917" w:rsidRPr="00D160FB">
              <w:rPr>
                <w:spacing w:val="-4"/>
                <w:lang w:val="en-GB"/>
              </w:rPr>
              <w:t>) a</w:t>
            </w:r>
            <w:r w:rsidRPr="00D160FB">
              <w:rPr>
                <w:spacing w:val="-4"/>
                <w:lang w:val="en-GB"/>
              </w:rPr>
              <w:t xml:space="preserve">nd electrical equipment </w:t>
            </w:r>
            <w:r w:rsidR="00F53917" w:rsidRPr="00D160FB">
              <w:rPr>
                <w:spacing w:val="-4"/>
                <w:lang w:val="en-GB"/>
              </w:rPr>
              <w:t>(−15</w:t>
            </w:r>
            <w:r w:rsidRPr="00D160FB">
              <w:rPr>
                <w:spacing w:val="-4"/>
                <w:lang w:val="en-GB"/>
              </w:rPr>
              <w:t>.</w:t>
            </w:r>
            <w:r w:rsidR="00F53917" w:rsidRPr="00D160FB">
              <w:rPr>
                <w:spacing w:val="-4"/>
                <w:lang w:val="en-GB"/>
              </w:rPr>
              <w:t>2</w:t>
            </w:r>
            <w:r w:rsidRPr="00D160FB">
              <w:rPr>
                <w:spacing w:val="-4"/>
                <w:lang w:val="en-GB"/>
              </w:rPr>
              <w:t xml:space="preserve"> bn</w:t>
            </w:r>
            <w:r w:rsidR="00F53917" w:rsidRPr="00D160FB">
              <w:rPr>
                <w:spacing w:val="-4"/>
                <w:lang w:val="en-GB"/>
              </w:rPr>
              <w:t>)</w:t>
            </w:r>
            <w:r w:rsidRPr="00D160FB">
              <w:rPr>
                <w:spacing w:val="-4"/>
                <w:lang w:val="en-GB"/>
              </w:rPr>
              <w:t xml:space="preserve"> worsened the balance the most year-on-year in Q4</w:t>
            </w:r>
            <w:r w:rsidR="00F53917" w:rsidRPr="00D160FB">
              <w:rPr>
                <w:spacing w:val="-4"/>
                <w:lang w:val="en-GB"/>
              </w:rPr>
              <w:t xml:space="preserve">. </w:t>
            </w:r>
            <w:r w:rsidR="00AE631C" w:rsidRPr="00D160FB">
              <w:rPr>
                <w:spacing w:val="-4"/>
                <w:lang w:val="en-GB"/>
              </w:rPr>
              <w:t xml:space="preserve">The deficit for coke and </w:t>
            </w:r>
            <w:r w:rsidR="00186538">
              <w:rPr>
                <w:spacing w:val="-4"/>
                <w:lang w:val="en-GB"/>
              </w:rPr>
              <w:t>refined petroleum</w:t>
            </w:r>
            <w:r w:rsidR="00AE631C" w:rsidRPr="00D160FB">
              <w:rPr>
                <w:spacing w:val="-4"/>
                <w:lang w:val="en-GB"/>
              </w:rPr>
              <w:t xml:space="preserve"> products </w:t>
            </w:r>
            <w:r w:rsidR="00F53917" w:rsidRPr="00D160FB">
              <w:rPr>
                <w:spacing w:val="-4"/>
                <w:lang w:val="en-GB"/>
              </w:rPr>
              <w:t>(−3</w:t>
            </w:r>
            <w:r w:rsidR="00AE631C" w:rsidRPr="00D160FB">
              <w:rPr>
                <w:spacing w:val="-4"/>
                <w:lang w:val="en-GB"/>
              </w:rPr>
              <w:t>.</w:t>
            </w:r>
            <w:r w:rsidR="00F53917" w:rsidRPr="00D160FB">
              <w:rPr>
                <w:spacing w:val="-4"/>
                <w:lang w:val="en-GB"/>
              </w:rPr>
              <w:t>9</w:t>
            </w:r>
            <w:r w:rsidR="00AE631C" w:rsidRPr="00D160FB">
              <w:rPr>
                <w:spacing w:val="-4"/>
                <w:lang w:val="en-GB"/>
              </w:rPr>
              <w:t xml:space="preserve"> CZK bn</w:t>
            </w:r>
            <w:r w:rsidR="00F53917" w:rsidRPr="00D160FB">
              <w:rPr>
                <w:spacing w:val="-4"/>
                <w:lang w:val="en-GB"/>
              </w:rPr>
              <w:t>), chemic</w:t>
            </w:r>
            <w:r w:rsidR="00AE631C" w:rsidRPr="00D160FB">
              <w:rPr>
                <w:spacing w:val="-4"/>
                <w:lang w:val="en-GB"/>
              </w:rPr>
              <w:t xml:space="preserve">al substances and products </w:t>
            </w:r>
            <w:r w:rsidR="00F53917" w:rsidRPr="00D160FB">
              <w:rPr>
                <w:spacing w:val="-4"/>
                <w:lang w:val="en-GB"/>
              </w:rPr>
              <w:t>(−2</w:t>
            </w:r>
            <w:r w:rsidR="00AE631C" w:rsidRPr="00D160FB">
              <w:rPr>
                <w:spacing w:val="-4"/>
                <w:lang w:val="en-GB"/>
              </w:rPr>
              <w:t>.</w:t>
            </w:r>
            <w:r w:rsidR="00F53917" w:rsidRPr="00D160FB">
              <w:rPr>
                <w:spacing w:val="-4"/>
                <w:lang w:val="en-GB"/>
              </w:rPr>
              <w:t>8</w:t>
            </w:r>
            <w:r w:rsidR="00AE631C" w:rsidRPr="00D160FB">
              <w:rPr>
                <w:spacing w:val="-4"/>
                <w:lang w:val="en-GB"/>
              </w:rPr>
              <w:t xml:space="preserve"> bn</w:t>
            </w:r>
            <w:r w:rsidR="00F53917" w:rsidRPr="00D160FB">
              <w:rPr>
                <w:spacing w:val="-4"/>
                <w:lang w:val="en-GB"/>
              </w:rPr>
              <w:t>.)</w:t>
            </w:r>
            <w:r w:rsidR="00AE631C" w:rsidRPr="00D160FB">
              <w:rPr>
                <w:spacing w:val="-4"/>
                <w:lang w:val="en-GB"/>
              </w:rPr>
              <w:t xml:space="preserve"> or wearing apparel </w:t>
            </w:r>
            <w:r w:rsidR="00F53917" w:rsidRPr="00D160FB">
              <w:rPr>
                <w:spacing w:val="-4"/>
                <w:lang w:val="en-GB"/>
              </w:rPr>
              <w:t>(−2</w:t>
            </w:r>
            <w:r w:rsidR="00AE631C" w:rsidRPr="00D160FB">
              <w:rPr>
                <w:spacing w:val="-4"/>
                <w:lang w:val="en-GB"/>
              </w:rPr>
              <w:t>.</w:t>
            </w:r>
            <w:r w:rsidR="00F53917" w:rsidRPr="00D160FB">
              <w:rPr>
                <w:spacing w:val="-4"/>
                <w:lang w:val="en-GB"/>
              </w:rPr>
              <w:t>2</w:t>
            </w:r>
            <w:r w:rsidR="00AE631C" w:rsidRPr="00D160FB">
              <w:rPr>
                <w:spacing w:val="-4"/>
                <w:lang w:val="en-GB"/>
              </w:rPr>
              <w:t xml:space="preserve"> bn</w:t>
            </w:r>
            <w:r w:rsidR="00F53917" w:rsidRPr="00D160FB">
              <w:rPr>
                <w:spacing w:val="-4"/>
                <w:lang w:val="en-GB"/>
              </w:rPr>
              <w:t>)</w:t>
            </w:r>
            <w:r w:rsidR="00AE631C" w:rsidRPr="00D160FB">
              <w:rPr>
                <w:spacing w:val="-4"/>
                <w:lang w:val="en-GB"/>
              </w:rPr>
              <w:t xml:space="preserve"> also deepened</w:t>
            </w:r>
            <w:r w:rsidR="00F53917" w:rsidRPr="00D160FB">
              <w:rPr>
                <w:spacing w:val="-4"/>
                <w:lang w:val="en-GB"/>
              </w:rPr>
              <w:t xml:space="preserve">. </w:t>
            </w:r>
            <w:r w:rsidR="00456AAB" w:rsidRPr="00D160FB">
              <w:rPr>
                <w:spacing w:val="-4"/>
                <w:lang w:val="en-GB"/>
              </w:rPr>
              <w:t xml:space="preserve">Surplus of trade with electricity, gas, steam and air-conditioning also shrank </w:t>
            </w:r>
            <w:r w:rsidR="00F53917" w:rsidRPr="00D160FB">
              <w:rPr>
                <w:spacing w:val="-4"/>
                <w:lang w:val="en-GB"/>
              </w:rPr>
              <w:t>(−2</w:t>
            </w:r>
            <w:r w:rsidR="00456AAB" w:rsidRPr="00D160FB">
              <w:rPr>
                <w:spacing w:val="-4"/>
                <w:lang w:val="en-GB"/>
              </w:rPr>
              <w:t>.</w:t>
            </w:r>
            <w:r w:rsidR="00F53917" w:rsidRPr="00D160FB">
              <w:rPr>
                <w:spacing w:val="-4"/>
                <w:lang w:val="en-GB"/>
              </w:rPr>
              <w:t>5</w:t>
            </w:r>
            <w:r w:rsidR="00456AAB" w:rsidRPr="00D160FB">
              <w:rPr>
                <w:spacing w:val="-4"/>
                <w:lang w:val="en-GB"/>
              </w:rPr>
              <w:t xml:space="preserve"> CZK bn</w:t>
            </w:r>
            <w:r w:rsidR="00F53917" w:rsidRPr="00D160FB">
              <w:rPr>
                <w:spacing w:val="-4"/>
                <w:lang w:val="en-GB"/>
              </w:rPr>
              <w:t>). B</w:t>
            </w:r>
            <w:r w:rsidR="00456AAB" w:rsidRPr="00D160FB">
              <w:rPr>
                <w:spacing w:val="-4"/>
                <w:lang w:val="en-GB"/>
              </w:rPr>
              <w:t xml:space="preserve">alance was improving for a minority of products. </w:t>
            </w:r>
            <w:r w:rsidR="00603787" w:rsidRPr="00D160FB">
              <w:rPr>
                <w:spacing w:val="-4"/>
                <w:lang w:val="en-GB"/>
              </w:rPr>
              <w:t xml:space="preserve">Marked year-on-year balance strengthening was recorded for trade with motor vehicles </w:t>
            </w:r>
            <w:r w:rsidR="00F53917" w:rsidRPr="00D160FB">
              <w:rPr>
                <w:spacing w:val="-4"/>
                <w:lang w:val="en-GB"/>
              </w:rPr>
              <w:t>(+14</w:t>
            </w:r>
            <w:r w:rsidR="00603787" w:rsidRPr="00D160FB">
              <w:rPr>
                <w:spacing w:val="-4"/>
                <w:lang w:val="en-GB"/>
              </w:rPr>
              <w:t>.</w:t>
            </w:r>
            <w:r w:rsidR="00F53917" w:rsidRPr="00D160FB">
              <w:rPr>
                <w:spacing w:val="-4"/>
                <w:lang w:val="en-GB"/>
              </w:rPr>
              <w:t>0</w:t>
            </w:r>
            <w:r w:rsidR="00603787" w:rsidRPr="00D160FB">
              <w:rPr>
                <w:spacing w:val="-4"/>
                <w:lang w:val="en-GB"/>
              </w:rPr>
              <w:t xml:space="preserve"> CZK bn</w:t>
            </w:r>
            <w:r w:rsidR="00F53917" w:rsidRPr="00D160FB">
              <w:rPr>
                <w:spacing w:val="-4"/>
                <w:lang w:val="en-GB"/>
              </w:rPr>
              <w:t>) a</w:t>
            </w:r>
            <w:r w:rsidR="00603787" w:rsidRPr="00D160FB">
              <w:rPr>
                <w:spacing w:val="-4"/>
                <w:lang w:val="en-GB"/>
              </w:rPr>
              <w:t xml:space="preserve">nd computers, electronic and optical </w:t>
            </w:r>
            <w:r w:rsidR="00C60FA1">
              <w:rPr>
                <w:spacing w:val="-4"/>
                <w:lang w:val="en-GB"/>
              </w:rPr>
              <w:t>products</w:t>
            </w:r>
            <w:r w:rsidR="00603787" w:rsidRPr="00D160FB">
              <w:rPr>
                <w:spacing w:val="-4"/>
                <w:lang w:val="en-GB"/>
              </w:rPr>
              <w:t xml:space="preserve"> </w:t>
            </w:r>
            <w:r w:rsidR="00F53917" w:rsidRPr="00D160FB">
              <w:rPr>
                <w:spacing w:val="-4"/>
                <w:lang w:val="en-GB"/>
              </w:rPr>
              <w:t>(+10</w:t>
            </w:r>
            <w:r w:rsidR="00603787" w:rsidRPr="00D160FB">
              <w:rPr>
                <w:spacing w:val="-4"/>
                <w:lang w:val="en-GB"/>
              </w:rPr>
              <w:t>.</w:t>
            </w:r>
            <w:r w:rsidR="00F53917" w:rsidRPr="00D160FB">
              <w:rPr>
                <w:spacing w:val="-4"/>
                <w:lang w:val="en-GB"/>
              </w:rPr>
              <w:t>4</w:t>
            </w:r>
            <w:r w:rsidR="00603787" w:rsidRPr="00D160FB">
              <w:rPr>
                <w:spacing w:val="-4"/>
                <w:lang w:val="en-GB"/>
              </w:rPr>
              <w:t xml:space="preserve"> CZK bn</w:t>
            </w:r>
            <w:r w:rsidR="00F53917" w:rsidRPr="00D160FB">
              <w:rPr>
                <w:spacing w:val="-4"/>
                <w:lang w:val="en-GB"/>
              </w:rPr>
              <w:t>)</w:t>
            </w:r>
            <w:r w:rsidR="00603787" w:rsidRPr="00D160FB">
              <w:rPr>
                <w:spacing w:val="-4"/>
                <w:lang w:val="en-GB"/>
              </w:rPr>
              <w:t xml:space="preserve"> in Q4</w:t>
            </w:r>
            <w:r w:rsidR="00F53917" w:rsidRPr="00D160FB">
              <w:rPr>
                <w:spacing w:val="-4"/>
                <w:lang w:val="en-GB"/>
              </w:rPr>
              <w:t xml:space="preserve">. </w:t>
            </w:r>
            <w:r w:rsidR="00F2507B" w:rsidRPr="00D160FB">
              <w:rPr>
                <w:spacing w:val="-4"/>
                <w:lang w:val="en-GB"/>
              </w:rPr>
              <w:t xml:space="preserve">Trade with machinery and equipment </w:t>
            </w:r>
            <w:r w:rsidR="00F53917" w:rsidRPr="00D160FB">
              <w:rPr>
                <w:spacing w:val="-4"/>
                <w:lang w:val="en-GB"/>
              </w:rPr>
              <w:t>(+6</w:t>
            </w:r>
            <w:r w:rsidR="00F2507B" w:rsidRPr="00D160FB">
              <w:rPr>
                <w:spacing w:val="-4"/>
                <w:lang w:val="en-GB"/>
              </w:rPr>
              <w:t>.</w:t>
            </w:r>
            <w:r w:rsidR="00F53917" w:rsidRPr="00D160FB">
              <w:rPr>
                <w:spacing w:val="-4"/>
                <w:lang w:val="en-GB"/>
              </w:rPr>
              <w:t>7</w:t>
            </w:r>
            <w:r w:rsidR="00F2507B" w:rsidRPr="00D160FB">
              <w:rPr>
                <w:spacing w:val="-4"/>
                <w:lang w:val="en-GB"/>
              </w:rPr>
              <w:t xml:space="preserve"> CZK bn</w:t>
            </w:r>
            <w:r w:rsidR="00F53917" w:rsidRPr="00D160FB">
              <w:rPr>
                <w:spacing w:val="-4"/>
                <w:lang w:val="en-GB"/>
              </w:rPr>
              <w:t xml:space="preserve">) </w:t>
            </w:r>
            <w:r w:rsidR="00F2507B" w:rsidRPr="00D160FB">
              <w:rPr>
                <w:spacing w:val="-4"/>
                <w:lang w:val="en-GB"/>
              </w:rPr>
              <w:t xml:space="preserve">or basic metals </w:t>
            </w:r>
            <w:r w:rsidR="00F53917" w:rsidRPr="00D160FB">
              <w:rPr>
                <w:spacing w:val="-4"/>
                <w:lang w:val="en-GB"/>
              </w:rPr>
              <w:t>(+2</w:t>
            </w:r>
            <w:r w:rsidR="00F2507B" w:rsidRPr="00D160FB">
              <w:rPr>
                <w:spacing w:val="-4"/>
                <w:lang w:val="en-GB"/>
              </w:rPr>
              <w:t>.</w:t>
            </w:r>
            <w:r w:rsidR="00F53917" w:rsidRPr="00D160FB">
              <w:rPr>
                <w:spacing w:val="-4"/>
                <w:lang w:val="en-GB"/>
              </w:rPr>
              <w:t>9</w:t>
            </w:r>
            <w:r w:rsidR="00F2507B" w:rsidRPr="00D160FB">
              <w:rPr>
                <w:spacing w:val="-4"/>
                <w:lang w:val="en-GB"/>
              </w:rPr>
              <w:t xml:space="preserve"> bn</w:t>
            </w:r>
            <w:r w:rsidR="00F53917" w:rsidRPr="00D160FB">
              <w:rPr>
                <w:spacing w:val="-4"/>
                <w:lang w:val="en-GB"/>
              </w:rPr>
              <w:t>)</w:t>
            </w:r>
            <w:r w:rsidR="00F2507B" w:rsidRPr="00D160FB">
              <w:rPr>
                <w:spacing w:val="-4"/>
                <w:lang w:val="en-GB"/>
              </w:rPr>
              <w:t xml:space="preserve"> also worked in the direction of improvement of the total balance</w:t>
            </w:r>
            <w:r w:rsidR="00F53917" w:rsidRPr="00D160FB">
              <w:rPr>
                <w:spacing w:val="-4"/>
                <w:lang w:val="en-GB"/>
              </w:rPr>
              <w:t xml:space="preserve">.    </w:t>
            </w:r>
          </w:p>
        </w:tc>
      </w:tr>
      <w:tr w:rsidR="00F53917" w:rsidRPr="00D160FB" w14:paraId="553A28BB" w14:textId="77777777" w:rsidTr="0063723A">
        <w:trPr>
          <w:trHeight w:val="106"/>
        </w:trPr>
        <w:tc>
          <w:tcPr>
            <w:tcW w:w="1476" w:type="dxa"/>
            <w:vMerge w:val="restart"/>
            <w:shd w:val="clear" w:color="auto" w:fill="auto"/>
            <w:tcMar>
              <w:left w:w="0" w:type="dxa"/>
            </w:tcMar>
          </w:tcPr>
          <w:p w14:paraId="6B347412" w14:textId="77777777" w:rsidR="00F53917" w:rsidRPr="00D160FB" w:rsidRDefault="00F53917" w:rsidP="00163868">
            <w:pPr>
              <w:pStyle w:val="Marginlie"/>
              <w:rPr>
                <w:lang w:val="en-GB"/>
              </w:rPr>
            </w:pPr>
          </w:p>
        </w:tc>
        <w:tc>
          <w:tcPr>
            <w:tcW w:w="152" w:type="dxa"/>
            <w:vMerge w:val="restart"/>
            <w:shd w:val="clear" w:color="auto" w:fill="auto"/>
            <w:tcMar>
              <w:left w:w="0" w:type="dxa"/>
            </w:tcMar>
          </w:tcPr>
          <w:p w14:paraId="5655C9DA"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342D9F04" w14:textId="3D103064" w:rsidR="00F53917" w:rsidRPr="00D160FB" w:rsidRDefault="00C55249" w:rsidP="00163868">
            <w:pPr>
              <w:spacing w:after="0"/>
              <w:rPr>
                <w:spacing w:val="-4"/>
                <w:szCs w:val="20"/>
                <w:lang w:val="en-GB"/>
              </w:rPr>
            </w:pPr>
            <w:r w:rsidRPr="00D160FB">
              <w:rPr>
                <w:rFonts w:cs="Arial"/>
                <w:b/>
                <w:bCs/>
                <w:color w:val="000000"/>
                <w:szCs w:val="20"/>
                <w:lang w:val="en-GB"/>
              </w:rPr>
              <w:t>Chart</w:t>
            </w:r>
            <w:r w:rsidR="00F53917" w:rsidRPr="00D160FB">
              <w:rPr>
                <w:rFonts w:cs="Arial"/>
                <w:b/>
                <w:bCs/>
                <w:color w:val="000000"/>
                <w:szCs w:val="20"/>
                <w:lang w:val="en-GB"/>
              </w:rPr>
              <w:t xml:space="preserve"> 10 </w:t>
            </w:r>
            <w:r w:rsidR="005C4841" w:rsidRPr="00D160FB">
              <w:rPr>
                <w:rFonts w:cs="Arial"/>
                <w:b/>
                <w:bCs/>
                <w:color w:val="000000"/>
                <w:szCs w:val="20"/>
                <w:lang w:val="en-GB"/>
              </w:rPr>
              <w:t xml:space="preserve">Balance of foreign trade with goods in foreign trade statistics </w:t>
            </w:r>
            <w:r w:rsidR="005C4841" w:rsidRPr="00D160FB">
              <w:rPr>
                <w:rFonts w:cs="Arial"/>
                <w:color w:val="000000"/>
                <w:szCs w:val="20"/>
                <w:lang w:val="en-GB"/>
              </w:rPr>
              <w:t xml:space="preserve">(cumulation of </w:t>
            </w:r>
            <w:r w:rsidR="00E87811" w:rsidRPr="00D160FB">
              <w:rPr>
                <w:rFonts w:cs="Arial"/>
                <w:color w:val="000000"/>
                <w:szCs w:val="20"/>
                <w:lang w:val="en-GB"/>
              </w:rPr>
              <w:t>entire year</w:t>
            </w:r>
            <w:r w:rsidR="005C4841" w:rsidRPr="00D160FB">
              <w:rPr>
                <w:rFonts w:cs="Arial"/>
                <w:color w:val="000000"/>
                <w:szCs w:val="20"/>
                <w:lang w:val="en-GB"/>
              </w:rPr>
              <w:t>, in CZK bn, selected divisions of the CPA classification)</w:t>
            </w:r>
          </w:p>
        </w:tc>
      </w:tr>
      <w:tr w:rsidR="00F53917" w:rsidRPr="00D160FB" w14:paraId="67DA8923" w14:textId="77777777" w:rsidTr="0063723A">
        <w:tblPrEx>
          <w:tblCellMar>
            <w:left w:w="70" w:type="dxa"/>
            <w:right w:w="70" w:type="dxa"/>
          </w:tblCellMar>
        </w:tblPrEx>
        <w:trPr>
          <w:trHeight w:val="106"/>
        </w:trPr>
        <w:tc>
          <w:tcPr>
            <w:tcW w:w="1476" w:type="dxa"/>
            <w:vMerge/>
          </w:tcPr>
          <w:p w14:paraId="33396454" w14:textId="77777777" w:rsidR="00F53917" w:rsidRPr="00D160FB" w:rsidRDefault="00F53917" w:rsidP="00163868">
            <w:pPr>
              <w:pStyle w:val="Marginlie"/>
              <w:rPr>
                <w:lang w:val="en-GB"/>
              </w:rPr>
            </w:pPr>
          </w:p>
        </w:tc>
        <w:tc>
          <w:tcPr>
            <w:tcW w:w="152" w:type="dxa"/>
            <w:vMerge/>
          </w:tcPr>
          <w:p w14:paraId="3BCAAE8D" w14:textId="77777777" w:rsidR="00F53917" w:rsidRPr="00D160FB" w:rsidRDefault="00F53917" w:rsidP="00163868">
            <w:pPr>
              <w:pStyle w:val="Textpoznpodarou"/>
              <w:jc w:val="both"/>
              <w:rPr>
                <w:spacing w:val="-4"/>
                <w:lang w:val="en-GB"/>
              </w:rPr>
            </w:pPr>
          </w:p>
        </w:tc>
        <w:tc>
          <w:tcPr>
            <w:tcW w:w="8011" w:type="dxa"/>
            <w:shd w:val="clear" w:color="auto" w:fill="auto"/>
          </w:tcPr>
          <w:p w14:paraId="69972E5D" w14:textId="4F7BD2C9" w:rsidR="00F53917" w:rsidRPr="00D160FB" w:rsidRDefault="0063723A" w:rsidP="00163868">
            <w:pPr>
              <w:spacing w:after="0"/>
              <w:rPr>
                <w:lang w:val="en-GB"/>
              </w:rPr>
            </w:pPr>
            <w:r>
              <w:rPr>
                <w:noProof/>
              </w:rPr>
              <w:drawing>
                <wp:inline distT="0" distB="0" distL="0" distR="0" wp14:anchorId="5C52396B" wp14:editId="597193E3">
                  <wp:extent cx="4737600" cy="3375400"/>
                  <wp:effectExtent l="0" t="0" r="6350" b="0"/>
                  <wp:docPr id="1180629480" name="Graf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53917" w:rsidRPr="00D160FB" w14:paraId="60DAB82F" w14:textId="77777777" w:rsidTr="0063723A">
        <w:trPr>
          <w:trHeight w:val="106"/>
        </w:trPr>
        <w:tc>
          <w:tcPr>
            <w:tcW w:w="1476" w:type="dxa"/>
            <w:vMerge/>
            <w:tcMar>
              <w:left w:w="0" w:type="dxa"/>
            </w:tcMar>
          </w:tcPr>
          <w:p w14:paraId="45CBFE5F" w14:textId="77777777" w:rsidR="00F53917" w:rsidRPr="00D160FB" w:rsidRDefault="00F53917" w:rsidP="00163868">
            <w:pPr>
              <w:pStyle w:val="Marginlie"/>
              <w:rPr>
                <w:lang w:val="en-GB"/>
              </w:rPr>
            </w:pPr>
          </w:p>
        </w:tc>
        <w:tc>
          <w:tcPr>
            <w:tcW w:w="152" w:type="dxa"/>
            <w:vMerge/>
            <w:tcMar>
              <w:left w:w="0" w:type="dxa"/>
            </w:tcMar>
          </w:tcPr>
          <w:p w14:paraId="3DEA699D" w14:textId="77777777" w:rsidR="00F53917" w:rsidRPr="00D160FB" w:rsidRDefault="00F53917" w:rsidP="00163868">
            <w:pPr>
              <w:pStyle w:val="Textpoznpodarou"/>
              <w:jc w:val="both"/>
              <w:rPr>
                <w:spacing w:val="-4"/>
                <w:lang w:val="en-GB"/>
              </w:rPr>
            </w:pPr>
          </w:p>
        </w:tc>
        <w:tc>
          <w:tcPr>
            <w:tcW w:w="8011" w:type="dxa"/>
            <w:shd w:val="clear" w:color="auto" w:fill="auto"/>
            <w:tcMar>
              <w:left w:w="0" w:type="dxa"/>
            </w:tcMar>
          </w:tcPr>
          <w:p w14:paraId="64E28379" w14:textId="10E3731F" w:rsidR="005C4841" w:rsidRPr="0063723A" w:rsidRDefault="00C55249" w:rsidP="0063723A">
            <w:pPr>
              <w:spacing w:after="0"/>
              <w:rPr>
                <w:sz w:val="14"/>
                <w:szCs w:val="14"/>
                <w:lang w:val="en-GB"/>
              </w:rPr>
            </w:pPr>
            <w:r w:rsidRPr="00D160FB">
              <w:rPr>
                <w:sz w:val="14"/>
                <w:szCs w:val="14"/>
                <w:lang w:val="en-GB"/>
              </w:rPr>
              <w:t>Source</w:t>
            </w:r>
            <w:r w:rsidR="00F53917" w:rsidRPr="00D160FB">
              <w:rPr>
                <w:sz w:val="14"/>
                <w:szCs w:val="14"/>
                <w:lang w:val="en-GB"/>
              </w:rPr>
              <w:t xml:space="preserve">: </w:t>
            </w:r>
            <w:r w:rsidRPr="00D160FB">
              <w:rPr>
                <w:sz w:val="14"/>
                <w:szCs w:val="14"/>
                <w:lang w:val="en-GB"/>
              </w:rPr>
              <w:t>CZSO</w:t>
            </w:r>
          </w:p>
        </w:tc>
      </w:tr>
      <w:bookmarkEnd w:id="9"/>
      <w:bookmarkEnd w:id="10"/>
      <w:bookmarkEnd w:id="11"/>
    </w:tbl>
    <w:p w14:paraId="41D8CD3F" w14:textId="77777777" w:rsidR="00F53917" w:rsidRPr="00D160FB" w:rsidRDefault="00F53917" w:rsidP="00F53917">
      <w:pPr>
        <w:pStyle w:val="Nadpis11"/>
        <w:rPr>
          <w:b w:val="0"/>
          <w:sz w:val="2"/>
          <w:szCs w:val="2"/>
          <w:lang w:val="en-GB"/>
        </w:rPr>
      </w:pPr>
    </w:p>
    <w:p w14:paraId="3546D27D" w14:textId="77777777" w:rsidR="00F53917" w:rsidRPr="00D160FB" w:rsidRDefault="00F53917" w:rsidP="00F53917">
      <w:pPr>
        <w:pStyle w:val="Nadpis11"/>
        <w:spacing w:after="0"/>
        <w:rPr>
          <w:b w:val="0"/>
          <w:sz w:val="2"/>
          <w:szCs w:val="2"/>
          <w:lang w:val="en-GB"/>
        </w:rPr>
      </w:pPr>
    </w:p>
    <w:p w14:paraId="7905CEC3" w14:textId="77777777" w:rsidR="00F53917" w:rsidRPr="00D160FB" w:rsidRDefault="00F53917" w:rsidP="00F53917">
      <w:pPr>
        <w:pStyle w:val="Nadpis11"/>
        <w:rPr>
          <w:b w:val="0"/>
          <w:sz w:val="2"/>
          <w:szCs w:val="2"/>
          <w:lang w:val="en-GB"/>
        </w:rPr>
      </w:pPr>
    </w:p>
    <w:p w14:paraId="6EDA085F" w14:textId="77777777" w:rsidR="00F53917" w:rsidRPr="00D160FB" w:rsidRDefault="00F53917" w:rsidP="00F53917">
      <w:pPr>
        <w:pStyle w:val="Nadpis11"/>
        <w:rPr>
          <w:b w:val="0"/>
          <w:sz w:val="2"/>
          <w:szCs w:val="2"/>
          <w:lang w:val="en-GB"/>
        </w:rPr>
      </w:pPr>
    </w:p>
    <w:p w14:paraId="3D801654" w14:textId="77777777" w:rsidR="00F53917" w:rsidRPr="00D160FB" w:rsidRDefault="00F53917" w:rsidP="00F53917">
      <w:pPr>
        <w:spacing w:after="0" w:line="240" w:lineRule="auto"/>
        <w:jc w:val="left"/>
        <w:rPr>
          <w:b/>
          <w:sz w:val="2"/>
          <w:szCs w:val="2"/>
          <w:lang w:val="en-GB"/>
        </w:rPr>
      </w:pPr>
    </w:p>
    <w:bookmarkEnd w:id="0"/>
    <w:bookmarkEnd w:id="1"/>
    <w:bookmarkEnd w:id="2"/>
    <w:bookmarkEnd w:id="3"/>
    <w:bookmarkEnd w:id="4"/>
    <w:bookmarkEnd w:id="5"/>
    <w:p w14:paraId="6D687C14" w14:textId="3DB28A8F" w:rsidR="001C3855" w:rsidRPr="00D160FB" w:rsidRDefault="001C3855" w:rsidP="00C15537">
      <w:pPr>
        <w:pStyle w:val="Nadpis11"/>
        <w:rPr>
          <w:sz w:val="2"/>
          <w:szCs w:val="2"/>
          <w:lang w:val="en-GB"/>
        </w:rPr>
      </w:pPr>
    </w:p>
    <w:sectPr w:rsidR="001C3855" w:rsidRPr="00D160FB" w:rsidSect="00BE29C1">
      <w:headerReference w:type="even" r:id="rId14"/>
      <w:headerReference w:type="default" r:id="rId15"/>
      <w:footerReference w:type="even" r:id="rId16"/>
      <w:footerReference w:type="default" r:id="rId17"/>
      <w:pgSz w:w="11906" w:h="16838" w:code="9"/>
      <w:pgMar w:top="1134" w:right="1134" w:bottom="1418" w:left="1134" w:header="680" w:footer="737"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33C" w14:textId="77777777" w:rsidR="00E37C1C" w:rsidRDefault="00E37C1C" w:rsidP="00E71A58">
      <w:r>
        <w:separator/>
      </w:r>
    </w:p>
  </w:endnote>
  <w:endnote w:type="continuationSeparator" w:id="0">
    <w:p w14:paraId="1942F10C" w14:textId="77777777" w:rsidR="00E37C1C" w:rsidRDefault="00E37C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4780870B" w:rsidR="00E37C1C" w:rsidRPr="00932443" w:rsidRDefault="00E37C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B354D">
      <w:rPr>
        <w:szCs w:val="16"/>
      </w:rPr>
      <w:t>52</w:t>
    </w:r>
    <w:r w:rsidRPr="00932443">
      <w:rPr>
        <w:szCs w:val="16"/>
      </w:rPr>
      <w:fldChar w:fldCharType="end"/>
    </w:r>
    <w:r w:rsidRPr="00932443">
      <w:rPr>
        <w:szCs w:val="16"/>
      </w:rPr>
      <w:tab/>
    </w:r>
    <w:r>
      <w:rPr>
        <w:szCs w:val="16"/>
      </w:rPr>
      <w:t>year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5D38B351" w:rsidR="00E37C1C" w:rsidRPr="00932443" w:rsidRDefault="00E37C1C" w:rsidP="00FA6CB6">
    <w:pPr>
      <w:pStyle w:val="Zpat"/>
      <w:rPr>
        <w:szCs w:val="16"/>
      </w:rPr>
    </w:pPr>
    <w:r>
      <w:rPr>
        <w:lang w:eastAsia="cs-CZ"/>
      </w:rPr>
      <w:drawing>
        <wp:anchor distT="0" distB="0" distL="114300" distR="114300" simplePos="0" relativeHeight="251670016" behindDoc="0" locked="0" layoutInCell="1" allowOverlap="1" wp14:anchorId="12E9288F" wp14:editId="581FC53F">
          <wp:simplePos x="0" y="0"/>
          <wp:positionH relativeFrom="margin">
            <wp:align>left</wp:align>
          </wp:positionH>
          <wp:positionV relativeFrom="paragraph">
            <wp:posOffset>-66675</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B354D">
      <w:rPr>
        <w:rStyle w:val="ZpatChar"/>
        <w:szCs w:val="16"/>
      </w:rPr>
      <w:t>51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A97B" w14:textId="77777777" w:rsidR="00E37C1C" w:rsidRDefault="00E37C1C" w:rsidP="00A21B4D">
      <w:pPr>
        <w:spacing w:after="0"/>
      </w:pPr>
      <w:r>
        <w:separator/>
      </w:r>
    </w:p>
  </w:footnote>
  <w:footnote w:type="continuationSeparator" w:id="0">
    <w:p w14:paraId="5E251132" w14:textId="77777777" w:rsidR="00E37C1C" w:rsidRDefault="00E37C1C" w:rsidP="00E71A58">
      <w:r>
        <w:continuationSeparator/>
      </w:r>
    </w:p>
  </w:footnote>
  <w:footnote w:id="1">
    <w:p w14:paraId="69D4B37B" w14:textId="38C5929D" w:rsidR="00E37C1C" w:rsidRPr="001D2D3C" w:rsidRDefault="00E37C1C" w:rsidP="001D2D3C">
      <w:pPr>
        <w:pStyle w:val="Textpoznpodarou"/>
        <w:jc w:val="both"/>
        <w:rPr>
          <w:rFonts w:cs="Arial"/>
          <w:i/>
          <w:iCs/>
          <w:sz w:val="16"/>
          <w:szCs w:val="16"/>
          <w:lang w:val="en-GB"/>
        </w:rPr>
      </w:pPr>
      <w:r w:rsidRPr="00441515">
        <w:rPr>
          <w:rStyle w:val="Znakapoznpodarou"/>
          <w:rFonts w:cs="Arial"/>
          <w:sz w:val="16"/>
          <w:szCs w:val="16"/>
        </w:rPr>
        <w:footnoteRef/>
      </w:r>
      <w:r w:rsidRPr="00441515">
        <w:rPr>
          <w:rFonts w:cs="Arial"/>
          <w:i/>
          <w:iCs/>
          <w:sz w:val="16"/>
          <w:szCs w:val="16"/>
        </w:rPr>
        <w:t xml:space="preserve"> </w:t>
      </w:r>
      <w:r>
        <w:rPr>
          <w:rStyle w:val="Zdraznn"/>
          <w:rFonts w:cs="Arial"/>
          <w:i w:val="0"/>
          <w:iCs w:val="0"/>
          <w:color w:val="333333"/>
          <w:sz w:val="16"/>
          <w:szCs w:val="16"/>
          <w:bdr w:val="none" w:sz="0" w:space="0" w:color="auto" w:frame="1"/>
          <w:shd w:val="clear" w:color="auto" w:fill="FFFFFF"/>
          <w:lang w:val="en-GB"/>
        </w:rPr>
        <w:t>Data regarding the foreign trade with goods are recalculated using an update method based on a bigger degree of detail since year 2020</w:t>
      </w:r>
      <w:r w:rsidRPr="001D2D3C">
        <w:rPr>
          <w:rStyle w:val="Zdraznn"/>
          <w:rFonts w:cs="Arial"/>
          <w:i w:val="0"/>
          <w:iCs w:val="0"/>
          <w:color w:val="333333"/>
          <w:sz w:val="16"/>
          <w:szCs w:val="16"/>
          <w:bdr w:val="none" w:sz="0" w:space="0" w:color="auto" w:frame="1"/>
          <w:shd w:val="clear" w:color="auto" w:fill="FFFFFF"/>
          <w:lang w:val="en-GB"/>
        </w:rPr>
        <w:t xml:space="preserve">, </w:t>
      </w:r>
      <w:r>
        <w:rPr>
          <w:rStyle w:val="Zdraznn"/>
          <w:rFonts w:cs="Arial"/>
          <w:i w:val="0"/>
          <w:iCs w:val="0"/>
          <w:color w:val="333333"/>
          <w:sz w:val="16"/>
          <w:szCs w:val="16"/>
          <w:bdr w:val="none" w:sz="0" w:space="0" w:color="auto" w:frame="1"/>
          <w:shd w:val="clear" w:color="auto" w:fill="FFFFFF"/>
          <w:lang w:val="en-GB"/>
        </w:rPr>
        <w:t xml:space="preserve">see </w:t>
      </w:r>
      <w:hyperlink r:id="rId1" w:history="1">
        <w:r>
          <w:rPr>
            <w:rStyle w:val="Hypertextovodkaz"/>
            <w:rFonts w:cs="Arial"/>
            <w:sz w:val="16"/>
            <w:szCs w:val="16"/>
            <w:bdr w:val="none" w:sz="0" w:space="0" w:color="auto" w:frame="1"/>
            <w:shd w:val="clear" w:color="auto" w:fill="FFFFFF"/>
            <w:lang w:val="en-GB"/>
          </w:rPr>
          <w:t>https://www.czso.cz/csu/czso/update-of-the-compilation-method-international-trade-in-goods-change-of-ownership</w:t>
        </w:r>
      </w:hyperlink>
      <w:r>
        <w:rPr>
          <w:rStyle w:val="Hypertextovodkaz"/>
          <w:rFonts w:cs="Arial"/>
          <w:sz w:val="16"/>
          <w:szCs w:val="16"/>
          <w:bdr w:val="none" w:sz="0" w:space="0" w:color="auto" w:frame="1"/>
          <w:shd w:val="clear" w:color="auto" w:fill="FFFFFF"/>
          <w:lang w:val="en-GB"/>
        </w:rPr>
        <w:t>.</w:t>
      </w:r>
    </w:p>
  </w:footnote>
  <w:footnote w:id="2">
    <w:p w14:paraId="1FF65D89" w14:textId="083F2A89" w:rsidR="00E37C1C" w:rsidRPr="001D2D3C" w:rsidRDefault="00E37C1C" w:rsidP="001D2D3C">
      <w:pPr>
        <w:pStyle w:val="Textpoznpodarou"/>
        <w:jc w:val="both"/>
        <w:rPr>
          <w:sz w:val="16"/>
          <w:szCs w:val="16"/>
          <w:lang w:val="en-GB"/>
        </w:rPr>
      </w:pPr>
      <w:r w:rsidRPr="001D2D3C">
        <w:rPr>
          <w:rStyle w:val="Znakapoznpodarou"/>
          <w:sz w:val="16"/>
          <w:szCs w:val="16"/>
          <w:lang w:val="en-GB"/>
        </w:rPr>
        <w:footnoteRef/>
      </w:r>
      <w:r w:rsidRPr="001D2D3C">
        <w:rPr>
          <w:sz w:val="16"/>
          <w:szCs w:val="16"/>
          <w:lang w:val="en-GB"/>
        </w:rPr>
        <w:t xml:space="preserve"> </w:t>
      </w:r>
      <w:r>
        <w:rPr>
          <w:sz w:val="16"/>
          <w:szCs w:val="16"/>
          <w:lang w:val="en-GB"/>
        </w:rPr>
        <w:t xml:space="preserve">Unless stated otherwise, all figures are not seasonally adjusted and in current prices. </w:t>
      </w:r>
    </w:p>
  </w:footnote>
  <w:footnote w:id="3">
    <w:p w14:paraId="496F212B" w14:textId="5B1C96BA" w:rsidR="00E37C1C" w:rsidRPr="001D2D3C" w:rsidRDefault="00E37C1C" w:rsidP="001D2D3C">
      <w:pPr>
        <w:pStyle w:val="Textpoznpodarou"/>
        <w:jc w:val="both"/>
        <w:rPr>
          <w:sz w:val="16"/>
          <w:szCs w:val="16"/>
          <w:lang w:val="en-GB"/>
        </w:rPr>
      </w:pPr>
      <w:r w:rsidRPr="001D2D3C">
        <w:rPr>
          <w:rStyle w:val="Znakapoznpodarou"/>
          <w:sz w:val="16"/>
          <w:szCs w:val="16"/>
          <w:lang w:val="en-GB"/>
        </w:rPr>
        <w:footnoteRef/>
      </w:r>
      <w:r w:rsidRPr="001D2D3C">
        <w:rPr>
          <w:sz w:val="16"/>
          <w:szCs w:val="16"/>
          <w:lang w:val="en-GB"/>
        </w:rPr>
        <w:t xml:space="preserve"> </w:t>
      </w:r>
      <w:r>
        <w:rPr>
          <w:sz w:val="16"/>
          <w:szCs w:val="16"/>
          <w:lang w:val="en-GB"/>
        </w:rPr>
        <w:t xml:space="preserve">Prices of exports of goods hiked by </w:t>
      </w:r>
      <w:r w:rsidRPr="001D2D3C">
        <w:rPr>
          <w:sz w:val="16"/>
          <w:szCs w:val="16"/>
          <w:lang w:val="en-GB"/>
        </w:rPr>
        <w:t>12</w:t>
      </w:r>
      <w:r>
        <w:rPr>
          <w:sz w:val="16"/>
          <w:szCs w:val="16"/>
          <w:lang w:val="en-GB"/>
        </w:rPr>
        <w:t>.</w:t>
      </w:r>
      <w:r w:rsidRPr="001D2D3C">
        <w:rPr>
          <w:sz w:val="16"/>
          <w:szCs w:val="16"/>
          <w:lang w:val="en-GB"/>
        </w:rPr>
        <w:t>7%</w:t>
      </w:r>
      <w:r>
        <w:rPr>
          <w:sz w:val="16"/>
          <w:szCs w:val="16"/>
          <w:lang w:val="en-GB"/>
        </w:rPr>
        <w:t xml:space="preserve"> for the entire year and grew by </w:t>
      </w:r>
      <w:r w:rsidRPr="001D2D3C">
        <w:rPr>
          <w:sz w:val="16"/>
          <w:szCs w:val="16"/>
          <w:lang w:val="en-GB"/>
        </w:rPr>
        <w:t>11</w:t>
      </w:r>
      <w:r>
        <w:rPr>
          <w:sz w:val="16"/>
          <w:szCs w:val="16"/>
          <w:lang w:val="en-GB"/>
        </w:rPr>
        <w:t>.</w:t>
      </w:r>
      <w:r w:rsidRPr="001D2D3C">
        <w:rPr>
          <w:sz w:val="16"/>
          <w:szCs w:val="16"/>
          <w:lang w:val="en-GB"/>
        </w:rPr>
        <w:t>2%, 15</w:t>
      </w:r>
      <w:r>
        <w:rPr>
          <w:sz w:val="16"/>
          <w:szCs w:val="16"/>
          <w:lang w:val="en-GB"/>
        </w:rPr>
        <w:t>.</w:t>
      </w:r>
      <w:r w:rsidRPr="001D2D3C">
        <w:rPr>
          <w:sz w:val="16"/>
          <w:szCs w:val="16"/>
          <w:lang w:val="en-GB"/>
        </w:rPr>
        <w:t>1%, 14</w:t>
      </w:r>
      <w:r>
        <w:rPr>
          <w:sz w:val="16"/>
          <w:szCs w:val="16"/>
          <w:lang w:val="en-GB"/>
        </w:rPr>
        <w:t>.</w:t>
      </w:r>
      <w:r w:rsidRPr="001D2D3C">
        <w:rPr>
          <w:sz w:val="16"/>
          <w:szCs w:val="16"/>
          <w:lang w:val="en-GB"/>
        </w:rPr>
        <w:t>9% a</w:t>
      </w:r>
      <w:r>
        <w:rPr>
          <w:sz w:val="16"/>
          <w:szCs w:val="16"/>
          <w:lang w:val="en-GB"/>
        </w:rPr>
        <w:t>nd</w:t>
      </w:r>
      <w:r w:rsidRPr="001D2D3C">
        <w:rPr>
          <w:sz w:val="16"/>
          <w:szCs w:val="16"/>
          <w:lang w:val="en-GB"/>
        </w:rPr>
        <w:t xml:space="preserve"> 9</w:t>
      </w:r>
      <w:r>
        <w:rPr>
          <w:sz w:val="16"/>
          <w:szCs w:val="16"/>
          <w:lang w:val="en-GB"/>
        </w:rPr>
        <w:t>.</w:t>
      </w:r>
      <w:r w:rsidRPr="001D2D3C">
        <w:rPr>
          <w:sz w:val="16"/>
          <w:szCs w:val="16"/>
          <w:lang w:val="en-GB"/>
        </w:rPr>
        <w:t>8%</w:t>
      </w:r>
      <w:r>
        <w:rPr>
          <w:sz w:val="16"/>
          <w:szCs w:val="16"/>
          <w:lang w:val="en-GB"/>
        </w:rPr>
        <w:t xml:space="preserve"> year-on-year in individual quarters</w:t>
      </w:r>
      <w:r w:rsidRPr="001D2D3C">
        <w:rPr>
          <w:sz w:val="16"/>
          <w:szCs w:val="16"/>
          <w:lang w:val="en-GB"/>
        </w:rPr>
        <w:t xml:space="preserve">. </w:t>
      </w:r>
    </w:p>
  </w:footnote>
  <w:footnote w:id="4">
    <w:p w14:paraId="475844A3" w14:textId="47B65A51" w:rsidR="00E37C1C" w:rsidRPr="001D2D3C" w:rsidRDefault="00E37C1C" w:rsidP="001D2D3C">
      <w:pPr>
        <w:pStyle w:val="Textpoznpodarou"/>
        <w:jc w:val="both"/>
        <w:rPr>
          <w:sz w:val="16"/>
          <w:szCs w:val="16"/>
          <w:lang w:val="en-GB"/>
        </w:rPr>
      </w:pPr>
      <w:r w:rsidRPr="001D2D3C">
        <w:rPr>
          <w:rStyle w:val="Znakapoznpodarou"/>
          <w:sz w:val="16"/>
          <w:szCs w:val="16"/>
          <w:lang w:val="en-GB"/>
        </w:rPr>
        <w:footnoteRef/>
      </w:r>
      <w:r w:rsidRPr="001D2D3C">
        <w:rPr>
          <w:sz w:val="16"/>
          <w:szCs w:val="16"/>
          <w:lang w:val="en-GB"/>
        </w:rPr>
        <w:t xml:space="preserve"> </w:t>
      </w:r>
      <w:r>
        <w:rPr>
          <w:sz w:val="16"/>
          <w:szCs w:val="16"/>
          <w:lang w:val="en-GB"/>
        </w:rPr>
        <w:t xml:space="preserve">Strengthening of the export of electricity, gas, steam and air conditioning was noticed at all our neighbours. Addition to the export to Germany reached </w:t>
      </w:r>
      <w:r w:rsidRPr="001D2D3C">
        <w:rPr>
          <w:sz w:val="16"/>
          <w:szCs w:val="16"/>
          <w:lang w:val="en-GB"/>
        </w:rPr>
        <w:t>38</w:t>
      </w:r>
      <w:r>
        <w:rPr>
          <w:sz w:val="16"/>
          <w:szCs w:val="16"/>
          <w:lang w:val="en-GB"/>
        </w:rPr>
        <w:t>.</w:t>
      </w:r>
      <w:r w:rsidRPr="001D2D3C">
        <w:rPr>
          <w:sz w:val="16"/>
          <w:szCs w:val="16"/>
          <w:lang w:val="en-GB"/>
        </w:rPr>
        <w:t>7</w:t>
      </w:r>
      <w:r>
        <w:rPr>
          <w:sz w:val="16"/>
          <w:szCs w:val="16"/>
          <w:lang w:val="en-GB"/>
        </w:rPr>
        <w:t xml:space="preserve"> CZK bn and to Slovakia </w:t>
      </w:r>
      <w:r w:rsidRPr="001D2D3C">
        <w:rPr>
          <w:sz w:val="16"/>
          <w:szCs w:val="16"/>
          <w:lang w:val="en-GB"/>
        </w:rPr>
        <w:t>15</w:t>
      </w:r>
      <w:r>
        <w:rPr>
          <w:sz w:val="16"/>
          <w:szCs w:val="16"/>
          <w:lang w:val="en-GB"/>
        </w:rPr>
        <w:t>.</w:t>
      </w:r>
      <w:r w:rsidRPr="001D2D3C">
        <w:rPr>
          <w:sz w:val="16"/>
          <w:szCs w:val="16"/>
          <w:lang w:val="en-GB"/>
        </w:rPr>
        <w:t>6</w:t>
      </w:r>
      <w:r>
        <w:rPr>
          <w:sz w:val="16"/>
          <w:szCs w:val="16"/>
          <w:lang w:val="en-GB"/>
        </w:rPr>
        <w:t xml:space="preserve"> bn</w:t>
      </w:r>
      <w:r w:rsidRPr="001D2D3C">
        <w:rPr>
          <w:sz w:val="16"/>
          <w:szCs w:val="16"/>
          <w:lang w:val="en-GB"/>
        </w:rPr>
        <w:t xml:space="preserve">. </w:t>
      </w:r>
      <w:r>
        <w:rPr>
          <w:sz w:val="16"/>
          <w:szCs w:val="16"/>
          <w:lang w:val="en-GB"/>
        </w:rPr>
        <w:t xml:space="preserve">In addition, the increase was also considerable in case of Austria </w:t>
      </w:r>
      <w:r w:rsidRPr="001D2D3C">
        <w:rPr>
          <w:sz w:val="16"/>
          <w:szCs w:val="16"/>
          <w:lang w:val="en-GB"/>
        </w:rPr>
        <w:t>(+8</w:t>
      </w:r>
      <w:r>
        <w:rPr>
          <w:sz w:val="16"/>
          <w:szCs w:val="16"/>
          <w:lang w:val="en-GB"/>
        </w:rPr>
        <w:t>.</w:t>
      </w:r>
      <w:r w:rsidRPr="001D2D3C">
        <w:rPr>
          <w:sz w:val="16"/>
          <w:szCs w:val="16"/>
          <w:lang w:val="en-GB"/>
        </w:rPr>
        <w:t>9</w:t>
      </w:r>
      <w:r>
        <w:rPr>
          <w:sz w:val="16"/>
          <w:szCs w:val="16"/>
          <w:lang w:val="en-GB"/>
        </w:rPr>
        <w:t xml:space="preserve"> CZK bn</w:t>
      </w:r>
      <w:r w:rsidRPr="001D2D3C">
        <w:rPr>
          <w:sz w:val="16"/>
          <w:szCs w:val="16"/>
          <w:lang w:val="en-GB"/>
        </w:rPr>
        <w:t>)</w:t>
      </w:r>
      <w:r>
        <w:rPr>
          <w:sz w:val="16"/>
          <w:szCs w:val="16"/>
          <w:lang w:val="en-GB"/>
        </w:rPr>
        <w:t xml:space="preserve"> and to certain extent also Poland </w:t>
      </w:r>
      <w:r w:rsidRPr="001D2D3C">
        <w:rPr>
          <w:sz w:val="16"/>
          <w:szCs w:val="16"/>
          <w:lang w:val="en-GB"/>
        </w:rPr>
        <w:t>(+3</w:t>
      </w:r>
      <w:r>
        <w:rPr>
          <w:sz w:val="16"/>
          <w:szCs w:val="16"/>
          <w:lang w:val="en-GB"/>
        </w:rPr>
        <w:t>.</w:t>
      </w:r>
      <w:r w:rsidRPr="001D2D3C">
        <w:rPr>
          <w:sz w:val="16"/>
          <w:szCs w:val="16"/>
          <w:lang w:val="en-GB"/>
        </w:rPr>
        <w:t>4</w:t>
      </w:r>
      <w:r>
        <w:rPr>
          <w:sz w:val="16"/>
          <w:szCs w:val="16"/>
          <w:lang w:val="en-GB"/>
        </w:rPr>
        <w:t xml:space="preserve"> bn</w:t>
      </w:r>
      <w:r w:rsidRPr="001D2D3C">
        <w:rPr>
          <w:sz w:val="16"/>
          <w:szCs w:val="16"/>
          <w:lang w:val="en-GB"/>
        </w:rPr>
        <w:t xml:space="preserve">).    </w:t>
      </w:r>
    </w:p>
  </w:footnote>
  <w:footnote w:id="5">
    <w:p w14:paraId="204E0F23" w14:textId="6541E020" w:rsidR="00E37C1C" w:rsidRPr="001D2D3C" w:rsidRDefault="00E37C1C" w:rsidP="001D2D3C">
      <w:pPr>
        <w:pStyle w:val="Textpoznpodarou"/>
        <w:jc w:val="both"/>
        <w:rPr>
          <w:sz w:val="16"/>
          <w:szCs w:val="16"/>
          <w:lang w:val="en-GB"/>
        </w:rPr>
      </w:pPr>
      <w:r w:rsidRPr="001D2D3C">
        <w:rPr>
          <w:rStyle w:val="Znakapoznpodarou"/>
          <w:sz w:val="16"/>
          <w:szCs w:val="16"/>
          <w:lang w:val="en-GB"/>
        </w:rPr>
        <w:footnoteRef/>
      </w:r>
      <w:r w:rsidRPr="001D2D3C">
        <w:rPr>
          <w:sz w:val="16"/>
          <w:szCs w:val="16"/>
          <w:lang w:val="en-GB"/>
        </w:rPr>
        <w:t xml:space="preserve"> Export </w:t>
      </w:r>
      <w:r>
        <w:rPr>
          <w:sz w:val="16"/>
          <w:szCs w:val="16"/>
          <w:lang w:val="en-GB"/>
        </w:rPr>
        <w:t xml:space="preserve">to Russia plummeted mainly for the motor vehicles </w:t>
      </w:r>
      <w:r w:rsidRPr="001D2D3C">
        <w:rPr>
          <w:sz w:val="16"/>
          <w:szCs w:val="16"/>
          <w:lang w:val="en-GB"/>
        </w:rPr>
        <w:t>(−16</w:t>
      </w:r>
      <w:r>
        <w:rPr>
          <w:sz w:val="16"/>
          <w:szCs w:val="16"/>
          <w:lang w:val="en-GB"/>
        </w:rPr>
        <w:t>.</w:t>
      </w:r>
      <w:r w:rsidRPr="001D2D3C">
        <w:rPr>
          <w:sz w:val="16"/>
          <w:szCs w:val="16"/>
          <w:lang w:val="en-GB"/>
        </w:rPr>
        <w:t>4</w:t>
      </w:r>
      <w:r>
        <w:rPr>
          <w:sz w:val="16"/>
          <w:szCs w:val="16"/>
          <w:lang w:val="en-GB"/>
        </w:rPr>
        <w:t xml:space="preserve"> CZK bn</w:t>
      </w:r>
      <w:r w:rsidRPr="001D2D3C">
        <w:rPr>
          <w:sz w:val="16"/>
          <w:szCs w:val="16"/>
          <w:lang w:val="en-GB"/>
        </w:rPr>
        <w:t xml:space="preserve">), </w:t>
      </w:r>
      <w:r>
        <w:rPr>
          <w:sz w:val="16"/>
          <w:szCs w:val="16"/>
          <w:lang w:val="en-GB"/>
        </w:rPr>
        <w:t xml:space="preserve">computers, electronic and optical products </w:t>
      </w:r>
      <w:r w:rsidRPr="001D2D3C">
        <w:rPr>
          <w:sz w:val="16"/>
          <w:szCs w:val="16"/>
          <w:lang w:val="en-GB"/>
        </w:rPr>
        <w:t>(−9</w:t>
      </w:r>
      <w:r>
        <w:rPr>
          <w:sz w:val="16"/>
          <w:szCs w:val="16"/>
          <w:lang w:val="en-GB"/>
        </w:rPr>
        <w:t>.</w:t>
      </w:r>
      <w:r w:rsidRPr="001D2D3C">
        <w:rPr>
          <w:sz w:val="16"/>
          <w:szCs w:val="16"/>
          <w:lang w:val="en-GB"/>
        </w:rPr>
        <w:t>5</w:t>
      </w:r>
      <w:r>
        <w:rPr>
          <w:sz w:val="16"/>
          <w:szCs w:val="16"/>
          <w:lang w:val="en-GB"/>
        </w:rPr>
        <w:t xml:space="preserve"> bn</w:t>
      </w:r>
      <w:r w:rsidRPr="001D2D3C">
        <w:rPr>
          <w:sz w:val="16"/>
          <w:szCs w:val="16"/>
          <w:lang w:val="en-GB"/>
        </w:rPr>
        <w:t>), e</w:t>
      </w:r>
      <w:r>
        <w:rPr>
          <w:sz w:val="16"/>
          <w:szCs w:val="16"/>
          <w:lang w:val="en-GB"/>
        </w:rPr>
        <w:t xml:space="preserve">lectrical equipment </w:t>
      </w:r>
      <w:r w:rsidRPr="001D2D3C">
        <w:rPr>
          <w:sz w:val="16"/>
          <w:szCs w:val="16"/>
          <w:lang w:val="en-GB"/>
        </w:rPr>
        <w:t>(−5</w:t>
      </w:r>
      <w:r>
        <w:rPr>
          <w:sz w:val="16"/>
          <w:szCs w:val="16"/>
          <w:lang w:val="en-GB"/>
        </w:rPr>
        <w:t>.</w:t>
      </w:r>
      <w:r w:rsidRPr="001D2D3C">
        <w:rPr>
          <w:sz w:val="16"/>
          <w:szCs w:val="16"/>
          <w:lang w:val="en-GB"/>
        </w:rPr>
        <w:t>4</w:t>
      </w:r>
      <w:r>
        <w:rPr>
          <w:sz w:val="16"/>
          <w:szCs w:val="16"/>
          <w:lang w:val="en-GB"/>
        </w:rPr>
        <w:t xml:space="preserve"> bn</w:t>
      </w:r>
      <w:r w:rsidRPr="001D2D3C">
        <w:rPr>
          <w:sz w:val="16"/>
          <w:szCs w:val="16"/>
          <w:lang w:val="en-GB"/>
        </w:rPr>
        <w:t>) a</w:t>
      </w:r>
      <w:r>
        <w:rPr>
          <w:sz w:val="16"/>
          <w:szCs w:val="16"/>
          <w:lang w:val="en-GB"/>
        </w:rPr>
        <w:t xml:space="preserve">nd machinery and equipment </w:t>
      </w:r>
      <w:r w:rsidRPr="001D2D3C">
        <w:rPr>
          <w:sz w:val="16"/>
          <w:szCs w:val="16"/>
          <w:lang w:val="en-GB"/>
        </w:rPr>
        <w:t>(−5</w:t>
      </w:r>
      <w:r>
        <w:rPr>
          <w:sz w:val="16"/>
          <w:szCs w:val="16"/>
          <w:lang w:val="en-GB"/>
        </w:rPr>
        <w:t>.</w:t>
      </w:r>
      <w:r w:rsidRPr="001D2D3C">
        <w:rPr>
          <w:sz w:val="16"/>
          <w:szCs w:val="16"/>
          <w:lang w:val="en-GB"/>
        </w:rPr>
        <w:t>1</w:t>
      </w:r>
      <w:r>
        <w:rPr>
          <w:sz w:val="16"/>
          <w:szCs w:val="16"/>
          <w:lang w:val="en-GB"/>
        </w:rPr>
        <w:t xml:space="preserve"> bn</w:t>
      </w:r>
      <w:r w:rsidRPr="001D2D3C">
        <w:rPr>
          <w:sz w:val="16"/>
          <w:szCs w:val="16"/>
          <w:lang w:val="en-GB"/>
        </w:rPr>
        <w:t xml:space="preserve">). </w:t>
      </w:r>
      <w:r>
        <w:rPr>
          <w:sz w:val="16"/>
          <w:szCs w:val="16"/>
          <w:lang w:val="en-GB"/>
        </w:rPr>
        <w:t xml:space="preserve">At the same time, strengthening of export into some former Soviet republics is also observed, the most to Kazakhstan </w:t>
      </w:r>
      <w:r w:rsidRPr="001D2D3C">
        <w:rPr>
          <w:sz w:val="16"/>
          <w:szCs w:val="16"/>
          <w:lang w:val="en-GB"/>
        </w:rPr>
        <w:t>(+7</w:t>
      </w:r>
      <w:r>
        <w:rPr>
          <w:sz w:val="16"/>
          <w:szCs w:val="16"/>
          <w:lang w:val="en-GB"/>
        </w:rPr>
        <w:t>.</w:t>
      </w:r>
      <w:r w:rsidRPr="001D2D3C">
        <w:rPr>
          <w:sz w:val="16"/>
          <w:szCs w:val="16"/>
          <w:lang w:val="en-GB"/>
        </w:rPr>
        <w:t>4</w:t>
      </w:r>
      <w:r>
        <w:rPr>
          <w:sz w:val="16"/>
          <w:szCs w:val="16"/>
          <w:lang w:val="en-GB"/>
        </w:rPr>
        <w:t xml:space="preserve"> CZK bn</w:t>
      </w:r>
      <w:r w:rsidRPr="001D2D3C">
        <w:rPr>
          <w:sz w:val="16"/>
          <w:szCs w:val="16"/>
          <w:lang w:val="en-GB"/>
        </w:rPr>
        <w:t xml:space="preserve">, </w:t>
      </w:r>
      <w:r>
        <w:rPr>
          <w:sz w:val="16"/>
          <w:szCs w:val="16"/>
          <w:lang w:val="en-GB"/>
        </w:rPr>
        <w:t>absolute majority from this increase occurred in the second half of the year</w:t>
      </w:r>
      <w:r w:rsidRPr="001D2D3C">
        <w:rPr>
          <w:sz w:val="16"/>
          <w:szCs w:val="16"/>
          <w:lang w:val="en-GB"/>
        </w:rPr>
        <w:t xml:space="preserve">). </w:t>
      </w:r>
      <w:r>
        <w:rPr>
          <w:sz w:val="16"/>
          <w:szCs w:val="16"/>
          <w:lang w:val="en-GB"/>
        </w:rPr>
        <w:t xml:space="preserve">Mainly export of computers and electronic and optical products and motor vehicles (including parts) was higher here. </w:t>
      </w:r>
      <w:r w:rsidRPr="001D2D3C">
        <w:rPr>
          <w:sz w:val="16"/>
          <w:szCs w:val="16"/>
          <w:lang w:val="en-GB"/>
        </w:rPr>
        <w:t xml:space="preserve">    </w:t>
      </w:r>
    </w:p>
  </w:footnote>
  <w:footnote w:id="6">
    <w:p w14:paraId="6DA77719" w14:textId="72093DD6" w:rsidR="00E37C1C" w:rsidRPr="00F52F07" w:rsidRDefault="00E37C1C" w:rsidP="00F53917">
      <w:pPr>
        <w:pStyle w:val="Textpoznpodarou"/>
        <w:rPr>
          <w:sz w:val="16"/>
          <w:szCs w:val="16"/>
          <w:lang w:val="en-GB"/>
        </w:rPr>
      </w:pPr>
      <w:r w:rsidRPr="00063A81">
        <w:rPr>
          <w:rStyle w:val="Znakapoznpodarou"/>
          <w:sz w:val="16"/>
          <w:szCs w:val="16"/>
        </w:rPr>
        <w:footnoteRef/>
      </w:r>
      <w:r w:rsidRPr="00063A81">
        <w:rPr>
          <w:sz w:val="16"/>
          <w:szCs w:val="16"/>
        </w:rPr>
        <w:t xml:space="preserve"> </w:t>
      </w:r>
      <w:r w:rsidRPr="00F52F07">
        <w:rPr>
          <w:sz w:val="16"/>
          <w:szCs w:val="16"/>
          <w:lang w:val="en-GB"/>
        </w:rPr>
        <w:t>Prices of import of goods were thus raised by 17.2% last year.</w:t>
      </w:r>
    </w:p>
  </w:footnote>
  <w:footnote w:id="7">
    <w:p w14:paraId="4C90DB90" w14:textId="749CFA8F" w:rsidR="00E37C1C" w:rsidRPr="00D772A5" w:rsidRDefault="00E37C1C" w:rsidP="00B774BD">
      <w:pPr>
        <w:pStyle w:val="Textpoznpodarou"/>
        <w:jc w:val="both"/>
        <w:rPr>
          <w:sz w:val="16"/>
          <w:szCs w:val="16"/>
          <w:lang w:val="en-GB"/>
        </w:rPr>
      </w:pPr>
      <w:r w:rsidRPr="00FA373B">
        <w:rPr>
          <w:rStyle w:val="Znakapoznpodarou"/>
          <w:sz w:val="16"/>
          <w:szCs w:val="16"/>
        </w:rPr>
        <w:footnoteRef/>
      </w:r>
      <w:r w:rsidRPr="00FA373B">
        <w:rPr>
          <w:sz w:val="16"/>
          <w:szCs w:val="16"/>
        </w:rPr>
        <w:t xml:space="preserve"> </w:t>
      </w:r>
      <w:r w:rsidRPr="00D772A5">
        <w:rPr>
          <w:sz w:val="16"/>
          <w:szCs w:val="16"/>
          <w:lang w:val="en-GB"/>
        </w:rPr>
        <w:t>According to the breakdown of import of oil and natural gas to individual importers, mainly Norway was added among “new sources” last year (</w:t>
      </w:r>
      <w:r>
        <w:rPr>
          <w:sz w:val="16"/>
          <w:szCs w:val="16"/>
          <w:lang w:val="en-GB"/>
        </w:rPr>
        <w:t xml:space="preserve">from </w:t>
      </w:r>
      <w:r w:rsidRPr="00D772A5">
        <w:rPr>
          <w:sz w:val="16"/>
          <w:szCs w:val="16"/>
          <w:lang w:val="en-GB"/>
        </w:rPr>
        <w:t>1</w:t>
      </w:r>
      <w:r>
        <w:rPr>
          <w:sz w:val="16"/>
          <w:szCs w:val="16"/>
          <w:lang w:val="en-GB"/>
        </w:rPr>
        <w:t>.</w:t>
      </w:r>
      <w:r w:rsidRPr="00D772A5">
        <w:rPr>
          <w:sz w:val="16"/>
          <w:szCs w:val="16"/>
          <w:lang w:val="en-GB"/>
        </w:rPr>
        <w:t>2</w:t>
      </w:r>
      <w:r>
        <w:rPr>
          <w:sz w:val="16"/>
          <w:szCs w:val="16"/>
          <w:lang w:val="en-GB"/>
        </w:rPr>
        <w:t xml:space="preserve"> CZK bn in year </w:t>
      </w:r>
      <w:r w:rsidRPr="00D772A5">
        <w:rPr>
          <w:sz w:val="16"/>
          <w:szCs w:val="16"/>
          <w:lang w:val="en-GB"/>
        </w:rPr>
        <w:t xml:space="preserve">2021 </w:t>
      </w:r>
      <w:r>
        <w:rPr>
          <w:sz w:val="16"/>
          <w:szCs w:val="16"/>
          <w:lang w:val="en-GB"/>
        </w:rPr>
        <w:t xml:space="preserve">to </w:t>
      </w:r>
      <w:r w:rsidRPr="00D772A5">
        <w:rPr>
          <w:sz w:val="16"/>
          <w:szCs w:val="16"/>
          <w:lang w:val="en-GB"/>
        </w:rPr>
        <w:t>38</w:t>
      </w:r>
      <w:r>
        <w:rPr>
          <w:sz w:val="16"/>
          <w:szCs w:val="16"/>
          <w:lang w:val="en-GB"/>
        </w:rPr>
        <w:t>.</w:t>
      </w:r>
      <w:r w:rsidRPr="00D772A5">
        <w:rPr>
          <w:sz w:val="16"/>
          <w:szCs w:val="16"/>
          <w:lang w:val="en-GB"/>
        </w:rPr>
        <w:t>3</w:t>
      </w:r>
      <w:r>
        <w:rPr>
          <w:sz w:val="16"/>
          <w:szCs w:val="16"/>
          <w:lang w:val="en-GB"/>
        </w:rPr>
        <w:t xml:space="preserve"> bn last year</w:t>
      </w:r>
      <w:r w:rsidRPr="00D772A5">
        <w:rPr>
          <w:sz w:val="16"/>
          <w:szCs w:val="16"/>
          <w:lang w:val="en-GB"/>
        </w:rPr>
        <w:t>). Import of this commodity from the United States (+7</w:t>
      </w:r>
      <w:r>
        <w:rPr>
          <w:sz w:val="16"/>
          <w:szCs w:val="16"/>
          <w:lang w:val="en-GB"/>
        </w:rPr>
        <w:t>.</w:t>
      </w:r>
      <w:r w:rsidRPr="00D772A5">
        <w:rPr>
          <w:sz w:val="16"/>
          <w:szCs w:val="16"/>
          <w:lang w:val="en-GB"/>
        </w:rPr>
        <w:t>3</w:t>
      </w:r>
      <w:r>
        <w:rPr>
          <w:sz w:val="16"/>
          <w:szCs w:val="16"/>
          <w:lang w:val="en-GB"/>
        </w:rPr>
        <w:t xml:space="preserve"> CZK bn</w:t>
      </w:r>
      <w:r w:rsidRPr="00D772A5">
        <w:rPr>
          <w:sz w:val="16"/>
          <w:szCs w:val="16"/>
          <w:lang w:val="en-GB"/>
        </w:rPr>
        <w:t>, 79</w:t>
      </w:r>
      <w:r>
        <w:rPr>
          <w:sz w:val="16"/>
          <w:szCs w:val="16"/>
          <w:lang w:val="en-GB"/>
        </w:rPr>
        <w:t>.</w:t>
      </w:r>
      <w:r w:rsidRPr="00D772A5">
        <w:rPr>
          <w:sz w:val="16"/>
          <w:szCs w:val="16"/>
          <w:lang w:val="en-GB"/>
        </w:rPr>
        <w:t>2%)</w:t>
      </w:r>
      <w:r>
        <w:rPr>
          <w:sz w:val="16"/>
          <w:szCs w:val="16"/>
          <w:lang w:val="en-GB"/>
        </w:rPr>
        <w:t xml:space="preserve"> considerably increased via tankers with l</w:t>
      </w:r>
      <w:r w:rsidRPr="00D772A5">
        <w:rPr>
          <w:sz w:val="16"/>
          <w:szCs w:val="16"/>
          <w:lang w:val="en-GB"/>
        </w:rPr>
        <w:t xml:space="preserve">iquefied </w:t>
      </w:r>
      <w:r>
        <w:rPr>
          <w:sz w:val="16"/>
          <w:szCs w:val="16"/>
          <w:lang w:val="en-GB"/>
        </w:rPr>
        <w:t xml:space="preserve">gas and strengthened the existing ties to Azerbaijan </w:t>
      </w:r>
      <w:r w:rsidRPr="00D772A5">
        <w:rPr>
          <w:sz w:val="16"/>
          <w:szCs w:val="16"/>
          <w:lang w:val="en-GB"/>
        </w:rPr>
        <w:t>(+21</w:t>
      </w:r>
      <w:r>
        <w:rPr>
          <w:sz w:val="16"/>
          <w:szCs w:val="16"/>
          <w:lang w:val="en-GB"/>
        </w:rPr>
        <w:t>.</w:t>
      </w:r>
      <w:r w:rsidRPr="00D772A5">
        <w:rPr>
          <w:sz w:val="16"/>
          <w:szCs w:val="16"/>
          <w:lang w:val="en-GB"/>
        </w:rPr>
        <w:t xml:space="preserve">2 </w:t>
      </w:r>
      <w:r>
        <w:rPr>
          <w:sz w:val="16"/>
          <w:szCs w:val="16"/>
          <w:lang w:val="en-GB"/>
        </w:rPr>
        <w:t>bn</w:t>
      </w:r>
      <w:r w:rsidRPr="00D772A5">
        <w:rPr>
          <w:sz w:val="16"/>
          <w:szCs w:val="16"/>
          <w:lang w:val="en-GB"/>
        </w:rPr>
        <w:t>, 161</w:t>
      </w:r>
      <w:r>
        <w:rPr>
          <w:sz w:val="16"/>
          <w:szCs w:val="16"/>
          <w:lang w:val="en-GB"/>
        </w:rPr>
        <w:t>.</w:t>
      </w:r>
      <w:r w:rsidRPr="00D772A5">
        <w:rPr>
          <w:sz w:val="16"/>
          <w:szCs w:val="16"/>
          <w:lang w:val="en-GB"/>
        </w:rPr>
        <w:t xml:space="preserve">7%). </w:t>
      </w:r>
      <w:r>
        <w:rPr>
          <w:sz w:val="16"/>
          <w:szCs w:val="16"/>
          <w:lang w:val="en-GB"/>
        </w:rPr>
        <w:t xml:space="preserve">On the contrary the value of import of oils and natural gas from Kazakhstan decreased </w:t>
      </w:r>
      <w:r w:rsidRPr="00D772A5">
        <w:rPr>
          <w:sz w:val="16"/>
          <w:szCs w:val="16"/>
          <w:lang w:val="en-GB"/>
        </w:rPr>
        <w:t>(−3</w:t>
      </w:r>
      <w:r>
        <w:rPr>
          <w:sz w:val="16"/>
          <w:szCs w:val="16"/>
          <w:lang w:val="en-GB"/>
        </w:rPr>
        <w:t>.</w:t>
      </w:r>
      <w:r w:rsidRPr="00D772A5">
        <w:rPr>
          <w:sz w:val="16"/>
          <w:szCs w:val="16"/>
          <w:lang w:val="en-GB"/>
        </w:rPr>
        <w:t>8</w:t>
      </w:r>
      <w:r>
        <w:rPr>
          <w:sz w:val="16"/>
          <w:szCs w:val="16"/>
          <w:lang w:val="en-GB"/>
        </w:rPr>
        <w:t xml:space="preserve"> CZK bn</w:t>
      </w:r>
      <w:r w:rsidRPr="00D772A5">
        <w:rPr>
          <w:sz w:val="16"/>
          <w:szCs w:val="16"/>
          <w:lang w:val="en-GB"/>
        </w:rPr>
        <w:t>, −26</w:t>
      </w:r>
      <w:r>
        <w:rPr>
          <w:sz w:val="16"/>
          <w:szCs w:val="16"/>
          <w:lang w:val="en-GB"/>
        </w:rPr>
        <w:t>.</w:t>
      </w:r>
      <w:r w:rsidRPr="00D772A5">
        <w:rPr>
          <w:sz w:val="16"/>
          <w:szCs w:val="16"/>
          <w:lang w:val="en-GB"/>
        </w:rPr>
        <w:t>6%). These changes eventuated mainly in the second half of the year. Ru</w:t>
      </w:r>
      <w:r>
        <w:rPr>
          <w:sz w:val="16"/>
          <w:szCs w:val="16"/>
          <w:lang w:val="en-GB"/>
        </w:rPr>
        <w:t xml:space="preserve">ssia was liable in total for </w:t>
      </w:r>
      <w:r w:rsidRPr="00D772A5">
        <w:rPr>
          <w:sz w:val="16"/>
          <w:szCs w:val="16"/>
          <w:lang w:val="en-GB"/>
        </w:rPr>
        <w:t>68</w:t>
      </w:r>
      <w:r>
        <w:rPr>
          <w:sz w:val="16"/>
          <w:szCs w:val="16"/>
          <w:lang w:val="en-GB"/>
        </w:rPr>
        <w:t>.</w:t>
      </w:r>
      <w:r w:rsidRPr="00D772A5">
        <w:rPr>
          <w:sz w:val="16"/>
          <w:szCs w:val="16"/>
          <w:lang w:val="en-GB"/>
        </w:rPr>
        <w:t>7%</w:t>
      </w:r>
      <w:r>
        <w:rPr>
          <w:sz w:val="16"/>
          <w:szCs w:val="16"/>
          <w:lang w:val="en-GB"/>
        </w:rPr>
        <w:t xml:space="preserve"> of the value of imported oil and natural gas last year </w:t>
      </w:r>
      <w:r w:rsidRPr="00D772A5">
        <w:rPr>
          <w:sz w:val="16"/>
          <w:szCs w:val="16"/>
          <w:lang w:val="en-GB"/>
        </w:rPr>
        <w:t xml:space="preserve">(73.7% in year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6899CCC7" w:rsidR="00E37C1C" w:rsidRPr="00262B30" w:rsidRDefault="00E37C1C" w:rsidP="00937AE2">
    <w:pPr>
      <w:pStyle w:val="Zhlav"/>
      <w:rPr>
        <w:lang w:val="en-GB"/>
      </w:rPr>
    </w:pPr>
    <w:r w:rsidRPr="00262B30">
      <w:rPr>
        <w:lang w:val="en-GB"/>
      </w:rPr>
      <w:t>The Czech Economy Development</w:t>
    </w:r>
  </w:p>
  <w:p w14:paraId="3E881AB3" w14:textId="77777777" w:rsidR="00E37C1C" w:rsidRPr="006F5416" w:rsidRDefault="00E37C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407F6A42" w:rsidR="00E37C1C" w:rsidRPr="00262B30" w:rsidRDefault="00E37C1C" w:rsidP="00937AE2">
    <w:pPr>
      <w:pStyle w:val="Zhlav"/>
      <w:rPr>
        <w:lang w:val="en-GB"/>
      </w:rPr>
    </w:pPr>
    <w:r w:rsidRPr="00262B30">
      <w:rPr>
        <w:lang w:val="en-GB"/>
      </w:rPr>
      <w:t>The Czech Economy Development</w:t>
    </w:r>
  </w:p>
  <w:p w14:paraId="57266714" w14:textId="77777777" w:rsidR="00E37C1C" w:rsidRPr="006F5416" w:rsidRDefault="00E37C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28220310">
    <w:abstractNumId w:val="25"/>
  </w:num>
  <w:num w:numId="2" w16cid:durableId="670375540">
    <w:abstractNumId w:val="8"/>
  </w:num>
  <w:num w:numId="3" w16cid:durableId="2098867897">
    <w:abstractNumId w:val="3"/>
  </w:num>
  <w:num w:numId="4" w16cid:durableId="549193360">
    <w:abstractNumId w:val="2"/>
  </w:num>
  <w:num w:numId="5" w16cid:durableId="52126910">
    <w:abstractNumId w:val="1"/>
  </w:num>
  <w:num w:numId="6" w16cid:durableId="775442807">
    <w:abstractNumId w:val="0"/>
  </w:num>
  <w:num w:numId="7" w16cid:durableId="1384719231">
    <w:abstractNumId w:val="9"/>
  </w:num>
  <w:num w:numId="8" w16cid:durableId="697119485">
    <w:abstractNumId w:val="7"/>
  </w:num>
  <w:num w:numId="9" w16cid:durableId="1001153288">
    <w:abstractNumId w:val="6"/>
  </w:num>
  <w:num w:numId="10" w16cid:durableId="1909488694">
    <w:abstractNumId w:val="5"/>
  </w:num>
  <w:num w:numId="11" w16cid:durableId="281041759">
    <w:abstractNumId w:val="4"/>
  </w:num>
  <w:num w:numId="12" w16cid:durableId="1726367254">
    <w:abstractNumId w:val="15"/>
  </w:num>
  <w:num w:numId="13" w16cid:durableId="2116559951">
    <w:abstractNumId w:val="27"/>
  </w:num>
  <w:num w:numId="14" w16cid:durableId="1395474044">
    <w:abstractNumId w:val="14"/>
  </w:num>
  <w:num w:numId="15" w16cid:durableId="493961053">
    <w:abstractNumId w:val="20"/>
  </w:num>
  <w:num w:numId="16" w16cid:durableId="1286352367">
    <w:abstractNumId w:val="16"/>
  </w:num>
  <w:num w:numId="17" w16cid:durableId="2053066444">
    <w:abstractNumId w:val="28"/>
  </w:num>
  <w:num w:numId="18" w16cid:durableId="112795144">
    <w:abstractNumId w:val="21"/>
  </w:num>
  <w:num w:numId="19" w16cid:durableId="1327130238">
    <w:abstractNumId w:val="29"/>
  </w:num>
  <w:num w:numId="20" w16cid:durableId="452403738">
    <w:abstractNumId w:val="30"/>
  </w:num>
  <w:num w:numId="21" w16cid:durableId="732393256">
    <w:abstractNumId w:val="26"/>
  </w:num>
  <w:num w:numId="22" w16cid:durableId="921135234">
    <w:abstractNumId w:val="19"/>
  </w:num>
  <w:num w:numId="23" w16cid:durableId="1274216490">
    <w:abstractNumId w:val="17"/>
  </w:num>
  <w:num w:numId="24" w16cid:durableId="2004888184">
    <w:abstractNumId w:val="18"/>
  </w:num>
  <w:num w:numId="25" w16cid:durableId="390660536">
    <w:abstractNumId w:val="13"/>
  </w:num>
  <w:num w:numId="26" w16cid:durableId="914241952">
    <w:abstractNumId w:val="23"/>
  </w:num>
  <w:num w:numId="27" w16cid:durableId="1594585796">
    <w:abstractNumId w:val="22"/>
  </w:num>
  <w:num w:numId="28" w16cid:durableId="1499076826">
    <w:abstractNumId w:val="10"/>
  </w:num>
  <w:num w:numId="29" w16cid:durableId="30349636">
    <w:abstractNumId w:val="30"/>
  </w:num>
  <w:num w:numId="30" w16cid:durableId="1851409715">
    <w:abstractNumId w:val="24"/>
  </w:num>
  <w:num w:numId="31" w16cid:durableId="1620143949">
    <w:abstractNumId w:val="12"/>
  </w:num>
  <w:num w:numId="32" w16cid:durableId="1643804339">
    <w:abstractNumId w:val="31"/>
  </w:num>
  <w:num w:numId="33" w16cid:durableId="1401948313">
    <w:abstractNumId w:val="30"/>
  </w:num>
  <w:num w:numId="34" w16cid:durableId="113556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1065"/>
    <w:rsid w:val="0000209D"/>
    <w:rsid w:val="000021B8"/>
    <w:rsid w:val="00002566"/>
    <w:rsid w:val="0000370A"/>
    <w:rsid w:val="00003849"/>
    <w:rsid w:val="00003F5C"/>
    <w:rsid w:val="000044CE"/>
    <w:rsid w:val="00004D5A"/>
    <w:rsid w:val="00005219"/>
    <w:rsid w:val="000056D5"/>
    <w:rsid w:val="00005D9E"/>
    <w:rsid w:val="000063D5"/>
    <w:rsid w:val="00006625"/>
    <w:rsid w:val="00006ABD"/>
    <w:rsid w:val="00006B67"/>
    <w:rsid w:val="00006C0B"/>
    <w:rsid w:val="00006D54"/>
    <w:rsid w:val="00006DE8"/>
    <w:rsid w:val="000073A0"/>
    <w:rsid w:val="0000767A"/>
    <w:rsid w:val="00007ABE"/>
    <w:rsid w:val="00010256"/>
    <w:rsid w:val="000103BB"/>
    <w:rsid w:val="00010702"/>
    <w:rsid w:val="00010A2C"/>
    <w:rsid w:val="0001128E"/>
    <w:rsid w:val="00011912"/>
    <w:rsid w:val="00011D8A"/>
    <w:rsid w:val="00011FC2"/>
    <w:rsid w:val="000129B7"/>
    <w:rsid w:val="00012C8A"/>
    <w:rsid w:val="0001387D"/>
    <w:rsid w:val="00014ED0"/>
    <w:rsid w:val="00016420"/>
    <w:rsid w:val="00016BDB"/>
    <w:rsid w:val="00017B01"/>
    <w:rsid w:val="000200BE"/>
    <w:rsid w:val="000200D8"/>
    <w:rsid w:val="000205D1"/>
    <w:rsid w:val="00020F22"/>
    <w:rsid w:val="00021623"/>
    <w:rsid w:val="0002195D"/>
    <w:rsid w:val="00021F9B"/>
    <w:rsid w:val="000228AE"/>
    <w:rsid w:val="000233D1"/>
    <w:rsid w:val="000234D6"/>
    <w:rsid w:val="00023D29"/>
    <w:rsid w:val="00024348"/>
    <w:rsid w:val="00024DC3"/>
    <w:rsid w:val="00025428"/>
    <w:rsid w:val="00026109"/>
    <w:rsid w:val="0002622B"/>
    <w:rsid w:val="00026389"/>
    <w:rsid w:val="00026608"/>
    <w:rsid w:val="0002669F"/>
    <w:rsid w:val="000279E5"/>
    <w:rsid w:val="000305E0"/>
    <w:rsid w:val="0003092C"/>
    <w:rsid w:val="00030B13"/>
    <w:rsid w:val="00031AE0"/>
    <w:rsid w:val="00031BB2"/>
    <w:rsid w:val="00031EAB"/>
    <w:rsid w:val="000322EF"/>
    <w:rsid w:val="000330D2"/>
    <w:rsid w:val="00033FCD"/>
    <w:rsid w:val="000348AF"/>
    <w:rsid w:val="00034B70"/>
    <w:rsid w:val="00034DF7"/>
    <w:rsid w:val="00034E68"/>
    <w:rsid w:val="000350C8"/>
    <w:rsid w:val="000351A6"/>
    <w:rsid w:val="00036195"/>
    <w:rsid w:val="000374B2"/>
    <w:rsid w:val="000376C0"/>
    <w:rsid w:val="0003779B"/>
    <w:rsid w:val="00040088"/>
    <w:rsid w:val="000403A7"/>
    <w:rsid w:val="00040632"/>
    <w:rsid w:val="0004096E"/>
    <w:rsid w:val="000411B1"/>
    <w:rsid w:val="00041266"/>
    <w:rsid w:val="00041AFC"/>
    <w:rsid w:val="00041CEC"/>
    <w:rsid w:val="00041D02"/>
    <w:rsid w:val="00041DC8"/>
    <w:rsid w:val="00042596"/>
    <w:rsid w:val="00042A4A"/>
    <w:rsid w:val="00042C5F"/>
    <w:rsid w:val="00044183"/>
    <w:rsid w:val="0004431D"/>
    <w:rsid w:val="00044AAC"/>
    <w:rsid w:val="000456B6"/>
    <w:rsid w:val="00045C4E"/>
    <w:rsid w:val="0004694F"/>
    <w:rsid w:val="00046F2F"/>
    <w:rsid w:val="00047AD4"/>
    <w:rsid w:val="00047D54"/>
    <w:rsid w:val="00050541"/>
    <w:rsid w:val="0005054A"/>
    <w:rsid w:val="00050A87"/>
    <w:rsid w:val="00051506"/>
    <w:rsid w:val="00051AAB"/>
    <w:rsid w:val="00051ADB"/>
    <w:rsid w:val="00051F88"/>
    <w:rsid w:val="000522E4"/>
    <w:rsid w:val="000525C4"/>
    <w:rsid w:val="00053713"/>
    <w:rsid w:val="000541F4"/>
    <w:rsid w:val="0005434E"/>
    <w:rsid w:val="00054477"/>
    <w:rsid w:val="00054B9B"/>
    <w:rsid w:val="0005576C"/>
    <w:rsid w:val="00055CB6"/>
    <w:rsid w:val="00055F11"/>
    <w:rsid w:val="000572DD"/>
    <w:rsid w:val="00057B1E"/>
    <w:rsid w:val="0006033F"/>
    <w:rsid w:val="000607D9"/>
    <w:rsid w:val="000610E1"/>
    <w:rsid w:val="000616AD"/>
    <w:rsid w:val="000622A6"/>
    <w:rsid w:val="000623C5"/>
    <w:rsid w:val="00062D6D"/>
    <w:rsid w:val="00062D70"/>
    <w:rsid w:val="00062EC5"/>
    <w:rsid w:val="00062F22"/>
    <w:rsid w:val="00063975"/>
    <w:rsid w:val="00063CEA"/>
    <w:rsid w:val="0006444D"/>
    <w:rsid w:val="000645FC"/>
    <w:rsid w:val="00065252"/>
    <w:rsid w:val="00065296"/>
    <w:rsid w:val="0006533F"/>
    <w:rsid w:val="00065348"/>
    <w:rsid w:val="0006551C"/>
    <w:rsid w:val="0006558D"/>
    <w:rsid w:val="00065A75"/>
    <w:rsid w:val="00065F67"/>
    <w:rsid w:val="000663F0"/>
    <w:rsid w:val="00066558"/>
    <w:rsid w:val="000671DB"/>
    <w:rsid w:val="00067737"/>
    <w:rsid w:val="00067982"/>
    <w:rsid w:val="00070A87"/>
    <w:rsid w:val="000712B3"/>
    <w:rsid w:val="00071A7C"/>
    <w:rsid w:val="00071E38"/>
    <w:rsid w:val="00071FF1"/>
    <w:rsid w:val="00072FF5"/>
    <w:rsid w:val="000735EF"/>
    <w:rsid w:val="00073A5A"/>
    <w:rsid w:val="0007474E"/>
    <w:rsid w:val="00074959"/>
    <w:rsid w:val="00074988"/>
    <w:rsid w:val="0007512B"/>
    <w:rsid w:val="00075551"/>
    <w:rsid w:val="0007621D"/>
    <w:rsid w:val="000767F5"/>
    <w:rsid w:val="00076D90"/>
    <w:rsid w:val="00077A49"/>
    <w:rsid w:val="00077FF0"/>
    <w:rsid w:val="00081542"/>
    <w:rsid w:val="00081A55"/>
    <w:rsid w:val="0008263E"/>
    <w:rsid w:val="00082C19"/>
    <w:rsid w:val="00082F89"/>
    <w:rsid w:val="00083457"/>
    <w:rsid w:val="000834ED"/>
    <w:rsid w:val="000837CD"/>
    <w:rsid w:val="00083B7F"/>
    <w:rsid w:val="00084BFF"/>
    <w:rsid w:val="00085395"/>
    <w:rsid w:val="00086433"/>
    <w:rsid w:val="00086896"/>
    <w:rsid w:val="00086AC1"/>
    <w:rsid w:val="00086D19"/>
    <w:rsid w:val="00087634"/>
    <w:rsid w:val="00087F2B"/>
    <w:rsid w:val="00090694"/>
    <w:rsid w:val="000909D5"/>
    <w:rsid w:val="00090EE2"/>
    <w:rsid w:val="00090FA5"/>
    <w:rsid w:val="00090FC6"/>
    <w:rsid w:val="0009122C"/>
    <w:rsid w:val="000913B1"/>
    <w:rsid w:val="000921AD"/>
    <w:rsid w:val="0009290F"/>
    <w:rsid w:val="00092977"/>
    <w:rsid w:val="00092BF8"/>
    <w:rsid w:val="00093241"/>
    <w:rsid w:val="00093868"/>
    <w:rsid w:val="000942BF"/>
    <w:rsid w:val="00094A84"/>
    <w:rsid w:val="00095025"/>
    <w:rsid w:val="00095135"/>
    <w:rsid w:val="00095191"/>
    <w:rsid w:val="0009626E"/>
    <w:rsid w:val="00096385"/>
    <w:rsid w:val="0009644D"/>
    <w:rsid w:val="00096AB8"/>
    <w:rsid w:val="00097191"/>
    <w:rsid w:val="000974D1"/>
    <w:rsid w:val="00097784"/>
    <w:rsid w:val="0009799E"/>
    <w:rsid w:val="000A07CB"/>
    <w:rsid w:val="000A0BC0"/>
    <w:rsid w:val="000A1183"/>
    <w:rsid w:val="000A12ED"/>
    <w:rsid w:val="000A185C"/>
    <w:rsid w:val="000A1D49"/>
    <w:rsid w:val="000A212B"/>
    <w:rsid w:val="000A242D"/>
    <w:rsid w:val="000A256D"/>
    <w:rsid w:val="000A2643"/>
    <w:rsid w:val="000A2E5F"/>
    <w:rsid w:val="000A385C"/>
    <w:rsid w:val="000A3A2C"/>
    <w:rsid w:val="000A3D9E"/>
    <w:rsid w:val="000A4A54"/>
    <w:rsid w:val="000A4ED9"/>
    <w:rsid w:val="000A4F07"/>
    <w:rsid w:val="000A580E"/>
    <w:rsid w:val="000A5C55"/>
    <w:rsid w:val="000A5DB7"/>
    <w:rsid w:val="000A65D5"/>
    <w:rsid w:val="000A6753"/>
    <w:rsid w:val="000A6D94"/>
    <w:rsid w:val="000A7377"/>
    <w:rsid w:val="000A74A4"/>
    <w:rsid w:val="000A775A"/>
    <w:rsid w:val="000A7D63"/>
    <w:rsid w:val="000A7FF4"/>
    <w:rsid w:val="000B03CC"/>
    <w:rsid w:val="000B0F52"/>
    <w:rsid w:val="000B31E1"/>
    <w:rsid w:val="000B3F7F"/>
    <w:rsid w:val="000B4212"/>
    <w:rsid w:val="000B556B"/>
    <w:rsid w:val="000B614F"/>
    <w:rsid w:val="000B6269"/>
    <w:rsid w:val="000B67B7"/>
    <w:rsid w:val="000B6A0A"/>
    <w:rsid w:val="000B79AB"/>
    <w:rsid w:val="000C0127"/>
    <w:rsid w:val="000C08B0"/>
    <w:rsid w:val="000C0CA6"/>
    <w:rsid w:val="000C0EA8"/>
    <w:rsid w:val="000C13A2"/>
    <w:rsid w:val="000C21E7"/>
    <w:rsid w:val="000C23EC"/>
    <w:rsid w:val="000C26A2"/>
    <w:rsid w:val="000C290E"/>
    <w:rsid w:val="000C30C3"/>
    <w:rsid w:val="000C3408"/>
    <w:rsid w:val="000C35AB"/>
    <w:rsid w:val="000C3F7B"/>
    <w:rsid w:val="000C4769"/>
    <w:rsid w:val="000C4D56"/>
    <w:rsid w:val="000C5744"/>
    <w:rsid w:val="000C5DFA"/>
    <w:rsid w:val="000C6AFD"/>
    <w:rsid w:val="000C6C90"/>
    <w:rsid w:val="000C6DCD"/>
    <w:rsid w:val="000C72B7"/>
    <w:rsid w:val="000C7A79"/>
    <w:rsid w:val="000C7B81"/>
    <w:rsid w:val="000D0A26"/>
    <w:rsid w:val="000D13CB"/>
    <w:rsid w:val="000D1585"/>
    <w:rsid w:val="000D2196"/>
    <w:rsid w:val="000D2C2E"/>
    <w:rsid w:val="000D3058"/>
    <w:rsid w:val="000D310A"/>
    <w:rsid w:val="000D3EF4"/>
    <w:rsid w:val="000D4632"/>
    <w:rsid w:val="000D4761"/>
    <w:rsid w:val="000D4DC0"/>
    <w:rsid w:val="000D55BA"/>
    <w:rsid w:val="000D5637"/>
    <w:rsid w:val="000D571F"/>
    <w:rsid w:val="000D5A03"/>
    <w:rsid w:val="000D5ED3"/>
    <w:rsid w:val="000D6209"/>
    <w:rsid w:val="000D6F4E"/>
    <w:rsid w:val="000D6FDA"/>
    <w:rsid w:val="000D726A"/>
    <w:rsid w:val="000D73BB"/>
    <w:rsid w:val="000D75CA"/>
    <w:rsid w:val="000D7AC7"/>
    <w:rsid w:val="000E006A"/>
    <w:rsid w:val="000E0D57"/>
    <w:rsid w:val="000E0E96"/>
    <w:rsid w:val="000E298B"/>
    <w:rsid w:val="000E2C7D"/>
    <w:rsid w:val="000E3E56"/>
    <w:rsid w:val="000E440D"/>
    <w:rsid w:val="000E4AC5"/>
    <w:rsid w:val="000E6253"/>
    <w:rsid w:val="000E6AC4"/>
    <w:rsid w:val="000E6BAA"/>
    <w:rsid w:val="000E6E4D"/>
    <w:rsid w:val="000E6FBD"/>
    <w:rsid w:val="000E6FCB"/>
    <w:rsid w:val="000E755A"/>
    <w:rsid w:val="000E767B"/>
    <w:rsid w:val="000F07C9"/>
    <w:rsid w:val="000F090B"/>
    <w:rsid w:val="000F0B07"/>
    <w:rsid w:val="000F0E3A"/>
    <w:rsid w:val="000F1242"/>
    <w:rsid w:val="000F15F7"/>
    <w:rsid w:val="000F1AA2"/>
    <w:rsid w:val="000F2411"/>
    <w:rsid w:val="000F34A8"/>
    <w:rsid w:val="000F378E"/>
    <w:rsid w:val="000F3B45"/>
    <w:rsid w:val="000F3F3B"/>
    <w:rsid w:val="000F4721"/>
    <w:rsid w:val="000F47E8"/>
    <w:rsid w:val="000F53AE"/>
    <w:rsid w:val="000F61AF"/>
    <w:rsid w:val="000F6B1B"/>
    <w:rsid w:val="000F70E4"/>
    <w:rsid w:val="000F76EA"/>
    <w:rsid w:val="00100A8B"/>
    <w:rsid w:val="00100F5C"/>
    <w:rsid w:val="00101B15"/>
    <w:rsid w:val="00101CDA"/>
    <w:rsid w:val="00102037"/>
    <w:rsid w:val="001034A0"/>
    <w:rsid w:val="00103DCB"/>
    <w:rsid w:val="00104022"/>
    <w:rsid w:val="00104C4C"/>
    <w:rsid w:val="00105015"/>
    <w:rsid w:val="001055D2"/>
    <w:rsid w:val="00105651"/>
    <w:rsid w:val="001057C2"/>
    <w:rsid w:val="00107124"/>
    <w:rsid w:val="0010748A"/>
    <w:rsid w:val="00107C3A"/>
    <w:rsid w:val="0011038E"/>
    <w:rsid w:val="001112F1"/>
    <w:rsid w:val="00111573"/>
    <w:rsid w:val="00112370"/>
    <w:rsid w:val="0011239B"/>
    <w:rsid w:val="001125EF"/>
    <w:rsid w:val="00112CAB"/>
    <w:rsid w:val="001140D5"/>
    <w:rsid w:val="0011440C"/>
    <w:rsid w:val="0011492C"/>
    <w:rsid w:val="00114A46"/>
    <w:rsid w:val="00114C33"/>
    <w:rsid w:val="001152E2"/>
    <w:rsid w:val="00115B00"/>
    <w:rsid w:val="00115BC8"/>
    <w:rsid w:val="00115DA9"/>
    <w:rsid w:val="00116D3F"/>
    <w:rsid w:val="00117167"/>
    <w:rsid w:val="00117474"/>
    <w:rsid w:val="00117623"/>
    <w:rsid w:val="00117FEA"/>
    <w:rsid w:val="001200CF"/>
    <w:rsid w:val="001208E3"/>
    <w:rsid w:val="00120D41"/>
    <w:rsid w:val="00121609"/>
    <w:rsid w:val="00121854"/>
    <w:rsid w:val="0012192F"/>
    <w:rsid w:val="001221B9"/>
    <w:rsid w:val="00122994"/>
    <w:rsid w:val="00123204"/>
    <w:rsid w:val="00124B46"/>
    <w:rsid w:val="001257BE"/>
    <w:rsid w:val="001257E0"/>
    <w:rsid w:val="00125D17"/>
    <w:rsid w:val="00125D69"/>
    <w:rsid w:val="0012799C"/>
    <w:rsid w:val="00127BC2"/>
    <w:rsid w:val="00127E15"/>
    <w:rsid w:val="001308F1"/>
    <w:rsid w:val="00130922"/>
    <w:rsid w:val="0013093B"/>
    <w:rsid w:val="00130ADC"/>
    <w:rsid w:val="00130D9F"/>
    <w:rsid w:val="00131DD8"/>
    <w:rsid w:val="001321AA"/>
    <w:rsid w:val="00132C4D"/>
    <w:rsid w:val="00133D3D"/>
    <w:rsid w:val="00133FC1"/>
    <w:rsid w:val="0013440F"/>
    <w:rsid w:val="00134659"/>
    <w:rsid w:val="00134E02"/>
    <w:rsid w:val="00135111"/>
    <w:rsid w:val="0013553B"/>
    <w:rsid w:val="00136A6F"/>
    <w:rsid w:val="00136C1A"/>
    <w:rsid w:val="00136FC1"/>
    <w:rsid w:val="00137804"/>
    <w:rsid w:val="00137812"/>
    <w:rsid w:val="001405FA"/>
    <w:rsid w:val="00140D1A"/>
    <w:rsid w:val="00141184"/>
    <w:rsid w:val="00141315"/>
    <w:rsid w:val="001415CC"/>
    <w:rsid w:val="00141AA0"/>
    <w:rsid w:val="001425C3"/>
    <w:rsid w:val="0014262D"/>
    <w:rsid w:val="00142B29"/>
    <w:rsid w:val="00142FA8"/>
    <w:rsid w:val="00144108"/>
    <w:rsid w:val="00144375"/>
    <w:rsid w:val="00144588"/>
    <w:rsid w:val="001447DD"/>
    <w:rsid w:val="00144C0B"/>
    <w:rsid w:val="00145358"/>
    <w:rsid w:val="001459BC"/>
    <w:rsid w:val="00147329"/>
    <w:rsid w:val="0014779E"/>
    <w:rsid w:val="00150ECA"/>
    <w:rsid w:val="0015108F"/>
    <w:rsid w:val="001516B9"/>
    <w:rsid w:val="00151707"/>
    <w:rsid w:val="001520D7"/>
    <w:rsid w:val="00152A72"/>
    <w:rsid w:val="00152C86"/>
    <w:rsid w:val="00152F4F"/>
    <w:rsid w:val="00153264"/>
    <w:rsid w:val="0015329F"/>
    <w:rsid w:val="00153DD3"/>
    <w:rsid w:val="001544A1"/>
    <w:rsid w:val="001553B8"/>
    <w:rsid w:val="001554C2"/>
    <w:rsid w:val="00156013"/>
    <w:rsid w:val="00156D04"/>
    <w:rsid w:val="00157077"/>
    <w:rsid w:val="001571C0"/>
    <w:rsid w:val="001574FE"/>
    <w:rsid w:val="0015753D"/>
    <w:rsid w:val="00157984"/>
    <w:rsid w:val="00157CC9"/>
    <w:rsid w:val="00160385"/>
    <w:rsid w:val="00160A1E"/>
    <w:rsid w:val="00160C21"/>
    <w:rsid w:val="001612F4"/>
    <w:rsid w:val="00161553"/>
    <w:rsid w:val="0016216F"/>
    <w:rsid w:val="0016256B"/>
    <w:rsid w:val="00162AC0"/>
    <w:rsid w:val="00162F81"/>
    <w:rsid w:val="00163793"/>
    <w:rsid w:val="00163868"/>
    <w:rsid w:val="00163885"/>
    <w:rsid w:val="00164CA1"/>
    <w:rsid w:val="001651BF"/>
    <w:rsid w:val="00165310"/>
    <w:rsid w:val="00165313"/>
    <w:rsid w:val="001655FA"/>
    <w:rsid w:val="001659C3"/>
    <w:rsid w:val="00166064"/>
    <w:rsid w:val="001665AB"/>
    <w:rsid w:val="00167485"/>
    <w:rsid w:val="001679F5"/>
    <w:rsid w:val="00167B92"/>
    <w:rsid w:val="00167CB9"/>
    <w:rsid w:val="00167DD8"/>
    <w:rsid w:val="001705AD"/>
    <w:rsid w:val="001706D6"/>
    <w:rsid w:val="00170C58"/>
    <w:rsid w:val="001714F2"/>
    <w:rsid w:val="00171F93"/>
    <w:rsid w:val="00171FEA"/>
    <w:rsid w:val="00173622"/>
    <w:rsid w:val="00175219"/>
    <w:rsid w:val="001759DE"/>
    <w:rsid w:val="00175B9F"/>
    <w:rsid w:val="001762F4"/>
    <w:rsid w:val="001777BA"/>
    <w:rsid w:val="00181029"/>
    <w:rsid w:val="00181788"/>
    <w:rsid w:val="001817E8"/>
    <w:rsid w:val="00181BBC"/>
    <w:rsid w:val="00183454"/>
    <w:rsid w:val="0018385F"/>
    <w:rsid w:val="00183BCF"/>
    <w:rsid w:val="00184017"/>
    <w:rsid w:val="001847BB"/>
    <w:rsid w:val="00184B08"/>
    <w:rsid w:val="00185010"/>
    <w:rsid w:val="001854F2"/>
    <w:rsid w:val="00185C22"/>
    <w:rsid w:val="00185FA4"/>
    <w:rsid w:val="00186538"/>
    <w:rsid w:val="00186BA9"/>
    <w:rsid w:val="00187090"/>
    <w:rsid w:val="00187D50"/>
    <w:rsid w:val="00190759"/>
    <w:rsid w:val="00190B4D"/>
    <w:rsid w:val="00190B9B"/>
    <w:rsid w:val="00190F6C"/>
    <w:rsid w:val="0019196C"/>
    <w:rsid w:val="001926A9"/>
    <w:rsid w:val="00192F05"/>
    <w:rsid w:val="001930BB"/>
    <w:rsid w:val="001937F8"/>
    <w:rsid w:val="00194729"/>
    <w:rsid w:val="00194818"/>
    <w:rsid w:val="00194850"/>
    <w:rsid w:val="00195234"/>
    <w:rsid w:val="00195EA6"/>
    <w:rsid w:val="00196016"/>
    <w:rsid w:val="00196117"/>
    <w:rsid w:val="00197557"/>
    <w:rsid w:val="00197A70"/>
    <w:rsid w:val="00197C0F"/>
    <w:rsid w:val="00197C16"/>
    <w:rsid w:val="00197D0E"/>
    <w:rsid w:val="001A0360"/>
    <w:rsid w:val="001A0487"/>
    <w:rsid w:val="001A0675"/>
    <w:rsid w:val="001A0A37"/>
    <w:rsid w:val="001A1F68"/>
    <w:rsid w:val="001A21FA"/>
    <w:rsid w:val="001A3044"/>
    <w:rsid w:val="001A3254"/>
    <w:rsid w:val="001A4393"/>
    <w:rsid w:val="001A4D08"/>
    <w:rsid w:val="001A4D7C"/>
    <w:rsid w:val="001A4ECD"/>
    <w:rsid w:val="001A4EF0"/>
    <w:rsid w:val="001A540E"/>
    <w:rsid w:val="001A552F"/>
    <w:rsid w:val="001A593A"/>
    <w:rsid w:val="001A5DD6"/>
    <w:rsid w:val="001A62F9"/>
    <w:rsid w:val="001A6CDD"/>
    <w:rsid w:val="001A70B1"/>
    <w:rsid w:val="001A7564"/>
    <w:rsid w:val="001A75E0"/>
    <w:rsid w:val="001A7672"/>
    <w:rsid w:val="001A77E1"/>
    <w:rsid w:val="001A7959"/>
    <w:rsid w:val="001B0738"/>
    <w:rsid w:val="001B10F0"/>
    <w:rsid w:val="001B1235"/>
    <w:rsid w:val="001B158D"/>
    <w:rsid w:val="001B1ADB"/>
    <w:rsid w:val="001B1BBB"/>
    <w:rsid w:val="001B2CA9"/>
    <w:rsid w:val="001B3110"/>
    <w:rsid w:val="001B3E38"/>
    <w:rsid w:val="001B40F5"/>
    <w:rsid w:val="001B4729"/>
    <w:rsid w:val="001B4AAC"/>
    <w:rsid w:val="001B4B62"/>
    <w:rsid w:val="001B4F0E"/>
    <w:rsid w:val="001B5F40"/>
    <w:rsid w:val="001B6310"/>
    <w:rsid w:val="001B6C09"/>
    <w:rsid w:val="001B6E12"/>
    <w:rsid w:val="001B75F7"/>
    <w:rsid w:val="001C05CD"/>
    <w:rsid w:val="001C082B"/>
    <w:rsid w:val="001C0F17"/>
    <w:rsid w:val="001C11A6"/>
    <w:rsid w:val="001C1B24"/>
    <w:rsid w:val="001C1B66"/>
    <w:rsid w:val="001C1BB5"/>
    <w:rsid w:val="001C2439"/>
    <w:rsid w:val="001C2732"/>
    <w:rsid w:val="001C2DF5"/>
    <w:rsid w:val="001C2F97"/>
    <w:rsid w:val="001C31A2"/>
    <w:rsid w:val="001C351D"/>
    <w:rsid w:val="001C3794"/>
    <w:rsid w:val="001C3855"/>
    <w:rsid w:val="001C4B8F"/>
    <w:rsid w:val="001C4BB8"/>
    <w:rsid w:val="001C4D8C"/>
    <w:rsid w:val="001C4FD0"/>
    <w:rsid w:val="001C544D"/>
    <w:rsid w:val="001C5E46"/>
    <w:rsid w:val="001C6B3B"/>
    <w:rsid w:val="001C74CD"/>
    <w:rsid w:val="001C7A26"/>
    <w:rsid w:val="001C7E3F"/>
    <w:rsid w:val="001D0EF1"/>
    <w:rsid w:val="001D1A44"/>
    <w:rsid w:val="001D22C2"/>
    <w:rsid w:val="001D2C99"/>
    <w:rsid w:val="001D2D3C"/>
    <w:rsid w:val="001D3652"/>
    <w:rsid w:val="001D3B58"/>
    <w:rsid w:val="001D3B75"/>
    <w:rsid w:val="001D452E"/>
    <w:rsid w:val="001D54C1"/>
    <w:rsid w:val="001D556E"/>
    <w:rsid w:val="001D55CF"/>
    <w:rsid w:val="001D57D2"/>
    <w:rsid w:val="001D5DF2"/>
    <w:rsid w:val="001D6175"/>
    <w:rsid w:val="001D68B2"/>
    <w:rsid w:val="001D6FA8"/>
    <w:rsid w:val="001D6FEE"/>
    <w:rsid w:val="001D7EFD"/>
    <w:rsid w:val="001D7F60"/>
    <w:rsid w:val="001E085B"/>
    <w:rsid w:val="001E149B"/>
    <w:rsid w:val="001E15CB"/>
    <w:rsid w:val="001E18C4"/>
    <w:rsid w:val="001E26FC"/>
    <w:rsid w:val="001E3306"/>
    <w:rsid w:val="001E5028"/>
    <w:rsid w:val="001E504C"/>
    <w:rsid w:val="001E5111"/>
    <w:rsid w:val="001E53BB"/>
    <w:rsid w:val="001E56AC"/>
    <w:rsid w:val="001E5A17"/>
    <w:rsid w:val="001E5F93"/>
    <w:rsid w:val="001E6DD9"/>
    <w:rsid w:val="001E74C5"/>
    <w:rsid w:val="001E74E8"/>
    <w:rsid w:val="001F007D"/>
    <w:rsid w:val="001F0A74"/>
    <w:rsid w:val="001F1236"/>
    <w:rsid w:val="001F13AF"/>
    <w:rsid w:val="001F1B91"/>
    <w:rsid w:val="001F2F90"/>
    <w:rsid w:val="001F4597"/>
    <w:rsid w:val="001F4826"/>
    <w:rsid w:val="001F4933"/>
    <w:rsid w:val="001F4A57"/>
    <w:rsid w:val="001F59C8"/>
    <w:rsid w:val="001F6483"/>
    <w:rsid w:val="001F6843"/>
    <w:rsid w:val="001F6CD3"/>
    <w:rsid w:val="001F75DA"/>
    <w:rsid w:val="001F78A8"/>
    <w:rsid w:val="001F7931"/>
    <w:rsid w:val="001F7CE0"/>
    <w:rsid w:val="00200085"/>
    <w:rsid w:val="00201633"/>
    <w:rsid w:val="002024FA"/>
    <w:rsid w:val="00203332"/>
    <w:rsid w:val="002036E6"/>
    <w:rsid w:val="00203CD5"/>
    <w:rsid w:val="00203D8F"/>
    <w:rsid w:val="00203DA4"/>
    <w:rsid w:val="0020473C"/>
    <w:rsid w:val="00204A71"/>
    <w:rsid w:val="00204EA6"/>
    <w:rsid w:val="00205186"/>
    <w:rsid w:val="00205EB7"/>
    <w:rsid w:val="00206516"/>
    <w:rsid w:val="002070CF"/>
    <w:rsid w:val="002071D5"/>
    <w:rsid w:val="002073FD"/>
    <w:rsid w:val="00207470"/>
    <w:rsid w:val="002108C8"/>
    <w:rsid w:val="002111E5"/>
    <w:rsid w:val="002112EB"/>
    <w:rsid w:val="0021149E"/>
    <w:rsid w:val="002118B9"/>
    <w:rsid w:val="002122EA"/>
    <w:rsid w:val="00213691"/>
    <w:rsid w:val="00213EF5"/>
    <w:rsid w:val="002142C0"/>
    <w:rsid w:val="00217BED"/>
    <w:rsid w:val="00217C5B"/>
    <w:rsid w:val="00217F53"/>
    <w:rsid w:val="00220A43"/>
    <w:rsid w:val="0022139E"/>
    <w:rsid w:val="00222729"/>
    <w:rsid w:val="0022287B"/>
    <w:rsid w:val="002228DB"/>
    <w:rsid w:val="002229FF"/>
    <w:rsid w:val="002230FC"/>
    <w:rsid w:val="00223185"/>
    <w:rsid w:val="00223264"/>
    <w:rsid w:val="002233D6"/>
    <w:rsid w:val="0022441D"/>
    <w:rsid w:val="00224574"/>
    <w:rsid w:val="00224CB7"/>
    <w:rsid w:val="00224E3F"/>
    <w:rsid w:val="00225000"/>
    <w:rsid w:val="002252E0"/>
    <w:rsid w:val="002255F6"/>
    <w:rsid w:val="00226032"/>
    <w:rsid w:val="0022639E"/>
    <w:rsid w:val="00226D31"/>
    <w:rsid w:val="0022738D"/>
    <w:rsid w:val="00227605"/>
    <w:rsid w:val="00227850"/>
    <w:rsid w:val="00227969"/>
    <w:rsid w:val="00227A53"/>
    <w:rsid w:val="00227C6C"/>
    <w:rsid w:val="00227E2E"/>
    <w:rsid w:val="00227F53"/>
    <w:rsid w:val="00230089"/>
    <w:rsid w:val="00230C36"/>
    <w:rsid w:val="00230C6E"/>
    <w:rsid w:val="00230E21"/>
    <w:rsid w:val="00231066"/>
    <w:rsid w:val="002316A8"/>
    <w:rsid w:val="00231859"/>
    <w:rsid w:val="00231E31"/>
    <w:rsid w:val="002320C9"/>
    <w:rsid w:val="0023288F"/>
    <w:rsid w:val="0023359B"/>
    <w:rsid w:val="00233603"/>
    <w:rsid w:val="002340EF"/>
    <w:rsid w:val="00234B82"/>
    <w:rsid w:val="00234F2B"/>
    <w:rsid w:val="00236241"/>
    <w:rsid w:val="00236443"/>
    <w:rsid w:val="00236700"/>
    <w:rsid w:val="00236EA9"/>
    <w:rsid w:val="00237669"/>
    <w:rsid w:val="002376D3"/>
    <w:rsid w:val="00237C8B"/>
    <w:rsid w:val="0024026A"/>
    <w:rsid w:val="00240391"/>
    <w:rsid w:val="00240AF3"/>
    <w:rsid w:val="00241020"/>
    <w:rsid w:val="002418D5"/>
    <w:rsid w:val="00241A9F"/>
    <w:rsid w:val="00241B06"/>
    <w:rsid w:val="00242265"/>
    <w:rsid w:val="0024233F"/>
    <w:rsid w:val="002426B4"/>
    <w:rsid w:val="00242E9A"/>
    <w:rsid w:val="0024343A"/>
    <w:rsid w:val="002436BA"/>
    <w:rsid w:val="002438DC"/>
    <w:rsid w:val="00243B5C"/>
    <w:rsid w:val="002443BC"/>
    <w:rsid w:val="00244652"/>
    <w:rsid w:val="00244A15"/>
    <w:rsid w:val="00244D6A"/>
    <w:rsid w:val="002452D9"/>
    <w:rsid w:val="00246909"/>
    <w:rsid w:val="00246AD7"/>
    <w:rsid w:val="00247319"/>
    <w:rsid w:val="0024772F"/>
    <w:rsid w:val="00247835"/>
    <w:rsid w:val="0024799E"/>
    <w:rsid w:val="00247E60"/>
    <w:rsid w:val="00250F19"/>
    <w:rsid w:val="002512B7"/>
    <w:rsid w:val="00251496"/>
    <w:rsid w:val="00251B08"/>
    <w:rsid w:val="00251C53"/>
    <w:rsid w:val="00252AB9"/>
    <w:rsid w:val="002532B1"/>
    <w:rsid w:val="00253C0F"/>
    <w:rsid w:val="002558C1"/>
    <w:rsid w:val="002559F8"/>
    <w:rsid w:val="00255A19"/>
    <w:rsid w:val="00256207"/>
    <w:rsid w:val="002575F3"/>
    <w:rsid w:val="00257E48"/>
    <w:rsid w:val="002601B4"/>
    <w:rsid w:val="002603E1"/>
    <w:rsid w:val="002605FE"/>
    <w:rsid w:val="0026120E"/>
    <w:rsid w:val="002617EE"/>
    <w:rsid w:val="00262582"/>
    <w:rsid w:val="0026291D"/>
    <w:rsid w:val="00262B30"/>
    <w:rsid w:val="00262CF3"/>
    <w:rsid w:val="00264309"/>
    <w:rsid w:val="00264992"/>
    <w:rsid w:val="00264B4F"/>
    <w:rsid w:val="00264B85"/>
    <w:rsid w:val="0026564B"/>
    <w:rsid w:val="00265C83"/>
    <w:rsid w:val="00265E85"/>
    <w:rsid w:val="00265F05"/>
    <w:rsid w:val="002660F7"/>
    <w:rsid w:val="0026632F"/>
    <w:rsid w:val="002668B0"/>
    <w:rsid w:val="002678E4"/>
    <w:rsid w:val="00267B49"/>
    <w:rsid w:val="00267C51"/>
    <w:rsid w:val="002700D9"/>
    <w:rsid w:val="00270133"/>
    <w:rsid w:val="0027025F"/>
    <w:rsid w:val="002709CC"/>
    <w:rsid w:val="00270D25"/>
    <w:rsid w:val="00271022"/>
    <w:rsid w:val="00271465"/>
    <w:rsid w:val="00271A07"/>
    <w:rsid w:val="00271E47"/>
    <w:rsid w:val="002721F5"/>
    <w:rsid w:val="00272DF4"/>
    <w:rsid w:val="00273B7A"/>
    <w:rsid w:val="0027401B"/>
    <w:rsid w:val="00275062"/>
    <w:rsid w:val="00275758"/>
    <w:rsid w:val="0027583D"/>
    <w:rsid w:val="002759C7"/>
    <w:rsid w:val="00275DEF"/>
    <w:rsid w:val="00275E43"/>
    <w:rsid w:val="002763A2"/>
    <w:rsid w:val="00276B33"/>
    <w:rsid w:val="00277669"/>
    <w:rsid w:val="002803A5"/>
    <w:rsid w:val="00280ACB"/>
    <w:rsid w:val="002812E3"/>
    <w:rsid w:val="00281576"/>
    <w:rsid w:val="00281D1B"/>
    <w:rsid w:val="00282451"/>
    <w:rsid w:val="00282AD4"/>
    <w:rsid w:val="0028341F"/>
    <w:rsid w:val="0028351F"/>
    <w:rsid w:val="002837AE"/>
    <w:rsid w:val="00283C13"/>
    <w:rsid w:val="00283F7B"/>
    <w:rsid w:val="0028431A"/>
    <w:rsid w:val="0028534D"/>
    <w:rsid w:val="002853FA"/>
    <w:rsid w:val="00285412"/>
    <w:rsid w:val="0028558A"/>
    <w:rsid w:val="00286220"/>
    <w:rsid w:val="00290745"/>
    <w:rsid w:val="0029110B"/>
    <w:rsid w:val="00291640"/>
    <w:rsid w:val="00291956"/>
    <w:rsid w:val="0029237E"/>
    <w:rsid w:val="00292997"/>
    <w:rsid w:val="00292EB0"/>
    <w:rsid w:val="00293939"/>
    <w:rsid w:val="00293D24"/>
    <w:rsid w:val="0029461A"/>
    <w:rsid w:val="0029509B"/>
    <w:rsid w:val="0029588F"/>
    <w:rsid w:val="00295C4D"/>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4946"/>
    <w:rsid w:val="002A4951"/>
    <w:rsid w:val="002A51AC"/>
    <w:rsid w:val="002A532A"/>
    <w:rsid w:val="002A5477"/>
    <w:rsid w:val="002A5846"/>
    <w:rsid w:val="002A5D97"/>
    <w:rsid w:val="002A603E"/>
    <w:rsid w:val="002A63B9"/>
    <w:rsid w:val="002A7089"/>
    <w:rsid w:val="002B03C2"/>
    <w:rsid w:val="002B0692"/>
    <w:rsid w:val="002B0987"/>
    <w:rsid w:val="002B0EDA"/>
    <w:rsid w:val="002B1619"/>
    <w:rsid w:val="002B322D"/>
    <w:rsid w:val="002B3EF4"/>
    <w:rsid w:val="002B4532"/>
    <w:rsid w:val="002B4845"/>
    <w:rsid w:val="002B5567"/>
    <w:rsid w:val="002B5812"/>
    <w:rsid w:val="002B72AA"/>
    <w:rsid w:val="002B75C0"/>
    <w:rsid w:val="002B772D"/>
    <w:rsid w:val="002C0673"/>
    <w:rsid w:val="002C1110"/>
    <w:rsid w:val="002C196C"/>
    <w:rsid w:val="002C1BC2"/>
    <w:rsid w:val="002C1F09"/>
    <w:rsid w:val="002C22A4"/>
    <w:rsid w:val="002C260B"/>
    <w:rsid w:val="002C27A6"/>
    <w:rsid w:val="002C27CD"/>
    <w:rsid w:val="002C2FFE"/>
    <w:rsid w:val="002C31E4"/>
    <w:rsid w:val="002C398D"/>
    <w:rsid w:val="002C40D2"/>
    <w:rsid w:val="002C43BD"/>
    <w:rsid w:val="002C47B7"/>
    <w:rsid w:val="002C4AA6"/>
    <w:rsid w:val="002C5245"/>
    <w:rsid w:val="002C5463"/>
    <w:rsid w:val="002C54A2"/>
    <w:rsid w:val="002C564A"/>
    <w:rsid w:val="002C59D8"/>
    <w:rsid w:val="002C5FEB"/>
    <w:rsid w:val="002C6494"/>
    <w:rsid w:val="002C70C1"/>
    <w:rsid w:val="002C7837"/>
    <w:rsid w:val="002D0553"/>
    <w:rsid w:val="002D05CB"/>
    <w:rsid w:val="002D0E59"/>
    <w:rsid w:val="002D1543"/>
    <w:rsid w:val="002D2C4F"/>
    <w:rsid w:val="002D3EBB"/>
    <w:rsid w:val="002D455C"/>
    <w:rsid w:val="002D6066"/>
    <w:rsid w:val="002D6630"/>
    <w:rsid w:val="002D67BD"/>
    <w:rsid w:val="002D6A4C"/>
    <w:rsid w:val="002D6D10"/>
    <w:rsid w:val="002D6E5F"/>
    <w:rsid w:val="002E010B"/>
    <w:rsid w:val="002E02A1"/>
    <w:rsid w:val="002E154B"/>
    <w:rsid w:val="002E196A"/>
    <w:rsid w:val="002E1F8A"/>
    <w:rsid w:val="002E20C7"/>
    <w:rsid w:val="002E20CD"/>
    <w:rsid w:val="002E222E"/>
    <w:rsid w:val="002E28D8"/>
    <w:rsid w:val="002E29D9"/>
    <w:rsid w:val="002E3638"/>
    <w:rsid w:val="002E372A"/>
    <w:rsid w:val="002E37D1"/>
    <w:rsid w:val="002E3BEE"/>
    <w:rsid w:val="002E4DCE"/>
    <w:rsid w:val="002E4E4C"/>
    <w:rsid w:val="002E4EA7"/>
    <w:rsid w:val="002E5437"/>
    <w:rsid w:val="002E5846"/>
    <w:rsid w:val="002E5C7F"/>
    <w:rsid w:val="002E631B"/>
    <w:rsid w:val="002E792B"/>
    <w:rsid w:val="002E7AEB"/>
    <w:rsid w:val="002E7B0C"/>
    <w:rsid w:val="002E7B79"/>
    <w:rsid w:val="002F0009"/>
    <w:rsid w:val="002F1B09"/>
    <w:rsid w:val="002F1D56"/>
    <w:rsid w:val="002F1DCB"/>
    <w:rsid w:val="002F1DE4"/>
    <w:rsid w:val="002F333D"/>
    <w:rsid w:val="002F351A"/>
    <w:rsid w:val="002F357F"/>
    <w:rsid w:val="002F46D6"/>
    <w:rsid w:val="002F498A"/>
    <w:rsid w:val="002F4AD8"/>
    <w:rsid w:val="002F4CD8"/>
    <w:rsid w:val="002F4E46"/>
    <w:rsid w:val="002F5285"/>
    <w:rsid w:val="002F560F"/>
    <w:rsid w:val="002F572C"/>
    <w:rsid w:val="002F5820"/>
    <w:rsid w:val="002F6086"/>
    <w:rsid w:val="002F64BB"/>
    <w:rsid w:val="002F7D9B"/>
    <w:rsid w:val="00300628"/>
    <w:rsid w:val="00300C31"/>
    <w:rsid w:val="003017EC"/>
    <w:rsid w:val="00302165"/>
    <w:rsid w:val="00302924"/>
    <w:rsid w:val="00303BB4"/>
    <w:rsid w:val="00304771"/>
    <w:rsid w:val="00304F9C"/>
    <w:rsid w:val="003052D4"/>
    <w:rsid w:val="00305863"/>
    <w:rsid w:val="00305AF4"/>
    <w:rsid w:val="003060E9"/>
    <w:rsid w:val="00306A62"/>
    <w:rsid w:val="00306C5B"/>
    <w:rsid w:val="00307529"/>
    <w:rsid w:val="00307AA2"/>
    <w:rsid w:val="00307D33"/>
    <w:rsid w:val="00307DB3"/>
    <w:rsid w:val="00307DDB"/>
    <w:rsid w:val="00307ED2"/>
    <w:rsid w:val="0031076D"/>
    <w:rsid w:val="00311242"/>
    <w:rsid w:val="0031169A"/>
    <w:rsid w:val="00311AA6"/>
    <w:rsid w:val="00311C4D"/>
    <w:rsid w:val="00311CA4"/>
    <w:rsid w:val="003121AB"/>
    <w:rsid w:val="00312A85"/>
    <w:rsid w:val="00312C83"/>
    <w:rsid w:val="00312E51"/>
    <w:rsid w:val="00315169"/>
    <w:rsid w:val="00315208"/>
    <w:rsid w:val="003153C8"/>
    <w:rsid w:val="00315524"/>
    <w:rsid w:val="00315561"/>
    <w:rsid w:val="0031645E"/>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0FF8"/>
    <w:rsid w:val="0033175E"/>
    <w:rsid w:val="003317A3"/>
    <w:rsid w:val="00332190"/>
    <w:rsid w:val="00332A98"/>
    <w:rsid w:val="00332D86"/>
    <w:rsid w:val="003334BD"/>
    <w:rsid w:val="00333973"/>
    <w:rsid w:val="00333CD0"/>
    <w:rsid w:val="00333F8B"/>
    <w:rsid w:val="0033448D"/>
    <w:rsid w:val="00334AD2"/>
    <w:rsid w:val="00334CB6"/>
    <w:rsid w:val="003369B0"/>
    <w:rsid w:val="0033709C"/>
    <w:rsid w:val="003370C5"/>
    <w:rsid w:val="003373C6"/>
    <w:rsid w:val="0033753A"/>
    <w:rsid w:val="003403C1"/>
    <w:rsid w:val="0034081B"/>
    <w:rsid w:val="00340BF3"/>
    <w:rsid w:val="00341C6C"/>
    <w:rsid w:val="00341D26"/>
    <w:rsid w:val="00341F05"/>
    <w:rsid w:val="003424A0"/>
    <w:rsid w:val="00342AD0"/>
    <w:rsid w:val="0034335E"/>
    <w:rsid w:val="00344668"/>
    <w:rsid w:val="0034466D"/>
    <w:rsid w:val="00344881"/>
    <w:rsid w:val="00344940"/>
    <w:rsid w:val="00346234"/>
    <w:rsid w:val="00346285"/>
    <w:rsid w:val="003462D9"/>
    <w:rsid w:val="00346576"/>
    <w:rsid w:val="0034723F"/>
    <w:rsid w:val="00347247"/>
    <w:rsid w:val="003474B6"/>
    <w:rsid w:val="00347DD4"/>
    <w:rsid w:val="00350138"/>
    <w:rsid w:val="00350F0C"/>
    <w:rsid w:val="003527E6"/>
    <w:rsid w:val="00352B43"/>
    <w:rsid w:val="00352C28"/>
    <w:rsid w:val="003541BB"/>
    <w:rsid w:val="00354502"/>
    <w:rsid w:val="00354F89"/>
    <w:rsid w:val="0035506D"/>
    <w:rsid w:val="0035547E"/>
    <w:rsid w:val="003559D1"/>
    <w:rsid w:val="003565DB"/>
    <w:rsid w:val="003574AB"/>
    <w:rsid w:val="003579A1"/>
    <w:rsid w:val="00357F42"/>
    <w:rsid w:val="0036077F"/>
    <w:rsid w:val="0036081A"/>
    <w:rsid w:val="00360A35"/>
    <w:rsid w:val="00360C86"/>
    <w:rsid w:val="00360F7A"/>
    <w:rsid w:val="00360FBC"/>
    <w:rsid w:val="0036102D"/>
    <w:rsid w:val="00361537"/>
    <w:rsid w:val="003619A0"/>
    <w:rsid w:val="00361A59"/>
    <w:rsid w:val="00361FB7"/>
    <w:rsid w:val="0036242A"/>
    <w:rsid w:val="003629A5"/>
    <w:rsid w:val="00362C23"/>
    <w:rsid w:val="00362DCA"/>
    <w:rsid w:val="00362E90"/>
    <w:rsid w:val="0036421A"/>
    <w:rsid w:val="003643CB"/>
    <w:rsid w:val="0036448C"/>
    <w:rsid w:val="00364FA0"/>
    <w:rsid w:val="003650D9"/>
    <w:rsid w:val="003657F3"/>
    <w:rsid w:val="00365844"/>
    <w:rsid w:val="00365F61"/>
    <w:rsid w:val="0036624C"/>
    <w:rsid w:val="003664FD"/>
    <w:rsid w:val="00367F84"/>
    <w:rsid w:val="003712BC"/>
    <w:rsid w:val="003716BE"/>
    <w:rsid w:val="00372164"/>
    <w:rsid w:val="003738BD"/>
    <w:rsid w:val="00373D43"/>
    <w:rsid w:val="00374263"/>
    <w:rsid w:val="00374278"/>
    <w:rsid w:val="003746F0"/>
    <w:rsid w:val="00374A20"/>
    <w:rsid w:val="00374B5D"/>
    <w:rsid w:val="00374B96"/>
    <w:rsid w:val="00374E21"/>
    <w:rsid w:val="00374ED6"/>
    <w:rsid w:val="0037537A"/>
    <w:rsid w:val="003755A0"/>
    <w:rsid w:val="00375CB9"/>
    <w:rsid w:val="00377007"/>
    <w:rsid w:val="00377B2E"/>
    <w:rsid w:val="00380C9B"/>
    <w:rsid w:val="003810F0"/>
    <w:rsid w:val="003815D4"/>
    <w:rsid w:val="003818DC"/>
    <w:rsid w:val="00382513"/>
    <w:rsid w:val="00383388"/>
    <w:rsid w:val="003834F8"/>
    <w:rsid w:val="003837B1"/>
    <w:rsid w:val="003838D0"/>
    <w:rsid w:val="003840C2"/>
    <w:rsid w:val="003840C3"/>
    <w:rsid w:val="00384327"/>
    <w:rsid w:val="00384A89"/>
    <w:rsid w:val="00385086"/>
    <w:rsid w:val="0038578B"/>
    <w:rsid w:val="00385D98"/>
    <w:rsid w:val="003862C0"/>
    <w:rsid w:val="0038712D"/>
    <w:rsid w:val="00390306"/>
    <w:rsid w:val="0039031A"/>
    <w:rsid w:val="003908A6"/>
    <w:rsid w:val="0039109D"/>
    <w:rsid w:val="00391989"/>
    <w:rsid w:val="00391A6C"/>
    <w:rsid w:val="00391B9F"/>
    <w:rsid w:val="00392238"/>
    <w:rsid w:val="003927F6"/>
    <w:rsid w:val="0039398D"/>
    <w:rsid w:val="00393B3F"/>
    <w:rsid w:val="00393B72"/>
    <w:rsid w:val="0039402D"/>
    <w:rsid w:val="00395773"/>
    <w:rsid w:val="00396739"/>
    <w:rsid w:val="003978B1"/>
    <w:rsid w:val="003A04F6"/>
    <w:rsid w:val="003A0837"/>
    <w:rsid w:val="003A2B4D"/>
    <w:rsid w:val="003A2D12"/>
    <w:rsid w:val="003A2EBA"/>
    <w:rsid w:val="003A39F3"/>
    <w:rsid w:val="003A3D89"/>
    <w:rsid w:val="003A45E3"/>
    <w:rsid w:val="003A46B8"/>
    <w:rsid w:val="003A478C"/>
    <w:rsid w:val="003A4A38"/>
    <w:rsid w:val="003A5295"/>
    <w:rsid w:val="003A5525"/>
    <w:rsid w:val="003A5854"/>
    <w:rsid w:val="003A5889"/>
    <w:rsid w:val="003A5B3F"/>
    <w:rsid w:val="003A5C8C"/>
    <w:rsid w:val="003A64A6"/>
    <w:rsid w:val="003A6B38"/>
    <w:rsid w:val="003A6B83"/>
    <w:rsid w:val="003A6C97"/>
    <w:rsid w:val="003A6E2E"/>
    <w:rsid w:val="003A722F"/>
    <w:rsid w:val="003A7373"/>
    <w:rsid w:val="003A77D8"/>
    <w:rsid w:val="003A7D09"/>
    <w:rsid w:val="003B039F"/>
    <w:rsid w:val="003B0DF4"/>
    <w:rsid w:val="003B1F9D"/>
    <w:rsid w:val="003B2A8D"/>
    <w:rsid w:val="003B2AD1"/>
    <w:rsid w:val="003B2D2E"/>
    <w:rsid w:val="003B2F69"/>
    <w:rsid w:val="003B376A"/>
    <w:rsid w:val="003B461F"/>
    <w:rsid w:val="003B483F"/>
    <w:rsid w:val="003B4998"/>
    <w:rsid w:val="003B5A32"/>
    <w:rsid w:val="003B5B59"/>
    <w:rsid w:val="003B5E81"/>
    <w:rsid w:val="003B709D"/>
    <w:rsid w:val="003B7B37"/>
    <w:rsid w:val="003B7B50"/>
    <w:rsid w:val="003C0504"/>
    <w:rsid w:val="003C086F"/>
    <w:rsid w:val="003C0B07"/>
    <w:rsid w:val="003C1EFD"/>
    <w:rsid w:val="003C2543"/>
    <w:rsid w:val="003C2CE7"/>
    <w:rsid w:val="003C2DB8"/>
    <w:rsid w:val="003C3490"/>
    <w:rsid w:val="003C3608"/>
    <w:rsid w:val="003C3813"/>
    <w:rsid w:val="003C3A87"/>
    <w:rsid w:val="003C3AE8"/>
    <w:rsid w:val="003C3D2C"/>
    <w:rsid w:val="003C4058"/>
    <w:rsid w:val="003C4E13"/>
    <w:rsid w:val="003C58A5"/>
    <w:rsid w:val="003C5EA3"/>
    <w:rsid w:val="003C6221"/>
    <w:rsid w:val="003C63D7"/>
    <w:rsid w:val="003C68CC"/>
    <w:rsid w:val="003C708D"/>
    <w:rsid w:val="003C7339"/>
    <w:rsid w:val="003C7E62"/>
    <w:rsid w:val="003D12B9"/>
    <w:rsid w:val="003D13A6"/>
    <w:rsid w:val="003D1828"/>
    <w:rsid w:val="003D1E7A"/>
    <w:rsid w:val="003D242B"/>
    <w:rsid w:val="003D2492"/>
    <w:rsid w:val="003D29AA"/>
    <w:rsid w:val="003D2A54"/>
    <w:rsid w:val="003D2A99"/>
    <w:rsid w:val="003D4FD2"/>
    <w:rsid w:val="003D6920"/>
    <w:rsid w:val="003D6E19"/>
    <w:rsid w:val="003E0249"/>
    <w:rsid w:val="003E08A4"/>
    <w:rsid w:val="003E105C"/>
    <w:rsid w:val="003E1EF8"/>
    <w:rsid w:val="003E2BF2"/>
    <w:rsid w:val="003E2DFB"/>
    <w:rsid w:val="003E333B"/>
    <w:rsid w:val="003E4466"/>
    <w:rsid w:val="003E4817"/>
    <w:rsid w:val="003E4C91"/>
    <w:rsid w:val="003E4DAB"/>
    <w:rsid w:val="003E52D8"/>
    <w:rsid w:val="003E62F1"/>
    <w:rsid w:val="003E6547"/>
    <w:rsid w:val="003E6F84"/>
    <w:rsid w:val="003F0148"/>
    <w:rsid w:val="003F0CC3"/>
    <w:rsid w:val="003F0FB6"/>
    <w:rsid w:val="003F167E"/>
    <w:rsid w:val="003F29B7"/>
    <w:rsid w:val="003F313C"/>
    <w:rsid w:val="003F3216"/>
    <w:rsid w:val="003F33B1"/>
    <w:rsid w:val="003F33B9"/>
    <w:rsid w:val="003F37FC"/>
    <w:rsid w:val="003F3E76"/>
    <w:rsid w:val="003F4230"/>
    <w:rsid w:val="003F4318"/>
    <w:rsid w:val="003F4B2C"/>
    <w:rsid w:val="003F4CDD"/>
    <w:rsid w:val="003F4E1E"/>
    <w:rsid w:val="003F4EA2"/>
    <w:rsid w:val="003F551C"/>
    <w:rsid w:val="003F61C2"/>
    <w:rsid w:val="003F626D"/>
    <w:rsid w:val="003F67D6"/>
    <w:rsid w:val="003F72ED"/>
    <w:rsid w:val="003F7872"/>
    <w:rsid w:val="003F7D23"/>
    <w:rsid w:val="003F7D98"/>
    <w:rsid w:val="00400050"/>
    <w:rsid w:val="004002C8"/>
    <w:rsid w:val="00400468"/>
    <w:rsid w:val="0040099D"/>
    <w:rsid w:val="004016CB"/>
    <w:rsid w:val="00401837"/>
    <w:rsid w:val="00401B23"/>
    <w:rsid w:val="00402ADB"/>
    <w:rsid w:val="0040368D"/>
    <w:rsid w:val="00403D1D"/>
    <w:rsid w:val="00403F57"/>
    <w:rsid w:val="00404051"/>
    <w:rsid w:val="0040469E"/>
    <w:rsid w:val="004046BD"/>
    <w:rsid w:val="00404BAB"/>
    <w:rsid w:val="00405318"/>
    <w:rsid w:val="0040545D"/>
    <w:rsid w:val="00405696"/>
    <w:rsid w:val="004059D2"/>
    <w:rsid w:val="004060C9"/>
    <w:rsid w:val="004066D0"/>
    <w:rsid w:val="00406C2E"/>
    <w:rsid w:val="00406CDA"/>
    <w:rsid w:val="00406EB0"/>
    <w:rsid w:val="00407711"/>
    <w:rsid w:val="00407863"/>
    <w:rsid w:val="00407C13"/>
    <w:rsid w:val="004103F6"/>
    <w:rsid w:val="00410638"/>
    <w:rsid w:val="00410A5C"/>
    <w:rsid w:val="0041107A"/>
    <w:rsid w:val="004123CB"/>
    <w:rsid w:val="00412511"/>
    <w:rsid w:val="004125C2"/>
    <w:rsid w:val="00412DFA"/>
    <w:rsid w:val="00413465"/>
    <w:rsid w:val="00413546"/>
    <w:rsid w:val="004149AC"/>
    <w:rsid w:val="0041501E"/>
    <w:rsid w:val="00415452"/>
    <w:rsid w:val="004159C3"/>
    <w:rsid w:val="00415A57"/>
    <w:rsid w:val="00416DAC"/>
    <w:rsid w:val="00417106"/>
    <w:rsid w:val="0041710D"/>
    <w:rsid w:val="00420880"/>
    <w:rsid w:val="00421022"/>
    <w:rsid w:val="00421179"/>
    <w:rsid w:val="004225D7"/>
    <w:rsid w:val="00423249"/>
    <w:rsid w:val="00423519"/>
    <w:rsid w:val="00423623"/>
    <w:rsid w:val="00424050"/>
    <w:rsid w:val="0042470E"/>
    <w:rsid w:val="00425352"/>
    <w:rsid w:val="00426C99"/>
    <w:rsid w:val="0042708A"/>
    <w:rsid w:val="004272BE"/>
    <w:rsid w:val="004273E7"/>
    <w:rsid w:val="00430114"/>
    <w:rsid w:val="004304D0"/>
    <w:rsid w:val="00430C96"/>
    <w:rsid w:val="0043174F"/>
    <w:rsid w:val="00431BFF"/>
    <w:rsid w:val="00432199"/>
    <w:rsid w:val="0043277C"/>
    <w:rsid w:val="00432A58"/>
    <w:rsid w:val="00432DA4"/>
    <w:rsid w:val="004331C3"/>
    <w:rsid w:val="00433C17"/>
    <w:rsid w:val="00434617"/>
    <w:rsid w:val="00434686"/>
    <w:rsid w:val="00434CB3"/>
    <w:rsid w:val="00434DE9"/>
    <w:rsid w:val="00435051"/>
    <w:rsid w:val="00435C69"/>
    <w:rsid w:val="00435DE8"/>
    <w:rsid w:val="004360FB"/>
    <w:rsid w:val="00437CED"/>
    <w:rsid w:val="004407BF"/>
    <w:rsid w:val="00440900"/>
    <w:rsid w:val="00440C2F"/>
    <w:rsid w:val="0044121D"/>
    <w:rsid w:val="00441BF6"/>
    <w:rsid w:val="00441D2B"/>
    <w:rsid w:val="00441F8B"/>
    <w:rsid w:val="00442085"/>
    <w:rsid w:val="0044279E"/>
    <w:rsid w:val="00442BD8"/>
    <w:rsid w:val="00443184"/>
    <w:rsid w:val="00443291"/>
    <w:rsid w:val="004441A0"/>
    <w:rsid w:val="00445861"/>
    <w:rsid w:val="00445A8E"/>
    <w:rsid w:val="00446D44"/>
    <w:rsid w:val="0045078A"/>
    <w:rsid w:val="0045086D"/>
    <w:rsid w:val="00450DAB"/>
    <w:rsid w:val="0045125B"/>
    <w:rsid w:val="00451E25"/>
    <w:rsid w:val="00451EF1"/>
    <w:rsid w:val="00452E60"/>
    <w:rsid w:val="0045321B"/>
    <w:rsid w:val="004548E8"/>
    <w:rsid w:val="004550FE"/>
    <w:rsid w:val="00455833"/>
    <w:rsid w:val="00455B02"/>
    <w:rsid w:val="00456AAB"/>
    <w:rsid w:val="00456FB5"/>
    <w:rsid w:val="00456FE5"/>
    <w:rsid w:val="00457490"/>
    <w:rsid w:val="0045778B"/>
    <w:rsid w:val="0045786C"/>
    <w:rsid w:val="00457953"/>
    <w:rsid w:val="0046041E"/>
    <w:rsid w:val="004604D8"/>
    <w:rsid w:val="00460656"/>
    <w:rsid w:val="00460FB3"/>
    <w:rsid w:val="00462DA6"/>
    <w:rsid w:val="00463D3C"/>
    <w:rsid w:val="00464851"/>
    <w:rsid w:val="00464BF5"/>
    <w:rsid w:val="00465934"/>
    <w:rsid w:val="00466595"/>
    <w:rsid w:val="00466B3E"/>
    <w:rsid w:val="00466D08"/>
    <w:rsid w:val="0046746A"/>
    <w:rsid w:val="00467938"/>
    <w:rsid w:val="00467B14"/>
    <w:rsid w:val="00470043"/>
    <w:rsid w:val="0047053B"/>
    <w:rsid w:val="004707FE"/>
    <w:rsid w:val="00470EDC"/>
    <w:rsid w:val="00471C37"/>
    <w:rsid w:val="00472418"/>
    <w:rsid w:val="0047276D"/>
    <w:rsid w:val="00472A29"/>
    <w:rsid w:val="00472AF6"/>
    <w:rsid w:val="00473482"/>
    <w:rsid w:val="004737F4"/>
    <w:rsid w:val="00474646"/>
    <w:rsid w:val="00474A04"/>
    <w:rsid w:val="00474FEE"/>
    <w:rsid w:val="004756DD"/>
    <w:rsid w:val="00476240"/>
    <w:rsid w:val="00476439"/>
    <w:rsid w:val="00476450"/>
    <w:rsid w:val="004769BF"/>
    <w:rsid w:val="004769E1"/>
    <w:rsid w:val="00476BD0"/>
    <w:rsid w:val="0047735C"/>
    <w:rsid w:val="004773A5"/>
    <w:rsid w:val="004776BC"/>
    <w:rsid w:val="00477820"/>
    <w:rsid w:val="00477B96"/>
    <w:rsid w:val="00480802"/>
    <w:rsid w:val="00480AC0"/>
    <w:rsid w:val="00480BAE"/>
    <w:rsid w:val="00480D7F"/>
    <w:rsid w:val="0048139F"/>
    <w:rsid w:val="00481E40"/>
    <w:rsid w:val="00481F18"/>
    <w:rsid w:val="00482405"/>
    <w:rsid w:val="004824C7"/>
    <w:rsid w:val="004826A7"/>
    <w:rsid w:val="00483392"/>
    <w:rsid w:val="0048368C"/>
    <w:rsid w:val="0048372F"/>
    <w:rsid w:val="0048399F"/>
    <w:rsid w:val="00483A0C"/>
    <w:rsid w:val="00483BDD"/>
    <w:rsid w:val="004841CC"/>
    <w:rsid w:val="0048499C"/>
    <w:rsid w:val="00484ECE"/>
    <w:rsid w:val="00485E82"/>
    <w:rsid w:val="00486132"/>
    <w:rsid w:val="004862C8"/>
    <w:rsid w:val="0048686D"/>
    <w:rsid w:val="00486A4D"/>
    <w:rsid w:val="00490F96"/>
    <w:rsid w:val="004915CB"/>
    <w:rsid w:val="00491A2B"/>
    <w:rsid w:val="004924DC"/>
    <w:rsid w:val="0049267F"/>
    <w:rsid w:val="00492879"/>
    <w:rsid w:val="00492BBA"/>
    <w:rsid w:val="004932A1"/>
    <w:rsid w:val="00493CF5"/>
    <w:rsid w:val="00493E85"/>
    <w:rsid w:val="00495145"/>
    <w:rsid w:val="0049531F"/>
    <w:rsid w:val="004979A5"/>
    <w:rsid w:val="00497F7C"/>
    <w:rsid w:val="004A0144"/>
    <w:rsid w:val="004A0197"/>
    <w:rsid w:val="004A036E"/>
    <w:rsid w:val="004A0498"/>
    <w:rsid w:val="004A06B0"/>
    <w:rsid w:val="004A0D0E"/>
    <w:rsid w:val="004A13B6"/>
    <w:rsid w:val="004A14E4"/>
    <w:rsid w:val="004A2017"/>
    <w:rsid w:val="004A204E"/>
    <w:rsid w:val="004A23BC"/>
    <w:rsid w:val="004A26A5"/>
    <w:rsid w:val="004A27F0"/>
    <w:rsid w:val="004A3212"/>
    <w:rsid w:val="004A37CD"/>
    <w:rsid w:val="004A40D9"/>
    <w:rsid w:val="004A49A5"/>
    <w:rsid w:val="004A4F8A"/>
    <w:rsid w:val="004A52AB"/>
    <w:rsid w:val="004A5494"/>
    <w:rsid w:val="004A5D4E"/>
    <w:rsid w:val="004A61C5"/>
    <w:rsid w:val="004A62A0"/>
    <w:rsid w:val="004A6BBF"/>
    <w:rsid w:val="004A74EE"/>
    <w:rsid w:val="004A77DF"/>
    <w:rsid w:val="004A78E3"/>
    <w:rsid w:val="004A7DC0"/>
    <w:rsid w:val="004B00D7"/>
    <w:rsid w:val="004B1417"/>
    <w:rsid w:val="004B1627"/>
    <w:rsid w:val="004B305C"/>
    <w:rsid w:val="004B30B1"/>
    <w:rsid w:val="004B31B8"/>
    <w:rsid w:val="004B339A"/>
    <w:rsid w:val="004B4C83"/>
    <w:rsid w:val="004B51C6"/>
    <w:rsid w:val="004B55B7"/>
    <w:rsid w:val="004B5831"/>
    <w:rsid w:val="004B5BFA"/>
    <w:rsid w:val="004B619E"/>
    <w:rsid w:val="004B6468"/>
    <w:rsid w:val="004B6EF8"/>
    <w:rsid w:val="004B7125"/>
    <w:rsid w:val="004B756A"/>
    <w:rsid w:val="004B7625"/>
    <w:rsid w:val="004B7EC0"/>
    <w:rsid w:val="004B7FB1"/>
    <w:rsid w:val="004C08DE"/>
    <w:rsid w:val="004C0970"/>
    <w:rsid w:val="004C0B3F"/>
    <w:rsid w:val="004C0F87"/>
    <w:rsid w:val="004C1648"/>
    <w:rsid w:val="004C18CE"/>
    <w:rsid w:val="004C1EF2"/>
    <w:rsid w:val="004C25F9"/>
    <w:rsid w:val="004C2794"/>
    <w:rsid w:val="004C2BB6"/>
    <w:rsid w:val="004C2C2D"/>
    <w:rsid w:val="004C3027"/>
    <w:rsid w:val="004C384C"/>
    <w:rsid w:val="004C3867"/>
    <w:rsid w:val="004C3DB0"/>
    <w:rsid w:val="004C3E03"/>
    <w:rsid w:val="004C3E63"/>
    <w:rsid w:val="004C439A"/>
    <w:rsid w:val="004C4720"/>
    <w:rsid w:val="004C4BEA"/>
    <w:rsid w:val="004C4CD0"/>
    <w:rsid w:val="004C5060"/>
    <w:rsid w:val="004C5165"/>
    <w:rsid w:val="004C589C"/>
    <w:rsid w:val="004C5AE8"/>
    <w:rsid w:val="004C64A3"/>
    <w:rsid w:val="004C6640"/>
    <w:rsid w:val="004C6D4D"/>
    <w:rsid w:val="004C6E0E"/>
    <w:rsid w:val="004C70DC"/>
    <w:rsid w:val="004C7341"/>
    <w:rsid w:val="004C7D10"/>
    <w:rsid w:val="004D0211"/>
    <w:rsid w:val="004D0794"/>
    <w:rsid w:val="004D0FB7"/>
    <w:rsid w:val="004D17A2"/>
    <w:rsid w:val="004D2D31"/>
    <w:rsid w:val="004D2E03"/>
    <w:rsid w:val="004D3296"/>
    <w:rsid w:val="004D4056"/>
    <w:rsid w:val="004D42F3"/>
    <w:rsid w:val="004D4CB0"/>
    <w:rsid w:val="004D5B0F"/>
    <w:rsid w:val="004D6602"/>
    <w:rsid w:val="004D6B32"/>
    <w:rsid w:val="004D7626"/>
    <w:rsid w:val="004E01C9"/>
    <w:rsid w:val="004E085C"/>
    <w:rsid w:val="004E12DF"/>
    <w:rsid w:val="004E186A"/>
    <w:rsid w:val="004E1A40"/>
    <w:rsid w:val="004E200A"/>
    <w:rsid w:val="004E2351"/>
    <w:rsid w:val="004E23FC"/>
    <w:rsid w:val="004E2409"/>
    <w:rsid w:val="004E2567"/>
    <w:rsid w:val="004E261D"/>
    <w:rsid w:val="004E3927"/>
    <w:rsid w:val="004E3B7F"/>
    <w:rsid w:val="004E506E"/>
    <w:rsid w:val="004E56E3"/>
    <w:rsid w:val="004E57BF"/>
    <w:rsid w:val="004E5C6A"/>
    <w:rsid w:val="004E5F41"/>
    <w:rsid w:val="004E6011"/>
    <w:rsid w:val="004E6D15"/>
    <w:rsid w:val="004E6DE6"/>
    <w:rsid w:val="004E765E"/>
    <w:rsid w:val="004E7815"/>
    <w:rsid w:val="004F06F5"/>
    <w:rsid w:val="004F1127"/>
    <w:rsid w:val="004F12A4"/>
    <w:rsid w:val="004F253F"/>
    <w:rsid w:val="004F33A0"/>
    <w:rsid w:val="004F3873"/>
    <w:rsid w:val="004F3BD2"/>
    <w:rsid w:val="004F46ED"/>
    <w:rsid w:val="004F49A3"/>
    <w:rsid w:val="004F4C99"/>
    <w:rsid w:val="004F4D83"/>
    <w:rsid w:val="004F4E4D"/>
    <w:rsid w:val="004F5358"/>
    <w:rsid w:val="004F5487"/>
    <w:rsid w:val="004F6484"/>
    <w:rsid w:val="004F6539"/>
    <w:rsid w:val="004F66AD"/>
    <w:rsid w:val="004F6AFB"/>
    <w:rsid w:val="0050057B"/>
    <w:rsid w:val="005022CA"/>
    <w:rsid w:val="00503D54"/>
    <w:rsid w:val="0050400C"/>
    <w:rsid w:val="005048E2"/>
    <w:rsid w:val="00504E9B"/>
    <w:rsid w:val="00505392"/>
    <w:rsid w:val="00505FC8"/>
    <w:rsid w:val="00506603"/>
    <w:rsid w:val="0050689D"/>
    <w:rsid w:val="005077F5"/>
    <w:rsid w:val="005108C0"/>
    <w:rsid w:val="0051094F"/>
    <w:rsid w:val="00511217"/>
    <w:rsid w:val="00511873"/>
    <w:rsid w:val="00511BAF"/>
    <w:rsid w:val="00511C65"/>
    <w:rsid w:val="00511CA1"/>
    <w:rsid w:val="00512461"/>
    <w:rsid w:val="00512585"/>
    <w:rsid w:val="00512A2F"/>
    <w:rsid w:val="00512B98"/>
    <w:rsid w:val="00513175"/>
    <w:rsid w:val="00513846"/>
    <w:rsid w:val="00513B7E"/>
    <w:rsid w:val="00513E9D"/>
    <w:rsid w:val="0051475C"/>
    <w:rsid w:val="0051475D"/>
    <w:rsid w:val="00514B11"/>
    <w:rsid w:val="00514DED"/>
    <w:rsid w:val="00514F47"/>
    <w:rsid w:val="00514FE2"/>
    <w:rsid w:val="00515079"/>
    <w:rsid w:val="00515485"/>
    <w:rsid w:val="00515BE9"/>
    <w:rsid w:val="00515C74"/>
    <w:rsid w:val="00515CEB"/>
    <w:rsid w:val="0051630F"/>
    <w:rsid w:val="00516997"/>
    <w:rsid w:val="00517113"/>
    <w:rsid w:val="0052007E"/>
    <w:rsid w:val="0052032E"/>
    <w:rsid w:val="00520C78"/>
    <w:rsid w:val="00521CAD"/>
    <w:rsid w:val="0052200D"/>
    <w:rsid w:val="00522199"/>
    <w:rsid w:val="00522425"/>
    <w:rsid w:val="005227DC"/>
    <w:rsid w:val="00522A1B"/>
    <w:rsid w:val="00522E01"/>
    <w:rsid w:val="0052337A"/>
    <w:rsid w:val="00524385"/>
    <w:rsid w:val="005246BE"/>
    <w:rsid w:val="00525137"/>
    <w:rsid w:val="005251DD"/>
    <w:rsid w:val="00526C1E"/>
    <w:rsid w:val="0052762C"/>
    <w:rsid w:val="0052792D"/>
    <w:rsid w:val="005279E0"/>
    <w:rsid w:val="00527CAF"/>
    <w:rsid w:val="0053012B"/>
    <w:rsid w:val="005301A6"/>
    <w:rsid w:val="00530A68"/>
    <w:rsid w:val="00530AD4"/>
    <w:rsid w:val="0053129F"/>
    <w:rsid w:val="00531C5A"/>
    <w:rsid w:val="00532CE7"/>
    <w:rsid w:val="00532D8B"/>
    <w:rsid w:val="00532FED"/>
    <w:rsid w:val="0053324C"/>
    <w:rsid w:val="00533A8D"/>
    <w:rsid w:val="005346B6"/>
    <w:rsid w:val="00534A28"/>
    <w:rsid w:val="00534A3A"/>
    <w:rsid w:val="00535018"/>
    <w:rsid w:val="00535333"/>
    <w:rsid w:val="0053570E"/>
    <w:rsid w:val="00535782"/>
    <w:rsid w:val="0053593E"/>
    <w:rsid w:val="0053595E"/>
    <w:rsid w:val="00537571"/>
    <w:rsid w:val="00540056"/>
    <w:rsid w:val="00540F2B"/>
    <w:rsid w:val="005410E2"/>
    <w:rsid w:val="00541508"/>
    <w:rsid w:val="00541AE3"/>
    <w:rsid w:val="00543498"/>
    <w:rsid w:val="005435D5"/>
    <w:rsid w:val="00543FF5"/>
    <w:rsid w:val="00544011"/>
    <w:rsid w:val="005446FB"/>
    <w:rsid w:val="00544BE5"/>
    <w:rsid w:val="005453A3"/>
    <w:rsid w:val="005455F6"/>
    <w:rsid w:val="0054582F"/>
    <w:rsid w:val="00546FC7"/>
    <w:rsid w:val="00547E33"/>
    <w:rsid w:val="005500F9"/>
    <w:rsid w:val="00550160"/>
    <w:rsid w:val="00550249"/>
    <w:rsid w:val="00550540"/>
    <w:rsid w:val="005519E2"/>
    <w:rsid w:val="00551E16"/>
    <w:rsid w:val="0055223F"/>
    <w:rsid w:val="005523A8"/>
    <w:rsid w:val="00552E44"/>
    <w:rsid w:val="00552F2C"/>
    <w:rsid w:val="00553A25"/>
    <w:rsid w:val="00553E69"/>
    <w:rsid w:val="005547EB"/>
    <w:rsid w:val="00554863"/>
    <w:rsid w:val="005555E0"/>
    <w:rsid w:val="005558B3"/>
    <w:rsid w:val="0055599F"/>
    <w:rsid w:val="00556D68"/>
    <w:rsid w:val="00556F75"/>
    <w:rsid w:val="0055707B"/>
    <w:rsid w:val="005570D6"/>
    <w:rsid w:val="00557E0E"/>
    <w:rsid w:val="00557E45"/>
    <w:rsid w:val="005605F3"/>
    <w:rsid w:val="005606B6"/>
    <w:rsid w:val="00560C41"/>
    <w:rsid w:val="00560CAC"/>
    <w:rsid w:val="00561F44"/>
    <w:rsid w:val="00562B4D"/>
    <w:rsid w:val="00562DB1"/>
    <w:rsid w:val="00563EB8"/>
    <w:rsid w:val="005647BF"/>
    <w:rsid w:val="00564AF1"/>
    <w:rsid w:val="00564E64"/>
    <w:rsid w:val="005655DB"/>
    <w:rsid w:val="00565E88"/>
    <w:rsid w:val="00566A8B"/>
    <w:rsid w:val="005671C4"/>
    <w:rsid w:val="00567339"/>
    <w:rsid w:val="0056764A"/>
    <w:rsid w:val="0056764B"/>
    <w:rsid w:val="005678EE"/>
    <w:rsid w:val="00567910"/>
    <w:rsid w:val="00570270"/>
    <w:rsid w:val="00570464"/>
    <w:rsid w:val="00570601"/>
    <w:rsid w:val="00570BC3"/>
    <w:rsid w:val="00571766"/>
    <w:rsid w:val="0057182A"/>
    <w:rsid w:val="00571A66"/>
    <w:rsid w:val="00571E59"/>
    <w:rsid w:val="00572079"/>
    <w:rsid w:val="00572900"/>
    <w:rsid w:val="0057295C"/>
    <w:rsid w:val="00573602"/>
    <w:rsid w:val="0057364B"/>
    <w:rsid w:val="00573C09"/>
    <w:rsid w:val="00574773"/>
    <w:rsid w:val="005761EC"/>
    <w:rsid w:val="00576E34"/>
    <w:rsid w:val="00577C07"/>
    <w:rsid w:val="00577DB1"/>
    <w:rsid w:val="00577F41"/>
    <w:rsid w:val="00580AD3"/>
    <w:rsid w:val="00580DE7"/>
    <w:rsid w:val="005810E1"/>
    <w:rsid w:val="005820CD"/>
    <w:rsid w:val="00582459"/>
    <w:rsid w:val="005827C6"/>
    <w:rsid w:val="0058364F"/>
    <w:rsid w:val="00583BDD"/>
    <w:rsid w:val="00583E52"/>
    <w:rsid w:val="00583FFD"/>
    <w:rsid w:val="00584252"/>
    <w:rsid w:val="005848DD"/>
    <w:rsid w:val="0058519A"/>
    <w:rsid w:val="005856BD"/>
    <w:rsid w:val="00585983"/>
    <w:rsid w:val="00586BCA"/>
    <w:rsid w:val="00587038"/>
    <w:rsid w:val="00587B1B"/>
    <w:rsid w:val="00590608"/>
    <w:rsid w:val="00590B28"/>
    <w:rsid w:val="005911BE"/>
    <w:rsid w:val="00591273"/>
    <w:rsid w:val="005912C9"/>
    <w:rsid w:val="00591E9E"/>
    <w:rsid w:val="005927A4"/>
    <w:rsid w:val="00593152"/>
    <w:rsid w:val="00593389"/>
    <w:rsid w:val="00593591"/>
    <w:rsid w:val="00593FE6"/>
    <w:rsid w:val="005943D7"/>
    <w:rsid w:val="005956A3"/>
    <w:rsid w:val="00595958"/>
    <w:rsid w:val="00595CAB"/>
    <w:rsid w:val="0059622E"/>
    <w:rsid w:val="0059687F"/>
    <w:rsid w:val="00597671"/>
    <w:rsid w:val="00597BBF"/>
    <w:rsid w:val="005A030F"/>
    <w:rsid w:val="005A040C"/>
    <w:rsid w:val="005A0463"/>
    <w:rsid w:val="005A0948"/>
    <w:rsid w:val="005A0A03"/>
    <w:rsid w:val="005A10F2"/>
    <w:rsid w:val="005A16C0"/>
    <w:rsid w:val="005A18CF"/>
    <w:rsid w:val="005A2156"/>
    <w:rsid w:val="005A21E0"/>
    <w:rsid w:val="005A2401"/>
    <w:rsid w:val="005A2692"/>
    <w:rsid w:val="005A28FF"/>
    <w:rsid w:val="005A2C09"/>
    <w:rsid w:val="005A3778"/>
    <w:rsid w:val="005A37B0"/>
    <w:rsid w:val="005A3DF8"/>
    <w:rsid w:val="005A4C24"/>
    <w:rsid w:val="005A5549"/>
    <w:rsid w:val="005A566A"/>
    <w:rsid w:val="005A56E0"/>
    <w:rsid w:val="005A5F92"/>
    <w:rsid w:val="005A6032"/>
    <w:rsid w:val="005A70CA"/>
    <w:rsid w:val="005A7ABD"/>
    <w:rsid w:val="005A7CF8"/>
    <w:rsid w:val="005B0EDA"/>
    <w:rsid w:val="005B121D"/>
    <w:rsid w:val="005B26B0"/>
    <w:rsid w:val="005B41C9"/>
    <w:rsid w:val="005B44E6"/>
    <w:rsid w:val="005B4853"/>
    <w:rsid w:val="005B5A17"/>
    <w:rsid w:val="005B6CA1"/>
    <w:rsid w:val="005B7580"/>
    <w:rsid w:val="005B770C"/>
    <w:rsid w:val="005C00F6"/>
    <w:rsid w:val="005C0461"/>
    <w:rsid w:val="005C06ED"/>
    <w:rsid w:val="005C0CE1"/>
    <w:rsid w:val="005C11B8"/>
    <w:rsid w:val="005C16C2"/>
    <w:rsid w:val="005C173A"/>
    <w:rsid w:val="005C18FB"/>
    <w:rsid w:val="005C1D5F"/>
    <w:rsid w:val="005C216C"/>
    <w:rsid w:val="005C2609"/>
    <w:rsid w:val="005C2B30"/>
    <w:rsid w:val="005C31D1"/>
    <w:rsid w:val="005C412B"/>
    <w:rsid w:val="005C41BD"/>
    <w:rsid w:val="005C43EC"/>
    <w:rsid w:val="005C45DD"/>
    <w:rsid w:val="005C4704"/>
    <w:rsid w:val="005C4841"/>
    <w:rsid w:val="005C484D"/>
    <w:rsid w:val="005C4CB1"/>
    <w:rsid w:val="005C612E"/>
    <w:rsid w:val="005C63EC"/>
    <w:rsid w:val="005C70AB"/>
    <w:rsid w:val="005D015C"/>
    <w:rsid w:val="005D2873"/>
    <w:rsid w:val="005D3365"/>
    <w:rsid w:val="005D3F06"/>
    <w:rsid w:val="005D4608"/>
    <w:rsid w:val="005D4B73"/>
    <w:rsid w:val="005D533D"/>
    <w:rsid w:val="005D5645"/>
    <w:rsid w:val="005D5802"/>
    <w:rsid w:val="005D5AA9"/>
    <w:rsid w:val="005D66E6"/>
    <w:rsid w:val="005D7119"/>
    <w:rsid w:val="005D76C8"/>
    <w:rsid w:val="005D7890"/>
    <w:rsid w:val="005D7B4F"/>
    <w:rsid w:val="005E0478"/>
    <w:rsid w:val="005E09B4"/>
    <w:rsid w:val="005E18E8"/>
    <w:rsid w:val="005E19C1"/>
    <w:rsid w:val="005E2194"/>
    <w:rsid w:val="005E24F0"/>
    <w:rsid w:val="005E3113"/>
    <w:rsid w:val="005E36FE"/>
    <w:rsid w:val="005E3854"/>
    <w:rsid w:val="005E3AAC"/>
    <w:rsid w:val="005E3F66"/>
    <w:rsid w:val="005E490F"/>
    <w:rsid w:val="005E4BC9"/>
    <w:rsid w:val="005E5314"/>
    <w:rsid w:val="005E6274"/>
    <w:rsid w:val="005E7724"/>
    <w:rsid w:val="005E7C78"/>
    <w:rsid w:val="005E7FA6"/>
    <w:rsid w:val="005F04A7"/>
    <w:rsid w:val="005F0E3A"/>
    <w:rsid w:val="005F1123"/>
    <w:rsid w:val="005F114F"/>
    <w:rsid w:val="005F18C5"/>
    <w:rsid w:val="005F23DC"/>
    <w:rsid w:val="005F247B"/>
    <w:rsid w:val="005F2A08"/>
    <w:rsid w:val="005F36CC"/>
    <w:rsid w:val="005F3EB1"/>
    <w:rsid w:val="005F413E"/>
    <w:rsid w:val="005F466B"/>
    <w:rsid w:val="005F46D8"/>
    <w:rsid w:val="005F480F"/>
    <w:rsid w:val="005F5271"/>
    <w:rsid w:val="005F5469"/>
    <w:rsid w:val="005F61BF"/>
    <w:rsid w:val="005F63F3"/>
    <w:rsid w:val="005F66F0"/>
    <w:rsid w:val="005F6B2D"/>
    <w:rsid w:val="005F6D7F"/>
    <w:rsid w:val="005F6DFE"/>
    <w:rsid w:val="005F7174"/>
    <w:rsid w:val="00600ECB"/>
    <w:rsid w:val="00601191"/>
    <w:rsid w:val="0060120D"/>
    <w:rsid w:val="006017C1"/>
    <w:rsid w:val="00601ADE"/>
    <w:rsid w:val="00601EEF"/>
    <w:rsid w:val="0060255A"/>
    <w:rsid w:val="00602998"/>
    <w:rsid w:val="00602EB3"/>
    <w:rsid w:val="00603273"/>
    <w:rsid w:val="00603787"/>
    <w:rsid w:val="00604307"/>
    <w:rsid w:val="0060487F"/>
    <w:rsid w:val="00604EAD"/>
    <w:rsid w:val="0060513F"/>
    <w:rsid w:val="006065E2"/>
    <w:rsid w:val="0060694B"/>
    <w:rsid w:val="00607DBA"/>
    <w:rsid w:val="006104FB"/>
    <w:rsid w:val="00610E23"/>
    <w:rsid w:val="0061176D"/>
    <w:rsid w:val="00611866"/>
    <w:rsid w:val="0061200F"/>
    <w:rsid w:val="006125EF"/>
    <w:rsid w:val="00612680"/>
    <w:rsid w:val="00612756"/>
    <w:rsid w:val="00612A2F"/>
    <w:rsid w:val="00612A85"/>
    <w:rsid w:val="00612AA0"/>
    <w:rsid w:val="00612AAE"/>
    <w:rsid w:val="00612B07"/>
    <w:rsid w:val="00612FD9"/>
    <w:rsid w:val="006139E0"/>
    <w:rsid w:val="00613C26"/>
    <w:rsid w:val="00614D35"/>
    <w:rsid w:val="006155BA"/>
    <w:rsid w:val="006156B4"/>
    <w:rsid w:val="00615DAF"/>
    <w:rsid w:val="00616254"/>
    <w:rsid w:val="0061672A"/>
    <w:rsid w:val="00616A46"/>
    <w:rsid w:val="00616E05"/>
    <w:rsid w:val="006176EF"/>
    <w:rsid w:val="00617939"/>
    <w:rsid w:val="00617985"/>
    <w:rsid w:val="006205C7"/>
    <w:rsid w:val="00620641"/>
    <w:rsid w:val="00620B77"/>
    <w:rsid w:val="00621190"/>
    <w:rsid w:val="0062131B"/>
    <w:rsid w:val="00621D46"/>
    <w:rsid w:val="00621E26"/>
    <w:rsid w:val="00621E77"/>
    <w:rsid w:val="006224EA"/>
    <w:rsid w:val="0062263A"/>
    <w:rsid w:val="006227DF"/>
    <w:rsid w:val="006234A0"/>
    <w:rsid w:val="006236C8"/>
    <w:rsid w:val="00624093"/>
    <w:rsid w:val="00625A84"/>
    <w:rsid w:val="00626079"/>
    <w:rsid w:val="00626F0E"/>
    <w:rsid w:val="00631698"/>
    <w:rsid w:val="00631E44"/>
    <w:rsid w:val="00632874"/>
    <w:rsid w:val="00634C57"/>
    <w:rsid w:val="00634CE7"/>
    <w:rsid w:val="006350D5"/>
    <w:rsid w:val="0063642C"/>
    <w:rsid w:val="0063723A"/>
    <w:rsid w:val="006376B3"/>
    <w:rsid w:val="00637858"/>
    <w:rsid w:val="006404A7"/>
    <w:rsid w:val="006407EB"/>
    <w:rsid w:val="0064086F"/>
    <w:rsid w:val="00640A38"/>
    <w:rsid w:val="00640BA6"/>
    <w:rsid w:val="00640E6B"/>
    <w:rsid w:val="00641787"/>
    <w:rsid w:val="0064179B"/>
    <w:rsid w:val="00641BBD"/>
    <w:rsid w:val="00642489"/>
    <w:rsid w:val="0064378A"/>
    <w:rsid w:val="00644055"/>
    <w:rsid w:val="00644137"/>
    <w:rsid w:val="0064478C"/>
    <w:rsid w:val="00645160"/>
    <w:rsid w:val="006451E4"/>
    <w:rsid w:val="0064574B"/>
    <w:rsid w:val="00645B33"/>
    <w:rsid w:val="00646C3A"/>
    <w:rsid w:val="00647074"/>
    <w:rsid w:val="006476D7"/>
    <w:rsid w:val="006516CB"/>
    <w:rsid w:val="0065235A"/>
    <w:rsid w:val="00652E30"/>
    <w:rsid w:val="00653601"/>
    <w:rsid w:val="00653BD0"/>
    <w:rsid w:val="00654110"/>
    <w:rsid w:val="006547DA"/>
    <w:rsid w:val="00656C5D"/>
    <w:rsid w:val="00656CFB"/>
    <w:rsid w:val="00656D25"/>
    <w:rsid w:val="006574EA"/>
    <w:rsid w:val="00657977"/>
    <w:rsid w:val="00657E87"/>
    <w:rsid w:val="00660533"/>
    <w:rsid w:val="0066096D"/>
    <w:rsid w:val="00660C64"/>
    <w:rsid w:val="00660CD3"/>
    <w:rsid w:val="00660D2D"/>
    <w:rsid w:val="00661745"/>
    <w:rsid w:val="00661C41"/>
    <w:rsid w:val="00661C99"/>
    <w:rsid w:val="00661EC9"/>
    <w:rsid w:val="00662469"/>
    <w:rsid w:val="006627FF"/>
    <w:rsid w:val="00662860"/>
    <w:rsid w:val="0066345F"/>
    <w:rsid w:val="0066411C"/>
    <w:rsid w:val="00664205"/>
    <w:rsid w:val="00664647"/>
    <w:rsid w:val="00664803"/>
    <w:rsid w:val="0066502F"/>
    <w:rsid w:val="0066539A"/>
    <w:rsid w:val="006653CC"/>
    <w:rsid w:val="00665501"/>
    <w:rsid w:val="00665769"/>
    <w:rsid w:val="00665982"/>
    <w:rsid w:val="00665BA4"/>
    <w:rsid w:val="00666104"/>
    <w:rsid w:val="00666BF3"/>
    <w:rsid w:val="00667856"/>
    <w:rsid w:val="00667AF2"/>
    <w:rsid w:val="00667F4A"/>
    <w:rsid w:val="00670489"/>
    <w:rsid w:val="006710C9"/>
    <w:rsid w:val="00671564"/>
    <w:rsid w:val="00671D85"/>
    <w:rsid w:val="00672257"/>
    <w:rsid w:val="00672586"/>
    <w:rsid w:val="006727BC"/>
    <w:rsid w:val="00673F39"/>
    <w:rsid w:val="006741CD"/>
    <w:rsid w:val="006748EA"/>
    <w:rsid w:val="00674D89"/>
    <w:rsid w:val="0067514E"/>
    <w:rsid w:val="00675E37"/>
    <w:rsid w:val="006760B8"/>
    <w:rsid w:val="0067635D"/>
    <w:rsid w:val="00676736"/>
    <w:rsid w:val="006767F8"/>
    <w:rsid w:val="006769A4"/>
    <w:rsid w:val="006769C6"/>
    <w:rsid w:val="00676D76"/>
    <w:rsid w:val="00676F9F"/>
    <w:rsid w:val="00677519"/>
    <w:rsid w:val="00677591"/>
    <w:rsid w:val="00677594"/>
    <w:rsid w:val="00677FA3"/>
    <w:rsid w:val="0068032F"/>
    <w:rsid w:val="00680D37"/>
    <w:rsid w:val="0068174E"/>
    <w:rsid w:val="00681797"/>
    <w:rsid w:val="00681DCE"/>
    <w:rsid w:val="00682110"/>
    <w:rsid w:val="0068260E"/>
    <w:rsid w:val="006839EB"/>
    <w:rsid w:val="00683C4F"/>
    <w:rsid w:val="006846B3"/>
    <w:rsid w:val="00684B9B"/>
    <w:rsid w:val="00684C96"/>
    <w:rsid w:val="00684D59"/>
    <w:rsid w:val="00684E25"/>
    <w:rsid w:val="006858A4"/>
    <w:rsid w:val="00685C08"/>
    <w:rsid w:val="00686718"/>
    <w:rsid w:val="00686BFA"/>
    <w:rsid w:val="00686D6A"/>
    <w:rsid w:val="00686DED"/>
    <w:rsid w:val="006875A0"/>
    <w:rsid w:val="006878C6"/>
    <w:rsid w:val="00687B85"/>
    <w:rsid w:val="00687D27"/>
    <w:rsid w:val="00690A0C"/>
    <w:rsid w:val="006911ED"/>
    <w:rsid w:val="00691943"/>
    <w:rsid w:val="00693550"/>
    <w:rsid w:val="00693D9B"/>
    <w:rsid w:val="00693F29"/>
    <w:rsid w:val="00694467"/>
    <w:rsid w:val="00694622"/>
    <w:rsid w:val="00695065"/>
    <w:rsid w:val="00695BEF"/>
    <w:rsid w:val="0069610F"/>
    <w:rsid w:val="00696251"/>
    <w:rsid w:val="00696689"/>
    <w:rsid w:val="006966C7"/>
    <w:rsid w:val="006968C1"/>
    <w:rsid w:val="006977F6"/>
    <w:rsid w:val="00697A13"/>
    <w:rsid w:val="006A085E"/>
    <w:rsid w:val="006A0B96"/>
    <w:rsid w:val="006A0DD4"/>
    <w:rsid w:val="006A109C"/>
    <w:rsid w:val="006A1C31"/>
    <w:rsid w:val="006A23F2"/>
    <w:rsid w:val="006A26DA"/>
    <w:rsid w:val="006A3A42"/>
    <w:rsid w:val="006A4E91"/>
    <w:rsid w:val="006A5F4B"/>
    <w:rsid w:val="006A6114"/>
    <w:rsid w:val="006A6233"/>
    <w:rsid w:val="006A6565"/>
    <w:rsid w:val="006A7665"/>
    <w:rsid w:val="006A7691"/>
    <w:rsid w:val="006A7EE2"/>
    <w:rsid w:val="006B0514"/>
    <w:rsid w:val="006B0F92"/>
    <w:rsid w:val="006B1A3F"/>
    <w:rsid w:val="006B2785"/>
    <w:rsid w:val="006B27C7"/>
    <w:rsid w:val="006B344A"/>
    <w:rsid w:val="006B3B67"/>
    <w:rsid w:val="006B3FBA"/>
    <w:rsid w:val="006B4B60"/>
    <w:rsid w:val="006B5898"/>
    <w:rsid w:val="006B58C9"/>
    <w:rsid w:val="006B60ED"/>
    <w:rsid w:val="006B662A"/>
    <w:rsid w:val="006B6CC5"/>
    <w:rsid w:val="006B74AC"/>
    <w:rsid w:val="006B78D8"/>
    <w:rsid w:val="006B79EA"/>
    <w:rsid w:val="006C0C5D"/>
    <w:rsid w:val="006C0CFA"/>
    <w:rsid w:val="006C113F"/>
    <w:rsid w:val="006C123E"/>
    <w:rsid w:val="006C15A1"/>
    <w:rsid w:val="006C1752"/>
    <w:rsid w:val="006C177F"/>
    <w:rsid w:val="006C1DDC"/>
    <w:rsid w:val="006C1FD3"/>
    <w:rsid w:val="006C2764"/>
    <w:rsid w:val="006C28CA"/>
    <w:rsid w:val="006C2BBF"/>
    <w:rsid w:val="006C2EAB"/>
    <w:rsid w:val="006C2FBD"/>
    <w:rsid w:val="006C3336"/>
    <w:rsid w:val="006C3495"/>
    <w:rsid w:val="006C37C5"/>
    <w:rsid w:val="006C4355"/>
    <w:rsid w:val="006C4587"/>
    <w:rsid w:val="006C469D"/>
    <w:rsid w:val="006C46B5"/>
    <w:rsid w:val="006C484F"/>
    <w:rsid w:val="006C52EC"/>
    <w:rsid w:val="006C5506"/>
    <w:rsid w:val="006C56D4"/>
    <w:rsid w:val="006C5980"/>
    <w:rsid w:val="006C5FD8"/>
    <w:rsid w:val="006C6407"/>
    <w:rsid w:val="006C6681"/>
    <w:rsid w:val="006C683C"/>
    <w:rsid w:val="006C6924"/>
    <w:rsid w:val="006C6C1E"/>
    <w:rsid w:val="006C7076"/>
    <w:rsid w:val="006C7518"/>
    <w:rsid w:val="006C7981"/>
    <w:rsid w:val="006C7AEC"/>
    <w:rsid w:val="006C7CA6"/>
    <w:rsid w:val="006D022C"/>
    <w:rsid w:val="006D18B3"/>
    <w:rsid w:val="006D1E89"/>
    <w:rsid w:val="006D26CE"/>
    <w:rsid w:val="006D317E"/>
    <w:rsid w:val="006D3E8A"/>
    <w:rsid w:val="006D47D9"/>
    <w:rsid w:val="006D4F16"/>
    <w:rsid w:val="006D61F6"/>
    <w:rsid w:val="006D68E0"/>
    <w:rsid w:val="006D7208"/>
    <w:rsid w:val="006D74F7"/>
    <w:rsid w:val="006E023D"/>
    <w:rsid w:val="006E0EBE"/>
    <w:rsid w:val="006E0F83"/>
    <w:rsid w:val="006E1081"/>
    <w:rsid w:val="006E1332"/>
    <w:rsid w:val="006E19CB"/>
    <w:rsid w:val="006E279A"/>
    <w:rsid w:val="006E313B"/>
    <w:rsid w:val="006E34B2"/>
    <w:rsid w:val="006E3A45"/>
    <w:rsid w:val="006E3C3D"/>
    <w:rsid w:val="006E4078"/>
    <w:rsid w:val="006E4547"/>
    <w:rsid w:val="006E4BCB"/>
    <w:rsid w:val="006E4EB9"/>
    <w:rsid w:val="006E51C4"/>
    <w:rsid w:val="006E53AD"/>
    <w:rsid w:val="006E56AE"/>
    <w:rsid w:val="006E58CB"/>
    <w:rsid w:val="006E5F68"/>
    <w:rsid w:val="006E6A93"/>
    <w:rsid w:val="006E7227"/>
    <w:rsid w:val="006E761A"/>
    <w:rsid w:val="006F04C5"/>
    <w:rsid w:val="006F0646"/>
    <w:rsid w:val="006F0741"/>
    <w:rsid w:val="006F1C27"/>
    <w:rsid w:val="006F2A65"/>
    <w:rsid w:val="006F3367"/>
    <w:rsid w:val="006F348F"/>
    <w:rsid w:val="006F3DD6"/>
    <w:rsid w:val="006F40DF"/>
    <w:rsid w:val="006F41FE"/>
    <w:rsid w:val="006F42BB"/>
    <w:rsid w:val="006F438E"/>
    <w:rsid w:val="006F440B"/>
    <w:rsid w:val="006F48A3"/>
    <w:rsid w:val="006F4C21"/>
    <w:rsid w:val="006F4DA4"/>
    <w:rsid w:val="006F5416"/>
    <w:rsid w:val="006F624B"/>
    <w:rsid w:val="006F6D87"/>
    <w:rsid w:val="006F6EB9"/>
    <w:rsid w:val="006F6FBF"/>
    <w:rsid w:val="006F6FF2"/>
    <w:rsid w:val="006F79FB"/>
    <w:rsid w:val="007008A9"/>
    <w:rsid w:val="00700E8A"/>
    <w:rsid w:val="007012CB"/>
    <w:rsid w:val="00701691"/>
    <w:rsid w:val="00701955"/>
    <w:rsid w:val="0070398A"/>
    <w:rsid w:val="00703F21"/>
    <w:rsid w:val="00704210"/>
    <w:rsid w:val="00705242"/>
    <w:rsid w:val="007055E0"/>
    <w:rsid w:val="007056ED"/>
    <w:rsid w:val="00705D62"/>
    <w:rsid w:val="00705DF2"/>
    <w:rsid w:val="00705F4E"/>
    <w:rsid w:val="0070658E"/>
    <w:rsid w:val="007065C5"/>
    <w:rsid w:val="007068E1"/>
    <w:rsid w:val="00706AA0"/>
    <w:rsid w:val="00706AD4"/>
    <w:rsid w:val="00707150"/>
    <w:rsid w:val="007071C2"/>
    <w:rsid w:val="00707991"/>
    <w:rsid w:val="007124D7"/>
    <w:rsid w:val="00712913"/>
    <w:rsid w:val="00712C20"/>
    <w:rsid w:val="00713549"/>
    <w:rsid w:val="007140BE"/>
    <w:rsid w:val="007147AB"/>
    <w:rsid w:val="00714D1E"/>
    <w:rsid w:val="00715502"/>
    <w:rsid w:val="00715D01"/>
    <w:rsid w:val="00715E4D"/>
    <w:rsid w:val="00715F12"/>
    <w:rsid w:val="0071677A"/>
    <w:rsid w:val="00716F48"/>
    <w:rsid w:val="007170FB"/>
    <w:rsid w:val="00717114"/>
    <w:rsid w:val="0071779F"/>
    <w:rsid w:val="00720310"/>
    <w:rsid w:val="00720D7A"/>
    <w:rsid w:val="007211F5"/>
    <w:rsid w:val="007213C3"/>
    <w:rsid w:val="0072145E"/>
    <w:rsid w:val="007214EE"/>
    <w:rsid w:val="00721601"/>
    <w:rsid w:val="00722777"/>
    <w:rsid w:val="00722B11"/>
    <w:rsid w:val="00723435"/>
    <w:rsid w:val="00723436"/>
    <w:rsid w:val="007234D4"/>
    <w:rsid w:val="00723553"/>
    <w:rsid w:val="0072382D"/>
    <w:rsid w:val="007240E2"/>
    <w:rsid w:val="0072454C"/>
    <w:rsid w:val="0072526D"/>
    <w:rsid w:val="0072583E"/>
    <w:rsid w:val="00725BB5"/>
    <w:rsid w:val="00725F9D"/>
    <w:rsid w:val="007276DF"/>
    <w:rsid w:val="00727A7C"/>
    <w:rsid w:val="00727C02"/>
    <w:rsid w:val="00727C94"/>
    <w:rsid w:val="0073008E"/>
    <w:rsid w:val="0073044E"/>
    <w:rsid w:val="00730A8B"/>
    <w:rsid w:val="00730AE8"/>
    <w:rsid w:val="00730F1B"/>
    <w:rsid w:val="0073186D"/>
    <w:rsid w:val="0073260E"/>
    <w:rsid w:val="0073261D"/>
    <w:rsid w:val="0073333D"/>
    <w:rsid w:val="00733638"/>
    <w:rsid w:val="007343D9"/>
    <w:rsid w:val="00734926"/>
    <w:rsid w:val="00734AFC"/>
    <w:rsid w:val="00734F71"/>
    <w:rsid w:val="00735448"/>
    <w:rsid w:val="007359EC"/>
    <w:rsid w:val="00736F07"/>
    <w:rsid w:val="00737369"/>
    <w:rsid w:val="007377BD"/>
    <w:rsid w:val="00737DEC"/>
    <w:rsid w:val="0074004D"/>
    <w:rsid w:val="00740D1F"/>
    <w:rsid w:val="00741493"/>
    <w:rsid w:val="0074154A"/>
    <w:rsid w:val="007418E2"/>
    <w:rsid w:val="00741B02"/>
    <w:rsid w:val="00741E79"/>
    <w:rsid w:val="00741F2A"/>
    <w:rsid w:val="00742227"/>
    <w:rsid w:val="007434E5"/>
    <w:rsid w:val="007435CC"/>
    <w:rsid w:val="00743A94"/>
    <w:rsid w:val="00744237"/>
    <w:rsid w:val="0074499B"/>
    <w:rsid w:val="00744F9D"/>
    <w:rsid w:val="0074501E"/>
    <w:rsid w:val="007450BF"/>
    <w:rsid w:val="0074599A"/>
    <w:rsid w:val="00746F45"/>
    <w:rsid w:val="007471A1"/>
    <w:rsid w:val="007477BD"/>
    <w:rsid w:val="007477DA"/>
    <w:rsid w:val="00747EE9"/>
    <w:rsid w:val="007520B6"/>
    <w:rsid w:val="00752180"/>
    <w:rsid w:val="00752323"/>
    <w:rsid w:val="0075236C"/>
    <w:rsid w:val="007532B7"/>
    <w:rsid w:val="007533A0"/>
    <w:rsid w:val="00753CAB"/>
    <w:rsid w:val="00754A70"/>
    <w:rsid w:val="00754BC9"/>
    <w:rsid w:val="00755202"/>
    <w:rsid w:val="00755D3A"/>
    <w:rsid w:val="00757241"/>
    <w:rsid w:val="0075751D"/>
    <w:rsid w:val="0075763E"/>
    <w:rsid w:val="007578D3"/>
    <w:rsid w:val="007602CF"/>
    <w:rsid w:val="00760391"/>
    <w:rsid w:val="007609C6"/>
    <w:rsid w:val="007609DA"/>
    <w:rsid w:val="007615F3"/>
    <w:rsid w:val="0076175D"/>
    <w:rsid w:val="00761774"/>
    <w:rsid w:val="00761CB5"/>
    <w:rsid w:val="007629D5"/>
    <w:rsid w:val="007632D3"/>
    <w:rsid w:val="007635F8"/>
    <w:rsid w:val="007636D4"/>
    <w:rsid w:val="00763B85"/>
    <w:rsid w:val="007644A2"/>
    <w:rsid w:val="00764974"/>
    <w:rsid w:val="00764D18"/>
    <w:rsid w:val="0076521E"/>
    <w:rsid w:val="00765BCC"/>
    <w:rsid w:val="0076600D"/>
    <w:rsid w:val="007661E9"/>
    <w:rsid w:val="00766460"/>
    <w:rsid w:val="00766A98"/>
    <w:rsid w:val="00767062"/>
    <w:rsid w:val="00767601"/>
    <w:rsid w:val="00767777"/>
    <w:rsid w:val="00767933"/>
    <w:rsid w:val="00767FEB"/>
    <w:rsid w:val="00770AB9"/>
    <w:rsid w:val="00770CFC"/>
    <w:rsid w:val="0077130E"/>
    <w:rsid w:val="007715EE"/>
    <w:rsid w:val="00771972"/>
    <w:rsid w:val="00772279"/>
    <w:rsid w:val="007728DF"/>
    <w:rsid w:val="00772DAB"/>
    <w:rsid w:val="00772FF9"/>
    <w:rsid w:val="0077348B"/>
    <w:rsid w:val="0077399F"/>
    <w:rsid w:val="007743DB"/>
    <w:rsid w:val="0077450B"/>
    <w:rsid w:val="00774D2C"/>
    <w:rsid w:val="00775B09"/>
    <w:rsid w:val="00775E00"/>
    <w:rsid w:val="0077605B"/>
    <w:rsid w:val="00776169"/>
    <w:rsid w:val="00776527"/>
    <w:rsid w:val="00777040"/>
    <w:rsid w:val="00777342"/>
    <w:rsid w:val="0077771B"/>
    <w:rsid w:val="00777CE6"/>
    <w:rsid w:val="00777D57"/>
    <w:rsid w:val="007807ED"/>
    <w:rsid w:val="00780EF1"/>
    <w:rsid w:val="007812D2"/>
    <w:rsid w:val="007815FF"/>
    <w:rsid w:val="00781A91"/>
    <w:rsid w:val="00781AD3"/>
    <w:rsid w:val="00781F36"/>
    <w:rsid w:val="00783576"/>
    <w:rsid w:val="00783B17"/>
    <w:rsid w:val="00784AD3"/>
    <w:rsid w:val="00785778"/>
    <w:rsid w:val="00786C87"/>
    <w:rsid w:val="0078755E"/>
    <w:rsid w:val="007877C9"/>
    <w:rsid w:val="00787E26"/>
    <w:rsid w:val="00790764"/>
    <w:rsid w:val="00790831"/>
    <w:rsid w:val="0079085F"/>
    <w:rsid w:val="00790E96"/>
    <w:rsid w:val="00791005"/>
    <w:rsid w:val="007910F6"/>
    <w:rsid w:val="0079124A"/>
    <w:rsid w:val="00791ACA"/>
    <w:rsid w:val="00793049"/>
    <w:rsid w:val="007930C1"/>
    <w:rsid w:val="00793D78"/>
    <w:rsid w:val="0079420B"/>
    <w:rsid w:val="0079453C"/>
    <w:rsid w:val="00794677"/>
    <w:rsid w:val="00794722"/>
    <w:rsid w:val="00795759"/>
    <w:rsid w:val="00797B18"/>
    <w:rsid w:val="007A0831"/>
    <w:rsid w:val="007A1063"/>
    <w:rsid w:val="007A170B"/>
    <w:rsid w:val="007A1ECA"/>
    <w:rsid w:val="007A20EB"/>
    <w:rsid w:val="007A282C"/>
    <w:rsid w:val="007A293C"/>
    <w:rsid w:val="007A2986"/>
    <w:rsid w:val="007A2A3A"/>
    <w:rsid w:val="007A2A40"/>
    <w:rsid w:val="007A33E2"/>
    <w:rsid w:val="007A3CAF"/>
    <w:rsid w:val="007A4664"/>
    <w:rsid w:val="007A4782"/>
    <w:rsid w:val="007A516D"/>
    <w:rsid w:val="007A5DC6"/>
    <w:rsid w:val="007A5E65"/>
    <w:rsid w:val="007A65E1"/>
    <w:rsid w:val="007A6A6E"/>
    <w:rsid w:val="007A6AAA"/>
    <w:rsid w:val="007A7033"/>
    <w:rsid w:val="007A775D"/>
    <w:rsid w:val="007B04B0"/>
    <w:rsid w:val="007B0587"/>
    <w:rsid w:val="007B0820"/>
    <w:rsid w:val="007B0834"/>
    <w:rsid w:val="007B0E83"/>
    <w:rsid w:val="007B11FA"/>
    <w:rsid w:val="007B1396"/>
    <w:rsid w:val="007B16D6"/>
    <w:rsid w:val="007B1D1B"/>
    <w:rsid w:val="007B2011"/>
    <w:rsid w:val="007B289A"/>
    <w:rsid w:val="007B2CFE"/>
    <w:rsid w:val="007B309B"/>
    <w:rsid w:val="007B34EB"/>
    <w:rsid w:val="007B3D5E"/>
    <w:rsid w:val="007B3DCB"/>
    <w:rsid w:val="007B40E8"/>
    <w:rsid w:val="007B4D1F"/>
    <w:rsid w:val="007B54AE"/>
    <w:rsid w:val="007B5725"/>
    <w:rsid w:val="007B5C1F"/>
    <w:rsid w:val="007B6689"/>
    <w:rsid w:val="007B6747"/>
    <w:rsid w:val="007B6F72"/>
    <w:rsid w:val="007B74AA"/>
    <w:rsid w:val="007B78A7"/>
    <w:rsid w:val="007B7AD1"/>
    <w:rsid w:val="007C0319"/>
    <w:rsid w:val="007C10BD"/>
    <w:rsid w:val="007C162D"/>
    <w:rsid w:val="007C16C3"/>
    <w:rsid w:val="007C1BB1"/>
    <w:rsid w:val="007C1F0C"/>
    <w:rsid w:val="007C1FFB"/>
    <w:rsid w:val="007C2D6F"/>
    <w:rsid w:val="007C2D94"/>
    <w:rsid w:val="007C477C"/>
    <w:rsid w:val="007C4A6B"/>
    <w:rsid w:val="007C505E"/>
    <w:rsid w:val="007C55A7"/>
    <w:rsid w:val="007C5F92"/>
    <w:rsid w:val="007C6227"/>
    <w:rsid w:val="007C64F7"/>
    <w:rsid w:val="007C6BBD"/>
    <w:rsid w:val="007C6D89"/>
    <w:rsid w:val="007C6F5E"/>
    <w:rsid w:val="007C7242"/>
    <w:rsid w:val="007C79C0"/>
    <w:rsid w:val="007D0351"/>
    <w:rsid w:val="007D0382"/>
    <w:rsid w:val="007D0F6B"/>
    <w:rsid w:val="007D14FE"/>
    <w:rsid w:val="007D1A1F"/>
    <w:rsid w:val="007D1FC3"/>
    <w:rsid w:val="007D213B"/>
    <w:rsid w:val="007D2783"/>
    <w:rsid w:val="007D2E18"/>
    <w:rsid w:val="007D36D8"/>
    <w:rsid w:val="007D3EF3"/>
    <w:rsid w:val="007D40DF"/>
    <w:rsid w:val="007D42E5"/>
    <w:rsid w:val="007D4458"/>
    <w:rsid w:val="007D4EB4"/>
    <w:rsid w:val="007D6AF9"/>
    <w:rsid w:val="007D7763"/>
    <w:rsid w:val="007E031B"/>
    <w:rsid w:val="007E0535"/>
    <w:rsid w:val="007E07F2"/>
    <w:rsid w:val="007E0CBA"/>
    <w:rsid w:val="007E0D4A"/>
    <w:rsid w:val="007E1788"/>
    <w:rsid w:val="007E1EE3"/>
    <w:rsid w:val="007E29B4"/>
    <w:rsid w:val="007E2F12"/>
    <w:rsid w:val="007E3627"/>
    <w:rsid w:val="007E3B66"/>
    <w:rsid w:val="007E435A"/>
    <w:rsid w:val="007E442B"/>
    <w:rsid w:val="007E445C"/>
    <w:rsid w:val="007E49F7"/>
    <w:rsid w:val="007E4C70"/>
    <w:rsid w:val="007E4DAA"/>
    <w:rsid w:val="007E52EB"/>
    <w:rsid w:val="007E5B5F"/>
    <w:rsid w:val="007E69C6"/>
    <w:rsid w:val="007E7623"/>
    <w:rsid w:val="007E78B6"/>
    <w:rsid w:val="007E7E61"/>
    <w:rsid w:val="007F0845"/>
    <w:rsid w:val="007F0873"/>
    <w:rsid w:val="007F0910"/>
    <w:rsid w:val="007F20F3"/>
    <w:rsid w:val="007F2353"/>
    <w:rsid w:val="007F2390"/>
    <w:rsid w:val="007F2CAC"/>
    <w:rsid w:val="007F2FC5"/>
    <w:rsid w:val="007F3339"/>
    <w:rsid w:val="007F3CB6"/>
    <w:rsid w:val="007F4740"/>
    <w:rsid w:val="007F566F"/>
    <w:rsid w:val="007F595A"/>
    <w:rsid w:val="007F5C38"/>
    <w:rsid w:val="007F5C85"/>
    <w:rsid w:val="007F6638"/>
    <w:rsid w:val="007F708D"/>
    <w:rsid w:val="007F7E3F"/>
    <w:rsid w:val="008006B3"/>
    <w:rsid w:val="00800B63"/>
    <w:rsid w:val="00800D16"/>
    <w:rsid w:val="0080158A"/>
    <w:rsid w:val="00801E13"/>
    <w:rsid w:val="00803008"/>
    <w:rsid w:val="00803069"/>
    <w:rsid w:val="0080346B"/>
    <w:rsid w:val="00804155"/>
    <w:rsid w:val="00804C9F"/>
    <w:rsid w:val="0080559E"/>
    <w:rsid w:val="00805A7E"/>
    <w:rsid w:val="00805AF3"/>
    <w:rsid w:val="00806C53"/>
    <w:rsid w:val="00806C9C"/>
    <w:rsid w:val="008071B1"/>
    <w:rsid w:val="0080734C"/>
    <w:rsid w:val="0080774F"/>
    <w:rsid w:val="00807B47"/>
    <w:rsid w:val="00807C82"/>
    <w:rsid w:val="008112A0"/>
    <w:rsid w:val="008117CC"/>
    <w:rsid w:val="00811FF8"/>
    <w:rsid w:val="008132F7"/>
    <w:rsid w:val="00813601"/>
    <w:rsid w:val="00813AED"/>
    <w:rsid w:val="00813AF4"/>
    <w:rsid w:val="00813D58"/>
    <w:rsid w:val="00813DCA"/>
    <w:rsid w:val="0081535D"/>
    <w:rsid w:val="00815B5D"/>
    <w:rsid w:val="008161A6"/>
    <w:rsid w:val="008165B8"/>
    <w:rsid w:val="008167EC"/>
    <w:rsid w:val="00816905"/>
    <w:rsid w:val="00816D98"/>
    <w:rsid w:val="00816E42"/>
    <w:rsid w:val="00817040"/>
    <w:rsid w:val="008172A9"/>
    <w:rsid w:val="00817A17"/>
    <w:rsid w:val="00817EC1"/>
    <w:rsid w:val="00821092"/>
    <w:rsid w:val="0082112D"/>
    <w:rsid w:val="00821624"/>
    <w:rsid w:val="00821FF6"/>
    <w:rsid w:val="00822574"/>
    <w:rsid w:val="00822980"/>
    <w:rsid w:val="00822F08"/>
    <w:rsid w:val="00824075"/>
    <w:rsid w:val="00824BA6"/>
    <w:rsid w:val="00825007"/>
    <w:rsid w:val="00825120"/>
    <w:rsid w:val="00825406"/>
    <w:rsid w:val="00825C4D"/>
    <w:rsid w:val="00826A08"/>
    <w:rsid w:val="00826AC0"/>
    <w:rsid w:val="00826AE7"/>
    <w:rsid w:val="00826D45"/>
    <w:rsid w:val="00827186"/>
    <w:rsid w:val="00827C8E"/>
    <w:rsid w:val="00830569"/>
    <w:rsid w:val="00830AEA"/>
    <w:rsid w:val="00830E86"/>
    <w:rsid w:val="0083143E"/>
    <w:rsid w:val="008315B8"/>
    <w:rsid w:val="008315D5"/>
    <w:rsid w:val="00831CDE"/>
    <w:rsid w:val="00831F2B"/>
    <w:rsid w:val="008320CF"/>
    <w:rsid w:val="008324A3"/>
    <w:rsid w:val="0083295B"/>
    <w:rsid w:val="00832F77"/>
    <w:rsid w:val="00834304"/>
    <w:rsid w:val="0083471A"/>
    <w:rsid w:val="00834CC3"/>
    <w:rsid w:val="00834FAA"/>
    <w:rsid w:val="008354FB"/>
    <w:rsid w:val="0083569D"/>
    <w:rsid w:val="00835FF1"/>
    <w:rsid w:val="00836086"/>
    <w:rsid w:val="0083630F"/>
    <w:rsid w:val="00836A06"/>
    <w:rsid w:val="00836B5C"/>
    <w:rsid w:val="008374BC"/>
    <w:rsid w:val="008379D6"/>
    <w:rsid w:val="00837E48"/>
    <w:rsid w:val="00840293"/>
    <w:rsid w:val="008402AD"/>
    <w:rsid w:val="00840503"/>
    <w:rsid w:val="008408D4"/>
    <w:rsid w:val="008417B5"/>
    <w:rsid w:val="0084184A"/>
    <w:rsid w:val="00841901"/>
    <w:rsid w:val="00843143"/>
    <w:rsid w:val="008431BB"/>
    <w:rsid w:val="00844C3B"/>
    <w:rsid w:val="008458BD"/>
    <w:rsid w:val="00846121"/>
    <w:rsid w:val="00846130"/>
    <w:rsid w:val="008461C2"/>
    <w:rsid w:val="008462F1"/>
    <w:rsid w:val="008466C6"/>
    <w:rsid w:val="0084708F"/>
    <w:rsid w:val="00847627"/>
    <w:rsid w:val="008477C8"/>
    <w:rsid w:val="008478A6"/>
    <w:rsid w:val="00847CD6"/>
    <w:rsid w:val="008502F6"/>
    <w:rsid w:val="0085036C"/>
    <w:rsid w:val="00850E83"/>
    <w:rsid w:val="0085114D"/>
    <w:rsid w:val="00851163"/>
    <w:rsid w:val="008520A8"/>
    <w:rsid w:val="00852217"/>
    <w:rsid w:val="0085291E"/>
    <w:rsid w:val="00853282"/>
    <w:rsid w:val="0085334C"/>
    <w:rsid w:val="00853455"/>
    <w:rsid w:val="00854291"/>
    <w:rsid w:val="00855408"/>
    <w:rsid w:val="00855D03"/>
    <w:rsid w:val="00856D65"/>
    <w:rsid w:val="00856FA4"/>
    <w:rsid w:val="00857DB4"/>
    <w:rsid w:val="00860D79"/>
    <w:rsid w:val="00861B41"/>
    <w:rsid w:val="00861B9F"/>
    <w:rsid w:val="00861BE3"/>
    <w:rsid w:val="00861EB6"/>
    <w:rsid w:val="008625D3"/>
    <w:rsid w:val="00862A30"/>
    <w:rsid w:val="00862C0A"/>
    <w:rsid w:val="00863434"/>
    <w:rsid w:val="0086344F"/>
    <w:rsid w:val="008641AC"/>
    <w:rsid w:val="00865E4C"/>
    <w:rsid w:val="00866074"/>
    <w:rsid w:val="00867546"/>
    <w:rsid w:val="0086796D"/>
    <w:rsid w:val="008679A5"/>
    <w:rsid w:val="00867B7B"/>
    <w:rsid w:val="00867DAB"/>
    <w:rsid w:val="0087000B"/>
    <w:rsid w:val="008701E4"/>
    <w:rsid w:val="008704E9"/>
    <w:rsid w:val="008705FB"/>
    <w:rsid w:val="008706B0"/>
    <w:rsid w:val="00870ECD"/>
    <w:rsid w:val="00871125"/>
    <w:rsid w:val="008716E0"/>
    <w:rsid w:val="008720B3"/>
    <w:rsid w:val="00872F9F"/>
    <w:rsid w:val="0087347C"/>
    <w:rsid w:val="008734E7"/>
    <w:rsid w:val="0087368D"/>
    <w:rsid w:val="008739FA"/>
    <w:rsid w:val="008740CC"/>
    <w:rsid w:val="0087442A"/>
    <w:rsid w:val="00874578"/>
    <w:rsid w:val="00874624"/>
    <w:rsid w:val="00874962"/>
    <w:rsid w:val="00874FE8"/>
    <w:rsid w:val="0087554A"/>
    <w:rsid w:val="0087573C"/>
    <w:rsid w:val="00875A32"/>
    <w:rsid w:val="00875CC1"/>
    <w:rsid w:val="00876086"/>
    <w:rsid w:val="0087616B"/>
    <w:rsid w:val="00876651"/>
    <w:rsid w:val="00876E06"/>
    <w:rsid w:val="00876E83"/>
    <w:rsid w:val="0087722C"/>
    <w:rsid w:val="008772BC"/>
    <w:rsid w:val="00880A0E"/>
    <w:rsid w:val="00880F17"/>
    <w:rsid w:val="008817FE"/>
    <w:rsid w:val="00881CD7"/>
    <w:rsid w:val="00882911"/>
    <w:rsid w:val="00882F6E"/>
    <w:rsid w:val="00883202"/>
    <w:rsid w:val="008842AA"/>
    <w:rsid w:val="008847B8"/>
    <w:rsid w:val="00884E02"/>
    <w:rsid w:val="0088502B"/>
    <w:rsid w:val="00885D40"/>
    <w:rsid w:val="00886032"/>
    <w:rsid w:val="00886274"/>
    <w:rsid w:val="0088673E"/>
    <w:rsid w:val="00886926"/>
    <w:rsid w:val="008873D4"/>
    <w:rsid w:val="00887911"/>
    <w:rsid w:val="00890CB1"/>
    <w:rsid w:val="00891EDF"/>
    <w:rsid w:val="00892872"/>
    <w:rsid w:val="0089296D"/>
    <w:rsid w:val="00892A24"/>
    <w:rsid w:val="00893E85"/>
    <w:rsid w:val="00893EBE"/>
    <w:rsid w:val="00894031"/>
    <w:rsid w:val="00894C5D"/>
    <w:rsid w:val="00895114"/>
    <w:rsid w:val="00895508"/>
    <w:rsid w:val="00895797"/>
    <w:rsid w:val="0089651B"/>
    <w:rsid w:val="008967E9"/>
    <w:rsid w:val="00896A5C"/>
    <w:rsid w:val="00897155"/>
    <w:rsid w:val="008972D2"/>
    <w:rsid w:val="0089754C"/>
    <w:rsid w:val="00897CFA"/>
    <w:rsid w:val="008A0659"/>
    <w:rsid w:val="008A0ADD"/>
    <w:rsid w:val="008A0D27"/>
    <w:rsid w:val="008A1C59"/>
    <w:rsid w:val="008A2046"/>
    <w:rsid w:val="008A208B"/>
    <w:rsid w:val="008A30B3"/>
    <w:rsid w:val="008A37E2"/>
    <w:rsid w:val="008A388E"/>
    <w:rsid w:val="008A394E"/>
    <w:rsid w:val="008A3CBA"/>
    <w:rsid w:val="008A48E1"/>
    <w:rsid w:val="008A4B59"/>
    <w:rsid w:val="008A5116"/>
    <w:rsid w:val="008A63E1"/>
    <w:rsid w:val="008A6475"/>
    <w:rsid w:val="008A66B7"/>
    <w:rsid w:val="008A68BB"/>
    <w:rsid w:val="008A6AA5"/>
    <w:rsid w:val="008A7127"/>
    <w:rsid w:val="008A7597"/>
    <w:rsid w:val="008B06C2"/>
    <w:rsid w:val="008B0CBA"/>
    <w:rsid w:val="008B1792"/>
    <w:rsid w:val="008B1850"/>
    <w:rsid w:val="008B2639"/>
    <w:rsid w:val="008B2D31"/>
    <w:rsid w:val="008B3537"/>
    <w:rsid w:val="008B3690"/>
    <w:rsid w:val="008B3A80"/>
    <w:rsid w:val="008B3AEC"/>
    <w:rsid w:val="008B3C07"/>
    <w:rsid w:val="008B3F7B"/>
    <w:rsid w:val="008B4242"/>
    <w:rsid w:val="008B43CA"/>
    <w:rsid w:val="008B5324"/>
    <w:rsid w:val="008B5C99"/>
    <w:rsid w:val="008B6106"/>
    <w:rsid w:val="008B6409"/>
    <w:rsid w:val="008B7C02"/>
    <w:rsid w:val="008B7D2B"/>
    <w:rsid w:val="008B7EF9"/>
    <w:rsid w:val="008C0049"/>
    <w:rsid w:val="008C0314"/>
    <w:rsid w:val="008C0A94"/>
    <w:rsid w:val="008C0E3C"/>
    <w:rsid w:val="008C0E88"/>
    <w:rsid w:val="008C0EBE"/>
    <w:rsid w:val="008C1717"/>
    <w:rsid w:val="008C17F0"/>
    <w:rsid w:val="008C239D"/>
    <w:rsid w:val="008C3A32"/>
    <w:rsid w:val="008C3B05"/>
    <w:rsid w:val="008C4B50"/>
    <w:rsid w:val="008C5128"/>
    <w:rsid w:val="008C58EF"/>
    <w:rsid w:val="008C5A37"/>
    <w:rsid w:val="008C6EB0"/>
    <w:rsid w:val="008C7569"/>
    <w:rsid w:val="008C79C3"/>
    <w:rsid w:val="008D006F"/>
    <w:rsid w:val="008D033D"/>
    <w:rsid w:val="008D0759"/>
    <w:rsid w:val="008D0DBD"/>
    <w:rsid w:val="008D117E"/>
    <w:rsid w:val="008D127E"/>
    <w:rsid w:val="008D1CA8"/>
    <w:rsid w:val="008D1E0A"/>
    <w:rsid w:val="008D1E6A"/>
    <w:rsid w:val="008D2407"/>
    <w:rsid w:val="008D2A16"/>
    <w:rsid w:val="008D2AEC"/>
    <w:rsid w:val="008D2F75"/>
    <w:rsid w:val="008D3295"/>
    <w:rsid w:val="008D33F5"/>
    <w:rsid w:val="008D35E4"/>
    <w:rsid w:val="008D3ACD"/>
    <w:rsid w:val="008D3CEE"/>
    <w:rsid w:val="008D4200"/>
    <w:rsid w:val="008D5F1D"/>
    <w:rsid w:val="008D6C3A"/>
    <w:rsid w:val="008D70E2"/>
    <w:rsid w:val="008D7F47"/>
    <w:rsid w:val="008E0001"/>
    <w:rsid w:val="008E039E"/>
    <w:rsid w:val="008E0CFA"/>
    <w:rsid w:val="008E292B"/>
    <w:rsid w:val="008E2C57"/>
    <w:rsid w:val="008E31FF"/>
    <w:rsid w:val="008E3287"/>
    <w:rsid w:val="008E38E4"/>
    <w:rsid w:val="008E3C67"/>
    <w:rsid w:val="008E3DFA"/>
    <w:rsid w:val="008E3E88"/>
    <w:rsid w:val="008E490D"/>
    <w:rsid w:val="008E51EB"/>
    <w:rsid w:val="008E5746"/>
    <w:rsid w:val="008E64D7"/>
    <w:rsid w:val="008E69F6"/>
    <w:rsid w:val="008E6CA2"/>
    <w:rsid w:val="008E6DCB"/>
    <w:rsid w:val="008E6F06"/>
    <w:rsid w:val="008E7000"/>
    <w:rsid w:val="008E723E"/>
    <w:rsid w:val="008E7B8E"/>
    <w:rsid w:val="008E7FC9"/>
    <w:rsid w:val="008F0107"/>
    <w:rsid w:val="008F029B"/>
    <w:rsid w:val="008F0589"/>
    <w:rsid w:val="008F115A"/>
    <w:rsid w:val="008F2A5D"/>
    <w:rsid w:val="008F2BC7"/>
    <w:rsid w:val="008F2E83"/>
    <w:rsid w:val="008F3636"/>
    <w:rsid w:val="008F3FC9"/>
    <w:rsid w:val="008F509F"/>
    <w:rsid w:val="008F525A"/>
    <w:rsid w:val="008F5383"/>
    <w:rsid w:val="008F585B"/>
    <w:rsid w:val="008F7FB0"/>
    <w:rsid w:val="009003A8"/>
    <w:rsid w:val="009005E4"/>
    <w:rsid w:val="00900977"/>
    <w:rsid w:val="00900AA5"/>
    <w:rsid w:val="009021DA"/>
    <w:rsid w:val="00902500"/>
    <w:rsid w:val="00902EFF"/>
    <w:rsid w:val="00903A8E"/>
    <w:rsid w:val="0090432C"/>
    <w:rsid w:val="00904F96"/>
    <w:rsid w:val="00905037"/>
    <w:rsid w:val="009052A3"/>
    <w:rsid w:val="00905314"/>
    <w:rsid w:val="009056D7"/>
    <w:rsid w:val="00905B8D"/>
    <w:rsid w:val="00905D90"/>
    <w:rsid w:val="00906401"/>
    <w:rsid w:val="009065CB"/>
    <w:rsid w:val="009067EA"/>
    <w:rsid w:val="00906B79"/>
    <w:rsid w:val="0090786F"/>
    <w:rsid w:val="009079CA"/>
    <w:rsid w:val="0091001E"/>
    <w:rsid w:val="00910C18"/>
    <w:rsid w:val="009110F7"/>
    <w:rsid w:val="009112E3"/>
    <w:rsid w:val="0091155E"/>
    <w:rsid w:val="00912437"/>
    <w:rsid w:val="00912A38"/>
    <w:rsid w:val="00912A92"/>
    <w:rsid w:val="00913237"/>
    <w:rsid w:val="00913B36"/>
    <w:rsid w:val="00913FDA"/>
    <w:rsid w:val="0091476D"/>
    <w:rsid w:val="00914AC7"/>
    <w:rsid w:val="00915D07"/>
    <w:rsid w:val="009160D6"/>
    <w:rsid w:val="009162AE"/>
    <w:rsid w:val="00917154"/>
    <w:rsid w:val="00917251"/>
    <w:rsid w:val="0091728D"/>
    <w:rsid w:val="00917351"/>
    <w:rsid w:val="00917A2B"/>
    <w:rsid w:val="0092036B"/>
    <w:rsid w:val="009203CC"/>
    <w:rsid w:val="00920EC4"/>
    <w:rsid w:val="0092180B"/>
    <w:rsid w:val="00921F14"/>
    <w:rsid w:val="009227A9"/>
    <w:rsid w:val="0092292F"/>
    <w:rsid w:val="00922AAE"/>
    <w:rsid w:val="00922D28"/>
    <w:rsid w:val="00923AE5"/>
    <w:rsid w:val="00923CB0"/>
    <w:rsid w:val="00923D8C"/>
    <w:rsid w:val="00924871"/>
    <w:rsid w:val="009248DB"/>
    <w:rsid w:val="00924AC8"/>
    <w:rsid w:val="00924E73"/>
    <w:rsid w:val="00925429"/>
    <w:rsid w:val="00925615"/>
    <w:rsid w:val="0092572D"/>
    <w:rsid w:val="0092597A"/>
    <w:rsid w:val="00926427"/>
    <w:rsid w:val="00926520"/>
    <w:rsid w:val="00926956"/>
    <w:rsid w:val="00926C8A"/>
    <w:rsid w:val="00926CF0"/>
    <w:rsid w:val="009273A9"/>
    <w:rsid w:val="00927E1A"/>
    <w:rsid w:val="00930251"/>
    <w:rsid w:val="0093033E"/>
    <w:rsid w:val="009305FC"/>
    <w:rsid w:val="00930FB1"/>
    <w:rsid w:val="00931163"/>
    <w:rsid w:val="0093139F"/>
    <w:rsid w:val="00932098"/>
    <w:rsid w:val="00932239"/>
    <w:rsid w:val="00932443"/>
    <w:rsid w:val="00932B32"/>
    <w:rsid w:val="00932BF5"/>
    <w:rsid w:val="00932F45"/>
    <w:rsid w:val="0093305E"/>
    <w:rsid w:val="00933F4A"/>
    <w:rsid w:val="009341F1"/>
    <w:rsid w:val="00934FF2"/>
    <w:rsid w:val="009358D7"/>
    <w:rsid w:val="00935BD4"/>
    <w:rsid w:val="00935DFE"/>
    <w:rsid w:val="00935F70"/>
    <w:rsid w:val="0093648B"/>
    <w:rsid w:val="00936906"/>
    <w:rsid w:val="00937017"/>
    <w:rsid w:val="009373B2"/>
    <w:rsid w:val="009378B2"/>
    <w:rsid w:val="00937AE2"/>
    <w:rsid w:val="00937CE5"/>
    <w:rsid w:val="0094061F"/>
    <w:rsid w:val="00940F0F"/>
    <w:rsid w:val="00940FB0"/>
    <w:rsid w:val="00941912"/>
    <w:rsid w:val="009434A5"/>
    <w:rsid w:val="0094356F"/>
    <w:rsid w:val="00943B66"/>
    <w:rsid w:val="0094416B"/>
    <w:rsid w:val="0094427A"/>
    <w:rsid w:val="009449C6"/>
    <w:rsid w:val="00944C7C"/>
    <w:rsid w:val="00945245"/>
    <w:rsid w:val="00945523"/>
    <w:rsid w:val="0094580E"/>
    <w:rsid w:val="00946C43"/>
    <w:rsid w:val="00950921"/>
    <w:rsid w:val="00951457"/>
    <w:rsid w:val="00951D68"/>
    <w:rsid w:val="00951E5B"/>
    <w:rsid w:val="00952050"/>
    <w:rsid w:val="00952315"/>
    <w:rsid w:val="009523D9"/>
    <w:rsid w:val="00952B7B"/>
    <w:rsid w:val="00952C67"/>
    <w:rsid w:val="0095357B"/>
    <w:rsid w:val="009538B3"/>
    <w:rsid w:val="00953B99"/>
    <w:rsid w:val="00954183"/>
    <w:rsid w:val="00954F39"/>
    <w:rsid w:val="009550A2"/>
    <w:rsid w:val="009550FF"/>
    <w:rsid w:val="009555FD"/>
    <w:rsid w:val="00955655"/>
    <w:rsid w:val="00955BAD"/>
    <w:rsid w:val="00955CDA"/>
    <w:rsid w:val="009560D7"/>
    <w:rsid w:val="009563B3"/>
    <w:rsid w:val="0095664B"/>
    <w:rsid w:val="009566A4"/>
    <w:rsid w:val="009567A9"/>
    <w:rsid w:val="009568DC"/>
    <w:rsid w:val="00957140"/>
    <w:rsid w:val="00957445"/>
    <w:rsid w:val="0095759C"/>
    <w:rsid w:val="0096101F"/>
    <w:rsid w:val="009618EE"/>
    <w:rsid w:val="00961DDD"/>
    <w:rsid w:val="009624D2"/>
    <w:rsid w:val="009628D9"/>
    <w:rsid w:val="009630EB"/>
    <w:rsid w:val="009637AE"/>
    <w:rsid w:val="00963A06"/>
    <w:rsid w:val="00963B36"/>
    <w:rsid w:val="00964068"/>
    <w:rsid w:val="009640F6"/>
    <w:rsid w:val="0096469D"/>
    <w:rsid w:val="00964776"/>
    <w:rsid w:val="00964A4E"/>
    <w:rsid w:val="00964B35"/>
    <w:rsid w:val="00964F43"/>
    <w:rsid w:val="009651C7"/>
    <w:rsid w:val="00965797"/>
    <w:rsid w:val="00965A10"/>
    <w:rsid w:val="00965AD0"/>
    <w:rsid w:val="009670A3"/>
    <w:rsid w:val="009674BE"/>
    <w:rsid w:val="0097053D"/>
    <w:rsid w:val="00970FB5"/>
    <w:rsid w:val="00971710"/>
    <w:rsid w:val="00971B87"/>
    <w:rsid w:val="00971C77"/>
    <w:rsid w:val="00971CDA"/>
    <w:rsid w:val="0097203A"/>
    <w:rsid w:val="00972FCD"/>
    <w:rsid w:val="0097328E"/>
    <w:rsid w:val="00973324"/>
    <w:rsid w:val="009736DF"/>
    <w:rsid w:val="009741AE"/>
    <w:rsid w:val="009741FC"/>
    <w:rsid w:val="0097442F"/>
    <w:rsid w:val="00974782"/>
    <w:rsid w:val="00974923"/>
    <w:rsid w:val="00975909"/>
    <w:rsid w:val="00976631"/>
    <w:rsid w:val="00977C33"/>
    <w:rsid w:val="00977C3D"/>
    <w:rsid w:val="009804F2"/>
    <w:rsid w:val="00980997"/>
    <w:rsid w:val="00980D3D"/>
    <w:rsid w:val="0098103E"/>
    <w:rsid w:val="0098157D"/>
    <w:rsid w:val="00981894"/>
    <w:rsid w:val="00981B62"/>
    <w:rsid w:val="00982CB5"/>
    <w:rsid w:val="00982FEF"/>
    <w:rsid w:val="00983101"/>
    <w:rsid w:val="00983E41"/>
    <w:rsid w:val="009845E1"/>
    <w:rsid w:val="00984CE5"/>
    <w:rsid w:val="00984D1B"/>
    <w:rsid w:val="00985DA3"/>
    <w:rsid w:val="00986246"/>
    <w:rsid w:val="00986EB1"/>
    <w:rsid w:val="00987743"/>
    <w:rsid w:val="00987A2E"/>
    <w:rsid w:val="00987A30"/>
    <w:rsid w:val="00990312"/>
    <w:rsid w:val="009908AF"/>
    <w:rsid w:val="0099182E"/>
    <w:rsid w:val="00991D45"/>
    <w:rsid w:val="00992B49"/>
    <w:rsid w:val="00992BB3"/>
    <w:rsid w:val="00992CF3"/>
    <w:rsid w:val="00992F11"/>
    <w:rsid w:val="00993194"/>
    <w:rsid w:val="0099321E"/>
    <w:rsid w:val="00994171"/>
    <w:rsid w:val="00994868"/>
    <w:rsid w:val="00994976"/>
    <w:rsid w:val="00994D28"/>
    <w:rsid w:val="00994F2C"/>
    <w:rsid w:val="00995720"/>
    <w:rsid w:val="009957CC"/>
    <w:rsid w:val="00996370"/>
    <w:rsid w:val="009968D6"/>
    <w:rsid w:val="0099699F"/>
    <w:rsid w:val="00997646"/>
    <w:rsid w:val="00997953"/>
    <w:rsid w:val="00997D55"/>
    <w:rsid w:val="00997E23"/>
    <w:rsid w:val="009A0BFF"/>
    <w:rsid w:val="009A10A0"/>
    <w:rsid w:val="009A12B7"/>
    <w:rsid w:val="009A16E6"/>
    <w:rsid w:val="009A1CAB"/>
    <w:rsid w:val="009A2359"/>
    <w:rsid w:val="009A24F1"/>
    <w:rsid w:val="009A27E0"/>
    <w:rsid w:val="009A4D57"/>
    <w:rsid w:val="009A4E5E"/>
    <w:rsid w:val="009A51A5"/>
    <w:rsid w:val="009A5309"/>
    <w:rsid w:val="009A5526"/>
    <w:rsid w:val="009A5759"/>
    <w:rsid w:val="009A5E32"/>
    <w:rsid w:val="009A60D1"/>
    <w:rsid w:val="009A6225"/>
    <w:rsid w:val="009A64F5"/>
    <w:rsid w:val="009A6C12"/>
    <w:rsid w:val="009A6D5C"/>
    <w:rsid w:val="009B00D2"/>
    <w:rsid w:val="009B05B3"/>
    <w:rsid w:val="009B0CAF"/>
    <w:rsid w:val="009B1324"/>
    <w:rsid w:val="009B2558"/>
    <w:rsid w:val="009B284F"/>
    <w:rsid w:val="009B2CE4"/>
    <w:rsid w:val="009B3764"/>
    <w:rsid w:val="009B3840"/>
    <w:rsid w:val="009B4B8E"/>
    <w:rsid w:val="009B4F2C"/>
    <w:rsid w:val="009B52AC"/>
    <w:rsid w:val="009B553D"/>
    <w:rsid w:val="009B59EA"/>
    <w:rsid w:val="009B5B6E"/>
    <w:rsid w:val="009B66CE"/>
    <w:rsid w:val="009B6FD3"/>
    <w:rsid w:val="009B72BE"/>
    <w:rsid w:val="009B78A4"/>
    <w:rsid w:val="009B7DB2"/>
    <w:rsid w:val="009C03DB"/>
    <w:rsid w:val="009C047E"/>
    <w:rsid w:val="009C15AF"/>
    <w:rsid w:val="009C1750"/>
    <w:rsid w:val="009C1A5A"/>
    <w:rsid w:val="009C2E29"/>
    <w:rsid w:val="009C3E8F"/>
    <w:rsid w:val="009C4275"/>
    <w:rsid w:val="009C550E"/>
    <w:rsid w:val="009C554B"/>
    <w:rsid w:val="009C5E83"/>
    <w:rsid w:val="009C7126"/>
    <w:rsid w:val="009C719E"/>
    <w:rsid w:val="009C7799"/>
    <w:rsid w:val="009C77AF"/>
    <w:rsid w:val="009D07A9"/>
    <w:rsid w:val="009D0AE2"/>
    <w:rsid w:val="009D0D9F"/>
    <w:rsid w:val="009D0EBB"/>
    <w:rsid w:val="009D12B7"/>
    <w:rsid w:val="009D1FE6"/>
    <w:rsid w:val="009D2038"/>
    <w:rsid w:val="009D25FB"/>
    <w:rsid w:val="009D27D1"/>
    <w:rsid w:val="009D2C46"/>
    <w:rsid w:val="009D370B"/>
    <w:rsid w:val="009D3ACD"/>
    <w:rsid w:val="009D4254"/>
    <w:rsid w:val="009D4F21"/>
    <w:rsid w:val="009D587D"/>
    <w:rsid w:val="009D6EA6"/>
    <w:rsid w:val="009D7731"/>
    <w:rsid w:val="009E00E1"/>
    <w:rsid w:val="009E066D"/>
    <w:rsid w:val="009E1120"/>
    <w:rsid w:val="009E1393"/>
    <w:rsid w:val="009E1922"/>
    <w:rsid w:val="009E1A3D"/>
    <w:rsid w:val="009E1FDE"/>
    <w:rsid w:val="009E22A5"/>
    <w:rsid w:val="009E3388"/>
    <w:rsid w:val="009E3975"/>
    <w:rsid w:val="009E4715"/>
    <w:rsid w:val="009E4A58"/>
    <w:rsid w:val="009E4DFB"/>
    <w:rsid w:val="009E5273"/>
    <w:rsid w:val="009E57A8"/>
    <w:rsid w:val="009E5B85"/>
    <w:rsid w:val="009E5C39"/>
    <w:rsid w:val="009E5DDB"/>
    <w:rsid w:val="009F01E6"/>
    <w:rsid w:val="009F026B"/>
    <w:rsid w:val="009F032E"/>
    <w:rsid w:val="009F1CA6"/>
    <w:rsid w:val="009F23F8"/>
    <w:rsid w:val="009F2921"/>
    <w:rsid w:val="009F42CF"/>
    <w:rsid w:val="009F4982"/>
    <w:rsid w:val="009F4CA7"/>
    <w:rsid w:val="009F4F6A"/>
    <w:rsid w:val="009F55BA"/>
    <w:rsid w:val="009F5A60"/>
    <w:rsid w:val="009F6723"/>
    <w:rsid w:val="009F7BE2"/>
    <w:rsid w:val="009F7D36"/>
    <w:rsid w:val="009F7D61"/>
    <w:rsid w:val="00A00E71"/>
    <w:rsid w:val="00A00E76"/>
    <w:rsid w:val="00A01839"/>
    <w:rsid w:val="00A0187B"/>
    <w:rsid w:val="00A01F1D"/>
    <w:rsid w:val="00A02E8B"/>
    <w:rsid w:val="00A02F2C"/>
    <w:rsid w:val="00A0306F"/>
    <w:rsid w:val="00A032E2"/>
    <w:rsid w:val="00A03511"/>
    <w:rsid w:val="00A03B10"/>
    <w:rsid w:val="00A03E2E"/>
    <w:rsid w:val="00A04616"/>
    <w:rsid w:val="00A04717"/>
    <w:rsid w:val="00A0535F"/>
    <w:rsid w:val="00A05AED"/>
    <w:rsid w:val="00A05D8F"/>
    <w:rsid w:val="00A05EB1"/>
    <w:rsid w:val="00A05EE4"/>
    <w:rsid w:val="00A06280"/>
    <w:rsid w:val="00A06F99"/>
    <w:rsid w:val="00A07730"/>
    <w:rsid w:val="00A1053B"/>
    <w:rsid w:val="00A107F5"/>
    <w:rsid w:val="00A10D66"/>
    <w:rsid w:val="00A113A4"/>
    <w:rsid w:val="00A12A8E"/>
    <w:rsid w:val="00A12BBD"/>
    <w:rsid w:val="00A133F9"/>
    <w:rsid w:val="00A13718"/>
    <w:rsid w:val="00A14114"/>
    <w:rsid w:val="00A149E5"/>
    <w:rsid w:val="00A152AF"/>
    <w:rsid w:val="00A1615C"/>
    <w:rsid w:val="00A16413"/>
    <w:rsid w:val="00A16545"/>
    <w:rsid w:val="00A16A1A"/>
    <w:rsid w:val="00A16A9F"/>
    <w:rsid w:val="00A16AED"/>
    <w:rsid w:val="00A16BD3"/>
    <w:rsid w:val="00A16C37"/>
    <w:rsid w:val="00A16E1D"/>
    <w:rsid w:val="00A170D7"/>
    <w:rsid w:val="00A171D5"/>
    <w:rsid w:val="00A17A15"/>
    <w:rsid w:val="00A17A37"/>
    <w:rsid w:val="00A17D5B"/>
    <w:rsid w:val="00A2016A"/>
    <w:rsid w:val="00A201E1"/>
    <w:rsid w:val="00A20FE1"/>
    <w:rsid w:val="00A21B4D"/>
    <w:rsid w:val="00A21D58"/>
    <w:rsid w:val="00A21F44"/>
    <w:rsid w:val="00A22073"/>
    <w:rsid w:val="00A223E0"/>
    <w:rsid w:val="00A22959"/>
    <w:rsid w:val="00A22F57"/>
    <w:rsid w:val="00A23158"/>
    <w:rsid w:val="00A232D7"/>
    <w:rsid w:val="00A23538"/>
    <w:rsid w:val="00A23847"/>
    <w:rsid w:val="00A23E43"/>
    <w:rsid w:val="00A24726"/>
    <w:rsid w:val="00A24DEB"/>
    <w:rsid w:val="00A24ED9"/>
    <w:rsid w:val="00A251DB"/>
    <w:rsid w:val="00A25216"/>
    <w:rsid w:val="00A2597D"/>
    <w:rsid w:val="00A2628E"/>
    <w:rsid w:val="00A263BA"/>
    <w:rsid w:val="00A266BF"/>
    <w:rsid w:val="00A26777"/>
    <w:rsid w:val="00A269AB"/>
    <w:rsid w:val="00A26BB8"/>
    <w:rsid w:val="00A26E12"/>
    <w:rsid w:val="00A26F2A"/>
    <w:rsid w:val="00A272FF"/>
    <w:rsid w:val="00A2731E"/>
    <w:rsid w:val="00A27707"/>
    <w:rsid w:val="00A30568"/>
    <w:rsid w:val="00A307C2"/>
    <w:rsid w:val="00A308D6"/>
    <w:rsid w:val="00A309AC"/>
    <w:rsid w:val="00A30EA4"/>
    <w:rsid w:val="00A30F65"/>
    <w:rsid w:val="00A315D0"/>
    <w:rsid w:val="00A3279E"/>
    <w:rsid w:val="00A32984"/>
    <w:rsid w:val="00A331E0"/>
    <w:rsid w:val="00A33CF3"/>
    <w:rsid w:val="00A33DB1"/>
    <w:rsid w:val="00A33EEB"/>
    <w:rsid w:val="00A345C2"/>
    <w:rsid w:val="00A34C63"/>
    <w:rsid w:val="00A351C8"/>
    <w:rsid w:val="00A3559C"/>
    <w:rsid w:val="00A356C1"/>
    <w:rsid w:val="00A35900"/>
    <w:rsid w:val="00A35E98"/>
    <w:rsid w:val="00A35F33"/>
    <w:rsid w:val="00A36231"/>
    <w:rsid w:val="00A37262"/>
    <w:rsid w:val="00A37F9F"/>
    <w:rsid w:val="00A401A3"/>
    <w:rsid w:val="00A40C39"/>
    <w:rsid w:val="00A40CD6"/>
    <w:rsid w:val="00A40EAC"/>
    <w:rsid w:val="00A418BC"/>
    <w:rsid w:val="00A419FF"/>
    <w:rsid w:val="00A41FCF"/>
    <w:rsid w:val="00A424B0"/>
    <w:rsid w:val="00A42936"/>
    <w:rsid w:val="00A43A2B"/>
    <w:rsid w:val="00A43CF8"/>
    <w:rsid w:val="00A43DF2"/>
    <w:rsid w:val="00A445A8"/>
    <w:rsid w:val="00A44B0D"/>
    <w:rsid w:val="00A44D21"/>
    <w:rsid w:val="00A45087"/>
    <w:rsid w:val="00A45489"/>
    <w:rsid w:val="00A45858"/>
    <w:rsid w:val="00A45CED"/>
    <w:rsid w:val="00A46502"/>
    <w:rsid w:val="00A465E9"/>
    <w:rsid w:val="00A46854"/>
    <w:rsid w:val="00A46894"/>
    <w:rsid w:val="00A468E7"/>
    <w:rsid w:val="00A46A86"/>
    <w:rsid w:val="00A46DE0"/>
    <w:rsid w:val="00A47240"/>
    <w:rsid w:val="00A478BA"/>
    <w:rsid w:val="00A5003B"/>
    <w:rsid w:val="00A50D73"/>
    <w:rsid w:val="00A518BB"/>
    <w:rsid w:val="00A51A85"/>
    <w:rsid w:val="00A51B7E"/>
    <w:rsid w:val="00A52A88"/>
    <w:rsid w:val="00A52CAD"/>
    <w:rsid w:val="00A53340"/>
    <w:rsid w:val="00A53FC7"/>
    <w:rsid w:val="00A54E0A"/>
    <w:rsid w:val="00A55569"/>
    <w:rsid w:val="00A55C36"/>
    <w:rsid w:val="00A56017"/>
    <w:rsid w:val="00A5661B"/>
    <w:rsid w:val="00A566A0"/>
    <w:rsid w:val="00A56EAA"/>
    <w:rsid w:val="00A56F8E"/>
    <w:rsid w:val="00A57580"/>
    <w:rsid w:val="00A601E7"/>
    <w:rsid w:val="00A60AC1"/>
    <w:rsid w:val="00A61EB1"/>
    <w:rsid w:val="00A62162"/>
    <w:rsid w:val="00A62427"/>
    <w:rsid w:val="00A626FF"/>
    <w:rsid w:val="00A62B42"/>
    <w:rsid w:val="00A62CE1"/>
    <w:rsid w:val="00A64939"/>
    <w:rsid w:val="00A65469"/>
    <w:rsid w:val="00A65528"/>
    <w:rsid w:val="00A655D3"/>
    <w:rsid w:val="00A65C25"/>
    <w:rsid w:val="00A662D9"/>
    <w:rsid w:val="00A6630C"/>
    <w:rsid w:val="00A66C06"/>
    <w:rsid w:val="00A670A0"/>
    <w:rsid w:val="00A6741E"/>
    <w:rsid w:val="00A67E29"/>
    <w:rsid w:val="00A7016A"/>
    <w:rsid w:val="00A7018D"/>
    <w:rsid w:val="00A7191D"/>
    <w:rsid w:val="00A722F9"/>
    <w:rsid w:val="00A72D42"/>
    <w:rsid w:val="00A733D0"/>
    <w:rsid w:val="00A7439C"/>
    <w:rsid w:val="00A746C9"/>
    <w:rsid w:val="00A74C2A"/>
    <w:rsid w:val="00A75E40"/>
    <w:rsid w:val="00A76818"/>
    <w:rsid w:val="00A771F7"/>
    <w:rsid w:val="00A7769C"/>
    <w:rsid w:val="00A77747"/>
    <w:rsid w:val="00A77AE6"/>
    <w:rsid w:val="00A77D1D"/>
    <w:rsid w:val="00A77E6B"/>
    <w:rsid w:val="00A801C9"/>
    <w:rsid w:val="00A80902"/>
    <w:rsid w:val="00A80F81"/>
    <w:rsid w:val="00A81652"/>
    <w:rsid w:val="00A82BF0"/>
    <w:rsid w:val="00A82C91"/>
    <w:rsid w:val="00A83150"/>
    <w:rsid w:val="00A83177"/>
    <w:rsid w:val="00A83398"/>
    <w:rsid w:val="00A83898"/>
    <w:rsid w:val="00A83D6E"/>
    <w:rsid w:val="00A83FD5"/>
    <w:rsid w:val="00A8508C"/>
    <w:rsid w:val="00A8521A"/>
    <w:rsid w:val="00A853BB"/>
    <w:rsid w:val="00A857C0"/>
    <w:rsid w:val="00A85ACB"/>
    <w:rsid w:val="00A8657A"/>
    <w:rsid w:val="00A9036F"/>
    <w:rsid w:val="00A9092B"/>
    <w:rsid w:val="00A90F2C"/>
    <w:rsid w:val="00A90FED"/>
    <w:rsid w:val="00A911D8"/>
    <w:rsid w:val="00A91482"/>
    <w:rsid w:val="00A9189D"/>
    <w:rsid w:val="00A91E71"/>
    <w:rsid w:val="00A92523"/>
    <w:rsid w:val="00A9254E"/>
    <w:rsid w:val="00A925B1"/>
    <w:rsid w:val="00A92A3E"/>
    <w:rsid w:val="00A934F9"/>
    <w:rsid w:val="00A936A2"/>
    <w:rsid w:val="00A940E3"/>
    <w:rsid w:val="00A94983"/>
    <w:rsid w:val="00A94C2A"/>
    <w:rsid w:val="00A9532C"/>
    <w:rsid w:val="00A95F1A"/>
    <w:rsid w:val="00A96116"/>
    <w:rsid w:val="00A9614E"/>
    <w:rsid w:val="00A96422"/>
    <w:rsid w:val="00A96A2F"/>
    <w:rsid w:val="00A96C0F"/>
    <w:rsid w:val="00A97075"/>
    <w:rsid w:val="00AA0052"/>
    <w:rsid w:val="00AA0E80"/>
    <w:rsid w:val="00AA16F4"/>
    <w:rsid w:val="00AA17CD"/>
    <w:rsid w:val="00AA1D85"/>
    <w:rsid w:val="00AA212B"/>
    <w:rsid w:val="00AA212F"/>
    <w:rsid w:val="00AA26A9"/>
    <w:rsid w:val="00AA2996"/>
    <w:rsid w:val="00AA2AF4"/>
    <w:rsid w:val="00AA3734"/>
    <w:rsid w:val="00AA37D2"/>
    <w:rsid w:val="00AA3EE8"/>
    <w:rsid w:val="00AA4282"/>
    <w:rsid w:val="00AA43F2"/>
    <w:rsid w:val="00AA4790"/>
    <w:rsid w:val="00AA50E6"/>
    <w:rsid w:val="00AA52BF"/>
    <w:rsid w:val="00AA53CE"/>
    <w:rsid w:val="00AA559A"/>
    <w:rsid w:val="00AA68C7"/>
    <w:rsid w:val="00AA6C31"/>
    <w:rsid w:val="00AA7752"/>
    <w:rsid w:val="00AA7CE8"/>
    <w:rsid w:val="00AA7F31"/>
    <w:rsid w:val="00AB1457"/>
    <w:rsid w:val="00AB1CF7"/>
    <w:rsid w:val="00AB2AF1"/>
    <w:rsid w:val="00AB32CB"/>
    <w:rsid w:val="00AB3AD7"/>
    <w:rsid w:val="00AB3BA7"/>
    <w:rsid w:val="00AB3EC7"/>
    <w:rsid w:val="00AB5901"/>
    <w:rsid w:val="00AB5A64"/>
    <w:rsid w:val="00AB5CA1"/>
    <w:rsid w:val="00AB6456"/>
    <w:rsid w:val="00AB75C5"/>
    <w:rsid w:val="00AB7E01"/>
    <w:rsid w:val="00AC044E"/>
    <w:rsid w:val="00AC1A6B"/>
    <w:rsid w:val="00AC1B6A"/>
    <w:rsid w:val="00AC2118"/>
    <w:rsid w:val="00AC2395"/>
    <w:rsid w:val="00AC24FE"/>
    <w:rsid w:val="00AC2960"/>
    <w:rsid w:val="00AC2996"/>
    <w:rsid w:val="00AC2AC4"/>
    <w:rsid w:val="00AC4284"/>
    <w:rsid w:val="00AC433A"/>
    <w:rsid w:val="00AC45BD"/>
    <w:rsid w:val="00AC4D34"/>
    <w:rsid w:val="00AC50BB"/>
    <w:rsid w:val="00AC5256"/>
    <w:rsid w:val="00AC5657"/>
    <w:rsid w:val="00AC7002"/>
    <w:rsid w:val="00AC78F1"/>
    <w:rsid w:val="00AC7B96"/>
    <w:rsid w:val="00AC7DB8"/>
    <w:rsid w:val="00AD0B22"/>
    <w:rsid w:val="00AD0D2F"/>
    <w:rsid w:val="00AD0EE7"/>
    <w:rsid w:val="00AD168E"/>
    <w:rsid w:val="00AD1B42"/>
    <w:rsid w:val="00AD202E"/>
    <w:rsid w:val="00AD306C"/>
    <w:rsid w:val="00AD44CD"/>
    <w:rsid w:val="00AD47A7"/>
    <w:rsid w:val="00AD4876"/>
    <w:rsid w:val="00AD4FF6"/>
    <w:rsid w:val="00AD5AD2"/>
    <w:rsid w:val="00AD5DD8"/>
    <w:rsid w:val="00AD6462"/>
    <w:rsid w:val="00AD66C5"/>
    <w:rsid w:val="00AD68C4"/>
    <w:rsid w:val="00AD71F9"/>
    <w:rsid w:val="00AD7B6C"/>
    <w:rsid w:val="00AE09B3"/>
    <w:rsid w:val="00AE0A6C"/>
    <w:rsid w:val="00AE1617"/>
    <w:rsid w:val="00AE1A83"/>
    <w:rsid w:val="00AE207E"/>
    <w:rsid w:val="00AE20B3"/>
    <w:rsid w:val="00AE2A78"/>
    <w:rsid w:val="00AE30BE"/>
    <w:rsid w:val="00AE3258"/>
    <w:rsid w:val="00AE3E6A"/>
    <w:rsid w:val="00AE4122"/>
    <w:rsid w:val="00AE417E"/>
    <w:rsid w:val="00AE434F"/>
    <w:rsid w:val="00AE4909"/>
    <w:rsid w:val="00AE540F"/>
    <w:rsid w:val="00AE56EE"/>
    <w:rsid w:val="00AE631C"/>
    <w:rsid w:val="00AE6414"/>
    <w:rsid w:val="00AE7269"/>
    <w:rsid w:val="00AE797C"/>
    <w:rsid w:val="00AE7CE7"/>
    <w:rsid w:val="00AE7FAB"/>
    <w:rsid w:val="00AF0DE4"/>
    <w:rsid w:val="00AF12A0"/>
    <w:rsid w:val="00AF1E87"/>
    <w:rsid w:val="00AF3A39"/>
    <w:rsid w:val="00AF436B"/>
    <w:rsid w:val="00AF5179"/>
    <w:rsid w:val="00AF5CC2"/>
    <w:rsid w:val="00AF660D"/>
    <w:rsid w:val="00AF6776"/>
    <w:rsid w:val="00AF6F98"/>
    <w:rsid w:val="00AF7277"/>
    <w:rsid w:val="00AF72B7"/>
    <w:rsid w:val="00AF79D9"/>
    <w:rsid w:val="00AF7E09"/>
    <w:rsid w:val="00B00024"/>
    <w:rsid w:val="00B00550"/>
    <w:rsid w:val="00B00913"/>
    <w:rsid w:val="00B00D4D"/>
    <w:rsid w:val="00B01548"/>
    <w:rsid w:val="00B01593"/>
    <w:rsid w:val="00B017AF"/>
    <w:rsid w:val="00B01D0F"/>
    <w:rsid w:val="00B01FF9"/>
    <w:rsid w:val="00B023F2"/>
    <w:rsid w:val="00B026FE"/>
    <w:rsid w:val="00B0271F"/>
    <w:rsid w:val="00B038CA"/>
    <w:rsid w:val="00B05424"/>
    <w:rsid w:val="00B056FC"/>
    <w:rsid w:val="00B05761"/>
    <w:rsid w:val="00B05F00"/>
    <w:rsid w:val="00B06DB4"/>
    <w:rsid w:val="00B0750D"/>
    <w:rsid w:val="00B07850"/>
    <w:rsid w:val="00B0799C"/>
    <w:rsid w:val="00B07C6A"/>
    <w:rsid w:val="00B10258"/>
    <w:rsid w:val="00B102CE"/>
    <w:rsid w:val="00B10A4D"/>
    <w:rsid w:val="00B10C90"/>
    <w:rsid w:val="00B11002"/>
    <w:rsid w:val="00B1114F"/>
    <w:rsid w:val="00B118FA"/>
    <w:rsid w:val="00B121B2"/>
    <w:rsid w:val="00B131B1"/>
    <w:rsid w:val="00B1401E"/>
    <w:rsid w:val="00B141B6"/>
    <w:rsid w:val="00B144C6"/>
    <w:rsid w:val="00B14BC1"/>
    <w:rsid w:val="00B154DE"/>
    <w:rsid w:val="00B162C3"/>
    <w:rsid w:val="00B16DD1"/>
    <w:rsid w:val="00B16EB8"/>
    <w:rsid w:val="00B1700A"/>
    <w:rsid w:val="00B17E71"/>
    <w:rsid w:val="00B17FDE"/>
    <w:rsid w:val="00B20632"/>
    <w:rsid w:val="00B20D04"/>
    <w:rsid w:val="00B20F55"/>
    <w:rsid w:val="00B2161E"/>
    <w:rsid w:val="00B21BCB"/>
    <w:rsid w:val="00B2379C"/>
    <w:rsid w:val="00B23D5D"/>
    <w:rsid w:val="00B23E6E"/>
    <w:rsid w:val="00B2450C"/>
    <w:rsid w:val="00B24E48"/>
    <w:rsid w:val="00B265AE"/>
    <w:rsid w:val="00B2687D"/>
    <w:rsid w:val="00B27EC6"/>
    <w:rsid w:val="00B3108D"/>
    <w:rsid w:val="00B323BE"/>
    <w:rsid w:val="00B327C0"/>
    <w:rsid w:val="00B32DDB"/>
    <w:rsid w:val="00B32F57"/>
    <w:rsid w:val="00B3345C"/>
    <w:rsid w:val="00B33672"/>
    <w:rsid w:val="00B33DE5"/>
    <w:rsid w:val="00B3410E"/>
    <w:rsid w:val="00B343BC"/>
    <w:rsid w:val="00B343C4"/>
    <w:rsid w:val="00B34528"/>
    <w:rsid w:val="00B34750"/>
    <w:rsid w:val="00B34B95"/>
    <w:rsid w:val="00B34CC9"/>
    <w:rsid w:val="00B34CDA"/>
    <w:rsid w:val="00B3563B"/>
    <w:rsid w:val="00B3574D"/>
    <w:rsid w:val="00B362A3"/>
    <w:rsid w:val="00B36BDC"/>
    <w:rsid w:val="00B37D3A"/>
    <w:rsid w:val="00B37D96"/>
    <w:rsid w:val="00B402FC"/>
    <w:rsid w:val="00B405E3"/>
    <w:rsid w:val="00B40A7D"/>
    <w:rsid w:val="00B40DF5"/>
    <w:rsid w:val="00B41424"/>
    <w:rsid w:val="00B422E2"/>
    <w:rsid w:val="00B42517"/>
    <w:rsid w:val="00B42902"/>
    <w:rsid w:val="00B42D5F"/>
    <w:rsid w:val="00B43216"/>
    <w:rsid w:val="00B43740"/>
    <w:rsid w:val="00B439DA"/>
    <w:rsid w:val="00B43DDF"/>
    <w:rsid w:val="00B4411A"/>
    <w:rsid w:val="00B45376"/>
    <w:rsid w:val="00B45A99"/>
    <w:rsid w:val="00B45FE8"/>
    <w:rsid w:val="00B46604"/>
    <w:rsid w:val="00B46637"/>
    <w:rsid w:val="00B47089"/>
    <w:rsid w:val="00B4712D"/>
    <w:rsid w:val="00B47587"/>
    <w:rsid w:val="00B5150A"/>
    <w:rsid w:val="00B52151"/>
    <w:rsid w:val="00B530CD"/>
    <w:rsid w:val="00B53639"/>
    <w:rsid w:val="00B53C7D"/>
    <w:rsid w:val="00B53DEF"/>
    <w:rsid w:val="00B53E56"/>
    <w:rsid w:val="00B54058"/>
    <w:rsid w:val="00B55311"/>
    <w:rsid w:val="00B55437"/>
    <w:rsid w:val="00B55A97"/>
    <w:rsid w:val="00B55F5E"/>
    <w:rsid w:val="00B5601B"/>
    <w:rsid w:val="00B560E3"/>
    <w:rsid w:val="00B5642C"/>
    <w:rsid w:val="00B5658D"/>
    <w:rsid w:val="00B56B6F"/>
    <w:rsid w:val="00B5713F"/>
    <w:rsid w:val="00B5752E"/>
    <w:rsid w:val="00B57ABC"/>
    <w:rsid w:val="00B60AC1"/>
    <w:rsid w:val="00B61FF6"/>
    <w:rsid w:val="00B62316"/>
    <w:rsid w:val="00B6274C"/>
    <w:rsid w:val="00B63A11"/>
    <w:rsid w:val="00B64425"/>
    <w:rsid w:val="00B646BC"/>
    <w:rsid w:val="00B647F4"/>
    <w:rsid w:val="00B64C24"/>
    <w:rsid w:val="00B64E72"/>
    <w:rsid w:val="00B659B0"/>
    <w:rsid w:val="00B65CEF"/>
    <w:rsid w:val="00B6608F"/>
    <w:rsid w:val="00B66B65"/>
    <w:rsid w:val="00B674C7"/>
    <w:rsid w:val="00B67749"/>
    <w:rsid w:val="00B679FB"/>
    <w:rsid w:val="00B67E43"/>
    <w:rsid w:val="00B71FBF"/>
    <w:rsid w:val="00B72CD3"/>
    <w:rsid w:val="00B734A0"/>
    <w:rsid w:val="00B73A14"/>
    <w:rsid w:val="00B73D35"/>
    <w:rsid w:val="00B74148"/>
    <w:rsid w:val="00B748BD"/>
    <w:rsid w:val="00B76100"/>
    <w:rsid w:val="00B7680F"/>
    <w:rsid w:val="00B76B48"/>
    <w:rsid w:val="00B76D1E"/>
    <w:rsid w:val="00B774BD"/>
    <w:rsid w:val="00B77543"/>
    <w:rsid w:val="00B77584"/>
    <w:rsid w:val="00B77E34"/>
    <w:rsid w:val="00B80D44"/>
    <w:rsid w:val="00B80D89"/>
    <w:rsid w:val="00B80EC6"/>
    <w:rsid w:val="00B81288"/>
    <w:rsid w:val="00B81D70"/>
    <w:rsid w:val="00B82EE1"/>
    <w:rsid w:val="00B833B9"/>
    <w:rsid w:val="00B836DA"/>
    <w:rsid w:val="00B839B1"/>
    <w:rsid w:val="00B83AAF"/>
    <w:rsid w:val="00B83CBF"/>
    <w:rsid w:val="00B83E07"/>
    <w:rsid w:val="00B84CF6"/>
    <w:rsid w:val="00B85016"/>
    <w:rsid w:val="00B85226"/>
    <w:rsid w:val="00B8561A"/>
    <w:rsid w:val="00B86628"/>
    <w:rsid w:val="00B86643"/>
    <w:rsid w:val="00B868F7"/>
    <w:rsid w:val="00B86EB1"/>
    <w:rsid w:val="00B871A7"/>
    <w:rsid w:val="00B90131"/>
    <w:rsid w:val="00B9074F"/>
    <w:rsid w:val="00B91136"/>
    <w:rsid w:val="00B92661"/>
    <w:rsid w:val="00B92951"/>
    <w:rsid w:val="00B92D1D"/>
    <w:rsid w:val="00B92D7E"/>
    <w:rsid w:val="00B930CE"/>
    <w:rsid w:val="00B938C5"/>
    <w:rsid w:val="00B940A8"/>
    <w:rsid w:val="00B944D4"/>
    <w:rsid w:val="00B95443"/>
    <w:rsid w:val="00B9554A"/>
    <w:rsid w:val="00B95940"/>
    <w:rsid w:val="00B95ACA"/>
    <w:rsid w:val="00B95C12"/>
    <w:rsid w:val="00B96D74"/>
    <w:rsid w:val="00B96FFD"/>
    <w:rsid w:val="00B9720E"/>
    <w:rsid w:val="00B97ACC"/>
    <w:rsid w:val="00B97FE2"/>
    <w:rsid w:val="00BA0E0B"/>
    <w:rsid w:val="00BA201A"/>
    <w:rsid w:val="00BA21DF"/>
    <w:rsid w:val="00BA2391"/>
    <w:rsid w:val="00BA270A"/>
    <w:rsid w:val="00BA3256"/>
    <w:rsid w:val="00BA361D"/>
    <w:rsid w:val="00BA3787"/>
    <w:rsid w:val="00BA3B00"/>
    <w:rsid w:val="00BA403A"/>
    <w:rsid w:val="00BA46E8"/>
    <w:rsid w:val="00BA49DB"/>
    <w:rsid w:val="00BA4AE9"/>
    <w:rsid w:val="00BA4E19"/>
    <w:rsid w:val="00BA62B5"/>
    <w:rsid w:val="00BA6436"/>
    <w:rsid w:val="00BA64F2"/>
    <w:rsid w:val="00BA684E"/>
    <w:rsid w:val="00BA6C2B"/>
    <w:rsid w:val="00BA7B64"/>
    <w:rsid w:val="00BB02A3"/>
    <w:rsid w:val="00BB0351"/>
    <w:rsid w:val="00BB085C"/>
    <w:rsid w:val="00BB15C3"/>
    <w:rsid w:val="00BB1AF4"/>
    <w:rsid w:val="00BB1CDD"/>
    <w:rsid w:val="00BB2202"/>
    <w:rsid w:val="00BB224A"/>
    <w:rsid w:val="00BB2A7E"/>
    <w:rsid w:val="00BB354D"/>
    <w:rsid w:val="00BB3C6B"/>
    <w:rsid w:val="00BB3EFB"/>
    <w:rsid w:val="00BB3FD6"/>
    <w:rsid w:val="00BB453F"/>
    <w:rsid w:val="00BB46F3"/>
    <w:rsid w:val="00BB4A71"/>
    <w:rsid w:val="00BB4CB1"/>
    <w:rsid w:val="00BB4F98"/>
    <w:rsid w:val="00BB50C0"/>
    <w:rsid w:val="00BB58A9"/>
    <w:rsid w:val="00BB5AB2"/>
    <w:rsid w:val="00BB5ABF"/>
    <w:rsid w:val="00BB6EA2"/>
    <w:rsid w:val="00BB7142"/>
    <w:rsid w:val="00BB736B"/>
    <w:rsid w:val="00BB76F3"/>
    <w:rsid w:val="00BB7ABB"/>
    <w:rsid w:val="00BB7B5B"/>
    <w:rsid w:val="00BB7EB1"/>
    <w:rsid w:val="00BC003F"/>
    <w:rsid w:val="00BC0930"/>
    <w:rsid w:val="00BC1D26"/>
    <w:rsid w:val="00BC2923"/>
    <w:rsid w:val="00BC327F"/>
    <w:rsid w:val="00BC3512"/>
    <w:rsid w:val="00BC4B35"/>
    <w:rsid w:val="00BC507A"/>
    <w:rsid w:val="00BC50BE"/>
    <w:rsid w:val="00BC5332"/>
    <w:rsid w:val="00BC5715"/>
    <w:rsid w:val="00BC5C12"/>
    <w:rsid w:val="00BC6105"/>
    <w:rsid w:val="00BC641B"/>
    <w:rsid w:val="00BC6706"/>
    <w:rsid w:val="00BC6CAD"/>
    <w:rsid w:val="00BC7154"/>
    <w:rsid w:val="00BC731E"/>
    <w:rsid w:val="00BC7614"/>
    <w:rsid w:val="00BC7EFA"/>
    <w:rsid w:val="00BD041B"/>
    <w:rsid w:val="00BD0595"/>
    <w:rsid w:val="00BD05C2"/>
    <w:rsid w:val="00BD25BB"/>
    <w:rsid w:val="00BD2AF8"/>
    <w:rsid w:val="00BD366B"/>
    <w:rsid w:val="00BD3C09"/>
    <w:rsid w:val="00BD410B"/>
    <w:rsid w:val="00BD4A73"/>
    <w:rsid w:val="00BD4EDD"/>
    <w:rsid w:val="00BD4EF4"/>
    <w:rsid w:val="00BD5C11"/>
    <w:rsid w:val="00BD6659"/>
    <w:rsid w:val="00BD672C"/>
    <w:rsid w:val="00BD6C75"/>
    <w:rsid w:val="00BD6D50"/>
    <w:rsid w:val="00BD7105"/>
    <w:rsid w:val="00BD73D2"/>
    <w:rsid w:val="00BD754D"/>
    <w:rsid w:val="00BE0AD1"/>
    <w:rsid w:val="00BE0EF9"/>
    <w:rsid w:val="00BE10A1"/>
    <w:rsid w:val="00BE18B9"/>
    <w:rsid w:val="00BE190A"/>
    <w:rsid w:val="00BE2495"/>
    <w:rsid w:val="00BE24DD"/>
    <w:rsid w:val="00BE29C1"/>
    <w:rsid w:val="00BE34BB"/>
    <w:rsid w:val="00BE386D"/>
    <w:rsid w:val="00BE3A5C"/>
    <w:rsid w:val="00BE4071"/>
    <w:rsid w:val="00BE4DA9"/>
    <w:rsid w:val="00BE54BF"/>
    <w:rsid w:val="00BE557B"/>
    <w:rsid w:val="00BE55EF"/>
    <w:rsid w:val="00BE62ED"/>
    <w:rsid w:val="00BE6350"/>
    <w:rsid w:val="00BE779C"/>
    <w:rsid w:val="00BE7F5F"/>
    <w:rsid w:val="00BF0099"/>
    <w:rsid w:val="00BF02C8"/>
    <w:rsid w:val="00BF057E"/>
    <w:rsid w:val="00BF1099"/>
    <w:rsid w:val="00BF14A6"/>
    <w:rsid w:val="00BF1578"/>
    <w:rsid w:val="00BF15CA"/>
    <w:rsid w:val="00BF1672"/>
    <w:rsid w:val="00BF1D12"/>
    <w:rsid w:val="00BF1D3A"/>
    <w:rsid w:val="00BF2B5B"/>
    <w:rsid w:val="00BF2D41"/>
    <w:rsid w:val="00BF2D9D"/>
    <w:rsid w:val="00BF3274"/>
    <w:rsid w:val="00BF32DC"/>
    <w:rsid w:val="00BF35C9"/>
    <w:rsid w:val="00BF361E"/>
    <w:rsid w:val="00BF3D54"/>
    <w:rsid w:val="00BF4329"/>
    <w:rsid w:val="00BF450E"/>
    <w:rsid w:val="00BF4E10"/>
    <w:rsid w:val="00BF4E43"/>
    <w:rsid w:val="00BF5C4C"/>
    <w:rsid w:val="00BF5E71"/>
    <w:rsid w:val="00BF765C"/>
    <w:rsid w:val="00BF771F"/>
    <w:rsid w:val="00BF77FC"/>
    <w:rsid w:val="00BF7EC7"/>
    <w:rsid w:val="00C006D6"/>
    <w:rsid w:val="00C00BD7"/>
    <w:rsid w:val="00C01410"/>
    <w:rsid w:val="00C024BB"/>
    <w:rsid w:val="00C02D23"/>
    <w:rsid w:val="00C03264"/>
    <w:rsid w:val="00C03D4D"/>
    <w:rsid w:val="00C041F5"/>
    <w:rsid w:val="00C044F4"/>
    <w:rsid w:val="00C04B78"/>
    <w:rsid w:val="00C052AA"/>
    <w:rsid w:val="00C0540C"/>
    <w:rsid w:val="00C061AE"/>
    <w:rsid w:val="00C0644D"/>
    <w:rsid w:val="00C06EE3"/>
    <w:rsid w:val="00C07279"/>
    <w:rsid w:val="00C07749"/>
    <w:rsid w:val="00C07C67"/>
    <w:rsid w:val="00C07E8B"/>
    <w:rsid w:val="00C10742"/>
    <w:rsid w:val="00C10805"/>
    <w:rsid w:val="00C11244"/>
    <w:rsid w:val="00C113FF"/>
    <w:rsid w:val="00C114A7"/>
    <w:rsid w:val="00C118A9"/>
    <w:rsid w:val="00C11D48"/>
    <w:rsid w:val="00C12304"/>
    <w:rsid w:val="00C12316"/>
    <w:rsid w:val="00C1246C"/>
    <w:rsid w:val="00C133BB"/>
    <w:rsid w:val="00C14187"/>
    <w:rsid w:val="00C147B1"/>
    <w:rsid w:val="00C1493E"/>
    <w:rsid w:val="00C15537"/>
    <w:rsid w:val="00C159FA"/>
    <w:rsid w:val="00C15DBD"/>
    <w:rsid w:val="00C161C5"/>
    <w:rsid w:val="00C172F7"/>
    <w:rsid w:val="00C176A3"/>
    <w:rsid w:val="00C2010D"/>
    <w:rsid w:val="00C20CB5"/>
    <w:rsid w:val="00C21430"/>
    <w:rsid w:val="00C216DF"/>
    <w:rsid w:val="00C21B30"/>
    <w:rsid w:val="00C21CA0"/>
    <w:rsid w:val="00C21E61"/>
    <w:rsid w:val="00C21F94"/>
    <w:rsid w:val="00C224BD"/>
    <w:rsid w:val="00C224DF"/>
    <w:rsid w:val="00C22546"/>
    <w:rsid w:val="00C2272B"/>
    <w:rsid w:val="00C234DB"/>
    <w:rsid w:val="00C23B82"/>
    <w:rsid w:val="00C23C5C"/>
    <w:rsid w:val="00C2479A"/>
    <w:rsid w:val="00C24903"/>
    <w:rsid w:val="00C2590D"/>
    <w:rsid w:val="00C25D9C"/>
    <w:rsid w:val="00C27913"/>
    <w:rsid w:val="00C27FA7"/>
    <w:rsid w:val="00C300E2"/>
    <w:rsid w:val="00C311B0"/>
    <w:rsid w:val="00C3186E"/>
    <w:rsid w:val="00C31F21"/>
    <w:rsid w:val="00C32290"/>
    <w:rsid w:val="00C32631"/>
    <w:rsid w:val="00C32805"/>
    <w:rsid w:val="00C32DF9"/>
    <w:rsid w:val="00C33301"/>
    <w:rsid w:val="00C33311"/>
    <w:rsid w:val="00C33AA6"/>
    <w:rsid w:val="00C33B68"/>
    <w:rsid w:val="00C34AD4"/>
    <w:rsid w:val="00C35570"/>
    <w:rsid w:val="00C35A2A"/>
    <w:rsid w:val="00C36A79"/>
    <w:rsid w:val="00C375DE"/>
    <w:rsid w:val="00C401A9"/>
    <w:rsid w:val="00C401D2"/>
    <w:rsid w:val="00C4031A"/>
    <w:rsid w:val="00C405D4"/>
    <w:rsid w:val="00C40AFD"/>
    <w:rsid w:val="00C419D5"/>
    <w:rsid w:val="00C41D54"/>
    <w:rsid w:val="00C41FC7"/>
    <w:rsid w:val="00C42EBB"/>
    <w:rsid w:val="00C435E8"/>
    <w:rsid w:val="00C44277"/>
    <w:rsid w:val="00C44806"/>
    <w:rsid w:val="00C4513B"/>
    <w:rsid w:val="00C45CAD"/>
    <w:rsid w:val="00C46654"/>
    <w:rsid w:val="00C466EF"/>
    <w:rsid w:val="00C4729B"/>
    <w:rsid w:val="00C475E8"/>
    <w:rsid w:val="00C47996"/>
    <w:rsid w:val="00C50101"/>
    <w:rsid w:val="00C50E79"/>
    <w:rsid w:val="00C5197D"/>
    <w:rsid w:val="00C525FB"/>
    <w:rsid w:val="00C5390B"/>
    <w:rsid w:val="00C53A9B"/>
    <w:rsid w:val="00C53CDD"/>
    <w:rsid w:val="00C54257"/>
    <w:rsid w:val="00C54697"/>
    <w:rsid w:val="00C550CE"/>
    <w:rsid w:val="00C55249"/>
    <w:rsid w:val="00C553A5"/>
    <w:rsid w:val="00C55402"/>
    <w:rsid w:val="00C5603B"/>
    <w:rsid w:val="00C57023"/>
    <w:rsid w:val="00C60973"/>
    <w:rsid w:val="00C60AE3"/>
    <w:rsid w:val="00C60FA1"/>
    <w:rsid w:val="00C61F47"/>
    <w:rsid w:val="00C62828"/>
    <w:rsid w:val="00C63340"/>
    <w:rsid w:val="00C6337A"/>
    <w:rsid w:val="00C63B2C"/>
    <w:rsid w:val="00C644F0"/>
    <w:rsid w:val="00C655DA"/>
    <w:rsid w:val="00C65A5C"/>
    <w:rsid w:val="00C65C81"/>
    <w:rsid w:val="00C66509"/>
    <w:rsid w:val="00C66D4C"/>
    <w:rsid w:val="00C672C1"/>
    <w:rsid w:val="00C67908"/>
    <w:rsid w:val="00C67B10"/>
    <w:rsid w:val="00C7053D"/>
    <w:rsid w:val="00C706D2"/>
    <w:rsid w:val="00C71060"/>
    <w:rsid w:val="00C715CC"/>
    <w:rsid w:val="00C719A3"/>
    <w:rsid w:val="00C71D2F"/>
    <w:rsid w:val="00C72984"/>
    <w:rsid w:val="00C72D93"/>
    <w:rsid w:val="00C73885"/>
    <w:rsid w:val="00C73C93"/>
    <w:rsid w:val="00C7435A"/>
    <w:rsid w:val="00C747B1"/>
    <w:rsid w:val="00C7520F"/>
    <w:rsid w:val="00C75510"/>
    <w:rsid w:val="00C755F9"/>
    <w:rsid w:val="00C75752"/>
    <w:rsid w:val="00C75B60"/>
    <w:rsid w:val="00C75F8E"/>
    <w:rsid w:val="00C761EC"/>
    <w:rsid w:val="00C770C9"/>
    <w:rsid w:val="00C800C9"/>
    <w:rsid w:val="00C8019E"/>
    <w:rsid w:val="00C81070"/>
    <w:rsid w:val="00C8174E"/>
    <w:rsid w:val="00C81D8E"/>
    <w:rsid w:val="00C82191"/>
    <w:rsid w:val="00C829C2"/>
    <w:rsid w:val="00C82A0C"/>
    <w:rsid w:val="00C83134"/>
    <w:rsid w:val="00C831E7"/>
    <w:rsid w:val="00C832F3"/>
    <w:rsid w:val="00C84307"/>
    <w:rsid w:val="00C845A4"/>
    <w:rsid w:val="00C847BB"/>
    <w:rsid w:val="00C85219"/>
    <w:rsid w:val="00C85545"/>
    <w:rsid w:val="00C855B5"/>
    <w:rsid w:val="00C85BEC"/>
    <w:rsid w:val="00C85F0E"/>
    <w:rsid w:val="00C866FE"/>
    <w:rsid w:val="00C867F9"/>
    <w:rsid w:val="00C872AA"/>
    <w:rsid w:val="00C87C6B"/>
    <w:rsid w:val="00C87EB8"/>
    <w:rsid w:val="00C90357"/>
    <w:rsid w:val="00C90627"/>
    <w:rsid w:val="00C90CF4"/>
    <w:rsid w:val="00C91103"/>
    <w:rsid w:val="00C91C20"/>
    <w:rsid w:val="00C922DE"/>
    <w:rsid w:val="00C92843"/>
    <w:rsid w:val="00C92EB6"/>
    <w:rsid w:val="00C93019"/>
    <w:rsid w:val="00C93389"/>
    <w:rsid w:val="00C93938"/>
    <w:rsid w:val="00C94743"/>
    <w:rsid w:val="00C948E6"/>
    <w:rsid w:val="00C94CDD"/>
    <w:rsid w:val="00C95123"/>
    <w:rsid w:val="00C96C96"/>
    <w:rsid w:val="00C9714C"/>
    <w:rsid w:val="00C9735A"/>
    <w:rsid w:val="00C97588"/>
    <w:rsid w:val="00C97D83"/>
    <w:rsid w:val="00CA0346"/>
    <w:rsid w:val="00CA0BD5"/>
    <w:rsid w:val="00CA0DA1"/>
    <w:rsid w:val="00CA0F40"/>
    <w:rsid w:val="00CA1293"/>
    <w:rsid w:val="00CA1BD6"/>
    <w:rsid w:val="00CA2B32"/>
    <w:rsid w:val="00CA37FF"/>
    <w:rsid w:val="00CA3B9C"/>
    <w:rsid w:val="00CA423A"/>
    <w:rsid w:val="00CA4441"/>
    <w:rsid w:val="00CA47BC"/>
    <w:rsid w:val="00CA4FA7"/>
    <w:rsid w:val="00CA5EAD"/>
    <w:rsid w:val="00CA6AB4"/>
    <w:rsid w:val="00CA7255"/>
    <w:rsid w:val="00CA79E2"/>
    <w:rsid w:val="00CB043F"/>
    <w:rsid w:val="00CB111E"/>
    <w:rsid w:val="00CB1BEE"/>
    <w:rsid w:val="00CB2351"/>
    <w:rsid w:val="00CB2AB0"/>
    <w:rsid w:val="00CB3CEC"/>
    <w:rsid w:val="00CB4022"/>
    <w:rsid w:val="00CB42C0"/>
    <w:rsid w:val="00CB4930"/>
    <w:rsid w:val="00CB4BA9"/>
    <w:rsid w:val="00CB4C48"/>
    <w:rsid w:val="00CB4C63"/>
    <w:rsid w:val="00CB5371"/>
    <w:rsid w:val="00CB5565"/>
    <w:rsid w:val="00CB5A48"/>
    <w:rsid w:val="00CB5E10"/>
    <w:rsid w:val="00CB613B"/>
    <w:rsid w:val="00CB6152"/>
    <w:rsid w:val="00CB64E1"/>
    <w:rsid w:val="00CB6C6F"/>
    <w:rsid w:val="00CB6E4D"/>
    <w:rsid w:val="00CC009B"/>
    <w:rsid w:val="00CC0834"/>
    <w:rsid w:val="00CC0894"/>
    <w:rsid w:val="00CC0AEA"/>
    <w:rsid w:val="00CC0F7D"/>
    <w:rsid w:val="00CC157C"/>
    <w:rsid w:val="00CC20FE"/>
    <w:rsid w:val="00CC225C"/>
    <w:rsid w:val="00CC2AF6"/>
    <w:rsid w:val="00CC2E7D"/>
    <w:rsid w:val="00CC3A0C"/>
    <w:rsid w:val="00CC469E"/>
    <w:rsid w:val="00CC5BE8"/>
    <w:rsid w:val="00CC612B"/>
    <w:rsid w:val="00CC655F"/>
    <w:rsid w:val="00CC66F0"/>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6DE1"/>
    <w:rsid w:val="00CD7E9E"/>
    <w:rsid w:val="00CE14BE"/>
    <w:rsid w:val="00CE17A4"/>
    <w:rsid w:val="00CE1BA9"/>
    <w:rsid w:val="00CE1BE3"/>
    <w:rsid w:val="00CE245A"/>
    <w:rsid w:val="00CE2A11"/>
    <w:rsid w:val="00CE2D8F"/>
    <w:rsid w:val="00CE33B1"/>
    <w:rsid w:val="00CE3532"/>
    <w:rsid w:val="00CE3E48"/>
    <w:rsid w:val="00CE46C0"/>
    <w:rsid w:val="00CE47B8"/>
    <w:rsid w:val="00CE4A31"/>
    <w:rsid w:val="00CE4A7A"/>
    <w:rsid w:val="00CE54FD"/>
    <w:rsid w:val="00CE5C92"/>
    <w:rsid w:val="00CE5CC2"/>
    <w:rsid w:val="00CE5E12"/>
    <w:rsid w:val="00CE62FA"/>
    <w:rsid w:val="00CE670B"/>
    <w:rsid w:val="00CE6833"/>
    <w:rsid w:val="00CE7562"/>
    <w:rsid w:val="00CE7D0B"/>
    <w:rsid w:val="00CF020B"/>
    <w:rsid w:val="00CF04DC"/>
    <w:rsid w:val="00CF05F4"/>
    <w:rsid w:val="00CF082E"/>
    <w:rsid w:val="00CF0F7D"/>
    <w:rsid w:val="00CF0FA0"/>
    <w:rsid w:val="00CF15BF"/>
    <w:rsid w:val="00CF2E4D"/>
    <w:rsid w:val="00CF35A7"/>
    <w:rsid w:val="00CF4205"/>
    <w:rsid w:val="00CF42CB"/>
    <w:rsid w:val="00CF4908"/>
    <w:rsid w:val="00CF494A"/>
    <w:rsid w:val="00CF5078"/>
    <w:rsid w:val="00CF51EC"/>
    <w:rsid w:val="00CF545D"/>
    <w:rsid w:val="00CF5873"/>
    <w:rsid w:val="00CF6A39"/>
    <w:rsid w:val="00CF6AB7"/>
    <w:rsid w:val="00CF6E02"/>
    <w:rsid w:val="00CF73AE"/>
    <w:rsid w:val="00CF7777"/>
    <w:rsid w:val="00D001BE"/>
    <w:rsid w:val="00D004F1"/>
    <w:rsid w:val="00D0085A"/>
    <w:rsid w:val="00D00D23"/>
    <w:rsid w:val="00D016AE"/>
    <w:rsid w:val="00D0197F"/>
    <w:rsid w:val="00D01A83"/>
    <w:rsid w:val="00D01B31"/>
    <w:rsid w:val="00D0242D"/>
    <w:rsid w:val="00D02716"/>
    <w:rsid w:val="00D027C4"/>
    <w:rsid w:val="00D03207"/>
    <w:rsid w:val="00D036E3"/>
    <w:rsid w:val="00D03A72"/>
    <w:rsid w:val="00D03B6B"/>
    <w:rsid w:val="00D04076"/>
    <w:rsid w:val="00D040DD"/>
    <w:rsid w:val="00D04134"/>
    <w:rsid w:val="00D052A7"/>
    <w:rsid w:val="00D0538E"/>
    <w:rsid w:val="00D05C65"/>
    <w:rsid w:val="00D05F36"/>
    <w:rsid w:val="00D0676F"/>
    <w:rsid w:val="00D06A26"/>
    <w:rsid w:val="00D06B56"/>
    <w:rsid w:val="00D06CA2"/>
    <w:rsid w:val="00D06D68"/>
    <w:rsid w:val="00D06F7A"/>
    <w:rsid w:val="00D075BE"/>
    <w:rsid w:val="00D07AFF"/>
    <w:rsid w:val="00D10566"/>
    <w:rsid w:val="00D10C15"/>
    <w:rsid w:val="00D11011"/>
    <w:rsid w:val="00D11476"/>
    <w:rsid w:val="00D1271C"/>
    <w:rsid w:val="00D12C25"/>
    <w:rsid w:val="00D130FB"/>
    <w:rsid w:val="00D133B4"/>
    <w:rsid w:val="00D133FF"/>
    <w:rsid w:val="00D13704"/>
    <w:rsid w:val="00D13986"/>
    <w:rsid w:val="00D13F3E"/>
    <w:rsid w:val="00D14C5B"/>
    <w:rsid w:val="00D152B6"/>
    <w:rsid w:val="00D158DA"/>
    <w:rsid w:val="00D15D3A"/>
    <w:rsid w:val="00D15FED"/>
    <w:rsid w:val="00D1605A"/>
    <w:rsid w:val="00D160FB"/>
    <w:rsid w:val="00D16712"/>
    <w:rsid w:val="00D169F6"/>
    <w:rsid w:val="00D174E0"/>
    <w:rsid w:val="00D174FD"/>
    <w:rsid w:val="00D17F29"/>
    <w:rsid w:val="00D214EF"/>
    <w:rsid w:val="00D215B0"/>
    <w:rsid w:val="00D21B36"/>
    <w:rsid w:val="00D21D6D"/>
    <w:rsid w:val="00D21D83"/>
    <w:rsid w:val="00D21F29"/>
    <w:rsid w:val="00D22437"/>
    <w:rsid w:val="00D22A47"/>
    <w:rsid w:val="00D232ED"/>
    <w:rsid w:val="00D235B7"/>
    <w:rsid w:val="00D2371B"/>
    <w:rsid w:val="00D23A99"/>
    <w:rsid w:val="00D23FAE"/>
    <w:rsid w:val="00D25F28"/>
    <w:rsid w:val="00D26071"/>
    <w:rsid w:val="00D260C7"/>
    <w:rsid w:val="00D2641A"/>
    <w:rsid w:val="00D269B9"/>
    <w:rsid w:val="00D27384"/>
    <w:rsid w:val="00D27973"/>
    <w:rsid w:val="00D27F3A"/>
    <w:rsid w:val="00D31537"/>
    <w:rsid w:val="00D31E1E"/>
    <w:rsid w:val="00D322A0"/>
    <w:rsid w:val="00D32824"/>
    <w:rsid w:val="00D328E1"/>
    <w:rsid w:val="00D334E2"/>
    <w:rsid w:val="00D33950"/>
    <w:rsid w:val="00D34078"/>
    <w:rsid w:val="00D350B1"/>
    <w:rsid w:val="00D35AD6"/>
    <w:rsid w:val="00D35BBB"/>
    <w:rsid w:val="00D35E1A"/>
    <w:rsid w:val="00D364E1"/>
    <w:rsid w:val="00D36B0A"/>
    <w:rsid w:val="00D36DFB"/>
    <w:rsid w:val="00D36E1C"/>
    <w:rsid w:val="00D373AF"/>
    <w:rsid w:val="00D40556"/>
    <w:rsid w:val="00D4115C"/>
    <w:rsid w:val="00D41F74"/>
    <w:rsid w:val="00D4223D"/>
    <w:rsid w:val="00D428C8"/>
    <w:rsid w:val="00D43034"/>
    <w:rsid w:val="00D43ED2"/>
    <w:rsid w:val="00D45D2C"/>
    <w:rsid w:val="00D45D7F"/>
    <w:rsid w:val="00D46076"/>
    <w:rsid w:val="00D4768F"/>
    <w:rsid w:val="00D50BC3"/>
    <w:rsid w:val="00D50F46"/>
    <w:rsid w:val="00D51BF9"/>
    <w:rsid w:val="00D5302A"/>
    <w:rsid w:val="00D533AD"/>
    <w:rsid w:val="00D533C4"/>
    <w:rsid w:val="00D5384E"/>
    <w:rsid w:val="00D53AD9"/>
    <w:rsid w:val="00D544E7"/>
    <w:rsid w:val="00D5499F"/>
    <w:rsid w:val="00D5560A"/>
    <w:rsid w:val="00D56FBF"/>
    <w:rsid w:val="00D57677"/>
    <w:rsid w:val="00D5781F"/>
    <w:rsid w:val="00D57ABE"/>
    <w:rsid w:val="00D57AF9"/>
    <w:rsid w:val="00D60415"/>
    <w:rsid w:val="00D60DAE"/>
    <w:rsid w:val="00D60E3C"/>
    <w:rsid w:val="00D60EAE"/>
    <w:rsid w:val="00D60FA7"/>
    <w:rsid w:val="00D60FF1"/>
    <w:rsid w:val="00D61FAB"/>
    <w:rsid w:val="00D62C4E"/>
    <w:rsid w:val="00D63BE5"/>
    <w:rsid w:val="00D6475F"/>
    <w:rsid w:val="00D64B85"/>
    <w:rsid w:val="00D650C4"/>
    <w:rsid w:val="00D655D4"/>
    <w:rsid w:val="00D658A7"/>
    <w:rsid w:val="00D66060"/>
    <w:rsid w:val="00D66223"/>
    <w:rsid w:val="00D667B8"/>
    <w:rsid w:val="00D66981"/>
    <w:rsid w:val="00D67D55"/>
    <w:rsid w:val="00D70117"/>
    <w:rsid w:val="00D70289"/>
    <w:rsid w:val="00D7041F"/>
    <w:rsid w:val="00D70822"/>
    <w:rsid w:val="00D70A33"/>
    <w:rsid w:val="00D717A1"/>
    <w:rsid w:val="00D72076"/>
    <w:rsid w:val="00D721B4"/>
    <w:rsid w:val="00D726A9"/>
    <w:rsid w:val="00D72DBA"/>
    <w:rsid w:val="00D7329C"/>
    <w:rsid w:val="00D743E0"/>
    <w:rsid w:val="00D7469D"/>
    <w:rsid w:val="00D7490C"/>
    <w:rsid w:val="00D75AC1"/>
    <w:rsid w:val="00D76698"/>
    <w:rsid w:val="00D76E4A"/>
    <w:rsid w:val="00D77252"/>
    <w:rsid w:val="00D772A5"/>
    <w:rsid w:val="00D777AC"/>
    <w:rsid w:val="00D778EB"/>
    <w:rsid w:val="00D804C7"/>
    <w:rsid w:val="00D8084C"/>
    <w:rsid w:val="00D81578"/>
    <w:rsid w:val="00D81809"/>
    <w:rsid w:val="00D82EF1"/>
    <w:rsid w:val="00D83277"/>
    <w:rsid w:val="00D832FA"/>
    <w:rsid w:val="00D840AF"/>
    <w:rsid w:val="00D84CC9"/>
    <w:rsid w:val="00D84F43"/>
    <w:rsid w:val="00D85114"/>
    <w:rsid w:val="00D855D5"/>
    <w:rsid w:val="00D85668"/>
    <w:rsid w:val="00D85821"/>
    <w:rsid w:val="00D8598C"/>
    <w:rsid w:val="00D85CC3"/>
    <w:rsid w:val="00D86B80"/>
    <w:rsid w:val="00D87C06"/>
    <w:rsid w:val="00D915EA"/>
    <w:rsid w:val="00D919ED"/>
    <w:rsid w:val="00D91B90"/>
    <w:rsid w:val="00D922A1"/>
    <w:rsid w:val="00D928BE"/>
    <w:rsid w:val="00D932B8"/>
    <w:rsid w:val="00D932F0"/>
    <w:rsid w:val="00D937A0"/>
    <w:rsid w:val="00D95104"/>
    <w:rsid w:val="00D95140"/>
    <w:rsid w:val="00D95302"/>
    <w:rsid w:val="00D95889"/>
    <w:rsid w:val="00D95C5D"/>
    <w:rsid w:val="00D95CBE"/>
    <w:rsid w:val="00D95E7F"/>
    <w:rsid w:val="00D97D00"/>
    <w:rsid w:val="00DA0255"/>
    <w:rsid w:val="00DA0359"/>
    <w:rsid w:val="00DA096C"/>
    <w:rsid w:val="00DA1AB6"/>
    <w:rsid w:val="00DA2080"/>
    <w:rsid w:val="00DA213D"/>
    <w:rsid w:val="00DA23DE"/>
    <w:rsid w:val="00DA2E21"/>
    <w:rsid w:val="00DA2E65"/>
    <w:rsid w:val="00DA37CA"/>
    <w:rsid w:val="00DA37DE"/>
    <w:rsid w:val="00DA3ADF"/>
    <w:rsid w:val="00DA3F34"/>
    <w:rsid w:val="00DA4174"/>
    <w:rsid w:val="00DA5378"/>
    <w:rsid w:val="00DA544C"/>
    <w:rsid w:val="00DA5F8E"/>
    <w:rsid w:val="00DA6364"/>
    <w:rsid w:val="00DA7114"/>
    <w:rsid w:val="00DA7C0C"/>
    <w:rsid w:val="00DA7E2F"/>
    <w:rsid w:val="00DB03DD"/>
    <w:rsid w:val="00DB04B2"/>
    <w:rsid w:val="00DB08A9"/>
    <w:rsid w:val="00DB0B33"/>
    <w:rsid w:val="00DB0D79"/>
    <w:rsid w:val="00DB0FD9"/>
    <w:rsid w:val="00DB13EF"/>
    <w:rsid w:val="00DB1DF4"/>
    <w:rsid w:val="00DB2DFA"/>
    <w:rsid w:val="00DB2EC8"/>
    <w:rsid w:val="00DB321D"/>
    <w:rsid w:val="00DB3FD0"/>
    <w:rsid w:val="00DB459B"/>
    <w:rsid w:val="00DB47FD"/>
    <w:rsid w:val="00DB4F13"/>
    <w:rsid w:val="00DB51B9"/>
    <w:rsid w:val="00DB5403"/>
    <w:rsid w:val="00DB5E3A"/>
    <w:rsid w:val="00DB5E9A"/>
    <w:rsid w:val="00DB613B"/>
    <w:rsid w:val="00DB61EE"/>
    <w:rsid w:val="00DB657E"/>
    <w:rsid w:val="00DB7342"/>
    <w:rsid w:val="00DB7489"/>
    <w:rsid w:val="00DC0B4D"/>
    <w:rsid w:val="00DC0CBB"/>
    <w:rsid w:val="00DC120D"/>
    <w:rsid w:val="00DC17D0"/>
    <w:rsid w:val="00DC1E5D"/>
    <w:rsid w:val="00DC1ED4"/>
    <w:rsid w:val="00DC2B41"/>
    <w:rsid w:val="00DC2EA7"/>
    <w:rsid w:val="00DC3128"/>
    <w:rsid w:val="00DC37DD"/>
    <w:rsid w:val="00DC3B47"/>
    <w:rsid w:val="00DC435B"/>
    <w:rsid w:val="00DC4AC4"/>
    <w:rsid w:val="00DC53D8"/>
    <w:rsid w:val="00DC56FE"/>
    <w:rsid w:val="00DC5B3B"/>
    <w:rsid w:val="00DC5F11"/>
    <w:rsid w:val="00DC6C2D"/>
    <w:rsid w:val="00DC77CB"/>
    <w:rsid w:val="00DC7A19"/>
    <w:rsid w:val="00DC7B1A"/>
    <w:rsid w:val="00DC7EB8"/>
    <w:rsid w:val="00DD04B0"/>
    <w:rsid w:val="00DD0E32"/>
    <w:rsid w:val="00DD129F"/>
    <w:rsid w:val="00DD13FC"/>
    <w:rsid w:val="00DD1A3F"/>
    <w:rsid w:val="00DD253D"/>
    <w:rsid w:val="00DD29B5"/>
    <w:rsid w:val="00DD3096"/>
    <w:rsid w:val="00DD32DD"/>
    <w:rsid w:val="00DD33E8"/>
    <w:rsid w:val="00DD5287"/>
    <w:rsid w:val="00DD56D4"/>
    <w:rsid w:val="00DD5B36"/>
    <w:rsid w:val="00DD6003"/>
    <w:rsid w:val="00DD7849"/>
    <w:rsid w:val="00DE03DE"/>
    <w:rsid w:val="00DE0D8B"/>
    <w:rsid w:val="00DE1237"/>
    <w:rsid w:val="00DE140F"/>
    <w:rsid w:val="00DE17E9"/>
    <w:rsid w:val="00DE1B2A"/>
    <w:rsid w:val="00DE2491"/>
    <w:rsid w:val="00DE273F"/>
    <w:rsid w:val="00DE2C79"/>
    <w:rsid w:val="00DE3503"/>
    <w:rsid w:val="00DE3E22"/>
    <w:rsid w:val="00DE3E5D"/>
    <w:rsid w:val="00DE450F"/>
    <w:rsid w:val="00DE4865"/>
    <w:rsid w:val="00DE503E"/>
    <w:rsid w:val="00DE5CA6"/>
    <w:rsid w:val="00DE5E55"/>
    <w:rsid w:val="00DE60BC"/>
    <w:rsid w:val="00DE63AE"/>
    <w:rsid w:val="00DE7156"/>
    <w:rsid w:val="00DE7AC8"/>
    <w:rsid w:val="00DF0830"/>
    <w:rsid w:val="00DF0852"/>
    <w:rsid w:val="00DF0DA6"/>
    <w:rsid w:val="00DF1877"/>
    <w:rsid w:val="00DF2C5D"/>
    <w:rsid w:val="00DF2CD3"/>
    <w:rsid w:val="00DF3643"/>
    <w:rsid w:val="00DF42FF"/>
    <w:rsid w:val="00DF4369"/>
    <w:rsid w:val="00DF4423"/>
    <w:rsid w:val="00DF4ADF"/>
    <w:rsid w:val="00DF57D6"/>
    <w:rsid w:val="00DF5D1E"/>
    <w:rsid w:val="00DF77E4"/>
    <w:rsid w:val="00DF7F88"/>
    <w:rsid w:val="00E00B88"/>
    <w:rsid w:val="00E01C0E"/>
    <w:rsid w:val="00E02071"/>
    <w:rsid w:val="00E0368F"/>
    <w:rsid w:val="00E03D73"/>
    <w:rsid w:val="00E03F9A"/>
    <w:rsid w:val="00E040DA"/>
    <w:rsid w:val="00E04485"/>
    <w:rsid w:val="00E04694"/>
    <w:rsid w:val="00E04AEF"/>
    <w:rsid w:val="00E04F23"/>
    <w:rsid w:val="00E05333"/>
    <w:rsid w:val="00E06251"/>
    <w:rsid w:val="00E062CF"/>
    <w:rsid w:val="00E07392"/>
    <w:rsid w:val="00E0768A"/>
    <w:rsid w:val="00E07C03"/>
    <w:rsid w:val="00E1085C"/>
    <w:rsid w:val="00E11480"/>
    <w:rsid w:val="00E1168B"/>
    <w:rsid w:val="00E12191"/>
    <w:rsid w:val="00E129E7"/>
    <w:rsid w:val="00E12ABE"/>
    <w:rsid w:val="00E12B1E"/>
    <w:rsid w:val="00E12C42"/>
    <w:rsid w:val="00E135EB"/>
    <w:rsid w:val="00E13995"/>
    <w:rsid w:val="00E14119"/>
    <w:rsid w:val="00E1444C"/>
    <w:rsid w:val="00E14469"/>
    <w:rsid w:val="00E1492B"/>
    <w:rsid w:val="00E14D05"/>
    <w:rsid w:val="00E156A3"/>
    <w:rsid w:val="00E15FA8"/>
    <w:rsid w:val="00E17262"/>
    <w:rsid w:val="00E17F36"/>
    <w:rsid w:val="00E20016"/>
    <w:rsid w:val="00E2009B"/>
    <w:rsid w:val="00E20BB9"/>
    <w:rsid w:val="00E20BCC"/>
    <w:rsid w:val="00E21DDD"/>
    <w:rsid w:val="00E2251C"/>
    <w:rsid w:val="00E2291F"/>
    <w:rsid w:val="00E23388"/>
    <w:rsid w:val="00E2363D"/>
    <w:rsid w:val="00E23C6A"/>
    <w:rsid w:val="00E2484B"/>
    <w:rsid w:val="00E253A2"/>
    <w:rsid w:val="00E260F6"/>
    <w:rsid w:val="00E26122"/>
    <w:rsid w:val="00E26903"/>
    <w:rsid w:val="00E27127"/>
    <w:rsid w:val="00E27233"/>
    <w:rsid w:val="00E274BB"/>
    <w:rsid w:val="00E30B71"/>
    <w:rsid w:val="00E30F15"/>
    <w:rsid w:val="00E31771"/>
    <w:rsid w:val="00E3186D"/>
    <w:rsid w:val="00E31A3E"/>
    <w:rsid w:val="00E32080"/>
    <w:rsid w:val="00E32778"/>
    <w:rsid w:val="00E3309D"/>
    <w:rsid w:val="00E346F4"/>
    <w:rsid w:val="00E34E3F"/>
    <w:rsid w:val="00E350B1"/>
    <w:rsid w:val="00E35339"/>
    <w:rsid w:val="00E353D7"/>
    <w:rsid w:val="00E35A53"/>
    <w:rsid w:val="00E3634A"/>
    <w:rsid w:val="00E3656B"/>
    <w:rsid w:val="00E3712B"/>
    <w:rsid w:val="00E3724A"/>
    <w:rsid w:val="00E378B1"/>
    <w:rsid w:val="00E37C1C"/>
    <w:rsid w:val="00E41131"/>
    <w:rsid w:val="00E41179"/>
    <w:rsid w:val="00E41463"/>
    <w:rsid w:val="00E417BE"/>
    <w:rsid w:val="00E41CD5"/>
    <w:rsid w:val="00E42054"/>
    <w:rsid w:val="00E4273C"/>
    <w:rsid w:val="00E4328C"/>
    <w:rsid w:val="00E4372D"/>
    <w:rsid w:val="00E43889"/>
    <w:rsid w:val="00E43A9E"/>
    <w:rsid w:val="00E44243"/>
    <w:rsid w:val="00E449A8"/>
    <w:rsid w:val="00E453F9"/>
    <w:rsid w:val="00E45D7D"/>
    <w:rsid w:val="00E4623F"/>
    <w:rsid w:val="00E465A0"/>
    <w:rsid w:val="00E4665D"/>
    <w:rsid w:val="00E47854"/>
    <w:rsid w:val="00E478E2"/>
    <w:rsid w:val="00E47EBA"/>
    <w:rsid w:val="00E50156"/>
    <w:rsid w:val="00E504EB"/>
    <w:rsid w:val="00E5076C"/>
    <w:rsid w:val="00E50D2E"/>
    <w:rsid w:val="00E50D7D"/>
    <w:rsid w:val="00E513B4"/>
    <w:rsid w:val="00E51D3C"/>
    <w:rsid w:val="00E51EF0"/>
    <w:rsid w:val="00E53470"/>
    <w:rsid w:val="00E5368D"/>
    <w:rsid w:val="00E539F6"/>
    <w:rsid w:val="00E53B5C"/>
    <w:rsid w:val="00E54698"/>
    <w:rsid w:val="00E54BE9"/>
    <w:rsid w:val="00E54FB4"/>
    <w:rsid w:val="00E5539A"/>
    <w:rsid w:val="00E55791"/>
    <w:rsid w:val="00E55E1A"/>
    <w:rsid w:val="00E578A2"/>
    <w:rsid w:val="00E579ED"/>
    <w:rsid w:val="00E60043"/>
    <w:rsid w:val="00E6105A"/>
    <w:rsid w:val="00E61740"/>
    <w:rsid w:val="00E61EB5"/>
    <w:rsid w:val="00E62429"/>
    <w:rsid w:val="00E6324D"/>
    <w:rsid w:val="00E63AC6"/>
    <w:rsid w:val="00E64782"/>
    <w:rsid w:val="00E647C1"/>
    <w:rsid w:val="00E64D6C"/>
    <w:rsid w:val="00E65084"/>
    <w:rsid w:val="00E6519D"/>
    <w:rsid w:val="00E66062"/>
    <w:rsid w:val="00E6660E"/>
    <w:rsid w:val="00E666EA"/>
    <w:rsid w:val="00E66768"/>
    <w:rsid w:val="00E67305"/>
    <w:rsid w:val="00E673E4"/>
    <w:rsid w:val="00E67696"/>
    <w:rsid w:val="00E67DEF"/>
    <w:rsid w:val="00E7027F"/>
    <w:rsid w:val="00E705A5"/>
    <w:rsid w:val="00E709AF"/>
    <w:rsid w:val="00E70C5F"/>
    <w:rsid w:val="00E71A58"/>
    <w:rsid w:val="00E71ECD"/>
    <w:rsid w:val="00E72774"/>
    <w:rsid w:val="00E72792"/>
    <w:rsid w:val="00E728D7"/>
    <w:rsid w:val="00E72A26"/>
    <w:rsid w:val="00E72A7A"/>
    <w:rsid w:val="00E7335A"/>
    <w:rsid w:val="00E73986"/>
    <w:rsid w:val="00E74234"/>
    <w:rsid w:val="00E7467D"/>
    <w:rsid w:val="00E747DC"/>
    <w:rsid w:val="00E74A2D"/>
    <w:rsid w:val="00E75B3A"/>
    <w:rsid w:val="00E75C94"/>
    <w:rsid w:val="00E76A08"/>
    <w:rsid w:val="00E76B9B"/>
    <w:rsid w:val="00E76BA9"/>
    <w:rsid w:val="00E76C70"/>
    <w:rsid w:val="00E76E61"/>
    <w:rsid w:val="00E76EE4"/>
    <w:rsid w:val="00E77CC0"/>
    <w:rsid w:val="00E801B0"/>
    <w:rsid w:val="00E80B3D"/>
    <w:rsid w:val="00E80CA3"/>
    <w:rsid w:val="00E81504"/>
    <w:rsid w:val="00E81AAA"/>
    <w:rsid w:val="00E82618"/>
    <w:rsid w:val="00E82A42"/>
    <w:rsid w:val="00E82B16"/>
    <w:rsid w:val="00E83D8D"/>
    <w:rsid w:val="00E84E09"/>
    <w:rsid w:val="00E859E5"/>
    <w:rsid w:val="00E874B1"/>
    <w:rsid w:val="00E87811"/>
    <w:rsid w:val="00E87CE2"/>
    <w:rsid w:val="00E87D5B"/>
    <w:rsid w:val="00E90CA8"/>
    <w:rsid w:val="00E911C6"/>
    <w:rsid w:val="00E917A5"/>
    <w:rsid w:val="00E920DE"/>
    <w:rsid w:val="00E930A1"/>
    <w:rsid w:val="00E93820"/>
    <w:rsid w:val="00E93E65"/>
    <w:rsid w:val="00E94A86"/>
    <w:rsid w:val="00E951AB"/>
    <w:rsid w:val="00E953F6"/>
    <w:rsid w:val="00E95DAB"/>
    <w:rsid w:val="00E96018"/>
    <w:rsid w:val="00E96143"/>
    <w:rsid w:val="00E96833"/>
    <w:rsid w:val="00E973D3"/>
    <w:rsid w:val="00E97506"/>
    <w:rsid w:val="00E977B0"/>
    <w:rsid w:val="00E97BB5"/>
    <w:rsid w:val="00E97D5B"/>
    <w:rsid w:val="00E97F14"/>
    <w:rsid w:val="00EA04C3"/>
    <w:rsid w:val="00EA0C68"/>
    <w:rsid w:val="00EA0E39"/>
    <w:rsid w:val="00EA1D0E"/>
    <w:rsid w:val="00EA1DAD"/>
    <w:rsid w:val="00EA2072"/>
    <w:rsid w:val="00EA2841"/>
    <w:rsid w:val="00EA32BC"/>
    <w:rsid w:val="00EA35A7"/>
    <w:rsid w:val="00EA3B32"/>
    <w:rsid w:val="00EA3CEB"/>
    <w:rsid w:val="00EA3D05"/>
    <w:rsid w:val="00EA4222"/>
    <w:rsid w:val="00EA4402"/>
    <w:rsid w:val="00EA4B8D"/>
    <w:rsid w:val="00EA4F0E"/>
    <w:rsid w:val="00EA513E"/>
    <w:rsid w:val="00EA60E9"/>
    <w:rsid w:val="00EA658A"/>
    <w:rsid w:val="00EA7419"/>
    <w:rsid w:val="00EA7CD5"/>
    <w:rsid w:val="00EB070B"/>
    <w:rsid w:val="00EB0E32"/>
    <w:rsid w:val="00EB1CDC"/>
    <w:rsid w:val="00EB1D89"/>
    <w:rsid w:val="00EB3E60"/>
    <w:rsid w:val="00EB4511"/>
    <w:rsid w:val="00EB48D7"/>
    <w:rsid w:val="00EB4994"/>
    <w:rsid w:val="00EB49F1"/>
    <w:rsid w:val="00EB4A8E"/>
    <w:rsid w:val="00EB4BC5"/>
    <w:rsid w:val="00EB599C"/>
    <w:rsid w:val="00EB5BF7"/>
    <w:rsid w:val="00EB5E79"/>
    <w:rsid w:val="00EB620B"/>
    <w:rsid w:val="00EB6DA6"/>
    <w:rsid w:val="00EB6F12"/>
    <w:rsid w:val="00EB6FAC"/>
    <w:rsid w:val="00EB73CA"/>
    <w:rsid w:val="00EB7BAC"/>
    <w:rsid w:val="00EB7CC9"/>
    <w:rsid w:val="00EC03D7"/>
    <w:rsid w:val="00EC0EE6"/>
    <w:rsid w:val="00EC13A7"/>
    <w:rsid w:val="00EC148A"/>
    <w:rsid w:val="00EC1984"/>
    <w:rsid w:val="00EC2177"/>
    <w:rsid w:val="00EC2EB6"/>
    <w:rsid w:val="00EC39F9"/>
    <w:rsid w:val="00EC4FFF"/>
    <w:rsid w:val="00EC51F7"/>
    <w:rsid w:val="00EC53D0"/>
    <w:rsid w:val="00EC5517"/>
    <w:rsid w:val="00EC602A"/>
    <w:rsid w:val="00EC64EC"/>
    <w:rsid w:val="00EC6E8C"/>
    <w:rsid w:val="00EC7386"/>
    <w:rsid w:val="00ED018F"/>
    <w:rsid w:val="00ED05B0"/>
    <w:rsid w:val="00ED0962"/>
    <w:rsid w:val="00ED0EF0"/>
    <w:rsid w:val="00ED0F73"/>
    <w:rsid w:val="00ED12B9"/>
    <w:rsid w:val="00ED15EF"/>
    <w:rsid w:val="00ED16B8"/>
    <w:rsid w:val="00ED1959"/>
    <w:rsid w:val="00ED1A00"/>
    <w:rsid w:val="00ED1CB1"/>
    <w:rsid w:val="00ED1DF0"/>
    <w:rsid w:val="00ED1FB8"/>
    <w:rsid w:val="00ED2386"/>
    <w:rsid w:val="00ED250F"/>
    <w:rsid w:val="00ED2525"/>
    <w:rsid w:val="00ED2EA1"/>
    <w:rsid w:val="00ED3448"/>
    <w:rsid w:val="00ED3851"/>
    <w:rsid w:val="00ED3E51"/>
    <w:rsid w:val="00ED3F10"/>
    <w:rsid w:val="00ED3F9B"/>
    <w:rsid w:val="00ED3FB3"/>
    <w:rsid w:val="00ED4380"/>
    <w:rsid w:val="00ED4D04"/>
    <w:rsid w:val="00ED566D"/>
    <w:rsid w:val="00ED5907"/>
    <w:rsid w:val="00ED5F5B"/>
    <w:rsid w:val="00ED62B7"/>
    <w:rsid w:val="00ED62C6"/>
    <w:rsid w:val="00ED64C1"/>
    <w:rsid w:val="00ED6CDF"/>
    <w:rsid w:val="00ED73B7"/>
    <w:rsid w:val="00ED781F"/>
    <w:rsid w:val="00EE0E7E"/>
    <w:rsid w:val="00EE222F"/>
    <w:rsid w:val="00EE22A5"/>
    <w:rsid w:val="00EE249F"/>
    <w:rsid w:val="00EE2EB4"/>
    <w:rsid w:val="00EE3446"/>
    <w:rsid w:val="00EE3E78"/>
    <w:rsid w:val="00EE41FD"/>
    <w:rsid w:val="00EE460E"/>
    <w:rsid w:val="00EE4B1B"/>
    <w:rsid w:val="00EE5FBA"/>
    <w:rsid w:val="00EE601C"/>
    <w:rsid w:val="00EE66E3"/>
    <w:rsid w:val="00EE6E06"/>
    <w:rsid w:val="00EE7179"/>
    <w:rsid w:val="00EF0C55"/>
    <w:rsid w:val="00EF0D90"/>
    <w:rsid w:val="00EF0DA4"/>
    <w:rsid w:val="00EF150D"/>
    <w:rsid w:val="00EF1F5A"/>
    <w:rsid w:val="00EF23B5"/>
    <w:rsid w:val="00EF2AFA"/>
    <w:rsid w:val="00EF326A"/>
    <w:rsid w:val="00EF3898"/>
    <w:rsid w:val="00EF47BF"/>
    <w:rsid w:val="00EF4D0A"/>
    <w:rsid w:val="00EF52F7"/>
    <w:rsid w:val="00EF59B1"/>
    <w:rsid w:val="00EF5A13"/>
    <w:rsid w:val="00EF5D79"/>
    <w:rsid w:val="00EF5FF9"/>
    <w:rsid w:val="00EF6950"/>
    <w:rsid w:val="00EF6A17"/>
    <w:rsid w:val="00EF75D0"/>
    <w:rsid w:val="00EF77D4"/>
    <w:rsid w:val="00EF7CC7"/>
    <w:rsid w:val="00F00535"/>
    <w:rsid w:val="00F00853"/>
    <w:rsid w:val="00F00866"/>
    <w:rsid w:val="00F0086F"/>
    <w:rsid w:val="00F00EC8"/>
    <w:rsid w:val="00F0160B"/>
    <w:rsid w:val="00F0193E"/>
    <w:rsid w:val="00F03E2F"/>
    <w:rsid w:val="00F03F8D"/>
    <w:rsid w:val="00F044D1"/>
    <w:rsid w:val="00F04811"/>
    <w:rsid w:val="00F04869"/>
    <w:rsid w:val="00F0488C"/>
    <w:rsid w:val="00F04955"/>
    <w:rsid w:val="00F052D2"/>
    <w:rsid w:val="00F0730A"/>
    <w:rsid w:val="00F073ED"/>
    <w:rsid w:val="00F07730"/>
    <w:rsid w:val="00F07C4C"/>
    <w:rsid w:val="00F07E45"/>
    <w:rsid w:val="00F10F11"/>
    <w:rsid w:val="00F11159"/>
    <w:rsid w:val="00F115E4"/>
    <w:rsid w:val="00F11AC4"/>
    <w:rsid w:val="00F120A5"/>
    <w:rsid w:val="00F123DF"/>
    <w:rsid w:val="00F12CFB"/>
    <w:rsid w:val="00F13E60"/>
    <w:rsid w:val="00F13FDB"/>
    <w:rsid w:val="00F15AAA"/>
    <w:rsid w:val="00F15BEF"/>
    <w:rsid w:val="00F17898"/>
    <w:rsid w:val="00F204BF"/>
    <w:rsid w:val="00F205AB"/>
    <w:rsid w:val="00F207C2"/>
    <w:rsid w:val="00F21337"/>
    <w:rsid w:val="00F219A1"/>
    <w:rsid w:val="00F23520"/>
    <w:rsid w:val="00F23E20"/>
    <w:rsid w:val="00F24407"/>
    <w:rsid w:val="00F249CE"/>
    <w:rsid w:val="00F24FAA"/>
    <w:rsid w:val="00F25040"/>
    <w:rsid w:val="00F2507B"/>
    <w:rsid w:val="00F2533E"/>
    <w:rsid w:val="00F25A4E"/>
    <w:rsid w:val="00F26359"/>
    <w:rsid w:val="00F269D7"/>
    <w:rsid w:val="00F27071"/>
    <w:rsid w:val="00F27331"/>
    <w:rsid w:val="00F276D3"/>
    <w:rsid w:val="00F27EE5"/>
    <w:rsid w:val="00F27FB1"/>
    <w:rsid w:val="00F27FD6"/>
    <w:rsid w:val="00F307C3"/>
    <w:rsid w:val="00F307CB"/>
    <w:rsid w:val="00F30C0C"/>
    <w:rsid w:val="00F30C65"/>
    <w:rsid w:val="00F30CA2"/>
    <w:rsid w:val="00F30D46"/>
    <w:rsid w:val="00F321D2"/>
    <w:rsid w:val="00F32649"/>
    <w:rsid w:val="00F33523"/>
    <w:rsid w:val="00F3364D"/>
    <w:rsid w:val="00F33914"/>
    <w:rsid w:val="00F349BF"/>
    <w:rsid w:val="00F34DDC"/>
    <w:rsid w:val="00F36191"/>
    <w:rsid w:val="00F3629F"/>
    <w:rsid w:val="00F363F5"/>
    <w:rsid w:val="00F36DF3"/>
    <w:rsid w:val="00F37362"/>
    <w:rsid w:val="00F37EDC"/>
    <w:rsid w:val="00F416AE"/>
    <w:rsid w:val="00F41C19"/>
    <w:rsid w:val="00F43035"/>
    <w:rsid w:val="00F437CC"/>
    <w:rsid w:val="00F43A77"/>
    <w:rsid w:val="00F43C60"/>
    <w:rsid w:val="00F44537"/>
    <w:rsid w:val="00F44BEE"/>
    <w:rsid w:val="00F45EE4"/>
    <w:rsid w:val="00F45F6A"/>
    <w:rsid w:val="00F46185"/>
    <w:rsid w:val="00F46423"/>
    <w:rsid w:val="00F4680A"/>
    <w:rsid w:val="00F4696A"/>
    <w:rsid w:val="00F47067"/>
    <w:rsid w:val="00F47234"/>
    <w:rsid w:val="00F5199B"/>
    <w:rsid w:val="00F51ADD"/>
    <w:rsid w:val="00F525AB"/>
    <w:rsid w:val="00F525EB"/>
    <w:rsid w:val="00F52CB5"/>
    <w:rsid w:val="00F52D67"/>
    <w:rsid w:val="00F52F07"/>
    <w:rsid w:val="00F53378"/>
    <w:rsid w:val="00F53917"/>
    <w:rsid w:val="00F53A68"/>
    <w:rsid w:val="00F54934"/>
    <w:rsid w:val="00F54C62"/>
    <w:rsid w:val="00F55A92"/>
    <w:rsid w:val="00F5615B"/>
    <w:rsid w:val="00F56809"/>
    <w:rsid w:val="00F575D3"/>
    <w:rsid w:val="00F57983"/>
    <w:rsid w:val="00F57A76"/>
    <w:rsid w:val="00F57D57"/>
    <w:rsid w:val="00F60ECA"/>
    <w:rsid w:val="00F6178B"/>
    <w:rsid w:val="00F61CB5"/>
    <w:rsid w:val="00F62BFF"/>
    <w:rsid w:val="00F62CCE"/>
    <w:rsid w:val="00F63092"/>
    <w:rsid w:val="00F63AAE"/>
    <w:rsid w:val="00F63DDE"/>
    <w:rsid w:val="00F63FB7"/>
    <w:rsid w:val="00F6421B"/>
    <w:rsid w:val="00F647F1"/>
    <w:rsid w:val="00F649D2"/>
    <w:rsid w:val="00F64D5A"/>
    <w:rsid w:val="00F65460"/>
    <w:rsid w:val="00F65CA4"/>
    <w:rsid w:val="00F6602B"/>
    <w:rsid w:val="00F66656"/>
    <w:rsid w:val="00F67077"/>
    <w:rsid w:val="00F6715A"/>
    <w:rsid w:val="00F6779D"/>
    <w:rsid w:val="00F6799D"/>
    <w:rsid w:val="00F703B6"/>
    <w:rsid w:val="00F70CC7"/>
    <w:rsid w:val="00F70DE0"/>
    <w:rsid w:val="00F7150B"/>
    <w:rsid w:val="00F717E4"/>
    <w:rsid w:val="00F71DE6"/>
    <w:rsid w:val="00F72D71"/>
    <w:rsid w:val="00F7381C"/>
    <w:rsid w:val="00F73A0C"/>
    <w:rsid w:val="00F74397"/>
    <w:rsid w:val="00F74B00"/>
    <w:rsid w:val="00F752DC"/>
    <w:rsid w:val="00F7549F"/>
    <w:rsid w:val="00F756DB"/>
    <w:rsid w:val="00F766BE"/>
    <w:rsid w:val="00F767A8"/>
    <w:rsid w:val="00F768DE"/>
    <w:rsid w:val="00F77590"/>
    <w:rsid w:val="00F77A50"/>
    <w:rsid w:val="00F80012"/>
    <w:rsid w:val="00F80BB3"/>
    <w:rsid w:val="00F81340"/>
    <w:rsid w:val="00F81B1E"/>
    <w:rsid w:val="00F81D58"/>
    <w:rsid w:val="00F82C44"/>
    <w:rsid w:val="00F82D14"/>
    <w:rsid w:val="00F82E98"/>
    <w:rsid w:val="00F84E7D"/>
    <w:rsid w:val="00F85066"/>
    <w:rsid w:val="00F868EE"/>
    <w:rsid w:val="00F874F8"/>
    <w:rsid w:val="00F87520"/>
    <w:rsid w:val="00F87A4D"/>
    <w:rsid w:val="00F87C30"/>
    <w:rsid w:val="00F90EEB"/>
    <w:rsid w:val="00F91237"/>
    <w:rsid w:val="00F9135C"/>
    <w:rsid w:val="00F919C6"/>
    <w:rsid w:val="00F91B66"/>
    <w:rsid w:val="00F91C3D"/>
    <w:rsid w:val="00F93688"/>
    <w:rsid w:val="00F939F3"/>
    <w:rsid w:val="00F93C6E"/>
    <w:rsid w:val="00F93F2C"/>
    <w:rsid w:val="00F94390"/>
    <w:rsid w:val="00F947E9"/>
    <w:rsid w:val="00F9516B"/>
    <w:rsid w:val="00F95E27"/>
    <w:rsid w:val="00F962AD"/>
    <w:rsid w:val="00F9644E"/>
    <w:rsid w:val="00F977DB"/>
    <w:rsid w:val="00F97EDD"/>
    <w:rsid w:val="00FA0105"/>
    <w:rsid w:val="00FA05A0"/>
    <w:rsid w:val="00FA0AEF"/>
    <w:rsid w:val="00FA0ECC"/>
    <w:rsid w:val="00FA17CC"/>
    <w:rsid w:val="00FA1CFE"/>
    <w:rsid w:val="00FA1ECA"/>
    <w:rsid w:val="00FA1EE7"/>
    <w:rsid w:val="00FA1F01"/>
    <w:rsid w:val="00FA268D"/>
    <w:rsid w:val="00FA26DF"/>
    <w:rsid w:val="00FA298B"/>
    <w:rsid w:val="00FA32BC"/>
    <w:rsid w:val="00FA3FA8"/>
    <w:rsid w:val="00FA4059"/>
    <w:rsid w:val="00FA4230"/>
    <w:rsid w:val="00FA4574"/>
    <w:rsid w:val="00FA46B9"/>
    <w:rsid w:val="00FA48A4"/>
    <w:rsid w:val="00FA4CB7"/>
    <w:rsid w:val="00FA5112"/>
    <w:rsid w:val="00FA5526"/>
    <w:rsid w:val="00FA5D4D"/>
    <w:rsid w:val="00FA6CB6"/>
    <w:rsid w:val="00FA6CE4"/>
    <w:rsid w:val="00FA6E38"/>
    <w:rsid w:val="00FA70D3"/>
    <w:rsid w:val="00FA7AEC"/>
    <w:rsid w:val="00FB0AEA"/>
    <w:rsid w:val="00FB0DB4"/>
    <w:rsid w:val="00FB0EE2"/>
    <w:rsid w:val="00FB1A79"/>
    <w:rsid w:val="00FB1F0B"/>
    <w:rsid w:val="00FB208B"/>
    <w:rsid w:val="00FB2494"/>
    <w:rsid w:val="00FB2A31"/>
    <w:rsid w:val="00FB2B2D"/>
    <w:rsid w:val="00FB373F"/>
    <w:rsid w:val="00FB542E"/>
    <w:rsid w:val="00FB5580"/>
    <w:rsid w:val="00FB564F"/>
    <w:rsid w:val="00FB59BA"/>
    <w:rsid w:val="00FB6E8F"/>
    <w:rsid w:val="00FB6F62"/>
    <w:rsid w:val="00FB744F"/>
    <w:rsid w:val="00FB7DBB"/>
    <w:rsid w:val="00FC05F8"/>
    <w:rsid w:val="00FC077B"/>
    <w:rsid w:val="00FC0B1B"/>
    <w:rsid w:val="00FC0E5F"/>
    <w:rsid w:val="00FC1070"/>
    <w:rsid w:val="00FC1266"/>
    <w:rsid w:val="00FC1A95"/>
    <w:rsid w:val="00FC1ED4"/>
    <w:rsid w:val="00FC368D"/>
    <w:rsid w:val="00FC3BEC"/>
    <w:rsid w:val="00FC3FC0"/>
    <w:rsid w:val="00FC42C5"/>
    <w:rsid w:val="00FC440B"/>
    <w:rsid w:val="00FC5180"/>
    <w:rsid w:val="00FC56DE"/>
    <w:rsid w:val="00FC5B13"/>
    <w:rsid w:val="00FC5DD2"/>
    <w:rsid w:val="00FC63D9"/>
    <w:rsid w:val="00FC64DE"/>
    <w:rsid w:val="00FC6785"/>
    <w:rsid w:val="00FC684B"/>
    <w:rsid w:val="00FC7D98"/>
    <w:rsid w:val="00FD091B"/>
    <w:rsid w:val="00FD0F8C"/>
    <w:rsid w:val="00FD1135"/>
    <w:rsid w:val="00FD125F"/>
    <w:rsid w:val="00FD3265"/>
    <w:rsid w:val="00FD3CF7"/>
    <w:rsid w:val="00FD4124"/>
    <w:rsid w:val="00FD43E6"/>
    <w:rsid w:val="00FD4916"/>
    <w:rsid w:val="00FD4D12"/>
    <w:rsid w:val="00FD4F73"/>
    <w:rsid w:val="00FD595E"/>
    <w:rsid w:val="00FD5B4C"/>
    <w:rsid w:val="00FD6D53"/>
    <w:rsid w:val="00FD7802"/>
    <w:rsid w:val="00FD7D3B"/>
    <w:rsid w:val="00FD7FBE"/>
    <w:rsid w:val="00FE00E7"/>
    <w:rsid w:val="00FE0730"/>
    <w:rsid w:val="00FE0FB9"/>
    <w:rsid w:val="00FE1B5F"/>
    <w:rsid w:val="00FE27C7"/>
    <w:rsid w:val="00FE2C7E"/>
    <w:rsid w:val="00FE2F78"/>
    <w:rsid w:val="00FE3137"/>
    <w:rsid w:val="00FE3156"/>
    <w:rsid w:val="00FE346B"/>
    <w:rsid w:val="00FE346F"/>
    <w:rsid w:val="00FE37F1"/>
    <w:rsid w:val="00FE431E"/>
    <w:rsid w:val="00FE4418"/>
    <w:rsid w:val="00FE460E"/>
    <w:rsid w:val="00FE48E4"/>
    <w:rsid w:val="00FE521B"/>
    <w:rsid w:val="00FE5466"/>
    <w:rsid w:val="00FE634C"/>
    <w:rsid w:val="00FE6D9C"/>
    <w:rsid w:val="00FE6E69"/>
    <w:rsid w:val="00FE6F59"/>
    <w:rsid w:val="00FE736B"/>
    <w:rsid w:val="00FE7EAB"/>
    <w:rsid w:val="00FF01B6"/>
    <w:rsid w:val="00FF0989"/>
    <w:rsid w:val="00FF0C09"/>
    <w:rsid w:val="00FF0F79"/>
    <w:rsid w:val="00FF1136"/>
    <w:rsid w:val="00FF2666"/>
    <w:rsid w:val="00FF2A6D"/>
    <w:rsid w:val="00FF2D47"/>
    <w:rsid w:val="00FF2F4F"/>
    <w:rsid w:val="00FF3612"/>
    <w:rsid w:val="00FF3D76"/>
    <w:rsid w:val="00FF5B8C"/>
    <w:rsid w:val="00FF6072"/>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character" w:styleId="Sledovanodkaz">
    <w:name w:val="FollowedHyperlink"/>
    <w:basedOn w:val="Standardnpsmoodstavce"/>
    <w:uiPriority w:val="99"/>
    <w:semiHidden/>
    <w:unhideWhenUsed/>
    <w:rsid w:val="004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1129405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update-of-the-compilation-method-international-trade-in-goods-change-of-ownersh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nal&#253;za\Q\2022\2022Q4\eng\Makroanal&#253;za%20grafy_e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Anal&#253;za\Q\2022\2022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069916774474014E-2"/>
          <c:y val="4.15424531457926E-2"/>
          <c:w val="0.88202003907252513"/>
          <c:h val="0.80321247760439507"/>
        </c:manualLayout>
      </c:layout>
      <c:barChart>
        <c:barDir val="col"/>
        <c:grouping val="clustered"/>
        <c:varyColors val="0"/>
        <c:ser>
          <c:idx val="2"/>
          <c:order val="2"/>
          <c:tx>
            <c:strRef>
              <c:f>'Vnější vztahy_a'!$D$4</c:f>
              <c:strCache>
                <c:ptCount val="1"/>
                <c:pt idx="0">
                  <c:v>Balance</c:v>
                </c:pt>
              </c:strCache>
            </c:strRef>
          </c:tx>
          <c:spPr>
            <a:solidFill>
              <a:schemeClr val="bg1">
                <a:lumMod val="50000"/>
              </a:schemeClr>
            </a:solidFill>
            <a:ln>
              <a:noFill/>
            </a:ln>
            <a:effectLst/>
          </c:spPr>
          <c:invertIfNegative val="0"/>
          <c:cat>
            <c:strRef>
              <c:f>'Vnější vztahy_a'!$A$7:$A$21</c:f>
              <c:strCache>
                <c:ptCount val="15"/>
                <c:pt idx="0">
                  <c:v>2008</c:v>
                </c:pt>
                <c:pt idx="1">
                  <c:v>2009</c:v>
                </c:pt>
                <c:pt idx="2">
                  <c:v>2010</c:v>
                </c:pt>
                <c:pt idx="3">
                  <c:v>2011</c:v>
                </c:pt>
                <c:pt idx="4">
                  <c:v>2012</c:v>
                </c:pt>
                <c:pt idx="5">
                  <c:v>2013</c:v>
                </c:pt>
                <c:pt idx="6">
                  <c:v>2014</c:v>
                </c:pt>
                <c:pt idx="7">
                  <c:v> 2015</c:v>
                </c:pt>
                <c:pt idx="8">
                  <c:v>2016</c:v>
                </c:pt>
                <c:pt idx="9">
                  <c:v>2017</c:v>
                </c:pt>
                <c:pt idx="10">
                  <c:v>2018</c:v>
                </c:pt>
                <c:pt idx="11">
                  <c:v>2019</c:v>
                </c:pt>
                <c:pt idx="12">
                  <c:v>2020</c:v>
                </c:pt>
                <c:pt idx="13">
                  <c:v>2021</c:v>
                </c:pt>
                <c:pt idx="14">
                  <c:v>2022</c:v>
                </c:pt>
              </c:strCache>
            </c:strRef>
          </c:cat>
          <c:val>
            <c:numRef>
              <c:f>'Vnější vztahy_a'!$D$7:$D$21</c:f>
              <c:numCache>
                <c:formatCode>General</c:formatCode>
                <c:ptCount val="15"/>
                <c:pt idx="0">
                  <c:v>-44.332000000000001</c:v>
                </c:pt>
                <c:pt idx="1">
                  <c:v>31.067</c:v>
                </c:pt>
                <c:pt idx="2">
                  <c:v>-20.579000000000001</c:v>
                </c:pt>
                <c:pt idx="3">
                  <c:v>11.977</c:v>
                </c:pt>
                <c:pt idx="4">
                  <c:v>64.41</c:v>
                </c:pt>
                <c:pt idx="5">
                  <c:v>106.518</c:v>
                </c:pt>
                <c:pt idx="6">
                  <c:v>146.00899999999999</c:v>
                </c:pt>
                <c:pt idx="7">
                  <c:v>130.97677807700001</c:v>
                </c:pt>
                <c:pt idx="8">
                  <c:v>163.65449183600001</c:v>
                </c:pt>
                <c:pt idx="9">
                  <c:v>163.466347926</c:v>
                </c:pt>
                <c:pt idx="10">
                  <c:v>98.465823833000002</c:v>
                </c:pt>
                <c:pt idx="11">
                  <c:v>145.69471741100003</c:v>
                </c:pt>
                <c:pt idx="12">
                  <c:v>179.640176981</c:v>
                </c:pt>
                <c:pt idx="13">
                  <c:v>-9.2046428370000104</c:v>
                </c:pt>
                <c:pt idx="14">
                  <c:v>-199.722403542</c:v>
                </c:pt>
              </c:numCache>
            </c:numRef>
          </c:val>
          <c:extLst>
            <c:ext xmlns:c16="http://schemas.microsoft.com/office/drawing/2014/chart" uri="{C3380CC4-5D6E-409C-BE32-E72D297353CC}">
              <c16:uniqueId val="{00000000-9B6A-4F7D-941C-689E6789B541}"/>
            </c:ext>
          </c:extLst>
        </c:ser>
        <c:dLbls>
          <c:showLegendKey val="0"/>
          <c:showVal val="0"/>
          <c:showCatName val="0"/>
          <c:showSerName val="0"/>
          <c:showPercent val="0"/>
          <c:showBubbleSize val="0"/>
        </c:dLbls>
        <c:gapWidth val="100"/>
        <c:axId val="1171842912"/>
        <c:axId val="1599917024"/>
      </c:barChart>
      <c:lineChart>
        <c:grouping val="standard"/>
        <c:varyColors val="0"/>
        <c:ser>
          <c:idx val="0"/>
          <c:order val="0"/>
          <c:tx>
            <c:strRef>
              <c:f>'Vnější vztahy_a'!$B$4</c:f>
              <c:strCache>
                <c:ptCount val="1"/>
                <c:pt idx="0">
                  <c:v>Export</c:v>
                </c:pt>
              </c:strCache>
            </c:strRef>
          </c:tx>
          <c:spPr>
            <a:ln w="28575" cap="rnd">
              <a:noFill/>
              <a:round/>
            </a:ln>
            <a:effectLst/>
          </c:spPr>
          <c:marker>
            <c:symbol val="dash"/>
            <c:size val="10"/>
            <c:spPr>
              <a:solidFill>
                <a:srgbClr val="0070C0"/>
              </a:solidFill>
              <a:ln w="9525">
                <a:solidFill>
                  <a:srgbClr val="0070C0"/>
                </a:solidFill>
              </a:ln>
              <a:effectLst/>
            </c:spPr>
          </c:marker>
          <c:cat>
            <c:strRef>
              <c:f>'Vnější vztahy_a'!$A$7:$A$21</c:f>
              <c:strCache>
                <c:ptCount val="15"/>
                <c:pt idx="0">
                  <c:v>2008</c:v>
                </c:pt>
                <c:pt idx="1">
                  <c:v>2009</c:v>
                </c:pt>
                <c:pt idx="2">
                  <c:v>2010</c:v>
                </c:pt>
                <c:pt idx="3">
                  <c:v>2011</c:v>
                </c:pt>
                <c:pt idx="4">
                  <c:v>2012</c:v>
                </c:pt>
                <c:pt idx="5">
                  <c:v>2013</c:v>
                </c:pt>
                <c:pt idx="6">
                  <c:v>2014</c:v>
                </c:pt>
                <c:pt idx="7">
                  <c:v> 2015</c:v>
                </c:pt>
                <c:pt idx="8">
                  <c:v>2016</c:v>
                </c:pt>
                <c:pt idx="9">
                  <c:v>2017</c:v>
                </c:pt>
                <c:pt idx="10">
                  <c:v>2018</c:v>
                </c:pt>
                <c:pt idx="11">
                  <c:v>2019</c:v>
                </c:pt>
                <c:pt idx="12">
                  <c:v>2020</c:v>
                </c:pt>
                <c:pt idx="13">
                  <c:v>2021</c:v>
                </c:pt>
                <c:pt idx="14">
                  <c:v>2022</c:v>
                </c:pt>
              </c:strCache>
            </c:strRef>
          </c:cat>
          <c:val>
            <c:numRef>
              <c:f>'Vnější vztahy_a'!$B$7:$B$21</c:f>
              <c:numCache>
                <c:formatCode>General</c:formatCode>
                <c:ptCount val="15"/>
                <c:pt idx="0">
                  <c:v>-1.4825262579305303</c:v>
                </c:pt>
                <c:pt idx="1">
                  <c:v>-10.81189551944207</c:v>
                </c:pt>
                <c:pt idx="2">
                  <c:v>14.827022335007905</c:v>
                </c:pt>
                <c:pt idx="3">
                  <c:v>10.112037607700053</c:v>
                </c:pt>
                <c:pt idx="4">
                  <c:v>6.0251090942966021</c:v>
                </c:pt>
                <c:pt idx="5">
                  <c:v>2.2153513610284965</c:v>
                </c:pt>
                <c:pt idx="6">
                  <c:v>13.027208809035864</c:v>
                </c:pt>
                <c:pt idx="7">
                  <c:v>3.612768163576892</c:v>
                </c:pt>
                <c:pt idx="8">
                  <c:v>1.1074296541764621</c:v>
                </c:pt>
                <c:pt idx="9">
                  <c:v>6.4802705295808352</c:v>
                </c:pt>
                <c:pt idx="10">
                  <c:v>2.9418083571864679</c:v>
                </c:pt>
                <c:pt idx="11">
                  <c:v>2.0884439685547518</c:v>
                </c:pt>
                <c:pt idx="12">
                  <c:v>-7.0747075448299643</c:v>
                </c:pt>
                <c:pt idx="13">
                  <c:v>13.140723420675538</c:v>
                </c:pt>
                <c:pt idx="14">
                  <c:v>13.717728059838299</c:v>
                </c:pt>
              </c:numCache>
            </c:numRef>
          </c:val>
          <c:smooth val="0"/>
          <c:extLst>
            <c:ext xmlns:c16="http://schemas.microsoft.com/office/drawing/2014/chart" uri="{C3380CC4-5D6E-409C-BE32-E72D297353CC}">
              <c16:uniqueId val="{00000001-9B6A-4F7D-941C-689E6789B541}"/>
            </c:ext>
          </c:extLst>
        </c:ser>
        <c:ser>
          <c:idx val="1"/>
          <c:order val="1"/>
          <c:tx>
            <c:strRef>
              <c:f>'Vnější vztahy_a'!$C$4</c:f>
              <c:strCache>
                <c:ptCount val="1"/>
                <c:pt idx="0">
                  <c:v>Import</c:v>
                </c:pt>
              </c:strCache>
            </c:strRef>
          </c:tx>
          <c:spPr>
            <a:ln w="28575" cap="rnd">
              <a:noFill/>
              <a:round/>
            </a:ln>
            <a:effectLst/>
          </c:spPr>
          <c:marker>
            <c:symbol val="dash"/>
            <c:size val="10"/>
            <c:spPr>
              <a:solidFill>
                <a:srgbClr val="BD1B21"/>
              </a:solidFill>
              <a:ln w="9525">
                <a:solidFill>
                  <a:srgbClr val="BD1B21"/>
                </a:solidFill>
              </a:ln>
              <a:effectLst/>
            </c:spPr>
          </c:marker>
          <c:cat>
            <c:strRef>
              <c:f>'Vnější vztahy_a'!$A$7:$A$21</c:f>
              <c:strCache>
                <c:ptCount val="15"/>
                <c:pt idx="0">
                  <c:v>2008</c:v>
                </c:pt>
                <c:pt idx="1">
                  <c:v>2009</c:v>
                </c:pt>
                <c:pt idx="2">
                  <c:v>2010</c:v>
                </c:pt>
                <c:pt idx="3">
                  <c:v>2011</c:v>
                </c:pt>
                <c:pt idx="4">
                  <c:v>2012</c:v>
                </c:pt>
                <c:pt idx="5">
                  <c:v>2013</c:v>
                </c:pt>
                <c:pt idx="6">
                  <c:v>2014</c:v>
                </c:pt>
                <c:pt idx="7">
                  <c:v> 2015</c:v>
                </c:pt>
                <c:pt idx="8">
                  <c:v>2016</c:v>
                </c:pt>
                <c:pt idx="9">
                  <c:v>2017</c:v>
                </c:pt>
                <c:pt idx="10">
                  <c:v>2018</c:v>
                </c:pt>
                <c:pt idx="11">
                  <c:v>2019</c:v>
                </c:pt>
                <c:pt idx="12">
                  <c:v>2020</c:v>
                </c:pt>
                <c:pt idx="13">
                  <c:v>2021</c:v>
                </c:pt>
                <c:pt idx="14">
                  <c:v>2022</c:v>
                </c:pt>
              </c:strCache>
            </c:strRef>
          </c:cat>
          <c:val>
            <c:numRef>
              <c:f>'Vnější vztahy_a'!$C$7:$C$21</c:f>
              <c:numCache>
                <c:formatCode>General</c:formatCode>
                <c:ptCount val="15"/>
                <c:pt idx="0">
                  <c:v>-0.48030336572037585</c:v>
                </c:pt>
                <c:pt idx="1">
                  <c:v>-13.849775964188691</c:v>
                </c:pt>
                <c:pt idx="2">
                  <c:v>17.636423931022911</c:v>
                </c:pt>
                <c:pt idx="3">
                  <c:v>8.6415161627225725</c:v>
                </c:pt>
                <c:pt idx="4">
                  <c:v>4.0042767307394715</c:v>
                </c:pt>
                <c:pt idx="5">
                  <c:v>0.68681070942259659</c:v>
                </c:pt>
                <c:pt idx="6">
                  <c:v>12.071376353644107</c:v>
                </c:pt>
                <c:pt idx="7">
                  <c:v>4.2889556626306211</c:v>
                </c:pt>
                <c:pt idx="8">
                  <c:v>0.11038963287046219</c:v>
                </c:pt>
                <c:pt idx="9">
                  <c:v>6.8245079237178157</c:v>
                </c:pt>
                <c:pt idx="10">
                  <c:v>5.0260247733996914</c:v>
                </c:pt>
                <c:pt idx="11">
                  <c:v>0.80432261722676923</c:v>
                </c:pt>
                <c:pt idx="12">
                  <c:v>-8.3226511448622933</c:v>
                </c:pt>
                <c:pt idx="13">
                  <c:v>19.675778990593603</c:v>
                </c:pt>
                <c:pt idx="14">
                  <c:v>18.582160176921988</c:v>
                </c:pt>
              </c:numCache>
            </c:numRef>
          </c:val>
          <c:smooth val="0"/>
          <c:extLst>
            <c:ext xmlns:c16="http://schemas.microsoft.com/office/drawing/2014/chart" uri="{C3380CC4-5D6E-409C-BE32-E72D297353CC}">
              <c16:uniqueId val="{00000002-9B6A-4F7D-941C-689E6789B541}"/>
            </c:ext>
          </c:extLst>
        </c:ser>
        <c:dLbls>
          <c:showLegendKey val="0"/>
          <c:showVal val="0"/>
          <c:showCatName val="0"/>
          <c:showSerName val="0"/>
          <c:showPercent val="0"/>
          <c:showBubbleSize val="0"/>
        </c:dLbls>
        <c:marker val="1"/>
        <c:smooth val="0"/>
        <c:axId val="1603910352"/>
        <c:axId val="1603910768"/>
      </c:lineChart>
      <c:catAx>
        <c:axId val="16039103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603910768"/>
        <c:crosses val="autoZero"/>
        <c:auto val="1"/>
        <c:lblAlgn val="ctr"/>
        <c:lblOffset val="100"/>
        <c:noMultiLvlLbl val="0"/>
      </c:catAx>
      <c:valAx>
        <c:axId val="1603910768"/>
        <c:scaling>
          <c:orientation val="minMax"/>
          <c:max val="2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603910352"/>
        <c:crosses val="autoZero"/>
        <c:crossBetween val="between"/>
      </c:valAx>
      <c:valAx>
        <c:axId val="1599917024"/>
        <c:scaling>
          <c:orientation val="minMax"/>
          <c:min val="-2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crossAx val="1171842912"/>
        <c:crosses val="max"/>
        <c:crossBetween val="between"/>
      </c:valAx>
      <c:catAx>
        <c:axId val="1171842912"/>
        <c:scaling>
          <c:orientation val="minMax"/>
        </c:scaling>
        <c:delete val="1"/>
        <c:axPos val="b"/>
        <c:numFmt formatCode="General" sourceLinked="1"/>
        <c:majorTickMark val="out"/>
        <c:minorTickMark val="none"/>
        <c:tickLblPos val="nextTo"/>
        <c:crossAx val="1599917024"/>
        <c:crosses val="autoZero"/>
        <c:auto val="1"/>
        <c:lblAlgn val="ctr"/>
        <c:lblOffset val="100"/>
        <c:noMultiLvlLbl val="0"/>
      </c:catAx>
      <c:spPr>
        <a:noFill/>
        <a:ln>
          <a:noFill/>
        </a:ln>
        <a:effectLst/>
      </c:spPr>
    </c:plotArea>
    <c:legend>
      <c:legendPos val="b"/>
      <c:layout>
        <c:manualLayout>
          <c:xMode val="edge"/>
          <c:yMode val="edge"/>
          <c:x val="6.7324160543034778E-2"/>
          <c:y val="0.92127482102101654"/>
          <c:w val="0.85470865828300857"/>
          <c:h val="5.6065659081278391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2842367443431268"/>
        </c:manualLayout>
      </c:layout>
      <c:barChart>
        <c:barDir val="col"/>
        <c:grouping val="clustered"/>
        <c:varyColors val="0"/>
        <c:ser>
          <c:idx val="1"/>
          <c:order val="0"/>
          <c:tx>
            <c:strRef>
              <c:f>'Vnější vztahy 2'!$A$7</c:f>
              <c:strCache>
                <c:ptCount val="1"/>
                <c:pt idx="0">
                  <c:v>2021</c:v>
                </c:pt>
              </c:strCache>
            </c:strRef>
          </c:tx>
          <c:spPr>
            <a:solidFill>
              <a:schemeClr val="bg1">
                <a:lumMod val="65000"/>
              </a:schemeClr>
            </a:solidFill>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2'!$B$7:$N$7</c:f>
              <c:numCache>
                <c:formatCode>General</c:formatCode>
                <c:ptCount val="13"/>
                <c:pt idx="0">
                  <c:v>-153.86668029099999</c:v>
                </c:pt>
                <c:pt idx="1">
                  <c:v>-54.645038548999999</c:v>
                </c:pt>
                <c:pt idx="2">
                  <c:v>-36.171383530999996</c:v>
                </c:pt>
                <c:pt idx="3">
                  <c:v>-26.521202938000002</c:v>
                </c:pt>
                <c:pt idx="4">
                  <c:v>-141.32686977699998</c:v>
                </c:pt>
                <c:pt idx="5">
                  <c:v>-74.679230379999993</c:v>
                </c:pt>
                <c:pt idx="6">
                  <c:v>26.090102950000002</c:v>
                </c:pt>
                <c:pt idx="7">
                  <c:v>-155.29868747500001</c:v>
                </c:pt>
                <c:pt idx="8">
                  <c:v>66.780931019999983</c:v>
                </c:pt>
                <c:pt idx="9">
                  <c:v>-64.711664618</c:v>
                </c:pt>
                <c:pt idx="10">
                  <c:v>3.5199225900000002</c:v>
                </c:pt>
                <c:pt idx="11">
                  <c:v>91.675185939999992</c:v>
                </c:pt>
                <c:pt idx="12">
                  <c:v>426.56033102399999</c:v>
                </c:pt>
              </c:numCache>
            </c:numRef>
          </c:val>
          <c:extLst>
            <c:ext xmlns:c16="http://schemas.microsoft.com/office/drawing/2014/chart" uri="{C3380CC4-5D6E-409C-BE32-E72D297353CC}">
              <c16:uniqueId val="{00000000-9BF2-4FC8-8E83-3A97193D6CFB}"/>
            </c:ext>
          </c:extLst>
        </c:ser>
        <c:ser>
          <c:idx val="2"/>
          <c:order val="1"/>
          <c:tx>
            <c:strRef>
              <c:f>'Vnější vztahy 2'!$A$8</c:f>
              <c:strCache>
                <c:ptCount val="1"/>
                <c:pt idx="0">
                  <c:v>2022</c:v>
                </c:pt>
              </c:strCache>
            </c:strRef>
          </c:tx>
          <c:spPr>
            <a:solidFill>
              <a:srgbClr val="BD1B21"/>
            </a:solidFill>
            <a:ln>
              <a:noFill/>
            </a:ln>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2'!$B$8:$N$8</c:f>
              <c:numCache>
                <c:formatCode>General</c:formatCode>
                <c:ptCount val="13"/>
                <c:pt idx="0">
                  <c:v>-330.89006094299998</c:v>
                </c:pt>
                <c:pt idx="1">
                  <c:v>-60.951914401000003</c:v>
                </c:pt>
                <c:pt idx="2">
                  <c:v>-45.948661972999993</c:v>
                </c:pt>
                <c:pt idx="3">
                  <c:v>-49.306866261000003</c:v>
                </c:pt>
                <c:pt idx="4">
                  <c:v>-158.905875579</c:v>
                </c:pt>
                <c:pt idx="5">
                  <c:v>-72.845484352</c:v>
                </c:pt>
                <c:pt idx="6">
                  <c:v>30.168586841</c:v>
                </c:pt>
                <c:pt idx="7">
                  <c:v>-184.889162244</c:v>
                </c:pt>
                <c:pt idx="8">
                  <c:v>76.811881745000008</c:v>
                </c:pt>
                <c:pt idx="9">
                  <c:v>-63.673747178000006</c:v>
                </c:pt>
                <c:pt idx="10">
                  <c:v>-19.503311348</c:v>
                </c:pt>
                <c:pt idx="11">
                  <c:v>95.513267457000012</c:v>
                </c:pt>
                <c:pt idx="12">
                  <c:v>461.96911854000001</c:v>
                </c:pt>
              </c:numCache>
            </c:numRef>
          </c:val>
          <c:extLst>
            <c:ext xmlns:c16="http://schemas.microsoft.com/office/drawing/2014/chart" uri="{C3380CC4-5D6E-409C-BE32-E72D297353CC}">
              <c16:uniqueId val="{00000001-9BF2-4FC8-8E83-3A97193D6CFB}"/>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max val="500"/>
          <c:min val="-35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majorUnit val="50"/>
      </c:valAx>
      <c:spPr>
        <a:ln>
          <a:solidFill>
            <a:schemeClr val="tx1"/>
          </a:solidFill>
        </a:ln>
      </c:spPr>
    </c:plotArea>
    <c:legend>
      <c:legendPos val="b"/>
      <c:layout>
        <c:manualLayout>
          <c:xMode val="edge"/>
          <c:yMode val="edge"/>
          <c:x val="9.1143194866599123E-2"/>
          <c:y val="8.2577176038395428E-2"/>
          <c:w val="0.22793671901384668"/>
          <c:h val="6.7923505362327427E-2"/>
        </c:manualLayout>
      </c:layout>
      <c:overlay val="1"/>
      <c:spPr>
        <a:ln w="6350">
          <a:no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3B3C-E855-42D8-BDDB-5EB01D49CAB0}">
  <ds:schemaRefs>
    <ds:schemaRef ds:uri="http://schemas.openxmlformats.org/officeDocument/2006/bibliography"/>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4932FB-3B0E-493B-94B6-5B00B1C8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11</TotalTime>
  <Pages>4</Pages>
  <Words>1823</Words>
  <Characters>10762</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2023-04-20T07:09:00Z</dcterms:created>
  <dcterms:modified xsi:type="dcterms:W3CDTF">2023-04-20T07:23:00Z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2023-03-27T13:04:49Z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de2450ee-4915-4da0-b25a-4e858a474ced</vt:lpwstr>
  </property>
  <property fmtid="{D5CDD505-2E9C-101B-9397-08002B2CF9AE}" pid="9" name="MSIP_Label_29db9e61-aac5-4f6e-805d-ceb8cb9983a1_ContentBits">
    <vt:lpwstr>0</vt:lpwstr>
  </property>
</Properties>
</file>