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FB" w:rsidRPr="006B0517" w:rsidRDefault="00BA49FB" w:rsidP="00BA49FB">
      <w:pPr>
        <w:rPr>
          <w:rFonts w:ascii="Arial" w:hAnsi="Arial" w:cs="Arial"/>
          <w:b/>
          <w:sz w:val="24"/>
          <w:szCs w:val="24"/>
        </w:rPr>
      </w:pPr>
      <w:r w:rsidRPr="006B0517">
        <w:rPr>
          <w:rFonts w:ascii="Arial" w:hAnsi="Arial" w:cs="Arial"/>
          <w:b/>
          <w:sz w:val="24"/>
          <w:szCs w:val="24"/>
        </w:rPr>
        <w:t>Úvod</w:t>
      </w:r>
    </w:p>
    <w:p w:rsidR="00BA49FB" w:rsidRDefault="00BA49FB" w:rsidP="00BA49FB">
      <w:pPr>
        <w:jc w:val="both"/>
        <w:rPr>
          <w:rFonts w:cs="Arial"/>
        </w:rPr>
      </w:pPr>
      <w:r>
        <w:rPr>
          <w:rFonts w:ascii="Arial" w:hAnsi="Arial" w:cs="Arial"/>
          <w:sz w:val="20"/>
          <w:szCs w:val="20"/>
        </w:rPr>
        <w:t>V</w:t>
      </w:r>
      <w:r w:rsidR="007E53B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roce</w:t>
      </w:r>
      <w:r w:rsidR="007E53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2016 si připomínáme výročí 20 let</w:t>
      </w:r>
      <w:r w:rsidRPr="00506381">
        <w:rPr>
          <w:rFonts w:ascii="Arial" w:hAnsi="Arial" w:cs="Arial"/>
          <w:sz w:val="20"/>
          <w:szCs w:val="20"/>
        </w:rPr>
        <w:t xml:space="preserve"> od prvních voleb do Poslanecké sněmovny Parlamentu České republiky (dále PS PČR). Během tohoto období proběhly volby do </w:t>
      </w:r>
      <w:r>
        <w:rPr>
          <w:rFonts w:ascii="Arial" w:hAnsi="Arial" w:cs="Arial"/>
          <w:sz w:val="20"/>
          <w:szCs w:val="20"/>
        </w:rPr>
        <w:t>dolní komory parlamentu</w:t>
      </w:r>
      <w:r w:rsidR="007E53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celkem </w:t>
      </w:r>
      <w:r w:rsidRPr="00506381">
        <w:rPr>
          <w:rFonts w:ascii="Arial" w:hAnsi="Arial" w:cs="Arial"/>
          <w:sz w:val="20"/>
          <w:szCs w:val="20"/>
        </w:rPr>
        <w:t xml:space="preserve">šestkrát. </w:t>
      </w:r>
      <w:r>
        <w:rPr>
          <w:rFonts w:ascii="Arial" w:hAnsi="Arial" w:cs="Arial"/>
          <w:sz w:val="20"/>
          <w:szCs w:val="20"/>
        </w:rPr>
        <w:t xml:space="preserve">Na podzim roku 1996 proběhly také první volby do Senátu Parlamentu České republiky (dále Senát PČR). </w:t>
      </w:r>
      <w:r w:rsidRPr="00506381">
        <w:rPr>
          <w:rFonts w:ascii="Arial" w:hAnsi="Arial" w:cs="Arial"/>
          <w:sz w:val="20"/>
          <w:szCs w:val="20"/>
        </w:rPr>
        <w:t>Rokem 2014 byl dovršen cyklus, kdy se ve všech volebních obvodech konaly volby do Senátu</w:t>
      </w:r>
      <w:r>
        <w:rPr>
          <w:rFonts w:ascii="Arial" w:hAnsi="Arial" w:cs="Arial"/>
          <w:sz w:val="20"/>
          <w:szCs w:val="20"/>
        </w:rPr>
        <w:t xml:space="preserve"> PČR</w:t>
      </w:r>
      <w:r w:rsidRPr="00506381">
        <w:rPr>
          <w:rFonts w:ascii="Arial" w:hAnsi="Arial" w:cs="Arial"/>
          <w:sz w:val="20"/>
          <w:szCs w:val="20"/>
        </w:rPr>
        <w:t xml:space="preserve"> čtyřikrát. </w:t>
      </w:r>
    </w:p>
    <w:p w:rsidR="00BA49FB" w:rsidRDefault="00BA49FB" w:rsidP="00BA49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Volby do obou komor Parlamentu ČR se řídily z</w:t>
      </w:r>
      <w:r w:rsidRPr="0053694B">
        <w:rPr>
          <w:rFonts w:ascii="Arial" w:hAnsi="Arial" w:cs="Arial"/>
          <w:sz w:val="20"/>
          <w:szCs w:val="20"/>
        </w:rPr>
        <w:t>ákonem č</w:t>
      </w:r>
      <w:r>
        <w:rPr>
          <w:rFonts w:ascii="Arial" w:hAnsi="Arial" w:cs="Arial"/>
          <w:sz w:val="20"/>
          <w:szCs w:val="20"/>
        </w:rPr>
        <w:t>. 247/1995 Sb. ve znění pozdějších předpisů (dále Zákon).</w:t>
      </w:r>
      <w:r w:rsidR="007E53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PS PČR má podle ústavy 200 poslanců, kteří jsou vo</w:t>
      </w:r>
      <w:r w:rsidR="00CF59F1">
        <w:rPr>
          <w:rFonts w:ascii="Arial" w:hAnsi="Arial" w:cs="Arial"/>
          <w:sz w:val="20"/>
          <w:szCs w:val="20"/>
        </w:rPr>
        <w:t>leni na dobu čtyř let. Volby do </w:t>
      </w:r>
      <w:r>
        <w:rPr>
          <w:rFonts w:ascii="Arial" w:hAnsi="Arial" w:cs="Arial"/>
          <w:sz w:val="20"/>
          <w:szCs w:val="20"/>
        </w:rPr>
        <w:t>Poslanecké sněmovny (dále PS)</w:t>
      </w:r>
      <w:r w:rsidR="007E53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konaly</w:t>
      </w:r>
      <w:r w:rsidR="007E53B7">
        <w:rPr>
          <w:rFonts w:ascii="Arial" w:hAnsi="Arial" w:cs="Arial"/>
          <w:sz w:val="20"/>
          <w:szCs w:val="20"/>
        </w:rPr>
        <w:t xml:space="preserve"> </w:t>
      </w:r>
      <w:r w:rsidRPr="0053694B">
        <w:rPr>
          <w:rFonts w:ascii="Arial" w:hAnsi="Arial" w:cs="Arial"/>
          <w:sz w:val="20"/>
          <w:szCs w:val="20"/>
        </w:rPr>
        <w:t>na základě všeobecného, rovného a přímého volebního práva tajným hlasováním,</w:t>
      </w:r>
      <w:r w:rsidR="007E53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podle zásady poměrného zastoupení</w:t>
      </w:r>
      <w:r w:rsidR="007E53B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Kandidáti do dolní komory parlamentu musí splňovat věkovou hranici 21 let.</w:t>
      </w:r>
    </w:p>
    <w:p w:rsidR="00BA49FB" w:rsidRPr="001E675D" w:rsidRDefault="00BA49FB" w:rsidP="00BA49FB">
      <w:pPr>
        <w:jc w:val="both"/>
        <w:rPr>
          <w:rFonts w:ascii="Arial" w:hAnsi="Arial" w:cs="Arial"/>
          <w:sz w:val="20"/>
          <w:szCs w:val="20"/>
        </w:rPr>
      </w:pPr>
      <w:r w:rsidRPr="00EA25D1">
        <w:rPr>
          <w:rFonts w:ascii="Arial" w:hAnsi="Arial" w:cs="Arial"/>
          <w:sz w:val="20"/>
          <w:szCs w:val="20"/>
        </w:rPr>
        <w:t xml:space="preserve">Volebními kraji jsou od roku 2000 vyšší územní samosprávné celky vytvořené ústavním zákonem č. 347/1997 Sb. ve znění pozdějších předpisů. Do tohoto data </w:t>
      </w:r>
      <w:r w:rsidRPr="001E675D">
        <w:rPr>
          <w:rFonts w:ascii="Arial" w:hAnsi="Arial" w:cs="Arial"/>
          <w:sz w:val="20"/>
          <w:szCs w:val="20"/>
        </w:rPr>
        <w:t xml:space="preserve">byly kraje definovány zákonem </w:t>
      </w:r>
      <w:r w:rsidRPr="00EA25D1">
        <w:rPr>
          <w:rFonts w:ascii="Arial" w:hAnsi="Arial" w:cs="Arial"/>
          <w:sz w:val="20"/>
          <w:szCs w:val="20"/>
        </w:rPr>
        <w:t xml:space="preserve">č. 36/1960 </w:t>
      </w:r>
      <w:r w:rsidRPr="00810C31">
        <w:rPr>
          <w:rFonts w:ascii="Arial" w:hAnsi="Arial" w:cs="Arial"/>
          <w:sz w:val="20"/>
          <w:szCs w:val="20"/>
        </w:rPr>
        <w:t xml:space="preserve">Sb., </w:t>
      </w:r>
      <w:hyperlink r:id="rId8" w:tooltip="Zákon o územním členění státu" w:history="1">
        <w:r w:rsidRPr="00810C31">
          <w:rPr>
            <w:rFonts w:ascii="Arial" w:hAnsi="Arial" w:cs="Arial"/>
            <w:sz w:val="20"/>
            <w:szCs w:val="20"/>
          </w:rPr>
          <w:t>o územním členění státu</w:t>
        </w:r>
      </w:hyperlink>
      <w:r w:rsidRPr="00810C31">
        <w:rPr>
          <w:rFonts w:ascii="Arial" w:hAnsi="Arial" w:cs="Arial"/>
          <w:sz w:val="20"/>
          <w:szCs w:val="20"/>
        </w:rPr>
        <w:t>, ve znění pozdějších předpisů. Počet poslanců volených ve</w:t>
      </w:r>
      <w:r w:rsidR="00CF59F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14</w:t>
      </w:r>
      <w:r w:rsidRPr="00810C31">
        <w:rPr>
          <w:rFonts w:ascii="Arial" w:hAnsi="Arial" w:cs="Arial"/>
          <w:sz w:val="20"/>
          <w:szCs w:val="20"/>
        </w:rPr>
        <w:t xml:space="preserve"> volebních krajích závisí na počtu</w:t>
      </w:r>
      <w:r w:rsidRPr="00EA25D1">
        <w:rPr>
          <w:rFonts w:ascii="Arial" w:hAnsi="Arial" w:cs="Arial"/>
          <w:sz w:val="20"/>
          <w:szCs w:val="20"/>
        </w:rPr>
        <w:t xml:space="preserve"> platných hlasů odevzda</w:t>
      </w:r>
      <w:r>
        <w:rPr>
          <w:rFonts w:ascii="Arial" w:hAnsi="Arial" w:cs="Arial"/>
          <w:sz w:val="20"/>
          <w:szCs w:val="20"/>
        </w:rPr>
        <w:t>ných v každém volebním kraji (§</w:t>
      </w:r>
      <w:r w:rsidRPr="00EA25D1">
        <w:rPr>
          <w:rFonts w:ascii="Arial" w:hAnsi="Arial" w:cs="Arial"/>
          <w:sz w:val="20"/>
          <w:szCs w:val="20"/>
        </w:rPr>
        <w:t xml:space="preserve">48 Zákona). </w:t>
      </w:r>
      <w:bookmarkStart w:id="0" w:name="_GoBack"/>
      <w:bookmarkEnd w:id="0"/>
    </w:p>
    <w:p w:rsidR="00BA49FB" w:rsidRPr="00E63D80" w:rsidRDefault="00BA49FB" w:rsidP="00BA49FB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E63D80">
        <w:rPr>
          <w:rFonts w:ascii="Arial" w:hAnsi="Arial" w:cs="Arial"/>
          <w:sz w:val="20"/>
          <w:szCs w:val="20"/>
        </w:rPr>
        <w:t xml:space="preserve">Od roku </w:t>
      </w:r>
      <w:r w:rsidRPr="00E63D80">
        <w:rPr>
          <w:rFonts w:ascii="Arial" w:hAnsi="Arial" w:cs="Arial"/>
          <w:bCs/>
          <w:sz w:val="20"/>
          <w:szCs w:val="20"/>
        </w:rPr>
        <w:t>2002 mohli voliči hlasovat také mimo území ČR na zastu</w:t>
      </w:r>
      <w:r w:rsidR="00CF59F1">
        <w:rPr>
          <w:rFonts w:ascii="Arial" w:hAnsi="Arial" w:cs="Arial"/>
          <w:bCs/>
          <w:sz w:val="20"/>
          <w:szCs w:val="20"/>
        </w:rPr>
        <w:t>pitelských úřadech. Výsledky ze </w:t>
      </w:r>
      <w:r w:rsidRPr="00E63D80">
        <w:rPr>
          <w:rFonts w:ascii="Arial" w:hAnsi="Arial" w:cs="Arial"/>
          <w:bCs/>
          <w:sz w:val="20"/>
          <w:szCs w:val="20"/>
        </w:rPr>
        <w:t>zahraničí se pak</w:t>
      </w:r>
      <w:r w:rsidRPr="00E63D80">
        <w:rPr>
          <w:rFonts w:ascii="Arial" w:hAnsi="Arial" w:cs="Arial"/>
          <w:sz w:val="20"/>
          <w:szCs w:val="20"/>
        </w:rPr>
        <w:t xml:space="preserve"> připočítávaly do kraje vylosovaného Státní volební komisí (viz </w:t>
      </w:r>
      <w:r>
        <w:rPr>
          <w:rFonts w:ascii="Arial" w:hAnsi="Arial" w:cs="Arial"/>
          <w:sz w:val="20"/>
          <w:szCs w:val="20"/>
        </w:rPr>
        <w:t>t</w:t>
      </w:r>
      <w:r w:rsidRPr="00E63D80">
        <w:rPr>
          <w:rFonts w:ascii="Arial" w:hAnsi="Arial" w:cs="Arial"/>
          <w:sz w:val="20"/>
          <w:szCs w:val="20"/>
        </w:rPr>
        <w:t xml:space="preserve">abulka 1). </w:t>
      </w:r>
    </w:p>
    <w:p w:rsidR="00BA49FB" w:rsidRPr="001C0106" w:rsidRDefault="00BA49FB" w:rsidP="00BA49FB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C0106">
        <w:rPr>
          <w:rFonts w:ascii="Arial" w:hAnsi="Arial" w:cs="Arial"/>
          <w:b/>
          <w:sz w:val="20"/>
          <w:szCs w:val="20"/>
        </w:rPr>
        <w:t>Tab</w:t>
      </w:r>
      <w:r w:rsidR="00257B23">
        <w:rPr>
          <w:rFonts w:ascii="Arial" w:hAnsi="Arial" w:cs="Arial"/>
          <w:b/>
          <w:sz w:val="20"/>
          <w:szCs w:val="20"/>
        </w:rPr>
        <w:t xml:space="preserve">ulka </w:t>
      </w:r>
      <w:r w:rsidRPr="001C0106">
        <w:rPr>
          <w:rFonts w:ascii="Arial" w:hAnsi="Arial" w:cs="Arial"/>
          <w:b/>
          <w:sz w:val="20"/>
          <w:szCs w:val="20"/>
        </w:rPr>
        <w:t>1</w:t>
      </w:r>
      <w:r w:rsidR="00257B2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C0106">
        <w:rPr>
          <w:rFonts w:ascii="Arial" w:hAnsi="Arial" w:cs="Arial"/>
          <w:b/>
          <w:sz w:val="20"/>
          <w:szCs w:val="20"/>
        </w:rPr>
        <w:t>Příslušnost</w:t>
      </w:r>
      <w:proofErr w:type="gramEnd"/>
      <w:r w:rsidRPr="001C0106">
        <w:rPr>
          <w:rFonts w:ascii="Arial" w:hAnsi="Arial" w:cs="Arial"/>
          <w:b/>
          <w:sz w:val="20"/>
          <w:szCs w:val="20"/>
        </w:rPr>
        <w:t xml:space="preserve"> volebních okrsků v zahraničí do volebních krajů v letech 2002–2013</w:t>
      </w:r>
    </w:p>
    <w:tbl>
      <w:tblPr>
        <w:tblStyle w:val="Mkatabulky"/>
        <w:tblW w:w="8647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134"/>
        <w:gridCol w:w="1134"/>
        <w:gridCol w:w="1134"/>
        <w:gridCol w:w="1417"/>
        <w:gridCol w:w="1276"/>
      </w:tblGrid>
      <w:tr w:rsidR="00BA49FB" w:rsidRPr="001A6C03" w:rsidTr="00F92843">
        <w:trPr>
          <w:trHeight w:val="687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49FB" w:rsidRPr="001A6C03" w:rsidRDefault="00BA49FB" w:rsidP="00F92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6C03">
              <w:rPr>
                <w:rFonts w:ascii="Arial" w:hAnsi="Arial" w:cs="Arial"/>
                <w:b/>
                <w:sz w:val="20"/>
                <w:szCs w:val="20"/>
              </w:rPr>
              <w:t>Volební rok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49FB" w:rsidRPr="001A6C03" w:rsidRDefault="00BA49FB" w:rsidP="00F92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6C03">
              <w:rPr>
                <w:rFonts w:ascii="Arial" w:hAnsi="Arial" w:cs="Arial"/>
                <w:b/>
                <w:sz w:val="20"/>
                <w:szCs w:val="20"/>
              </w:rPr>
              <w:t>Volební</w:t>
            </w:r>
          </w:p>
          <w:p w:rsidR="00BA49FB" w:rsidRPr="001A6C03" w:rsidRDefault="00BA49FB" w:rsidP="00F92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6C03">
              <w:rPr>
                <w:rFonts w:ascii="Arial" w:hAnsi="Arial" w:cs="Arial"/>
                <w:b/>
                <w:sz w:val="20"/>
                <w:szCs w:val="20"/>
              </w:rPr>
              <w:t>kraj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49FB" w:rsidRPr="001A6C03" w:rsidRDefault="00BA49FB" w:rsidP="00F92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6C03">
              <w:rPr>
                <w:rFonts w:ascii="Arial" w:hAnsi="Arial" w:cs="Arial"/>
                <w:b/>
                <w:sz w:val="20"/>
                <w:szCs w:val="20"/>
              </w:rPr>
              <w:t>Počet okrsků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49FB" w:rsidRPr="001A6C03" w:rsidRDefault="00BA49FB" w:rsidP="00F92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6C03">
              <w:rPr>
                <w:rFonts w:ascii="Arial" w:hAnsi="Arial" w:cs="Arial"/>
                <w:b/>
                <w:sz w:val="20"/>
                <w:szCs w:val="20"/>
              </w:rPr>
              <w:t>Voliči v seznamu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49FB" w:rsidRPr="001A6C03" w:rsidRDefault="00BA49FB" w:rsidP="00F92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6C03">
              <w:rPr>
                <w:rFonts w:ascii="Arial" w:hAnsi="Arial" w:cs="Arial"/>
                <w:b/>
                <w:sz w:val="20"/>
                <w:szCs w:val="20"/>
              </w:rPr>
              <w:t>Vydané obálky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49FB" w:rsidRPr="001A6C03" w:rsidRDefault="00BA49FB" w:rsidP="00F92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6C03">
              <w:rPr>
                <w:rFonts w:ascii="Arial" w:hAnsi="Arial" w:cs="Arial"/>
                <w:b/>
                <w:sz w:val="20"/>
                <w:szCs w:val="20"/>
              </w:rPr>
              <w:t>Odevzdané obálky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49FB" w:rsidRPr="001A6C03" w:rsidRDefault="00BA49FB" w:rsidP="00F92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6C03">
              <w:rPr>
                <w:rFonts w:ascii="Arial" w:hAnsi="Arial" w:cs="Arial"/>
                <w:b/>
                <w:sz w:val="20"/>
                <w:szCs w:val="20"/>
              </w:rPr>
              <w:t>Volební účast v %</w:t>
            </w:r>
          </w:p>
        </w:tc>
      </w:tr>
      <w:tr w:rsidR="00BA49FB" w:rsidRPr="001C0106" w:rsidTr="00F92843">
        <w:trPr>
          <w:trHeight w:val="400"/>
        </w:trPr>
        <w:tc>
          <w:tcPr>
            <w:tcW w:w="993" w:type="dxa"/>
            <w:tcBorders>
              <w:top w:val="single" w:sz="12" w:space="0" w:color="auto"/>
              <w:bottom w:val="nil"/>
            </w:tcBorders>
            <w:vAlign w:val="center"/>
          </w:tcPr>
          <w:p w:rsidR="00BA49FB" w:rsidRPr="00B07C9B" w:rsidRDefault="00BA49FB" w:rsidP="00F92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vAlign w:val="center"/>
          </w:tcPr>
          <w:p w:rsidR="00BA49FB" w:rsidRPr="00B07C9B" w:rsidRDefault="00C30F5D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JMK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center"/>
          </w:tcPr>
          <w:p w:rsidR="00BA49FB" w:rsidRPr="00B07C9B" w:rsidRDefault="00BA49FB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center"/>
          </w:tcPr>
          <w:p w:rsidR="00BA49FB" w:rsidRPr="00B07C9B" w:rsidRDefault="00BA49FB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4 135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center"/>
          </w:tcPr>
          <w:p w:rsidR="00BA49FB" w:rsidRPr="00B07C9B" w:rsidRDefault="00BA49FB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3 763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vAlign w:val="center"/>
          </w:tcPr>
          <w:p w:rsidR="00BA49FB" w:rsidRPr="00B07C9B" w:rsidRDefault="00BA49FB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3 762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vAlign w:val="center"/>
          </w:tcPr>
          <w:p w:rsidR="00BA49FB" w:rsidRPr="00B07C9B" w:rsidRDefault="00BA49FB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91,00</w:t>
            </w:r>
          </w:p>
        </w:tc>
      </w:tr>
      <w:tr w:rsidR="00BA49FB" w:rsidRPr="001C0106" w:rsidTr="00F92843">
        <w:trPr>
          <w:trHeight w:val="420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BA49FB" w:rsidRPr="00B07C9B" w:rsidRDefault="00BA49FB" w:rsidP="00F92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BA49FB" w:rsidRPr="00B07C9B" w:rsidRDefault="00C30F5D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JČK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A49FB" w:rsidRPr="00B07C9B" w:rsidRDefault="00BA49FB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A49FB" w:rsidRPr="00B07C9B" w:rsidRDefault="00BA49FB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8 041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A49FB" w:rsidRPr="00B07C9B" w:rsidRDefault="00BA49FB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6 744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A49FB" w:rsidRPr="00B07C9B" w:rsidRDefault="00BA49FB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6 743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A49FB" w:rsidRPr="00B07C9B" w:rsidRDefault="00BA49FB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83,87</w:t>
            </w:r>
          </w:p>
        </w:tc>
      </w:tr>
      <w:tr w:rsidR="00BA49FB" w:rsidRPr="001C0106" w:rsidTr="00F92843">
        <w:trPr>
          <w:trHeight w:val="412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BA49FB" w:rsidRPr="00B07C9B" w:rsidRDefault="00BA49FB" w:rsidP="00F92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BA49FB" w:rsidRPr="00B07C9B" w:rsidRDefault="00C30F5D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JCK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A49FB" w:rsidRPr="00B07C9B" w:rsidRDefault="00BA49FB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A49FB" w:rsidRPr="00B07C9B" w:rsidRDefault="00BA49FB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10 667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A49FB" w:rsidRPr="00B07C9B" w:rsidRDefault="00BA49FB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8 222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A49FB" w:rsidRPr="00B07C9B" w:rsidRDefault="00BA49FB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8 211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A49FB" w:rsidRPr="00B07C9B" w:rsidRDefault="00BA49FB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77,08</w:t>
            </w:r>
          </w:p>
        </w:tc>
      </w:tr>
      <w:tr w:rsidR="00BA49FB" w:rsidRPr="001C0106" w:rsidTr="00F92843">
        <w:trPr>
          <w:trHeight w:val="417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BA49FB" w:rsidRPr="00B07C9B" w:rsidRDefault="00BA49FB" w:rsidP="00F92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BA49FB" w:rsidRPr="00B07C9B" w:rsidRDefault="00C30F5D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STČ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A49FB" w:rsidRPr="00B07C9B" w:rsidRDefault="00BA49FB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A49FB" w:rsidRPr="00B07C9B" w:rsidRDefault="00BA49FB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14 132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A49FB" w:rsidRPr="00B07C9B" w:rsidRDefault="00BA49FB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10 571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A49FB" w:rsidRPr="00B07C9B" w:rsidRDefault="00BA49FB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10 567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A49FB" w:rsidRPr="00B07C9B" w:rsidRDefault="00BA49FB" w:rsidP="00F92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9B">
              <w:rPr>
                <w:rFonts w:ascii="Arial" w:hAnsi="Arial" w:cs="Arial"/>
                <w:sz w:val="20"/>
                <w:szCs w:val="20"/>
              </w:rPr>
              <w:t>74,80</w:t>
            </w:r>
          </w:p>
        </w:tc>
      </w:tr>
    </w:tbl>
    <w:p w:rsidR="00BA49FB" w:rsidRPr="001C0106" w:rsidRDefault="00BA49FB" w:rsidP="00BA49FB">
      <w:pPr>
        <w:spacing w:after="0" w:line="240" w:lineRule="auto"/>
        <w:jc w:val="center"/>
        <w:rPr>
          <w:rFonts w:cs="Arial"/>
          <w:sz w:val="32"/>
          <w:szCs w:val="32"/>
        </w:rPr>
      </w:pPr>
    </w:p>
    <w:p w:rsidR="00BA49FB" w:rsidRPr="00E63D80" w:rsidRDefault="00BA49FB" w:rsidP="00BA49FB">
      <w:pPr>
        <w:jc w:val="both"/>
        <w:rPr>
          <w:rFonts w:ascii="Arial" w:hAnsi="Arial" w:cs="Arial"/>
          <w:bCs/>
          <w:sz w:val="20"/>
          <w:szCs w:val="20"/>
        </w:rPr>
      </w:pPr>
      <w:r w:rsidRPr="00E63D80">
        <w:rPr>
          <w:rFonts w:ascii="Arial" w:hAnsi="Arial" w:cs="Arial"/>
          <w:bCs/>
          <w:sz w:val="20"/>
          <w:szCs w:val="20"/>
        </w:rPr>
        <w:t>Legislativa pro rozdělování mandátů stranám doznala během uplynulých 20 let několika změn.</w:t>
      </w:r>
      <w:r w:rsidR="007E53B7">
        <w:rPr>
          <w:rFonts w:ascii="Arial" w:hAnsi="Arial" w:cs="Arial"/>
          <w:bCs/>
          <w:sz w:val="20"/>
          <w:szCs w:val="20"/>
        </w:rPr>
        <w:t xml:space="preserve"> </w:t>
      </w:r>
      <w:r w:rsidRPr="00E63D80">
        <w:rPr>
          <w:rFonts w:ascii="Arial" w:hAnsi="Arial" w:cs="Arial"/>
          <w:bCs/>
          <w:sz w:val="20"/>
          <w:szCs w:val="20"/>
        </w:rPr>
        <w:t xml:space="preserve">Zásadní změnu do přepočítávání výsledků hlasování na mandáty přinesl zákon č. 204/2000 Sb. a jeho novela č. 37/2002, podle kterých probíhaly volby od roku 2002. Tímto zákonem bylo ustanoveno, že pro přepočet hlasů na mandáty bude používána </w:t>
      </w:r>
      <w:proofErr w:type="spellStart"/>
      <w:r w:rsidRPr="00E63D80">
        <w:rPr>
          <w:rFonts w:ascii="Arial" w:hAnsi="Arial" w:cs="Arial"/>
          <w:bCs/>
          <w:sz w:val="20"/>
          <w:szCs w:val="20"/>
        </w:rPr>
        <w:t>d´Hondtova</w:t>
      </w:r>
      <w:proofErr w:type="spellEnd"/>
      <w:r w:rsidRPr="00E63D80">
        <w:rPr>
          <w:rFonts w:ascii="Arial" w:hAnsi="Arial" w:cs="Arial"/>
          <w:bCs/>
          <w:sz w:val="20"/>
          <w:szCs w:val="20"/>
        </w:rPr>
        <w:t xml:space="preserve"> metoda</w:t>
      </w:r>
      <w:r w:rsidR="007E53B7">
        <w:rPr>
          <w:rFonts w:ascii="Arial" w:hAnsi="Arial" w:cs="Arial"/>
          <w:bCs/>
          <w:sz w:val="20"/>
          <w:szCs w:val="20"/>
        </w:rPr>
        <w:t xml:space="preserve"> </w:t>
      </w:r>
      <w:r w:rsidRPr="00E63D80">
        <w:rPr>
          <w:rFonts w:ascii="Arial" w:hAnsi="Arial" w:cs="Arial"/>
          <w:bCs/>
          <w:sz w:val="20"/>
          <w:szCs w:val="20"/>
        </w:rPr>
        <w:t>(řa</w:t>
      </w:r>
      <w:r w:rsidR="00CF59F1">
        <w:rPr>
          <w:rFonts w:ascii="Arial" w:hAnsi="Arial" w:cs="Arial"/>
          <w:bCs/>
          <w:sz w:val="20"/>
          <w:szCs w:val="20"/>
        </w:rPr>
        <w:t>da dělitelů počínající číslem 1 </w:t>
      </w:r>
      <w:r w:rsidRPr="00E63D80">
        <w:rPr>
          <w:rFonts w:ascii="Arial" w:hAnsi="Arial" w:cs="Arial"/>
          <w:bCs/>
          <w:sz w:val="20"/>
          <w:szCs w:val="20"/>
        </w:rPr>
        <w:t>a pokračujících čísly 2,</w:t>
      </w:r>
      <w:r w:rsidR="007E53B7">
        <w:rPr>
          <w:rFonts w:ascii="Arial" w:hAnsi="Arial" w:cs="Arial"/>
          <w:bCs/>
          <w:sz w:val="20"/>
          <w:szCs w:val="20"/>
        </w:rPr>
        <w:t xml:space="preserve"> </w:t>
      </w:r>
      <w:r w:rsidRPr="00E63D80">
        <w:rPr>
          <w:rFonts w:ascii="Arial" w:hAnsi="Arial" w:cs="Arial"/>
          <w:bCs/>
          <w:sz w:val="20"/>
          <w:szCs w:val="20"/>
        </w:rPr>
        <w:t>3,</w:t>
      </w:r>
      <w:r w:rsidR="007E53B7">
        <w:rPr>
          <w:rFonts w:ascii="Arial" w:hAnsi="Arial" w:cs="Arial"/>
          <w:bCs/>
          <w:sz w:val="20"/>
          <w:szCs w:val="20"/>
        </w:rPr>
        <w:t xml:space="preserve"> </w:t>
      </w:r>
      <w:r w:rsidRPr="00E63D80">
        <w:rPr>
          <w:rFonts w:ascii="Arial" w:hAnsi="Arial" w:cs="Arial"/>
          <w:bCs/>
          <w:sz w:val="20"/>
          <w:szCs w:val="20"/>
        </w:rPr>
        <w:t>4 atd.).</w:t>
      </w:r>
      <w:r w:rsidR="007E53B7">
        <w:rPr>
          <w:rFonts w:ascii="Arial" w:hAnsi="Arial" w:cs="Arial"/>
          <w:bCs/>
          <w:sz w:val="20"/>
          <w:szCs w:val="20"/>
        </w:rPr>
        <w:t xml:space="preserve"> </w:t>
      </w:r>
      <w:r w:rsidRPr="00E63D80">
        <w:rPr>
          <w:rFonts w:ascii="Arial" w:hAnsi="Arial" w:cs="Arial"/>
          <w:bCs/>
          <w:sz w:val="20"/>
          <w:szCs w:val="20"/>
        </w:rPr>
        <w:t>Všechny mandáty byly rozdělovány v jednom skrutiniu. Aby volební strana postoupila do skrutinia (rozdělování mandátů v krajích), musela</w:t>
      </w:r>
      <w:r w:rsidR="007E53B7">
        <w:rPr>
          <w:rFonts w:ascii="Arial" w:hAnsi="Arial" w:cs="Arial"/>
          <w:bCs/>
          <w:sz w:val="20"/>
          <w:szCs w:val="20"/>
        </w:rPr>
        <w:t xml:space="preserve"> </w:t>
      </w:r>
      <w:r w:rsidRPr="00E63D80">
        <w:rPr>
          <w:rFonts w:ascii="Arial" w:hAnsi="Arial" w:cs="Arial"/>
          <w:bCs/>
          <w:sz w:val="20"/>
          <w:szCs w:val="20"/>
        </w:rPr>
        <w:t>získat alespoň 5 % všech platných hlasů, v případě koalic se toto číslo násobilo počtem stran, ze kterých se koalice skládá, až po 20 %. (P</w:t>
      </w:r>
      <w:r>
        <w:rPr>
          <w:rFonts w:ascii="Arial" w:hAnsi="Arial" w:cs="Arial"/>
          <w:bCs/>
          <w:sz w:val="20"/>
          <w:szCs w:val="20"/>
        </w:rPr>
        <w:t>ozn. P</w:t>
      </w:r>
      <w:r w:rsidRPr="00E63D80">
        <w:rPr>
          <w:rFonts w:ascii="Arial" w:hAnsi="Arial" w:cs="Arial"/>
          <w:bCs/>
          <w:sz w:val="20"/>
          <w:szCs w:val="20"/>
        </w:rPr>
        <w:t>řed přijetím tohoto zákona</w:t>
      </w:r>
      <w:r w:rsidR="007E53B7">
        <w:rPr>
          <w:rFonts w:ascii="Arial" w:hAnsi="Arial" w:cs="Arial"/>
          <w:bCs/>
          <w:sz w:val="20"/>
          <w:szCs w:val="20"/>
        </w:rPr>
        <w:t xml:space="preserve"> </w:t>
      </w:r>
      <w:r w:rsidRPr="00E63D80">
        <w:rPr>
          <w:rFonts w:ascii="Arial" w:hAnsi="Arial" w:cs="Arial"/>
          <w:bCs/>
          <w:sz w:val="20"/>
          <w:szCs w:val="20"/>
        </w:rPr>
        <w:t>ve volbách 1996 a 1998 stačilo</w:t>
      </w:r>
      <w:r w:rsidR="007E53B7">
        <w:rPr>
          <w:rFonts w:ascii="Arial" w:hAnsi="Arial" w:cs="Arial"/>
          <w:bCs/>
          <w:sz w:val="20"/>
          <w:szCs w:val="20"/>
        </w:rPr>
        <w:t xml:space="preserve"> </w:t>
      </w:r>
      <w:r w:rsidRPr="00E63D80">
        <w:rPr>
          <w:rFonts w:ascii="Arial" w:hAnsi="Arial" w:cs="Arial"/>
          <w:bCs/>
          <w:sz w:val="20"/>
          <w:szCs w:val="20"/>
        </w:rPr>
        <w:t xml:space="preserve">dvoučlenné koalici 7 %, tříčlenné 9 % a vícečlenné 11 % platných hlasů a volební výsledky byly zjišťovány pomocí </w:t>
      </w:r>
      <w:proofErr w:type="spellStart"/>
      <w:r w:rsidRPr="00E63D80">
        <w:rPr>
          <w:rFonts w:ascii="Arial" w:hAnsi="Arial" w:cs="Arial"/>
          <w:bCs/>
          <w:sz w:val="20"/>
          <w:szCs w:val="20"/>
        </w:rPr>
        <w:t>Hagenbach-Bishoffovy</w:t>
      </w:r>
      <w:proofErr w:type="spellEnd"/>
      <w:r w:rsidRPr="00E63D80">
        <w:rPr>
          <w:rFonts w:ascii="Arial" w:hAnsi="Arial" w:cs="Arial"/>
          <w:bCs/>
          <w:sz w:val="20"/>
          <w:szCs w:val="20"/>
        </w:rPr>
        <w:t xml:space="preserve"> kvóty).</w:t>
      </w:r>
      <w:r w:rsidR="007E53B7">
        <w:rPr>
          <w:rFonts w:ascii="Arial" w:hAnsi="Arial" w:cs="Arial"/>
          <w:bCs/>
          <w:sz w:val="20"/>
          <w:szCs w:val="20"/>
        </w:rPr>
        <w:t xml:space="preserve"> </w:t>
      </w:r>
      <w:r w:rsidRPr="00E63D80">
        <w:rPr>
          <w:rFonts w:ascii="Arial" w:hAnsi="Arial" w:cs="Arial"/>
          <w:bCs/>
          <w:sz w:val="20"/>
          <w:szCs w:val="20"/>
        </w:rPr>
        <w:t>Mandáty přidělené stranám v rámci volebních krajů získávali kandidáti podle pořadí, v jakém byli uvedeni na hlasovacím lístku. Voliči mohli toto pořadí změnit udělením přednostních hlasů kandidátovi (§50 Zákona). Pro postup kandidáta na přednostní přidělení mandátu stanovil zákon č. 480/2006 Sb. zisk nejméně 5 % přednostních hlasů. Před zavedením této změny to bylo 10 % v letech 1996 a 1998 a 7 % přednostních hlasů v letech 2002 a 2006.</w:t>
      </w:r>
    </w:p>
    <w:p w:rsidR="00BA49FB" w:rsidRPr="00E63D80" w:rsidRDefault="00BA49FB" w:rsidP="00BA49FB">
      <w:pPr>
        <w:jc w:val="both"/>
        <w:rPr>
          <w:rFonts w:ascii="Arial" w:hAnsi="Arial" w:cs="Arial"/>
          <w:bCs/>
          <w:sz w:val="20"/>
          <w:szCs w:val="20"/>
        </w:rPr>
      </w:pPr>
      <w:r w:rsidRPr="00E63D80">
        <w:rPr>
          <w:rFonts w:ascii="Arial" w:hAnsi="Arial" w:cs="Arial"/>
          <w:bCs/>
          <w:sz w:val="20"/>
          <w:szCs w:val="20"/>
        </w:rPr>
        <w:t xml:space="preserve">První volby do PS PČR proběhly na přelomu května a června 1996. Vládní koalice, která vzešla z těchto voleb, však nevydržela celé volební období, a proto se další volby uskutečnily již 19. a 20. června 1998. Od té doby proběhly volby do PS PČR třikrát v řádném termínu po uplynutí poslaneckého mandátu poslanců a to v letech 2002, 2006 a 2010. Následující, a zatím poslední volby </w:t>
      </w:r>
      <w:r w:rsidRPr="00E63D80">
        <w:rPr>
          <w:rFonts w:ascii="Arial" w:hAnsi="Arial" w:cs="Arial"/>
          <w:bCs/>
          <w:sz w:val="20"/>
          <w:szCs w:val="20"/>
        </w:rPr>
        <w:lastRenderedPageBreak/>
        <w:t>do PS PČR, proběhly v </w:t>
      </w:r>
      <w:r w:rsidR="007E53B7" w:rsidRPr="00E63D80">
        <w:rPr>
          <w:rFonts w:ascii="Arial" w:hAnsi="Arial" w:cs="Arial"/>
          <w:bCs/>
          <w:sz w:val="20"/>
          <w:szCs w:val="20"/>
        </w:rPr>
        <w:t xml:space="preserve">mimořádném </w:t>
      </w:r>
      <w:r w:rsidR="007E53B7">
        <w:rPr>
          <w:rFonts w:ascii="Arial" w:hAnsi="Arial" w:cs="Arial"/>
          <w:bCs/>
          <w:sz w:val="20"/>
          <w:szCs w:val="20"/>
        </w:rPr>
        <w:t>termínu</w:t>
      </w:r>
      <w:r w:rsidRPr="00E63D80">
        <w:rPr>
          <w:rFonts w:ascii="Arial" w:hAnsi="Arial" w:cs="Arial"/>
          <w:bCs/>
          <w:sz w:val="20"/>
          <w:szCs w:val="20"/>
        </w:rPr>
        <w:t xml:space="preserve">, o cca 7 měsíců dříve než zvoleným poslancům skončil mandát, a to 25. a 26. října 2013. </w:t>
      </w:r>
    </w:p>
    <w:p w:rsidR="00BA49FB" w:rsidRPr="00E63D80" w:rsidRDefault="00BA49FB" w:rsidP="00BA49FB">
      <w:pPr>
        <w:jc w:val="both"/>
        <w:rPr>
          <w:rFonts w:ascii="Arial" w:hAnsi="Arial" w:cs="Arial"/>
          <w:bCs/>
          <w:sz w:val="20"/>
          <w:szCs w:val="20"/>
        </w:rPr>
      </w:pPr>
      <w:r w:rsidRPr="00E63D80">
        <w:rPr>
          <w:rFonts w:ascii="Arial" w:hAnsi="Arial" w:cs="Arial"/>
          <w:bCs/>
          <w:sz w:val="20"/>
          <w:szCs w:val="20"/>
        </w:rPr>
        <w:t>Pro volby do Senátu bylo podle Zákona vytvořeno na území ČR celkem 81 volebních obvodů. Vymezení senátních volebních obvodů se každé 2 roky mění na základě změny počtu obyvatel v jednotlivých senátních obvodech, pokud dojde k nárůstu či poklesu počtu obyvatel o více než 1</w:t>
      </w:r>
      <w:r>
        <w:rPr>
          <w:rFonts w:ascii="Arial" w:hAnsi="Arial" w:cs="Arial"/>
          <w:bCs/>
          <w:sz w:val="20"/>
          <w:szCs w:val="20"/>
        </w:rPr>
        <w:t>5</w:t>
      </w:r>
      <w:r w:rsidRPr="00E63D80">
        <w:rPr>
          <w:rFonts w:ascii="Arial" w:hAnsi="Arial" w:cs="Arial"/>
          <w:bCs/>
          <w:sz w:val="20"/>
          <w:szCs w:val="20"/>
        </w:rPr>
        <w:t xml:space="preserve"> %. V každém volebním (senátním) obvodu se volil jeden senátor na dobu šesti let. Každé </w:t>
      </w:r>
      <w:r w:rsidRPr="00810C31">
        <w:rPr>
          <w:rFonts w:ascii="Arial" w:hAnsi="Arial" w:cs="Arial"/>
          <w:bCs/>
          <w:sz w:val="20"/>
          <w:szCs w:val="20"/>
        </w:rPr>
        <w:t xml:space="preserve">dva </w:t>
      </w:r>
      <w:r w:rsidRPr="00E63D80">
        <w:rPr>
          <w:rFonts w:ascii="Arial" w:hAnsi="Arial" w:cs="Arial"/>
          <w:bCs/>
          <w:sz w:val="20"/>
          <w:szCs w:val="20"/>
        </w:rPr>
        <w:t>roky se obmění jedna třetina senátorů novou volbou. Volby do Senátu se konaly na základě všeobecného, rovného a přímého volebního práva tajným hlasováním, podle zásady většinového volebního systému. Pro zisk mandátu bylo nutné v jednomandátovém volebním obvodu získat nadpoloviční většinu odevzdaných platných hlasů. Pokud žádný z kandidátů nezískal nadpoloviční většinu platných hlasů v prvním kole, konalo se druhé kolo voleb, do kterého postoupili dva kandidáti s nejvyšším počtem hlasů získaných v prvním kole.</w:t>
      </w:r>
    </w:p>
    <w:p w:rsidR="00BA49FB" w:rsidRDefault="00BA49FB" w:rsidP="00BA49FB">
      <w:pPr>
        <w:jc w:val="both"/>
        <w:rPr>
          <w:rFonts w:ascii="Arial" w:hAnsi="Arial" w:cs="Arial"/>
          <w:bCs/>
          <w:sz w:val="20"/>
          <w:szCs w:val="20"/>
        </w:rPr>
      </w:pPr>
      <w:r w:rsidRPr="00E63D80">
        <w:rPr>
          <w:rFonts w:ascii="Arial" w:hAnsi="Arial" w:cs="Arial"/>
          <w:bCs/>
          <w:sz w:val="20"/>
          <w:szCs w:val="20"/>
        </w:rPr>
        <w:t>Volby do horní komory PČR proběhly poprvé v listopadu 1996 ve všech 81 volebních obvodech. Dále pravidelně každé 2 roky vždy v jedné třetině Senátu. Obměna mandátů této komory parlamentu je tudíž plynulejší a méně výrazná.</w:t>
      </w:r>
      <w:r>
        <w:rPr>
          <w:rFonts w:ascii="Arial" w:hAnsi="Arial" w:cs="Arial"/>
          <w:bCs/>
          <w:sz w:val="20"/>
          <w:szCs w:val="20"/>
        </w:rPr>
        <w:t xml:space="preserve"> Jelikož šlo v roce 1996 o první volby do S</w:t>
      </w:r>
      <w:r w:rsidRPr="00E63D80">
        <w:rPr>
          <w:rFonts w:ascii="Arial" w:hAnsi="Arial" w:cs="Arial"/>
          <w:bCs/>
          <w:sz w:val="20"/>
          <w:szCs w:val="20"/>
        </w:rPr>
        <w:t>enátu</w:t>
      </w:r>
      <w:r>
        <w:rPr>
          <w:rFonts w:ascii="Arial" w:hAnsi="Arial" w:cs="Arial"/>
          <w:bCs/>
          <w:sz w:val="20"/>
          <w:szCs w:val="20"/>
        </w:rPr>
        <w:t xml:space="preserve"> PČR</w:t>
      </w:r>
      <w:r w:rsidRPr="00E63D80">
        <w:rPr>
          <w:rFonts w:ascii="Arial" w:hAnsi="Arial" w:cs="Arial"/>
          <w:bCs/>
          <w:sz w:val="20"/>
          <w:szCs w:val="20"/>
        </w:rPr>
        <w:t>, 1/3 obvodů volila senátora na 2 roky, 1/3 zvolila senátora se čtyřletým mandáte</w:t>
      </w:r>
      <w:r w:rsidR="00CF59F1">
        <w:rPr>
          <w:rFonts w:ascii="Arial" w:hAnsi="Arial" w:cs="Arial"/>
          <w:bCs/>
          <w:sz w:val="20"/>
          <w:szCs w:val="20"/>
        </w:rPr>
        <w:t>m a pouze 1/3 volila senátora s </w:t>
      </w:r>
      <w:r w:rsidRPr="00E63D80">
        <w:rPr>
          <w:rFonts w:ascii="Arial" w:hAnsi="Arial" w:cs="Arial"/>
          <w:bCs/>
          <w:sz w:val="20"/>
          <w:szCs w:val="20"/>
        </w:rPr>
        <w:t xml:space="preserve">ústavou předepsaným šestiletým mandátem. </w:t>
      </w:r>
    </w:p>
    <w:p w:rsidR="00BA49FB" w:rsidRPr="00E63D80" w:rsidRDefault="00BA49FB" w:rsidP="00BA49FB">
      <w:pPr>
        <w:jc w:val="both"/>
        <w:rPr>
          <w:rFonts w:ascii="Arial" w:hAnsi="Arial" w:cs="Arial"/>
          <w:bCs/>
          <w:sz w:val="20"/>
          <w:szCs w:val="20"/>
        </w:rPr>
      </w:pPr>
      <w:r w:rsidRPr="00E63D80">
        <w:rPr>
          <w:rFonts w:ascii="Arial" w:hAnsi="Arial" w:cs="Arial"/>
          <w:bCs/>
          <w:sz w:val="20"/>
          <w:szCs w:val="20"/>
        </w:rPr>
        <w:t>Ve volbách do Senátu dávají voliči obvykle větší důraz na kandidujíc</w:t>
      </w:r>
      <w:r w:rsidR="00CF59F1">
        <w:rPr>
          <w:rFonts w:ascii="Arial" w:hAnsi="Arial" w:cs="Arial"/>
          <w:bCs/>
          <w:sz w:val="20"/>
          <w:szCs w:val="20"/>
        </w:rPr>
        <w:t>í osobnosti, zatímco u voleb do </w:t>
      </w:r>
      <w:r w:rsidRPr="00E63D80">
        <w:rPr>
          <w:rFonts w:ascii="Arial" w:hAnsi="Arial" w:cs="Arial"/>
          <w:bCs/>
          <w:sz w:val="20"/>
          <w:szCs w:val="20"/>
        </w:rPr>
        <w:t xml:space="preserve">dolní komory </w:t>
      </w:r>
      <w:r>
        <w:rPr>
          <w:rFonts w:ascii="Arial" w:hAnsi="Arial" w:cs="Arial"/>
          <w:bCs/>
          <w:sz w:val="20"/>
          <w:szCs w:val="20"/>
        </w:rPr>
        <w:t xml:space="preserve">PČR </w:t>
      </w:r>
      <w:r w:rsidRPr="00E63D80">
        <w:rPr>
          <w:rFonts w:ascii="Arial" w:hAnsi="Arial" w:cs="Arial"/>
          <w:bCs/>
          <w:sz w:val="20"/>
          <w:szCs w:val="20"/>
        </w:rPr>
        <w:t xml:space="preserve">už z volebního systému vyplývá upřednostňování strany. Osobnosti lze zvýhodnit pouze přednostním hlasem. </w:t>
      </w:r>
    </w:p>
    <w:p w:rsidR="00BA49FB" w:rsidRDefault="00BA49FB" w:rsidP="00BA49F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06381">
        <w:rPr>
          <w:rFonts w:ascii="Arial" w:hAnsi="Arial" w:cs="Arial"/>
          <w:sz w:val="20"/>
          <w:szCs w:val="20"/>
        </w:rPr>
        <w:t xml:space="preserve">Nálady voličů a jejich ochotu ovlivňovat aktivně ve volbách politickou scénu vidíme nejlépe z volební účasti. </w:t>
      </w:r>
      <w:r>
        <w:rPr>
          <w:rFonts w:ascii="Arial" w:hAnsi="Arial" w:cs="Arial"/>
          <w:sz w:val="20"/>
          <w:szCs w:val="20"/>
        </w:rPr>
        <w:t>Jak je patrné</w:t>
      </w:r>
      <w:r w:rsidR="007E53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 grafu 1, prvních a druhých voleb do PS se účastnilo nejvíce </w:t>
      </w:r>
      <w:r w:rsidR="007E53B7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přibližně tři čtvrtiny </w:t>
      </w:r>
      <w:r w:rsidR="007E53B7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voličů. V roce 2002 nastal prudký pokles zájmu voličů o volby, volební </w:t>
      </w:r>
      <w:r w:rsidR="00CF59F1">
        <w:rPr>
          <w:rFonts w:ascii="Arial" w:hAnsi="Arial" w:cs="Arial"/>
          <w:sz w:val="20"/>
          <w:szCs w:val="20"/>
        </w:rPr>
        <w:t>účast byla nejnižší ze </w:t>
      </w:r>
      <w:r>
        <w:rPr>
          <w:rFonts w:ascii="Arial" w:hAnsi="Arial" w:cs="Arial"/>
          <w:sz w:val="20"/>
          <w:szCs w:val="20"/>
        </w:rPr>
        <w:t xml:space="preserve">všech voleb do PS. V následujících volbách v roce 2006 účast voličů dosti významně vzrostla, k volebním urnám přišlo téměř 65 % oprávněných voličů. V dalších letech zaznamenala účast mírný pokles a držela se kolem 60 %. </w:t>
      </w:r>
    </w:p>
    <w:p w:rsidR="00BA49FB" w:rsidRDefault="00BA49FB" w:rsidP="00BA49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A49FB" w:rsidRDefault="00BA49FB" w:rsidP="00BA49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A49FB" w:rsidRPr="00506381" w:rsidRDefault="00257B23" w:rsidP="00BA49FB">
      <w:pPr>
        <w:spacing w:after="6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Graf 1</w:t>
      </w:r>
      <w:r w:rsidR="007E53B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A49FB" w:rsidRPr="00506381">
        <w:rPr>
          <w:rFonts w:ascii="Arial" w:hAnsi="Arial" w:cs="Arial"/>
          <w:b/>
          <w:sz w:val="20"/>
          <w:szCs w:val="20"/>
        </w:rPr>
        <w:t>Účast</w:t>
      </w:r>
      <w:proofErr w:type="gramEnd"/>
      <w:r w:rsidR="00BA49FB" w:rsidRPr="00506381">
        <w:rPr>
          <w:rFonts w:ascii="Arial" w:hAnsi="Arial" w:cs="Arial"/>
          <w:b/>
          <w:sz w:val="20"/>
          <w:szCs w:val="20"/>
        </w:rPr>
        <w:t xml:space="preserve"> voličů na volbách do PS a Senátu PČR</w:t>
      </w:r>
      <w:r w:rsidR="00BA49FB">
        <w:rPr>
          <w:rFonts w:ascii="Arial" w:hAnsi="Arial" w:cs="Arial"/>
          <w:b/>
          <w:sz w:val="20"/>
          <w:szCs w:val="20"/>
        </w:rPr>
        <w:t xml:space="preserve"> v letech 1996–2014</w:t>
      </w:r>
    </w:p>
    <w:p w:rsidR="00BA49FB" w:rsidRPr="00506381" w:rsidRDefault="00BA49FB" w:rsidP="00BA49FB">
      <w:pPr>
        <w:jc w:val="both"/>
        <w:rPr>
          <w:rFonts w:ascii="Arial" w:hAnsi="Arial" w:cs="Arial"/>
          <w:sz w:val="20"/>
          <w:szCs w:val="20"/>
        </w:rPr>
      </w:pPr>
      <w:r w:rsidRPr="009E5D26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6C9EE8B2" wp14:editId="2751DFE3">
            <wp:extent cx="5760720" cy="2815109"/>
            <wp:effectExtent l="0" t="0" r="0" b="0"/>
            <wp:docPr id="15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49FB" w:rsidRPr="007E53B7" w:rsidRDefault="00BA49FB" w:rsidP="007E53B7">
      <w:pPr>
        <w:tabs>
          <w:tab w:val="left" w:pos="90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7E53B7">
        <w:rPr>
          <w:rFonts w:ascii="Arial" w:hAnsi="Arial" w:cs="Arial"/>
          <w:sz w:val="20"/>
          <w:szCs w:val="20"/>
        </w:rPr>
        <w:t>Volby do Senátu, s výjimkou prvních voleb v roce 1996, probíhaly vždy v souběhu s jinými volbami. S výjimkou roku 2002 probíhaly volby souběžné vždy s 1. kolem vo</w:t>
      </w:r>
      <w:r w:rsidR="00CF59F1">
        <w:rPr>
          <w:rFonts w:ascii="Arial" w:hAnsi="Arial" w:cs="Arial"/>
          <w:sz w:val="20"/>
          <w:szCs w:val="20"/>
        </w:rPr>
        <w:t>leb do Senátu. Účast voličů při </w:t>
      </w:r>
      <w:r w:rsidRPr="007E53B7">
        <w:rPr>
          <w:rFonts w:ascii="Arial" w:hAnsi="Arial" w:cs="Arial"/>
          <w:sz w:val="20"/>
          <w:szCs w:val="20"/>
        </w:rPr>
        <w:t xml:space="preserve">souběhu voleb byla ovlivněna účastí na souběžně konaných volbách. Z grafu 1 je patrné takřka pravidelné střídání vyšší a nižší volební účasti v 1. kole a to z toho důvodu, že vyšší účast je spojena s volbami do obecních a městských zastupitelstev, které jsou pro voliče atraktivnější (rok 1998, 2002 – </w:t>
      </w:r>
      <w:r w:rsidRPr="007E53B7">
        <w:rPr>
          <w:rFonts w:ascii="Arial" w:hAnsi="Arial" w:cs="Arial"/>
          <w:sz w:val="20"/>
          <w:szCs w:val="20"/>
        </w:rPr>
        <w:lastRenderedPageBreak/>
        <w:t>2. kolo, 2006, 2010 a 2014). V  letech 2000, 2004, 2008 a 2012 probíhal souběh s méně navštěvovanými volbami do krajských zastupitelstev. Druhé kolo voleb do Senátu se „těšilo“ obecně nejnižšímu zájmu voličů, historicky nejnižší účast byla zaznamenána v zatím posledních volbách v roce 2014 a to necelých 17 %.</w:t>
      </w:r>
    </w:p>
    <w:p w:rsidR="007E53B7" w:rsidRDefault="007E53B7" w:rsidP="007E5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49FB" w:rsidRPr="007E53B7" w:rsidRDefault="00BA49FB" w:rsidP="007E53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53B7">
        <w:rPr>
          <w:rFonts w:ascii="Arial" w:hAnsi="Arial" w:cs="Arial"/>
          <w:sz w:val="20"/>
          <w:szCs w:val="20"/>
        </w:rPr>
        <w:t>Dějiny novodobé PS se nesly v podstatě v nepravidelném střídání vítězství nejsilnějších politických subjektů ČSSD a ODS. Po celé sledované období měla v PS PČR zastoupení ještě KSČM a vyjma jednoho volebního období i KDU-ČSL. Tyto čtyři strany měly také po celou dobu rozhodující vliv v horní komoře PČR. Porovnáním a shrnutím výsledků voleb těchto stran, které budeme nazývat „tradiční“ nebo „velké“ parlamentní strany, bychom v této publikaci chtěli podat ucelený přehle</w:t>
      </w:r>
      <w:r w:rsidR="00CF59F1">
        <w:rPr>
          <w:rFonts w:ascii="Arial" w:hAnsi="Arial" w:cs="Arial"/>
          <w:sz w:val="20"/>
          <w:szCs w:val="20"/>
        </w:rPr>
        <w:t>d o </w:t>
      </w:r>
      <w:r w:rsidRPr="007E53B7">
        <w:rPr>
          <w:rFonts w:ascii="Arial" w:hAnsi="Arial" w:cs="Arial"/>
          <w:sz w:val="20"/>
          <w:szCs w:val="20"/>
        </w:rPr>
        <w:t>rozložení politických sil v Parlamentu České republiky po celou dobu jeho existence.</w:t>
      </w:r>
    </w:p>
    <w:p w:rsidR="007E53B7" w:rsidRDefault="007E53B7" w:rsidP="007E5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49FB" w:rsidRPr="007E53B7" w:rsidRDefault="00BA49FB" w:rsidP="007E53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53B7">
        <w:rPr>
          <w:rFonts w:ascii="Arial" w:hAnsi="Arial" w:cs="Arial"/>
          <w:sz w:val="20"/>
          <w:szCs w:val="20"/>
        </w:rPr>
        <w:t>Publikace nezahrnuje podrobné výsledky jednotlivých voleb ani vyčerpávající postup při provádění ustanoveních Zákona. Ty jsou součástí publikací vydávaných po každých uskutečněných volbách, případně souhrnných publikací k jednotlivým druhům voleb. Výsled</w:t>
      </w:r>
      <w:r w:rsidR="00CF59F1">
        <w:rPr>
          <w:rFonts w:ascii="Arial" w:hAnsi="Arial" w:cs="Arial"/>
          <w:sz w:val="20"/>
          <w:szCs w:val="20"/>
        </w:rPr>
        <w:t>ky voleb jsou uvedeny rovněž na </w:t>
      </w:r>
      <w:r w:rsidRPr="007E53B7">
        <w:rPr>
          <w:rFonts w:ascii="Arial" w:hAnsi="Arial" w:cs="Arial"/>
          <w:sz w:val="20"/>
          <w:szCs w:val="20"/>
        </w:rPr>
        <w:t xml:space="preserve">internetové adrese </w:t>
      </w:r>
      <w:hyperlink r:id="rId10" w:history="1">
        <w:r w:rsidRPr="007E53B7">
          <w:rPr>
            <w:rStyle w:val="Hypertextovodkaz"/>
            <w:rFonts w:ascii="Arial" w:hAnsi="Arial" w:cs="Arial"/>
            <w:sz w:val="20"/>
            <w:szCs w:val="20"/>
          </w:rPr>
          <w:t>www.volby.cz</w:t>
        </w:r>
      </w:hyperlink>
      <w:r w:rsidRPr="007E53B7">
        <w:rPr>
          <w:rFonts w:ascii="Arial" w:hAnsi="Arial" w:cs="Arial"/>
          <w:sz w:val="20"/>
          <w:szCs w:val="20"/>
        </w:rPr>
        <w:t xml:space="preserve">. </w:t>
      </w:r>
    </w:p>
    <w:p w:rsidR="00BA49FB" w:rsidRPr="007E53B7" w:rsidRDefault="00BA49FB" w:rsidP="007E5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49FB" w:rsidRPr="00506381" w:rsidRDefault="00BA49FB" w:rsidP="00BA49FB">
      <w:pPr>
        <w:jc w:val="both"/>
        <w:rPr>
          <w:rFonts w:ascii="Arial" w:hAnsi="Arial" w:cs="Arial"/>
          <w:sz w:val="20"/>
          <w:szCs w:val="20"/>
        </w:rPr>
      </w:pPr>
    </w:p>
    <w:p w:rsidR="00BA49FB" w:rsidRPr="00506381" w:rsidRDefault="00BA49FB" w:rsidP="00BA49FB">
      <w:pPr>
        <w:jc w:val="both"/>
        <w:rPr>
          <w:rFonts w:ascii="Arial" w:hAnsi="Arial" w:cs="Arial"/>
          <w:sz w:val="20"/>
          <w:szCs w:val="20"/>
        </w:rPr>
      </w:pPr>
    </w:p>
    <w:p w:rsidR="007142D9" w:rsidRDefault="007142D9" w:rsidP="00323532">
      <w:pPr>
        <w:jc w:val="center"/>
        <w:rPr>
          <w:b/>
          <w:sz w:val="44"/>
          <w:szCs w:val="44"/>
        </w:rPr>
      </w:pPr>
    </w:p>
    <w:p w:rsidR="00BA49FB" w:rsidRDefault="00BA49FB" w:rsidP="00323532">
      <w:pPr>
        <w:jc w:val="center"/>
        <w:rPr>
          <w:b/>
          <w:sz w:val="44"/>
          <w:szCs w:val="44"/>
        </w:rPr>
      </w:pPr>
    </w:p>
    <w:p w:rsidR="00BA49FB" w:rsidRDefault="00BA49FB" w:rsidP="00323532">
      <w:pPr>
        <w:jc w:val="center"/>
        <w:rPr>
          <w:b/>
          <w:sz w:val="44"/>
          <w:szCs w:val="44"/>
        </w:rPr>
      </w:pPr>
    </w:p>
    <w:p w:rsidR="00BA49FB" w:rsidRDefault="00BA49FB" w:rsidP="00323532">
      <w:pPr>
        <w:jc w:val="center"/>
        <w:rPr>
          <w:b/>
          <w:sz w:val="44"/>
          <w:szCs w:val="44"/>
        </w:rPr>
      </w:pPr>
    </w:p>
    <w:p w:rsidR="00BA49FB" w:rsidRDefault="00BA49FB" w:rsidP="00323532">
      <w:pPr>
        <w:jc w:val="center"/>
        <w:rPr>
          <w:b/>
          <w:sz w:val="44"/>
          <w:szCs w:val="44"/>
        </w:rPr>
      </w:pPr>
    </w:p>
    <w:p w:rsidR="00BA49FB" w:rsidRDefault="00BA49FB" w:rsidP="00323532">
      <w:pPr>
        <w:jc w:val="center"/>
        <w:rPr>
          <w:b/>
          <w:sz w:val="44"/>
          <w:szCs w:val="44"/>
        </w:rPr>
      </w:pPr>
    </w:p>
    <w:p w:rsidR="00BA49FB" w:rsidRDefault="00BA49FB" w:rsidP="00323532">
      <w:pPr>
        <w:jc w:val="center"/>
        <w:rPr>
          <w:b/>
          <w:sz w:val="44"/>
          <w:szCs w:val="44"/>
        </w:rPr>
      </w:pPr>
    </w:p>
    <w:p w:rsidR="00BA49FB" w:rsidRDefault="00BA49FB" w:rsidP="00323532">
      <w:pPr>
        <w:jc w:val="center"/>
        <w:rPr>
          <w:b/>
          <w:sz w:val="44"/>
          <w:szCs w:val="44"/>
        </w:rPr>
      </w:pPr>
    </w:p>
    <w:p w:rsidR="00BA49FB" w:rsidRDefault="00BA49FB" w:rsidP="00323532">
      <w:pPr>
        <w:jc w:val="center"/>
        <w:rPr>
          <w:b/>
          <w:sz w:val="44"/>
          <w:szCs w:val="44"/>
        </w:rPr>
      </w:pPr>
    </w:p>
    <w:p w:rsidR="00BA49FB" w:rsidRDefault="00BA49FB" w:rsidP="00323532">
      <w:pPr>
        <w:jc w:val="center"/>
        <w:rPr>
          <w:b/>
          <w:sz w:val="44"/>
          <w:szCs w:val="44"/>
        </w:rPr>
      </w:pPr>
    </w:p>
    <w:p w:rsidR="00BA49FB" w:rsidRDefault="00BA49FB" w:rsidP="00323532">
      <w:pPr>
        <w:jc w:val="center"/>
        <w:rPr>
          <w:b/>
          <w:sz w:val="44"/>
          <w:szCs w:val="44"/>
        </w:rPr>
      </w:pPr>
    </w:p>
    <w:sectPr w:rsidR="00BA49FB" w:rsidSect="008D6767">
      <w:footerReference w:type="even" r:id="rId11"/>
      <w:footerReference w:type="default" r:id="rId12"/>
      <w:pgSz w:w="11906" w:h="16838"/>
      <w:pgMar w:top="1276" w:right="1417" w:bottom="1135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36" w:rsidRDefault="000E0836" w:rsidP="00AE3EEE">
      <w:pPr>
        <w:spacing w:after="0" w:line="240" w:lineRule="auto"/>
      </w:pPr>
      <w:r>
        <w:separator/>
      </w:r>
    </w:p>
  </w:endnote>
  <w:endnote w:type="continuationSeparator" w:id="0">
    <w:p w:rsidR="000E0836" w:rsidRDefault="000E0836" w:rsidP="00AE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4B" w:rsidRDefault="003E02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56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F734B" w:rsidRDefault="000E0836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4B" w:rsidRPr="00AE3EEE" w:rsidRDefault="000E0836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36" w:rsidRDefault="000E0836" w:rsidP="00AE3EEE">
      <w:pPr>
        <w:spacing w:after="0" w:line="240" w:lineRule="auto"/>
      </w:pPr>
      <w:r>
        <w:separator/>
      </w:r>
    </w:p>
  </w:footnote>
  <w:footnote w:type="continuationSeparator" w:id="0">
    <w:p w:rsidR="000E0836" w:rsidRDefault="000E0836" w:rsidP="00AE3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D3F4F"/>
    <w:multiLevelType w:val="hybridMultilevel"/>
    <w:tmpl w:val="40C89A24"/>
    <w:lvl w:ilvl="0" w:tplc="E4EE14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760D4"/>
    <w:multiLevelType w:val="hybridMultilevel"/>
    <w:tmpl w:val="8ACC3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5349E"/>
    <w:multiLevelType w:val="multilevel"/>
    <w:tmpl w:val="B0147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82B7CDE"/>
    <w:multiLevelType w:val="hybridMultilevel"/>
    <w:tmpl w:val="4106E4A8"/>
    <w:lvl w:ilvl="0" w:tplc="E1B46468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624001"/>
    <w:multiLevelType w:val="multilevel"/>
    <w:tmpl w:val="1D40A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C86711F"/>
    <w:multiLevelType w:val="multilevel"/>
    <w:tmpl w:val="1D40A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E43"/>
    <w:rsid w:val="000322B8"/>
    <w:rsid w:val="000452DF"/>
    <w:rsid w:val="00051F17"/>
    <w:rsid w:val="00062667"/>
    <w:rsid w:val="00080074"/>
    <w:rsid w:val="000921E1"/>
    <w:rsid w:val="000A69B8"/>
    <w:rsid w:val="000C0A91"/>
    <w:rsid w:val="000C167B"/>
    <w:rsid w:val="000C60A3"/>
    <w:rsid w:val="000C6DCB"/>
    <w:rsid w:val="000D27C9"/>
    <w:rsid w:val="000E0836"/>
    <w:rsid w:val="000E5BAB"/>
    <w:rsid w:val="0010518F"/>
    <w:rsid w:val="001137AC"/>
    <w:rsid w:val="00116B77"/>
    <w:rsid w:val="001509A9"/>
    <w:rsid w:val="00161502"/>
    <w:rsid w:val="00180453"/>
    <w:rsid w:val="001804CA"/>
    <w:rsid w:val="00180802"/>
    <w:rsid w:val="0019395D"/>
    <w:rsid w:val="001A1372"/>
    <w:rsid w:val="001B3A0F"/>
    <w:rsid w:val="001B3D32"/>
    <w:rsid w:val="001D1A83"/>
    <w:rsid w:val="001D3CE8"/>
    <w:rsid w:val="00204753"/>
    <w:rsid w:val="00211F50"/>
    <w:rsid w:val="00220E1A"/>
    <w:rsid w:val="00223999"/>
    <w:rsid w:val="00240537"/>
    <w:rsid w:val="002410B0"/>
    <w:rsid w:val="0024747B"/>
    <w:rsid w:val="00253E05"/>
    <w:rsid w:val="00257B23"/>
    <w:rsid w:val="00266049"/>
    <w:rsid w:val="00286EDE"/>
    <w:rsid w:val="002936F5"/>
    <w:rsid w:val="002A09AB"/>
    <w:rsid w:val="002A5CB0"/>
    <w:rsid w:val="002A5D99"/>
    <w:rsid w:val="002C0B28"/>
    <w:rsid w:val="002C4BDB"/>
    <w:rsid w:val="002F68A3"/>
    <w:rsid w:val="00302887"/>
    <w:rsid w:val="00307777"/>
    <w:rsid w:val="00323532"/>
    <w:rsid w:val="00347298"/>
    <w:rsid w:val="003662FF"/>
    <w:rsid w:val="003743F4"/>
    <w:rsid w:val="00376341"/>
    <w:rsid w:val="0038208B"/>
    <w:rsid w:val="003B0182"/>
    <w:rsid w:val="003B5931"/>
    <w:rsid w:val="003D4079"/>
    <w:rsid w:val="003D75B2"/>
    <w:rsid w:val="003D7E89"/>
    <w:rsid w:val="003E02AA"/>
    <w:rsid w:val="003E066E"/>
    <w:rsid w:val="003E3341"/>
    <w:rsid w:val="003F37BF"/>
    <w:rsid w:val="00400EF0"/>
    <w:rsid w:val="00401D8A"/>
    <w:rsid w:val="0042114E"/>
    <w:rsid w:val="00440F87"/>
    <w:rsid w:val="00443F96"/>
    <w:rsid w:val="0045019F"/>
    <w:rsid w:val="00472FC3"/>
    <w:rsid w:val="00480626"/>
    <w:rsid w:val="004A50B8"/>
    <w:rsid w:val="004A6E66"/>
    <w:rsid w:val="004B126B"/>
    <w:rsid w:val="004B2A0B"/>
    <w:rsid w:val="004C7ABD"/>
    <w:rsid w:val="004F110A"/>
    <w:rsid w:val="004F3168"/>
    <w:rsid w:val="005162C7"/>
    <w:rsid w:val="00521B36"/>
    <w:rsid w:val="00535B42"/>
    <w:rsid w:val="00550411"/>
    <w:rsid w:val="00554DA4"/>
    <w:rsid w:val="00556C3D"/>
    <w:rsid w:val="0056570E"/>
    <w:rsid w:val="0056783D"/>
    <w:rsid w:val="0059328C"/>
    <w:rsid w:val="005933D9"/>
    <w:rsid w:val="005A6603"/>
    <w:rsid w:val="005C576C"/>
    <w:rsid w:val="005D22F6"/>
    <w:rsid w:val="005D68F6"/>
    <w:rsid w:val="005E11B7"/>
    <w:rsid w:val="005F3C58"/>
    <w:rsid w:val="00605B6E"/>
    <w:rsid w:val="00622DD7"/>
    <w:rsid w:val="0063591B"/>
    <w:rsid w:val="00641463"/>
    <w:rsid w:val="00646E86"/>
    <w:rsid w:val="00653E5E"/>
    <w:rsid w:val="00656914"/>
    <w:rsid w:val="0067787F"/>
    <w:rsid w:val="006A5AA4"/>
    <w:rsid w:val="006B54B2"/>
    <w:rsid w:val="006E4541"/>
    <w:rsid w:val="007142D9"/>
    <w:rsid w:val="00731CE9"/>
    <w:rsid w:val="00743E62"/>
    <w:rsid w:val="00744092"/>
    <w:rsid w:val="00784D49"/>
    <w:rsid w:val="00797959"/>
    <w:rsid w:val="007D63FD"/>
    <w:rsid w:val="007D7161"/>
    <w:rsid w:val="007D7FBA"/>
    <w:rsid w:val="007E53B7"/>
    <w:rsid w:val="007F7A57"/>
    <w:rsid w:val="008045E0"/>
    <w:rsid w:val="00807649"/>
    <w:rsid w:val="0082023E"/>
    <w:rsid w:val="00823426"/>
    <w:rsid w:val="00862598"/>
    <w:rsid w:val="0086620D"/>
    <w:rsid w:val="00872779"/>
    <w:rsid w:val="00873518"/>
    <w:rsid w:val="00882FDC"/>
    <w:rsid w:val="00886573"/>
    <w:rsid w:val="0089403D"/>
    <w:rsid w:val="00894327"/>
    <w:rsid w:val="008C228B"/>
    <w:rsid w:val="008C5E4B"/>
    <w:rsid w:val="008D3E56"/>
    <w:rsid w:val="008D6767"/>
    <w:rsid w:val="008E1997"/>
    <w:rsid w:val="008E3544"/>
    <w:rsid w:val="008E5773"/>
    <w:rsid w:val="00903B7F"/>
    <w:rsid w:val="0090539A"/>
    <w:rsid w:val="00914358"/>
    <w:rsid w:val="00914D7C"/>
    <w:rsid w:val="00920C71"/>
    <w:rsid w:val="00926534"/>
    <w:rsid w:val="00964480"/>
    <w:rsid w:val="00993824"/>
    <w:rsid w:val="009B4444"/>
    <w:rsid w:val="009C3EAC"/>
    <w:rsid w:val="009F0AA9"/>
    <w:rsid w:val="009F2128"/>
    <w:rsid w:val="00A03B75"/>
    <w:rsid w:val="00A11E39"/>
    <w:rsid w:val="00A36A00"/>
    <w:rsid w:val="00A707F5"/>
    <w:rsid w:val="00A87973"/>
    <w:rsid w:val="00A949F8"/>
    <w:rsid w:val="00AB0D54"/>
    <w:rsid w:val="00AC18FB"/>
    <w:rsid w:val="00AC3A51"/>
    <w:rsid w:val="00AC5D03"/>
    <w:rsid w:val="00AE3EEE"/>
    <w:rsid w:val="00AE6B9E"/>
    <w:rsid w:val="00B36AD1"/>
    <w:rsid w:val="00B44FF4"/>
    <w:rsid w:val="00B71C1C"/>
    <w:rsid w:val="00B728C2"/>
    <w:rsid w:val="00B76537"/>
    <w:rsid w:val="00B77A26"/>
    <w:rsid w:val="00B860E1"/>
    <w:rsid w:val="00B97FBB"/>
    <w:rsid w:val="00BA49FB"/>
    <w:rsid w:val="00BA5093"/>
    <w:rsid w:val="00BB2E43"/>
    <w:rsid w:val="00BF0319"/>
    <w:rsid w:val="00C07C74"/>
    <w:rsid w:val="00C25347"/>
    <w:rsid w:val="00C26E53"/>
    <w:rsid w:val="00C30F5D"/>
    <w:rsid w:val="00C45A15"/>
    <w:rsid w:val="00C64561"/>
    <w:rsid w:val="00C67BF1"/>
    <w:rsid w:val="00C80614"/>
    <w:rsid w:val="00C80FA6"/>
    <w:rsid w:val="00C83620"/>
    <w:rsid w:val="00C9175D"/>
    <w:rsid w:val="00C92254"/>
    <w:rsid w:val="00C94B6F"/>
    <w:rsid w:val="00CB1084"/>
    <w:rsid w:val="00CC2D7B"/>
    <w:rsid w:val="00CD0A6D"/>
    <w:rsid w:val="00CD208B"/>
    <w:rsid w:val="00CD7FFC"/>
    <w:rsid w:val="00CF59F1"/>
    <w:rsid w:val="00D05788"/>
    <w:rsid w:val="00D10421"/>
    <w:rsid w:val="00D151E3"/>
    <w:rsid w:val="00D17437"/>
    <w:rsid w:val="00D27C06"/>
    <w:rsid w:val="00D31915"/>
    <w:rsid w:val="00D506C7"/>
    <w:rsid w:val="00D74999"/>
    <w:rsid w:val="00D801CA"/>
    <w:rsid w:val="00D9044E"/>
    <w:rsid w:val="00D91557"/>
    <w:rsid w:val="00DA6DC3"/>
    <w:rsid w:val="00DD3E9D"/>
    <w:rsid w:val="00E06028"/>
    <w:rsid w:val="00E10005"/>
    <w:rsid w:val="00E10809"/>
    <w:rsid w:val="00E32A55"/>
    <w:rsid w:val="00E352FC"/>
    <w:rsid w:val="00E61783"/>
    <w:rsid w:val="00E8575B"/>
    <w:rsid w:val="00EA2B1C"/>
    <w:rsid w:val="00EA445A"/>
    <w:rsid w:val="00EB5D25"/>
    <w:rsid w:val="00EE3270"/>
    <w:rsid w:val="00EE561A"/>
    <w:rsid w:val="00EF1C18"/>
    <w:rsid w:val="00EF217E"/>
    <w:rsid w:val="00F17433"/>
    <w:rsid w:val="00F23BBD"/>
    <w:rsid w:val="00F243E4"/>
    <w:rsid w:val="00F25D95"/>
    <w:rsid w:val="00F426EC"/>
    <w:rsid w:val="00F70606"/>
    <w:rsid w:val="00F76016"/>
    <w:rsid w:val="00F770AD"/>
    <w:rsid w:val="00FA3A61"/>
    <w:rsid w:val="00FB3C2F"/>
    <w:rsid w:val="00FB7BA9"/>
    <w:rsid w:val="00FD6162"/>
    <w:rsid w:val="00FF3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B6F"/>
  </w:style>
  <w:style w:type="paragraph" w:styleId="Nadpis1">
    <w:name w:val="heading 1"/>
    <w:basedOn w:val="Normln"/>
    <w:next w:val="Normln"/>
    <w:link w:val="Nadpis1Char"/>
    <w:qFormat/>
    <w:rsid w:val="00AB0D54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0D5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FC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601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B0D54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AB0D54"/>
    <w:rPr>
      <w:rFonts w:ascii="Arial" w:eastAsia="Times New Roman" w:hAnsi="Arial" w:cs="Times New Roman"/>
      <w:b/>
      <w:bCs/>
      <w:sz w:val="24"/>
      <w:szCs w:val="26"/>
      <w:lang w:eastAsia="cs-CZ"/>
    </w:rPr>
  </w:style>
  <w:style w:type="paragraph" w:customStyle="1" w:styleId="Style0">
    <w:name w:val="Style0"/>
    <w:rsid w:val="00AB0D5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AB0D54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0D54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B0D5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6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B0D54"/>
    <w:rPr>
      <w:rFonts w:ascii="Arial" w:eastAsia="Times New Roman" w:hAnsi="Arial" w:cs="Times New Roman"/>
      <w:sz w:val="20"/>
      <w:szCs w:val="26"/>
      <w:lang w:eastAsia="cs-CZ"/>
    </w:rPr>
  </w:style>
  <w:style w:type="character" w:styleId="slostrnky">
    <w:name w:val="page number"/>
    <w:basedOn w:val="Standardnpsmoodstavce"/>
    <w:semiHidden/>
    <w:rsid w:val="00AB0D54"/>
  </w:style>
  <w:style w:type="character" w:styleId="Hypertextovodkaz">
    <w:name w:val="Hyperlink"/>
    <w:uiPriority w:val="99"/>
    <w:rsid w:val="00AB0D54"/>
    <w:rPr>
      <w:color w:val="0000FF"/>
      <w:u w:val="single"/>
    </w:rPr>
  </w:style>
  <w:style w:type="table" w:styleId="Mkatabulky">
    <w:name w:val="Table Grid"/>
    <w:basedOn w:val="Normlntabulka"/>
    <w:uiPriority w:val="59"/>
    <w:rsid w:val="00BA4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AE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E3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Z%C3%A1kon_o_%C3%BAzemn%C3%ADm_%C4%8Dlen%C4%9Bn%C3%AD_st%C3%A1t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olby.cz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nnah\Desktop\PARLAMENT_SENAT\grafy\g1_&#250;&#269;a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805867713138051E-2"/>
          <c:y val="3.0651301037701445E-2"/>
          <c:w val="0.88333333333333353"/>
          <c:h val="0.81226053639846763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List1!$A$23</c:f>
              <c:strCache>
                <c:ptCount val="1"/>
                <c:pt idx="0">
                  <c:v>PS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cat>
            <c:strRef>
              <c:f>List1!$B$20:$K$20</c:f>
              <c:strCache>
                <c:ptCount val="10"/>
                <c:pt idx="0">
                  <c:v>1996</c:v>
                </c:pt>
                <c:pt idx="1">
                  <c:v>1998</c:v>
                </c:pt>
                <c:pt idx="2">
                  <c:v>2000</c:v>
                </c:pt>
                <c:pt idx="3">
                  <c:v>2002</c:v>
                </c:pt>
                <c:pt idx="4">
                  <c:v>2004</c:v>
                </c:pt>
                <c:pt idx="5">
                  <c:v>2006</c:v>
                </c:pt>
                <c:pt idx="6">
                  <c:v>2008</c:v>
                </c:pt>
                <c:pt idx="7">
                  <c:v>2010</c:v>
                </c:pt>
                <c:pt idx="8">
                  <c:v>2012</c:v>
                </c:pt>
                <c:pt idx="9">
                  <c:v>2013/14</c:v>
                </c:pt>
              </c:strCache>
            </c:strRef>
          </c:cat>
          <c:val>
            <c:numRef>
              <c:f>List1!$B$23:$K$23</c:f>
              <c:numCache>
                <c:formatCode>0.00</c:formatCode>
                <c:ptCount val="10"/>
                <c:pt idx="0">
                  <c:v>0.76408005736618734</c:v>
                </c:pt>
                <c:pt idx="1">
                  <c:v>0.74030398051654611</c:v>
                </c:pt>
                <c:pt idx="2">
                  <c:v>0</c:v>
                </c:pt>
                <c:pt idx="3">
                  <c:v>0.58003693878528828</c:v>
                </c:pt>
                <c:pt idx="4">
                  <c:v>0</c:v>
                </c:pt>
                <c:pt idx="5">
                  <c:v>0.64469607196664469</c:v>
                </c:pt>
                <c:pt idx="6">
                  <c:v>0</c:v>
                </c:pt>
                <c:pt idx="7">
                  <c:v>0.62597024771705723</c:v>
                </c:pt>
                <c:pt idx="8">
                  <c:v>0</c:v>
                </c:pt>
                <c:pt idx="9">
                  <c:v>0.5948253768565358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719936"/>
        <c:axId val="113726208"/>
      </c:barChart>
      <c:lineChart>
        <c:grouping val="standard"/>
        <c:varyColors val="0"/>
        <c:ser>
          <c:idx val="0"/>
          <c:order val="0"/>
          <c:tx>
            <c:strRef>
              <c:f>List1!$A$21</c:f>
              <c:strCache>
                <c:ptCount val="1"/>
                <c:pt idx="0">
                  <c:v>SE 1.kolo</c:v>
                </c:pt>
              </c:strCache>
            </c:strRef>
          </c:tx>
          <c:spPr>
            <a:ln w="19050">
              <a:solidFill>
                <a:schemeClr val="bg1">
                  <a:lumMod val="65000"/>
                </a:schemeClr>
              </a:solidFill>
              <a:prstDash val="solid"/>
            </a:ln>
          </c:spPr>
          <c:marker>
            <c:symbol val="diamond"/>
            <c:size val="6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bg1">
                    <a:lumMod val="65000"/>
                  </a:schemeClr>
                </a:solidFill>
              </a:ln>
            </c:spPr>
          </c:marker>
          <c:cat>
            <c:strRef>
              <c:f>List1!$B$20:$K$20</c:f>
              <c:strCache>
                <c:ptCount val="10"/>
                <c:pt idx="0">
                  <c:v>1996</c:v>
                </c:pt>
                <c:pt idx="1">
                  <c:v>1998</c:v>
                </c:pt>
                <c:pt idx="2">
                  <c:v>2000</c:v>
                </c:pt>
                <c:pt idx="3">
                  <c:v>2002</c:v>
                </c:pt>
                <c:pt idx="4">
                  <c:v>2004</c:v>
                </c:pt>
                <c:pt idx="5">
                  <c:v>2006</c:v>
                </c:pt>
                <c:pt idx="6">
                  <c:v>2008</c:v>
                </c:pt>
                <c:pt idx="7">
                  <c:v>2010</c:v>
                </c:pt>
                <c:pt idx="8">
                  <c:v>2012</c:v>
                </c:pt>
                <c:pt idx="9">
                  <c:v>2013/14</c:v>
                </c:pt>
              </c:strCache>
            </c:strRef>
          </c:cat>
          <c:val>
            <c:numRef>
              <c:f>List1!$B$21:$K$21</c:f>
              <c:numCache>
                <c:formatCode>0.00</c:formatCode>
                <c:ptCount val="10"/>
                <c:pt idx="0">
                  <c:v>0.35000000000000026</c:v>
                </c:pt>
                <c:pt idx="1">
                  <c:v>0.42400000000000032</c:v>
                </c:pt>
                <c:pt idx="2">
                  <c:v>0.33700000000000041</c:v>
                </c:pt>
                <c:pt idx="3">
                  <c:v>0.24100000000000016</c:v>
                </c:pt>
                <c:pt idx="4">
                  <c:v>0.29000000000000026</c:v>
                </c:pt>
                <c:pt idx="5">
                  <c:v>0.42100000000000032</c:v>
                </c:pt>
                <c:pt idx="6">
                  <c:v>0.39500000000000041</c:v>
                </c:pt>
                <c:pt idx="7">
                  <c:v>0.44590000000000013</c:v>
                </c:pt>
                <c:pt idx="8">
                  <c:v>0.34900000000000037</c:v>
                </c:pt>
                <c:pt idx="9">
                  <c:v>0.38620000000000032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List1!$A$22</c:f>
              <c:strCache>
                <c:ptCount val="1"/>
                <c:pt idx="0">
                  <c:v>SE 2.kolo</c:v>
                </c:pt>
              </c:strCache>
            </c:strRef>
          </c:tx>
          <c:spPr>
            <a:ln w="19050">
              <a:solidFill>
                <a:schemeClr val="tx1">
                  <a:lumMod val="85000"/>
                  <a:lumOff val="15000"/>
                </a:schemeClr>
              </a:solidFill>
              <a:prstDash val="solid"/>
            </a:ln>
          </c:spPr>
          <c:marker>
            <c:spPr>
              <a:solidFill>
                <a:schemeClr val="tx1">
                  <a:lumMod val="85000"/>
                  <a:lumOff val="15000"/>
                </a:schemeClr>
              </a:solidFill>
              <a:ln>
                <a:solidFill>
                  <a:schemeClr val="tx1">
                    <a:lumMod val="85000"/>
                    <a:lumOff val="15000"/>
                  </a:schemeClr>
                </a:solidFill>
              </a:ln>
            </c:spPr>
          </c:marker>
          <c:cat>
            <c:strRef>
              <c:f>List1!$B$20:$K$20</c:f>
              <c:strCache>
                <c:ptCount val="10"/>
                <c:pt idx="0">
                  <c:v>1996</c:v>
                </c:pt>
                <c:pt idx="1">
                  <c:v>1998</c:v>
                </c:pt>
                <c:pt idx="2">
                  <c:v>2000</c:v>
                </c:pt>
                <c:pt idx="3">
                  <c:v>2002</c:v>
                </c:pt>
                <c:pt idx="4">
                  <c:v>2004</c:v>
                </c:pt>
                <c:pt idx="5">
                  <c:v>2006</c:v>
                </c:pt>
                <c:pt idx="6">
                  <c:v>2008</c:v>
                </c:pt>
                <c:pt idx="7">
                  <c:v>2010</c:v>
                </c:pt>
                <c:pt idx="8">
                  <c:v>2012</c:v>
                </c:pt>
                <c:pt idx="9">
                  <c:v>2013/14</c:v>
                </c:pt>
              </c:strCache>
            </c:strRef>
          </c:cat>
          <c:val>
            <c:numRef>
              <c:f>List1!$B$22:$K$22</c:f>
              <c:numCache>
                <c:formatCode>0.00</c:formatCode>
                <c:ptCount val="10"/>
                <c:pt idx="0">
                  <c:v>0.30600000000000033</c:v>
                </c:pt>
                <c:pt idx="1">
                  <c:v>0.20400000000000001</c:v>
                </c:pt>
                <c:pt idx="2">
                  <c:v>0.21600000000000016</c:v>
                </c:pt>
                <c:pt idx="3">
                  <c:v>0.32600000000000035</c:v>
                </c:pt>
                <c:pt idx="4">
                  <c:v>0.18400000000000014</c:v>
                </c:pt>
                <c:pt idx="5">
                  <c:v>0.20700000000000013</c:v>
                </c:pt>
                <c:pt idx="6">
                  <c:v>0.29900000000000032</c:v>
                </c:pt>
                <c:pt idx="7">
                  <c:v>0.24640000000000017</c:v>
                </c:pt>
                <c:pt idx="8">
                  <c:v>0.18600000000000017</c:v>
                </c:pt>
                <c:pt idx="9">
                  <c:v>0.16690000000000021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719936"/>
        <c:axId val="113726208"/>
      </c:lineChart>
      <c:catAx>
        <c:axId val="11371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 anchor="ctr" anchorCtr="1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13726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7262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13719936"/>
        <c:crosses val="autoZero"/>
        <c:crossBetween val="between"/>
      </c:valAx>
      <c:spPr>
        <a:gradFill>
          <a:gsLst>
            <a:gs pos="0">
              <a:srgbClr val="4F81BD">
                <a:tint val="66000"/>
                <a:satMod val="160000"/>
                <a:alpha val="61000"/>
              </a:srgbClr>
            </a:gs>
            <a:gs pos="50000">
              <a:srgbClr val="4F81BD">
                <a:tint val="44500"/>
                <a:satMod val="160000"/>
              </a:srgbClr>
            </a:gs>
            <a:gs pos="0">
              <a:srgbClr val="4F81BD">
                <a:tint val="23500"/>
                <a:satMod val="160000"/>
              </a:srgbClr>
            </a:gs>
          </a:gsLst>
          <a:lin ang="5400000" scaled="0"/>
        </a:gradFill>
        <a:ln w="12700">
          <a:solidFill>
            <a:schemeClr val="tx1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31836030204962357"/>
          <c:y val="4.4004400440044132E-2"/>
          <c:w val="0.39779935275080908"/>
          <c:h val="6.6568609616867197E-2"/>
        </c:manualLayout>
      </c:layout>
      <c:overlay val="0"/>
      <c:spPr>
        <a:noFill/>
        <a:ln w="3175">
          <a:noFill/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1105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Hana Bednářová</cp:lastModifiedBy>
  <cp:revision>4</cp:revision>
  <cp:lastPrinted>2016-05-24T04:55:00Z</cp:lastPrinted>
  <dcterms:created xsi:type="dcterms:W3CDTF">2016-05-24T05:30:00Z</dcterms:created>
  <dcterms:modified xsi:type="dcterms:W3CDTF">2016-05-24T08:06:00Z</dcterms:modified>
</cp:coreProperties>
</file>