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54C" w:rsidRPr="006717BB" w:rsidRDefault="006717BB" w:rsidP="006717BB">
      <w:pPr>
        <w:spacing w:line="276" w:lineRule="auto"/>
        <w:ind w:left="851" w:hanging="851"/>
        <w:jc w:val="both"/>
        <w:rPr>
          <w:b/>
          <w:sz w:val="24"/>
        </w:rPr>
      </w:pPr>
      <w:r>
        <w:rPr>
          <w:b/>
          <w:sz w:val="24"/>
        </w:rPr>
        <w:t>6.</w:t>
      </w:r>
      <w:r>
        <w:rPr>
          <w:b/>
          <w:sz w:val="24"/>
        </w:rPr>
        <w:tab/>
      </w:r>
      <w:r w:rsidR="0051354C" w:rsidRPr="006717BB">
        <w:rPr>
          <w:b/>
          <w:sz w:val="24"/>
        </w:rPr>
        <w:t>Bezdomovci</w:t>
      </w:r>
    </w:p>
    <w:p w:rsidR="0051354C" w:rsidRDefault="0051354C" w:rsidP="00A45B5A">
      <w:pPr>
        <w:pStyle w:val="Textodstavce"/>
        <w:tabs>
          <w:tab w:val="clear" w:pos="720"/>
          <w:tab w:val="clear" w:pos="851"/>
          <w:tab w:val="left" w:pos="0"/>
        </w:tabs>
        <w:spacing w:line="276" w:lineRule="auto"/>
        <w:ind w:left="0" w:firstLine="0"/>
        <w:rPr>
          <w:rFonts w:ascii="Arial" w:hAnsi="Arial" w:cs="Arial"/>
          <w:sz w:val="20"/>
        </w:rPr>
      </w:pPr>
      <w:r>
        <w:rPr>
          <w:rFonts w:ascii="Arial" w:hAnsi="Arial" w:cs="Arial"/>
          <w:sz w:val="20"/>
        </w:rPr>
        <w:t xml:space="preserve">Bezdomovci představovali z hlediska způsobu bydlení obyvatel doplňkovou kategorii, protože jako osoby bez přístřeší způsob bydlení fakticky nemají. </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Kvantifikace počtu bezdomovců byla poprvé v historii sčítání možná až při sčítání 2011. Umožnilo to zpracování výstupů podle obvyklého pobytu, kdy osobám bez domova byla přiřazena jako adresa obvyklého pobytu adresa místa sečtení. V předchozích cenzech byly tyto osoby v rámci sčítání rovněž sečteny, ale podle trvalého bydliště byly v průběhu zpracování přeřazeny na příslušné evidenční adresy, přestože se na nich fakticky nezdržovaly. Informace o tom, že jde o osobu bez přístřeší, se v rámci zpracování ztratila a bezdomovec se tak zařadil do bydlícího obyvatelstva.</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 xml:space="preserve">Kvantifikovat počty bezdomovců předpokládalo i „Nařízení Komise (EU) č. 519/2010, ze dne 16. června. 2010, kterým se přijímá program statistických údajů a metadat pro sčítání lidu, domů a bytů stanovený nařízením Evropského parlamentu a Rady (ES) č. 763/2008“, které definovalo tuto skupinu osob jako osoby primárně bez domova, žijící na ulici, tedy primární bezdomovce. Mezinárodní doporučení rozlišovala i tzv. osoby sekundárně bez domova, které často mění místo svého dočasného ubytování. Podle výše uvedeného Nařízení měly být obě skupiny osob zahrnuty do celkového počtu obyvatel, přičemž členění na primární a sekundární bezdomovce již nebylo povinně vyžadováno. </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České sčítání kategorizaci bezdomovců neaplikovalo, protože pro určení sekundárního bezdomovectví neposkytovaly zjištěné informace dostatek podkladů. Stanovený postup provedení sčítání a následného zpracování výsledků dokázal určit pouze primární bezdomovce. Sekundární bezdomovci se sečetli standardním způsobem v místě ubytování v rozhodný okamžik sčítání a délka pobytu na dané adrese nebyla zjišťována. Místem jejich obvyklého pobytu se stalo většinou místo sečtení, pokud nedeklarovali jinou adresu jako faktické bydliště. Zahrnuti byli do celkového počtu obyvatel podle místa obvyklého pobytu a podle způsobu jejich bydlení v rozhodný okamžik (v bytě, v zařízení, nouzově mimo byt). Tyto osoby jako bezdomovci tedy identifikovány nebyly, přestože individuálně mohly mít charakteristiky sekundárního bezdomovectví podle mezinárodní metodiky.</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Sčítání bezdomovců mělo specifická pravidla. Zásadní bylo, že bezdomovce identifikoval sčítací komisař a použil v jejich sčítacím listu osoby číslo bytu ve speciálním intervalu. Toto číslo bytu se neměnilo po celou dobu zpracování a bylo signálem pro speciální algoritmus odvození adresy obvyklého pobytu. Místem obvyklého pobytu bezdomovce se stala adresa místa sečtení. I tato adresa plnila ale jinou roli než v případě ostatních osob. Vazba bezdomovce na konkrétní dům neznamenala v daném případě informaci o jejich bydlení, ale plnila úlohu územní lokalizace (více nebo méně přesnou) pobytu osob bez přístřeší.</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Sčítání bezdomovců probíhalo převážně ve spolupráci se Sdružením azylových domů a Asociací poskytovatelů sociálních služeb. Sečteny byly proto zejména osoby, které využívaly k datu sčítání služeb příslušných zařízení. Aktivní přístup jednotlivých zařízení, jejich rozmístění do krajů a jejich zaměření druhotně ovlivnilo jak počet sečtených bezdomovců, tak především jejich složení z hlediska věku, pohlaví a dalších demografických charakteristik, které v úhrnu neodpovídaly odhadům z jiných datových zdrojů (výzkumné projekty, odhady magistrátů velkých měst aj.) Plošné sčítání osob žijících „na ulici“ nebylo prostřednictvím cenzu možné, zejména proto, že sčítání provádělo cílenou distribuci formulářů do objektů určených k bydlení, neumožňovalo vyhledávat osoby mimo tyto objekty</w:t>
      </w:r>
      <w:r w:rsidR="00925CEF">
        <w:rPr>
          <w:rFonts w:ascii="Arial" w:hAnsi="Arial" w:cs="Arial"/>
          <w:sz w:val="20"/>
        </w:rPr>
        <w:t>,</w:t>
      </w:r>
      <w:r>
        <w:rPr>
          <w:rFonts w:ascii="Arial" w:hAnsi="Arial" w:cs="Arial"/>
          <w:sz w:val="20"/>
        </w:rPr>
        <w:t xml:space="preserve"> ani nemělo k dispozici speciálně vyškolené pracovníky pro specifickou komunikaci s bezdomovci. Spolupráce s výše uvedenými zařízeními byla proto jediným možným postupem, byť s sebou nesla určitá omezení zjištěných výsledků.</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 xml:space="preserve">Sčítání bezdomovců probíhalo ve 270 domech – azylových domech, domech na půli cesty, v noclehárnách a nízkoprahových denních centrech. Sčítáni byli klienti těchto zařízení k rozhodnému okamžiku. Součástí některých zařízení byly i byty. V případech pobytu v délce 12 měsíců byly bydlící osoby sečteny jako bydlící v bytech s tím, že pouze podle druhu domu se poznalo, že se jedná o speciální zařízení a nikoliv o </w:t>
      </w:r>
      <w:r>
        <w:rPr>
          <w:rFonts w:ascii="Arial" w:hAnsi="Arial" w:cs="Arial"/>
          <w:sz w:val="20"/>
        </w:rPr>
        <w:lastRenderedPageBreak/>
        <w:t>obytný dům. Osoby sice ubytované, ale pouze krátkodobě, které řešily tímto způsobem aktuální krizovou situaci, byly sečteny jako primární bezdomovci.</w:t>
      </w:r>
    </w:p>
    <w:p w:rsidR="0051354C" w:rsidRDefault="0051354C" w:rsidP="00165156">
      <w:pPr>
        <w:pStyle w:val="Textodstavce"/>
        <w:tabs>
          <w:tab w:val="clear" w:pos="720"/>
        </w:tabs>
        <w:spacing w:line="276" w:lineRule="auto"/>
        <w:ind w:left="0" w:firstLine="0"/>
        <w:rPr>
          <w:rFonts w:ascii="Arial" w:hAnsi="Arial" w:cs="Arial"/>
          <w:sz w:val="20"/>
        </w:rPr>
      </w:pPr>
      <w:r>
        <w:rPr>
          <w:rFonts w:ascii="Arial" w:hAnsi="Arial" w:cs="Arial"/>
          <w:sz w:val="20"/>
        </w:rPr>
        <w:t xml:space="preserve">Nejvíce zařízení se zapojilo do sčítání v Moravskoslezském a Ústeckém kraji. Tyto dva kraje spolu s Prahou tvořily polovinu kapacity všech zařízení pro bezdomovce, která se sčítání zúčastnila. Na počtu sečtených se ale tyto tři kraje podílely jen o něco více než dvěma pětinami. </w:t>
      </w:r>
    </w:p>
    <w:p w:rsidR="0051354C" w:rsidRPr="00E73ED3" w:rsidRDefault="0051354C" w:rsidP="00E73ED3">
      <w:pPr>
        <w:spacing w:line="276" w:lineRule="auto"/>
        <w:jc w:val="both"/>
        <w:rPr>
          <w:rFonts w:cs="Arial"/>
          <w:sz w:val="20"/>
          <w:szCs w:val="20"/>
        </w:rPr>
      </w:pPr>
      <w:r w:rsidRPr="00E73ED3">
        <w:rPr>
          <w:sz w:val="20"/>
          <w:szCs w:val="20"/>
        </w:rPr>
        <w:t>K 26.</w:t>
      </w:r>
      <w:r w:rsidR="00E73ED3" w:rsidRPr="00E73ED3">
        <w:rPr>
          <w:sz w:val="20"/>
          <w:szCs w:val="20"/>
        </w:rPr>
        <w:t xml:space="preserve"> </w:t>
      </w:r>
      <w:r w:rsidRPr="00E73ED3">
        <w:rPr>
          <w:sz w:val="20"/>
          <w:szCs w:val="20"/>
        </w:rPr>
        <w:t>3.</w:t>
      </w:r>
      <w:r w:rsidR="00E73ED3" w:rsidRPr="00E73ED3">
        <w:rPr>
          <w:sz w:val="20"/>
          <w:szCs w:val="20"/>
        </w:rPr>
        <w:t xml:space="preserve"> </w:t>
      </w:r>
      <w:r w:rsidRPr="00E73ED3">
        <w:rPr>
          <w:sz w:val="20"/>
          <w:szCs w:val="20"/>
        </w:rPr>
        <w:t>2011 bylo sečteno celkem 11 496 osob, které byly označeny jako bezdomovci. Rozložení do krajů bylo ve vztahu k počtu obyvatel kraje disproporční. Čtvrtina z počtu bezdomovců byla zjištěna</w:t>
      </w:r>
      <w:r w:rsidRPr="00E73ED3">
        <w:rPr>
          <w:rFonts w:cs="Arial"/>
          <w:sz w:val="20"/>
          <w:szCs w:val="20"/>
        </w:rPr>
        <w:t xml:space="preserve"> v Moravskoslezském kraji, což v tomto případě korespondovalo s počtem zařízení, která na sčítání spolupracovala. </w:t>
      </w:r>
    </w:p>
    <w:p w:rsidR="00E73ED3" w:rsidRDefault="00E73ED3" w:rsidP="00E73ED3">
      <w:pPr>
        <w:spacing w:line="276" w:lineRule="auto"/>
        <w:jc w:val="both"/>
        <w:rPr>
          <w:rFonts w:cs="Arial"/>
        </w:rPr>
      </w:pPr>
    </w:p>
    <w:p w:rsidR="00E73ED3" w:rsidRPr="00E73ED3" w:rsidRDefault="00E73ED3" w:rsidP="00E73ED3">
      <w:pPr>
        <w:spacing w:line="276" w:lineRule="auto"/>
        <w:jc w:val="both"/>
        <w:rPr>
          <w:rFonts w:cs="Arial"/>
          <w:sz w:val="20"/>
          <w:szCs w:val="20"/>
        </w:rPr>
      </w:pPr>
      <w:r w:rsidRPr="00E73ED3">
        <w:rPr>
          <w:rFonts w:cs="Arial"/>
          <w:sz w:val="20"/>
          <w:szCs w:val="20"/>
        </w:rPr>
        <w:t>Porovnáním adresy trvalého bydliště a místa obvyklého pobytu (v případě bezdomovců místa sečtení) bylo zjištěno, že většina bezdomovců neopustila region svého trvalého bydliště. Shoda obvyklého a trvalého pobytu na úrovni kraje se pohybovala mezi 63 až téměř 96 %. Nejnižší podíl shody byl v Praze, kde dvě pětiny bezdomovců měli trvalé bydliště v jiném kraji.</w:t>
      </w:r>
    </w:p>
    <w:p w:rsidR="00B679F7" w:rsidRDefault="00B679F7" w:rsidP="00B679F7">
      <w:pPr>
        <w:spacing w:line="276" w:lineRule="auto"/>
        <w:rPr>
          <w:b/>
          <w:sz w:val="20"/>
          <w:szCs w:val="20"/>
        </w:rPr>
      </w:pPr>
    </w:p>
    <w:p w:rsidR="00B679F7" w:rsidRDefault="00B679F7" w:rsidP="00B679F7">
      <w:pPr>
        <w:spacing w:line="276" w:lineRule="auto"/>
        <w:rPr>
          <w:b/>
          <w:bCs/>
          <w:sz w:val="20"/>
          <w:szCs w:val="20"/>
        </w:rPr>
      </w:pPr>
      <w:r w:rsidRPr="001770AA">
        <w:rPr>
          <w:b/>
          <w:sz w:val="20"/>
          <w:szCs w:val="20"/>
        </w:rPr>
        <w:t xml:space="preserve">Graf č. </w:t>
      </w:r>
      <w:r>
        <w:rPr>
          <w:b/>
          <w:sz w:val="20"/>
          <w:szCs w:val="20"/>
        </w:rPr>
        <w:t>18</w:t>
      </w:r>
      <w:r w:rsidRPr="008E478F">
        <w:rPr>
          <w:b/>
          <w:sz w:val="20"/>
          <w:szCs w:val="20"/>
        </w:rPr>
        <w:t xml:space="preserve"> </w:t>
      </w:r>
      <w:r>
        <w:rPr>
          <w:b/>
          <w:sz w:val="20"/>
          <w:szCs w:val="20"/>
        </w:rPr>
        <w:t>Bezdomovci</w:t>
      </w:r>
      <w:r>
        <w:rPr>
          <w:b/>
          <w:bCs/>
          <w:sz w:val="20"/>
          <w:szCs w:val="20"/>
        </w:rPr>
        <w:t xml:space="preserve"> podle kraje obvyklého a trvalého pobytu </w:t>
      </w:r>
      <w:r w:rsidRPr="001770AA">
        <w:rPr>
          <w:b/>
          <w:bCs/>
          <w:sz w:val="20"/>
          <w:szCs w:val="20"/>
        </w:rPr>
        <w:t>k 26.</w:t>
      </w:r>
      <w:r>
        <w:rPr>
          <w:b/>
          <w:bCs/>
          <w:sz w:val="20"/>
          <w:szCs w:val="20"/>
        </w:rPr>
        <w:t xml:space="preserve"> </w:t>
      </w:r>
      <w:r w:rsidRPr="001770AA">
        <w:rPr>
          <w:b/>
          <w:bCs/>
          <w:sz w:val="20"/>
          <w:szCs w:val="20"/>
        </w:rPr>
        <w:t>3.</w:t>
      </w:r>
      <w:r>
        <w:rPr>
          <w:b/>
          <w:bCs/>
          <w:sz w:val="20"/>
          <w:szCs w:val="20"/>
        </w:rPr>
        <w:t xml:space="preserve"> </w:t>
      </w:r>
      <w:r w:rsidRPr="001770AA">
        <w:rPr>
          <w:b/>
          <w:bCs/>
          <w:sz w:val="20"/>
          <w:szCs w:val="20"/>
        </w:rPr>
        <w:t>2011</w:t>
      </w:r>
    </w:p>
    <w:p w:rsidR="0008568E" w:rsidRDefault="0008568E" w:rsidP="00B679F7">
      <w:pPr>
        <w:spacing w:line="276" w:lineRule="auto"/>
        <w:rPr>
          <w:b/>
          <w:bCs/>
          <w:sz w:val="20"/>
          <w:szCs w:val="20"/>
        </w:rPr>
      </w:pPr>
      <w:r w:rsidRPr="0008568E">
        <w:rPr>
          <w:b/>
          <w:bCs/>
          <w:sz w:val="20"/>
          <w:szCs w:val="20"/>
          <w:lang w:eastAsia="cs-CZ"/>
        </w:rPr>
        <w:drawing>
          <wp:inline distT="0" distB="0" distL="0" distR="0">
            <wp:extent cx="5972810" cy="3310255"/>
            <wp:effectExtent l="19050" t="0" r="27940" b="4445"/>
            <wp:docPr id="3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568E" w:rsidRPr="001770AA" w:rsidRDefault="0008568E" w:rsidP="00B679F7">
      <w:pPr>
        <w:spacing w:line="276" w:lineRule="auto"/>
        <w:rPr>
          <w:b/>
          <w:bCs/>
          <w:sz w:val="20"/>
          <w:szCs w:val="20"/>
        </w:rPr>
      </w:pPr>
    </w:p>
    <w:p w:rsidR="00165156" w:rsidRDefault="00165156" w:rsidP="00165156">
      <w:pPr>
        <w:pStyle w:val="Textodstavce"/>
        <w:tabs>
          <w:tab w:val="clear" w:pos="720"/>
        </w:tabs>
        <w:spacing w:line="276" w:lineRule="auto"/>
        <w:ind w:left="0" w:firstLine="0"/>
        <w:rPr>
          <w:rFonts w:ascii="Arial" w:hAnsi="Arial" w:cs="Arial"/>
          <w:sz w:val="20"/>
        </w:rPr>
      </w:pPr>
      <w:r>
        <w:rPr>
          <w:rFonts w:ascii="Arial" w:hAnsi="Arial" w:cs="Arial"/>
          <w:sz w:val="20"/>
        </w:rPr>
        <w:t xml:space="preserve">Významná byla shoda na úrovni obce a to výraznější u žen než u mužů. U žen byla vazba na původní resp. evidenční bydliště pevnější a v případě ztráty bydlení zůstávaly častěji v obci původního trvalého bydliště. </w:t>
      </w:r>
    </w:p>
    <w:p w:rsidR="00165156" w:rsidRDefault="00165156" w:rsidP="0051354C">
      <w:pPr>
        <w:pStyle w:val="Textodstavce"/>
        <w:tabs>
          <w:tab w:val="clear" w:pos="720"/>
        </w:tabs>
        <w:ind w:left="0" w:firstLine="0"/>
        <w:rPr>
          <w:rFonts w:ascii="Arial" w:hAnsi="Arial" w:cs="Arial"/>
          <w:sz w:val="20"/>
        </w:rPr>
      </w:pPr>
    </w:p>
    <w:p w:rsidR="00165156" w:rsidRDefault="00165156" w:rsidP="0051354C">
      <w:pPr>
        <w:pStyle w:val="Textodstavce"/>
        <w:tabs>
          <w:tab w:val="clear" w:pos="720"/>
        </w:tabs>
        <w:ind w:left="0" w:firstLine="0"/>
        <w:rPr>
          <w:rFonts w:ascii="Arial" w:hAnsi="Arial" w:cs="Arial"/>
          <w:sz w:val="20"/>
        </w:rPr>
      </w:pPr>
    </w:p>
    <w:p w:rsidR="00165156" w:rsidRDefault="00165156" w:rsidP="0051354C">
      <w:pPr>
        <w:pStyle w:val="Textodstavce"/>
        <w:tabs>
          <w:tab w:val="clear" w:pos="720"/>
        </w:tabs>
        <w:ind w:left="0" w:firstLine="0"/>
        <w:rPr>
          <w:rFonts w:ascii="Arial" w:hAnsi="Arial" w:cs="Arial"/>
          <w:sz w:val="20"/>
        </w:rPr>
      </w:pPr>
    </w:p>
    <w:tbl>
      <w:tblPr>
        <w:tblW w:w="6773" w:type="dxa"/>
        <w:jc w:val="center"/>
        <w:tblInd w:w="482" w:type="dxa"/>
        <w:tblCellMar>
          <w:left w:w="70" w:type="dxa"/>
          <w:right w:w="70" w:type="dxa"/>
        </w:tblCellMar>
        <w:tblLook w:val="04A0"/>
      </w:tblPr>
      <w:tblGrid>
        <w:gridCol w:w="2951"/>
        <w:gridCol w:w="676"/>
        <w:gridCol w:w="598"/>
        <w:gridCol w:w="676"/>
        <w:gridCol w:w="598"/>
        <w:gridCol w:w="676"/>
        <w:gridCol w:w="598"/>
      </w:tblGrid>
      <w:tr w:rsidR="00E73ED3" w:rsidRPr="00E73ED3" w:rsidTr="00E73ED3">
        <w:trPr>
          <w:trHeight w:val="555"/>
          <w:jc w:val="center"/>
        </w:trPr>
        <w:tc>
          <w:tcPr>
            <w:tcW w:w="6773" w:type="dxa"/>
            <w:gridSpan w:val="7"/>
            <w:tcBorders>
              <w:top w:val="nil"/>
              <w:left w:val="nil"/>
              <w:bottom w:val="single" w:sz="4" w:space="0" w:color="auto"/>
              <w:right w:val="nil"/>
            </w:tcBorders>
            <w:shd w:val="clear" w:color="auto" w:fill="auto"/>
            <w:vAlign w:val="center"/>
            <w:hideMark/>
          </w:tcPr>
          <w:p w:rsidR="00E73ED3" w:rsidRPr="003E16DB" w:rsidRDefault="00760C72" w:rsidP="00B679F7">
            <w:pPr>
              <w:keepNext/>
              <w:keepLines/>
              <w:suppressAutoHyphens w:val="0"/>
              <w:rPr>
                <w:rFonts w:cs="Arial"/>
                <w:b/>
                <w:noProof w:val="0"/>
                <w:color w:val="000000"/>
                <w:sz w:val="20"/>
                <w:szCs w:val="20"/>
                <w:lang w:eastAsia="cs-CZ"/>
              </w:rPr>
            </w:pPr>
            <w:r>
              <w:rPr>
                <w:rFonts w:cs="Arial"/>
                <w:b/>
                <w:bCs/>
                <w:sz w:val="20"/>
                <w:szCs w:val="20"/>
              </w:rPr>
              <w:lastRenderedPageBreak/>
              <w:t xml:space="preserve">Tab. č.  15 </w:t>
            </w:r>
            <w:r w:rsidR="00E73ED3" w:rsidRPr="003E16DB">
              <w:rPr>
                <w:rFonts w:cs="Arial"/>
                <w:b/>
                <w:noProof w:val="0"/>
                <w:color w:val="000000"/>
                <w:sz w:val="20"/>
                <w:szCs w:val="20"/>
                <w:lang w:eastAsia="cs-CZ"/>
              </w:rPr>
              <w:t xml:space="preserve">Porovnání místa sečtení (místa obvyklého pobytu) a místa trvalého pobytu bezdomovců k 26. 3. 2011 </w:t>
            </w:r>
          </w:p>
        </w:tc>
      </w:tr>
      <w:tr w:rsidR="00E73ED3" w:rsidRPr="00E73ED3" w:rsidTr="00E73ED3">
        <w:trPr>
          <w:trHeight w:val="255"/>
          <w:jc w:val="center"/>
        </w:trPr>
        <w:tc>
          <w:tcPr>
            <w:tcW w:w="29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 </w:t>
            </w: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muži</w:t>
            </w: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ženy</w:t>
            </w: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celkem</w:t>
            </w:r>
          </w:p>
        </w:tc>
      </w:tr>
      <w:tr w:rsidR="00E73ED3" w:rsidRPr="00E73ED3" w:rsidTr="00E73ED3">
        <w:trPr>
          <w:trHeight w:val="255"/>
          <w:jc w:val="center"/>
        </w:trPr>
        <w:tc>
          <w:tcPr>
            <w:tcW w:w="2951" w:type="dxa"/>
            <w:vMerge/>
            <w:tcBorders>
              <w:top w:val="nil"/>
              <w:left w:val="single" w:sz="4" w:space="0" w:color="auto"/>
              <w:bottom w:val="single" w:sz="4" w:space="0" w:color="auto"/>
              <w:right w:val="single" w:sz="4" w:space="0" w:color="auto"/>
            </w:tcBorders>
            <w:vAlign w:val="center"/>
            <w:hideMark/>
          </w:tcPr>
          <w:p w:rsidR="00E73ED3" w:rsidRPr="00E73ED3" w:rsidRDefault="00E73ED3" w:rsidP="00A45B5A">
            <w:pPr>
              <w:keepNext/>
              <w:keepLines/>
              <w:suppressAutoHyphens w:val="0"/>
              <w:rPr>
                <w:rFonts w:cs="Arial"/>
                <w:noProof w:val="0"/>
                <w:color w:val="000000"/>
                <w:sz w:val="18"/>
                <w:szCs w:val="18"/>
                <w:lang w:eastAsia="cs-CZ"/>
              </w:rPr>
            </w:pP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abs.</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w:t>
            </w: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abs.</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w:t>
            </w: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abs.</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center"/>
              <w:rPr>
                <w:rFonts w:cs="Arial"/>
                <w:noProof w:val="0"/>
                <w:color w:val="000000"/>
                <w:sz w:val="18"/>
                <w:szCs w:val="18"/>
                <w:lang w:eastAsia="cs-CZ"/>
              </w:rPr>
            </w:pPr>
            <w:r w:rsidRPr="00E73ED3">
              <w:rPr>
                <w:rFonts w:cs="Arial"/>
                <w:noProof w:val="0"/>
                <w:color w:val="000000"/>
                <w:sz w:val="18"/>
                <w:szCs w:val="18"/>
                <w:lang w:eastAsia="cs-CZ"/>
              </w:rPr>
              <w:t>%</w:t>
            </w:r>
          </w:p>
        </w:tc>
      </w:tr>
      <w:tr w:rsidR="00E73ED3" w:rsidRPr="00E73ED3" w:rsidTr="00E73ED3">
        <w:trPr>
          <w:trHeight w:val="255"/>
          <w:jc w:val="center"/>
        </w:trPr>
        <w:tc>
          <w:tcPr>
            <w:tcW w:w="2951" w:type="dxa"/>
            <w:tcBorders>
              <w:top w:val="nil"/>
              <w:left w:val="single" w:sz="4" w:space="0" w:color="auto"/>
              <w:bottom w:val="nil"/>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ve stejné obci</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6</w:t>
            </w:r>
            <w:r>
              <w:rPr>
                <w:rFonts w:cs="Arial"/>
                <w:noProof w:val="0"/>
                <w:color w:val="000000"/>
                <w:sz w:val="18"/>
                <w:szCs w:val="18"/>
                <w:lang w:eastAsia="cs-CZ"/>
              </w:rPr>
              <w:t xml:space="preserve"> </w:t>
            </w:r>
            <w:r w:rsidRPr="00E73ED3">
              <w:rPr>
                <w:rFonts w:cs="Arial"/>
                <w:noProof w:val="0"/>
                <w:color w:val="000000"/>
                <w:sz w:val="18"/>
                <w:szCs w:val="18"/>
                <w:lang w:eastAsia="cs-CZ"/>
              </w:rPr>
              <w:t>430</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71,3</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w:t>
            </w:r>
            <w:r>
              <w:rPr>
                <w:rFonts w:cs="Arial"/>
                <w:noProof w:val="0"/>
                <w:color w:val="000000"/>
                <w:sz w:val="18"/>
                <w:szCs w:val="18"/>
                <w:lang w:eastAsia="cs-CZ"/>
              </w:rPr>
              <w:t xml:space="preserve"> </w:t>
            </w:r>
            <w:r w:rsidRPr="00E73ED3">
              <w:rPr>
                <w:rFonts w:cs="Arial"/>
                <w:noProof w:val="0"/>
                <w:color w:val="000000"/>
                <w:sz w:val="18"/>
                <w:szCs w:val="18"/>
                <w:lang w:eastAsia="cs-CZ"/>
              </w:rPr>
              <w:t>881</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76,1</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8</w:t>
            </w:r>
            <w:r>
              <w:rPr>
                <w:rFonts w:cs="Arial"/>
                <w:noProof w:val="0"/>
                <w:color w:val="000000"/>
                <w:sz w:val="18"/>
                <w:szCs w:val="18"/>
                <w:lang w:eastAsia="cs-CZ"/>
              </w:rPr>
              <w:t xml:space="preserve"> </w:t>
            </w:r>
            <w:r w:rsidRPr="00E73ED3">
              <w:rPr>
                <w:rFonts w:cs="Arial"/>
                <w:noProof w:val="0"/>
                <w:color w:val="000000"/>
                <w:sz w:val="18"/>
                <w:szCs w:val="18"/>
                <w:lang w:eastAsia="cs-CZ"/>
              </w:rPr>
              <w:t>311</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72,3</w:t>
            </w:r>
          </w:p>
        </w:tc>
      </w:tr>
      <w:tr w:rsidR="00E73ED3" w:rsidRPr="00E73ED3" w:rsidTr="00E73ED3">
        <w:trPr>
          <w:trHeight w:val="255"/>
          <w:jc w:val="center"/>
        </w:trPr>
        <w:tc>
          <w:tcPr>
            <w:tcW w:w="2951" w:type="dxa"/>
            <w:tcBorders>
              <w:top w:val="nil"/>
              <w:left w:val="single" w:sz="4" w:space="0" w:color="auto"/>
              <w:bottom w:val="nil"/>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v jiné obci stejného okresu</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959</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10,6</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210</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8,5</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w:t>
            </w:r>
            <w:r>
              <w:rPr>
                <w:rFonts w:cs="Arial"/>
                <w:noProof w:val="0"/>
                <w:color w:val="000000"/>
                <w:sz w:val="18"/>
                <w:szCs w:val="18"/>
                <w:lang w:eastAsia="cs-CZ"/>
              </w:rPr>
              <w:t xml:space="preserve"> </w:t>
            </w:r>
            <w:r w:rsidRPr="00E73ED3">
              <w:rPr>
                <w:rFonts w:cs="Arial"/>
                <w:noProof w:val="0"/>
                <w:color w:val="000000"/>
                <w:sz w:val="18"/>
                <w:szCs w:val="18"/>
                <w:lang w:eastAsia="cs-CZ"/>
              </w:rPr>
              <w:t>169</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10,2</w:t>
            </w:r>
          </w:p>
        </w:tc>
      </w:tr>
      <w:tr w:rsidR="00E73ED3" w:rsidRPr="00E73ED3" w:rsidTr="00E73ED3">
        <w:trPr>
          <w:trHeight w:val="255"/>
          <w:jc w:val="center"/>
        </w:trPr>
        <w:tc>
          <w:tcPr>
            <w:tcW w:w="2951" w:type="dxa"/>
            <w:tcBorders>
              <w:top w:val="nil"/>
              <w:left w:val="single" w:sz="4" w:space="0" w:color="auto"/>
              <w:bottom w:val="nil"/>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v jiném okrese kraje</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517</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5,7</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137</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5,5</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654</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5,7</w:t>
            </w:r>
          </w:p>
        </w:tc>
      </w:tr>
      <w:tr w:rsidR="00E73ED3" w:rsidRPr="00E73ED3" w:rsidTr="00E73ED3">
        <w:trPr>
          <w:trHeight w:val="255"/>
          <w:jc w:val="center"/>
        </w:trPr>
        <w:tc>
          <w:tcPr>
            <w:tcW w:w="2951" w:type="dxa"/>
            <w:tcBorders>
              <w:top w:val="nil"/>
              <w:left w:val="single" w:sz="4" w:space="0" w:color="auto"/>
              <w:bottom w:val="nil"/>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v jiném kraji</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959</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10,6</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205</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8,3</w:t>
            </w:r>
          </w:p>
        </w:tc>
        <w:tc>
          <w:tcPr>
            <w:tcW w:w="676"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w:t>
            </w:r>
            <w:r>
              <w:rPr>
                <w:rFonts w:cs="Arial"/>
                <w:noProof w:val="0"/>
                <w:color w:val="000000"/>
                <w:sz w:val="18"/>
                <w:szCs w:val="18"/>
                <w:lang w:eastAsia="cs-CZ"/>
              </w:rPr>
              <w:t xml:space="preserve"> </w:t>
            </w:r>
            <w:r w:rsidRPr="00E73ED3">
              <w:rPr>
                <w:rFonts w:cs="Arial"/>
                <w:noProof w:val="0"/>
                <w:color w:val="000000"/>
                <w:sz w:val="18"/>
                <w:szCs w:val="18"/>
                <w:lang w:eastAsia="cs-CZ"/>
              </w:rPr>
              <w:t>164</w:t>
            </w:r>
          </w:p>
        </w:tc>
        <w:tc>
          <w:tcPr>
            <w:tcW w:w="598" w:type="dxa"/>
            <w:tcBorders>
              <w:top w:val="nil"/>
              <w:left w:val="nil"/>
              <w:bottom w:val="nil"/>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10,1</w:t>
            </w:r>
          </w:p>
        </w:tc>
      </w:tr>
      <w:tr w:rsidR="00E73ED3" w:rsidRPr="00E73ED3" w:rsidTr="00E73ED3">
        <w:trPr>
          <w:trHeight w:val="255"/>
          <w:jc w:val="center"/>
        </w:trPr>
        <w:tc>
          <w:tcPr>
            <w:tcW w:w="2951" w:type="dxa"/>
            <w:tcBorders>
              <w:top w:val="nil"/>
              <w:left w:val="single" w:sz="4" w:space="0" w:color="auto"/>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rPr>
                <w:rFonts w:cs="Arial"/>
                <w:noProof w:val="0"/>
                <w:color w:val="000000"/>
                <w:sz w:val="18"/>
                <w:szCs w:val="18"/>
                <w:lang w:eastAsia="cs-CZ"/>
              </w:rPr>
            </w:pPr>
            <w:r w:rsidRPr="00E73ED3">
              <w:rPr>
                <w:rFonts w:cs="Arial"/>
                <w:noProof w:val="0"/>
                <w:color w:val="000000"/>
                <w:sz w:val="18"/>
                <w:szCs w:val="18"/>
                <w:lang w:eastAsia="cs-CZ"/>
              </w:rPr>
              <w:t xml:space="preserve">bez </w:t>
            </w:r>
            <w:proofErr w:type="spellStart"/>
            <w:r w:rsidRPr="00E73ED3">
              <w:rPr>
                <w:rFonts w:cs="Arial"/>
                <w:noProof w:val="0"/>
                <w:color w:val="000000"/>
                <w:sz w:val="18"/>
                <w:szCs w:val="18"/>
                <w:lang w:eastAsia="cs-CZ"/>
              </w:rPr>
              <w:t>trv</w:t>
            </w:r>
            <w:proofErr w:type="spellEnd"/>
            <w:r w:rsidRPr="00E73ED3">
              <w:rPr>
                <w:rFonts w:cs="Arial"/>
                <w:noProof w:val="0"/>
                <w:color w:val="000000"/>
                <w:sz w:val="18"/>
                <w:szCs w:val="18"/>
                <w:lang w:eastAsia="cs-CZ"/>
              </w:rPr>
              <w:t>. pobytu</w:t>
            </w: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158</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1,8</w:t>
            </w: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40</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1,6</w:t>
            </w:r>
          </w:p>
        </w:tc>
        <w:tc>
          <w:tcPr>
            <w:tcW w:w="676"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198</w:t>
            </w:r>
          </w:p>
        </w:tc>
        <w:tc>
          <w:tcPr>
            <w:tcW w:w="598" w:type="dxa"/>
            <w:tcBorders>
              <w:top w:val="nil"/>
              <w:left w:val="nil"/>
              <w:bottom w:val="single" w:sz="4" w:space="0" w:color="auto"/>
              <w:right w:val="single" w:sz="4" w:space="0" w:color="auto"/>
            </w:tcBorders>
            <w:shd w:val="clear" w:color="auto" w:fill="auto"/>
            <w:noWrap/>
            <w:vAlign w:val="bottom"/>
            <w:hideMark/>
          </w:tcPr>
          <w:p w:rsidR="00E73ED3" w:rsidRPr="00E73ED3" w:rsidRDefault="00E73ED3" w:rsidP="00A45B5A">
            <w:pPr>
              <w:keepNext/>
              <w:keepLines/>
              <w:suppressAutoHyphens w:val="0"/>
              <w:jc w:val="right"/>
              <w:rPr>
                <w:rFonts w:cs="Arial"/>
                <w:noProof w:val="0"/>
                <w:color w:val="000000"/>
                <w:sz w:val="18"/>
                <w:szCs w:val="18"/>
                <w:lang w:eastAsia="cs-CZ"/>
              </w:rPr>
            </w:pPr>
            <w:r w:rsidRPr="00E73ED3">
              <w:rPr>
                <w:rFonts w:cs="Arial"/>
                <w:noProof w:val="0"/>
                <w:color w:val="000000"/>
                <w:sz w:val="18"/>
                <w:szCs w:val="18"/>
                <w:lang w:eastAsia="cs-CZ"/>
              </w:rPr>
              <w:t>1,7</w:t>
            </w:r>
          </w:p>
        </w:tc>
      </w:tr>
    </w:tbl>
    <w:p w:rsidR="00920338" w:rsidRDefault="00920338" w:rsidP="00E73ED3">
      <w:pPr>
        <w:pStyle w:val="Textodstavce"/>
        <w:tabs>
          <w:tab w:val="clear" w:pos="720"/>
        </w:tabs>
        <w:spacing w:line="276" w:lineRule="auto"/>
        <w:ind w:left="0" w:firstLine="0"/>
        <w:rPr>
          <w:rFonts w:ascii="Arial" w:hAnsi="Arial" w:cs="Arial"/>
          <w:sz w:val="20"/>
        </w:rPr>
      </w:pPr>
    </w:p>
    <w:p w:rsidR="00572B3A" w:rsidRDefault="00E73ED3" w:rsidP="00E73ED3">
      <w:pPr>
        <w:pStyle w:val="Textodstavce"/>
        <w:tabs>
          <w:tab w:val="clear" w:pos="720"/>
        </w:tabs>
        <w:spacing w:line="276" w:lineRule="auto"/>
        <w:ind w:left="0" w:firstLine="0"/>
        <w:rPr>
          <w:rFonts w:ascii="Arial" w:hAnsi="Arial" w:cs="Arial"/>
          <w:sz w:val="20"/>
        </w:rPr>
      </w:pPr>
      <w:r w:rsidRPr="00E73ED3">
        <w:rPr>
          <w:rFonts w:ascii="Arial" w:hAnsi="Arial" w:cs="Arial"/>
          <w:sz w:val="20"/>
        </w:rPr>
        <w:t>Charakteristickým rysem byl u bezdomovců i vysoký podíl osob s trvalým bydlištěm na ohlašovně. Zatímco v populaci celkem mělo z počtu obyvatel s obvyklým pobytem adresu trvalého bydliště na ohlašovně 0,2 % osob, u bezdomovců to bylo 16 %. Ztráta</w:t>
      </w:r>
      <w:r w:rsidR="00572B3A">
        <w:rPr>
          <w:rFonts w:ascii="Arial" w:hAnsi="Arial" w:cs="Arial"/>
          <w:sz w:val="20"/>
        </w:rPr>
        <w:t xml:space="preserve"> původního stálého</w:t>
      </w:r>
      <w:r w:rsidRPr="00E73ED3">
        <w:rPr>
          <w:rFonts w:ascii="Arial" w:hAnsi="Arial" w:cs="Arial"/>
          <w:sz w:val="20"/>
        </w:rPr>
        <w:t xml:space="preserve"> bydliště patří obecně k nejčastějším příčinám  bezdomovectví. </w:t>
      </w:r>
    </w:p>
    <w:p w:rsidR="00B679F7" w:rsidRDefault="00E73ED3" w:rsidP="00E73ED3">
      <w:pPr>
        <w:pStyle w:val="Textodstavce"/>
        <w:tabs>
          <w:tab w:val="clear" w:pos="720"/>
        </w:tabs>
        <w:spacing w:line="276" w:lineRule="auto"/>
        <w:ind w:left="0" w:firstLine="0"/>
        <w:rPr>
          <w:rFonts w:ascii="Arial" w:hAnsi="Arial" w:cs="Arial"/>
          <w:sz w:val="20"/>
        </w:rPr>
      </w:pPr>
      <w:r w:rsidRPr="00E73ED3">
        <w:rPr>
          <w:rFonts w:ascii="Arial" w:hAnsi="Arial" w:cs="Arial"/>
          <w:sz w:val="20"/>
        </w:rPr>
        <w:t>Údaje o bydlišti před rokem dávají zprostředkovanou informaci o délce bezdomovectví a o migraci těchto osob. U poloviny bezdomovců bylo zjištěno, že byli ve stejném regionu i před rokem. Dvě pětiny bezdomovců otázku na bydliště před rokem nezodpověděly.</w:t>
      </w:r>
    </w:p>
    <w:p w:rsidR="00B679F7" w:rsidRDefault="00B679F7" w:rsidP="00B679F7">
      <w:pPr>
        <w:spacing w:line="276" w:lineRule="auto"/>
        <w:rPr>
          <w:b/>
          <w:bCs/>
          <w:sz w:val="20"/>
          <w:szCs w:val="20"/>
        </w:rPr>
      </w:pPr>
      <w:r w:rsidRPr="001770AA">
        <w:rPr>
          <w:b/>
          <w:sz w:val="20"/>
          <w:szCs w:val="20"/>
        </w:rPr>
        <w:t xml:space="preserve">Graf č. </w:t>
      </w:r>
      <w:r>
        <w:rPr>
          <w:b/>
          <w:sz w:val="20"/>
          <w:szCs w:val="20"/>
        </w:rPr>
        <w:t xml:space="preserve">19 Bezdomovci podle věku </w:t>
      </w:r>
      <w:r w:rsidRPr="001770AA">
        <w:rPr>
          <w:b/>
          <w:bCs/>
          <w:sz w:val="20"/>
          <w:szCs w:val="20"/>
        </w:rPr>
        <w:t>k 26.</w:t>
      </w:r>
      <w:r>
        <w:rPr>
          <w:b/>
          <w:bCs/>
          <w:sz w:val="20"/>
          <w:szCs w:val="20"/>
        </w:rPr>
        <w:t xml:space="preserve"> </w:t>
      </w:r>
      <w:r w:rsidRPr="001770AA">
        <w:rPr>
          <w:b/>
          <w:bCs/>
          <w:sz w:val="20"/>
          <w:szCs w:val="20"/>
        </w:rPr>
        <w:t>3.</w:t>
      </w:r>
      <w:r>
        <w:rPr>
          <w:b/>
          <w:bCs/>
          <w:sz w:val="20"/>
          <w:szCs w:val="20"/>
        </w:rPr>
        <w:t xml:space="preserve"> </w:t>
      </w:r>
      <w:r w:rsidRPr="001770AA">
        <w:rPr>
          <w:b/>
          <w:bCs/>
          <w:sz w:val="20"/>
          <w:szCs w:val="20"/>
        </w:rPr>
        <w:t>2011</w:t>
      </w:r>
    </w:p>
    <w:p w:rsidR="0051354C" w:rsidRDefault="00EF5C39" w:rsidP="002714B1">
      <w:pPr>
        <w:spacing w:line="276" w:lineRule="auto"/>
        <w:rPr>
          <w:rFonts w:cs="Arial"/>
          <w:sz w:val="20"/>
        </w:rPr>
      </w:pPr>
      <w:r w:rsidRPr="00EF5C39">
        <w:rPr>
          <w:b/>
          <w:bCs/>
          <w:sz w:val="20"/>
          <w:szCs w:val="20"/>
          <w:lang w:eastAsia="cs-CZ"/>
        </w:rPr>
        <w:drawing>
          <wp:anchor distT="0" distB="0" distL="114300" distR="114300" simplePos="0" relativeHeight="251678720" behindDoc="0" locked="0" layoutInCell="1" allowOverlap="1">
            <wp:simplePos x="0" y="0"/>
            <wp:positionH relativeFrom="column">
              <wp:posOffset>20320</wp:posOffset>
            </wp:positionH>
            <wp:positionV relativeFrom="paragraph">
              <wp:posOffset>3175</wp:posOffset>
            </wp:positionV>
            <wp:extent cx="3324225" cy="2257425"/>
            <wp:effectExtent l="19050" t="0" r="9525" b="0"/>
            <wp:wrapSquare wrapText="bothSides"/>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E73ED3" w:rsidRPr="00E73ED3">
        <w:rPr>
          <w:rFonts w:cs="Arial"/>
          <w:sz w:val="20"/>
        </w:rPr>
        <w:t xml:space="preserve"> </w:t>
      </w:r>
      <w:r w:rsidR="0051354C">
        <w:rPr>
          <w:rFonts w:cs="Arial"/>
          <w:sz w:val="20"/>
        </w:rPr>
        <w:t>Základní charakteristiky bezdomovců byly poplatné zařízením, prostřednictvím kterých byli sečteni. Např. poměrně značný počet zařízení pro matky s dětmi ovlivnil strukturu podle pohlaví a věku. Počet žen ve skupině osob bez domova činil 22 %, ve struktuře podle věku se objevily i děti, např. 300 dětí ve věku 0-9 let (2,6 % z počtu sečtených bezdomovců).</w:t>
      </w:r>
      <w:r w:rsidR="00920338">
        <w:rPr>
          <w:rFonts w:cs="Arial"/>
          <w:sz w:val="20"/>
        </w:rPr>
        <w:t xml:space="preserve"> </w:t>
      </w:r>
      <w:r w:rsidR="0051354C">
        <w:rPr>
          <w:rFonts w:cs="Arial"/>
          <w:sz w:val="20"/>
        </w:rPr>
        <w:t>Z věkové struktury je zřejmá vyrovnanost zastoupení desetiletých věkových skupin, zejména mezi 20 a 50 lety. U mužů byla nejpočetněji zastoupena věková kategorie 40-49 let, u žen 20-29 let. Okrajovými kategoriemi byly nejnižší (do 14 let) a nejvyšší (nad 65 let) věkové skupiny.</w:t>
      </w:r>
    </w:p>
    <w:p w:rsidR="0051354C" w:rsidRDefault="0051354C" w:rsidP="00572B3A">
      <w:pPr>
        <w:pStyle w:val="Textodstavce"/>
        <w:tabs>
          <w:tab w:val="clear" w:pos="720"/>
        </w:tabs>
        <w:spacing w:line="276" w:lineRule="auto"/>
        <w:ind w:left="0" w:firstLine="0"/>
        <w:rPr>
          <w:rFonts w:ascii="Arial" w:hAnsi="Arial" w:cs="Arial"/>
          <w:sz w:val="20"/>
        </w:rPr>
      </w:pPr>
      <w:r>
        <w:rPr>
          <w:rFonts w:ascii="Arial" w:hAnsi="Arial" w:cs="Arial"/>
          <w:sz w:val="20"/>
        </w:rPr>
        <w:t xml:space="preserve">Podíl svobodných z celkového počtu sečtených bezdomovců se blížil polovině, dvě pětiny připadly na rozvedené. Dokumentuje to tedy předpoklad, že do krizových životních situací se dostávají spíše osoby bez rodinného zázemí resp. osoby, které o toto zázemí z různých důvodů přišly. Proporčně platilo toto rozložení jak pro ženy, tak pro muže. U žen bylo ale méně svobodných (44 % proti 50 % u mužů), méně rozvedených a naopak dvojnásobný podíl vdaných (16 %) proti ženatým mužům (8 %). </w:t>
      </w:r>
    </w:p>
    <w:p w:rsidR="0051354C" w:rsidRDefault="0051354C" w:rsidP="00572B3A">
      <w:pPr>
        <w:pStyle w:val="Textodstavce"/>
        <w:tabs>
          <w:tab w:val="clear" w:pos="720"/>
        </w:tabs>
        <w:spacing w:line="276" w:lineRule="auto"/>
        <w:ind w:left="0" w:firstLine="0"/>
        <w:rPr>
          <w:rFonts w:ascii="Arial" w:hAnsi="Arial" w:cs="Arial"/>
          <w:sz w:val="20"/>
        </w:rPr>
      </w:pPr>
      <w:r>
        <w:rPr>
          <w:rFonts w:ascii="Arial" w:hAnsi="Arial" w:cs="Arial"/>
          <w:sz w:val="20"/>
        </w:rPr>
        <w:t>Většina sečtených bezdomovců byla českými státními občany, pouze 332 osob uvedlo jiné státní občanství, z nich pak 157 státní občanství Slovenska.</w:t>
      </w:r>
    </w:p>
    <w:p w:rsidR="0051354C" w:rsidRDefault="0051354C" w:rsidP="00572B3A">
      <w:pPr>
        <w:pStyle w:val="Normln-web"/>
        <w:spacing w:line="276" w:lineRule="auto"/>
        <w:rPr>
          <w:sz w:val="20"/>
          <w:szCs w:val="20"/>
        </w:rPr>
      </w:pPr>
      <w:r>
        <w:rPr>
          <w:sz w:val="20"/>
          <w:szCs w:val="20"/>
        </w:rPr>
        <w:t xml:space="preserve">Rovněž ekonomická aktivita bezdomovců byla poplatná způsobu sečtení prostřednictvím azylových zařízení. Převaha osob nezaměstnaných nebo ekonomicky neaktivních byla očekávaná, přesto údaj o podílu pracujících bezdomovců (29 %) byl neočekávaně vysoký. Z počtu bezdomovců v produktivním věku (15-64 let) pracovalo více než 31 %. Tento podíl je zhruba poloviční ve srovnání s podílem pracujících osob v produktivním věku v populaci celkem. Téměř třetina pracujících sečtených bezdomovců souvisí </w:t>
      </w:r>
      <w:r>
        <w:rPr>
          <w:sz w:val="20"/>
          <w:szCs w:val="20"/>
        </w:rPr>
        <w:lastRenderedPageBreak/>
        <w:t>pravděpodobně s typy zařízení, prostřednictvím kterých byly tyto osoby sečteny. Zařízení poskytující ubytování vyžadují většinou spoluúčast (byť minimální) při financování poskytovaných služeb, proto tato zařízení vyhledávají zejména osoby, které se snaží svou tíživou životní situaci řešit a mají-li příležitost, pracují.</w:t>
      </w:r>
    </w:p>
    <w:p w:rsidR="0051354C" w:rsidRDefault="0051354C" w:rsidP="0051354C">
      <w:pPr>
        <w:pStyle w:val="Normln-web"/>
        <w:rPr>
          <w:sz w:val="20"/>
          <w:szCs w:val="20"/>
        </w:rPr>
      </w:pPr>
    </w:p>
    <w:tbl>
      <w:tblPr>
        <w:tblW w:w="9087" w:type="dxa"/>
        <w:tblInd w:w="55" w:type="dxa"/>
        <w:tblLayout w:type="fixed"/>
        <w:tblCellMar>
          <w:left w:w="70" w:type="dxa"/>
          <w:right w:w="70" w:type="dxa"/>
        </w:tblCellMar>
        <w:tblLook w:val="04A0"/>
      </w:tblPr>
      <w:tblGrid>
        <w:gridCol w:w="1754"/>
        <w:gridCol w:w="1213"/>
        <w:gridCol w:w="1017"/>
        <w:gridCol w:w="1134"/>
        <w:gridCol w:w="993"/>
        <w:gridCol w:w="1134"/>
        <w:gridCol w:w="992"/>
        <w:gridCol w:w="850"/>
      </w:tblGrid>
      <w:tr w:rsidR="0051354C" w:rsidRPr="00572B3A" w:rsidTr="00851E06">
        <w:trPr>
          <w:trHeight w:val="255"/>
        </w:trPr>
        <w:tc>
          <w:tcPr>
            <w:tcW w:w="9087" w:type="dxa"/>
            <w:gridSpan w:val="8"/>
            <w:tcBorders>
              <w:top w:val="nil"/>
              <w:left w:val="nil"/>
              <w:bottom w:val="nil"/>
              <w:right w:val="nil"/>
            </w:tcBorders>
            <w:shd w:val="clear" w:color="auto" w:fill="auto"/>
            <w:noWrap/>
            <w:vAlign w:val="bottom"/>
            <w:hideMark/>
          </w:tcPr>
          <w:p w:rsidR="0051354C" w:rsidRPr="00A45B5A" w:rsidRDefault="00760C72" w:rsidP="00760C72">
            <w:pPr>
              <w:rPr>
                <w:rFonts w:cs="Arial"/>
                <w:b/>
                <w:color w:val="000000"/>
                <w:sz w:val="20"/>
                <w:szCs w:val="20"/>
              </w:rPr>
            </w:pPr>
            <w:r>
              <w:rPr>
                <w:rFonts w:cs="Arial"/>
                <w:b/>
                <w:bCs/>
                <w:sz w:val="20"/>
                <w:szCs w:val="20"/>
              </w:rPr>
              <w:t xml:space="preserve">Tab. č. 16  </w:t>
            </w:r>
            <w:r w:rsidR="0051354C" w:rsidRPr="00A45B5A">
              <w:rPr>
                <w:rFonts w:cs="Arial"/>
                <w:b/>
                <w:color w:val="000000"/>
                <w:sz w:val="20"/>
                <w:szCs w:val="20"/>
              </w:rPr>
              <w:t>Bezdomovci podle ekonomické aktivity a postavení v zaměstnání k 26.</w:t>
            </w:r>
            <w:r>
              <w:rPr>
                <w:rFonts w:cs="Arial"/>
                <w:b/>
                <w:color w:val="000000"/>
                <w:sz w:val="20"/>
                <w:szCs w:val="20"/>
              </w:rPr>
              <w:t xml:space="preserve"> </w:t>
            </w:r>
            <w:r w:rsidR="0051354C" w:rsidRPr="00A45B5A">
              <w:rPr>
                <w:rFonts w:cs="Arial"/>
                <w:b/>
                <w:color w:val="000000"/>
                <w:sz w:val="20"/>
                <w:szCs w:val="20"/>
              </w:rPr>
              <w:t>3.</w:t>
            </w:r>
            <w:r>
              <w:rPr>
                <w:rFonts w:cs="Arial"/>
                <w:b/>
                <w:color w:val="000000"/>
                <w:sz w:val="20"/>
                <w:szCs w:val="20"/>
              </w:rPr>
              <w:t xml:space="preserve"> </w:t>
            </w:r>
            <w:r w:rsidR="0051354C" w:rsidRPr="00A45B5A">
              <w:rPr>
                <w:rFonts w:cs="Arial"/>
                <w:b/>
                <w:color w:val="000000"/>
                <w:sz w:val="20"/>
                <w:szCs w:val="20"/>
              </w:rPr>
              <w:t>2011</w:t>
            </w:r>
          </w:p>
        </w:tc>
      </w:tr>
      <w:tr w:rsidR="0051354C" w:rsidRPr="00572B3A" w:rsidTr="00851E06">
        <w:trPr>
          <w:trHeight w:val="255"/>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54C" w:rsidRPr="00572B3A" w:rsidRDefault="0051354C" w:rsidP="00851E06">
            <w:pPr>
              <w:jc w:val="center"/>
              <w:rPr>
                <w:rFonts w:cs="Arial"/>
                <w:color w:val="000000"/>
                <w:sz w:val="18"/>
                <w:szCs w:val="18"/>
              </w:rPr>
            </w:pPr>
            <w:r w:rsidRPr="00572B3A">
              <w:rPr>
                <w:rFonts w:cs="Arial"/>
                <w:color w:val="000000"/>
                <w:sz w:val="18"/>
                <w:szCs w:val="18"/>
              </w:rPr>
              <w:t> </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Bezdomovci celkem</w:t>
            </w:r>
          </w:p>
        </w:tc>
        <w:tc>
          <w:tcPr>
            <w:tcW w:w="3144" w:type="dxa"/>
            <w:gridSpan w:val="3"/>
            <w:tcBorders>
              <w:top w:val="single" w:sz="4" w:space="0" w:color="auto"/>
              <w:left w:val="nil"/>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Ekonomicky aktivní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Ekonomicky neaktivní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 xml:space="preserve">z toho </w:t>
            </w:r>
            <w:r w:rsidRPr="00572B3A">
              <w:rPr>
                <w:rFonts w:cs="Arial"/>
                <w:color w:val="000000"/>
                <w:sz w:val="18"/>
                <w:szCs w:val="18"/>
              </w:rPr>
              <w:br/>
              <w:t>neprac. důchodci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Nezj. ekon. aktivita</w:t>
            </w:r>
          </w:p>
        </w:tc>
      </w:tr>
      <w:tr w:rsidR="0051354C" w:rsidRPr="00572B3A" w:rsidTr="00851E06">
        <w:trPr>
          <w:trHeight w:val="795"/>
        </w:trPr>
        <w:tc>
          <w:tcPr>
            <w:tcW w:w="1754" w:type="dxa"/>
            <w:vMerge/>
            <w:tcBorders>
              <w:top w:val="single" w:sz="4" w:space="0" w:color="auto"/>
              <w:left w:val="single" w:sz="4" w:space="0" w:color="auto"/>
              <w:bottom w:val="single" w:sz="4" w:space="0" w:color="auto"/>
              <w:right w:val="single" w:sz="4" w:space="0" w:color="auto"/>
            </w:tcBorders>
            <w:vAlign w:val="center"/>
            <w:hideMark/>
          </w:tcPr>
          <w:p w:rsidR="0051354C" w:rsidRPr="00572B3A" w:rsidRDefault="0051354C" w:rsidP="00851E06">
            <w:pPr>
              <w:rPr>
                <w:rFonts w:cs="Arial"/>
                <w:color w:val="000000"/>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51354C" w:rsidRPr="00572B3A" w:rsidRDefault="0051354C" w:rsidP="00851E06">
            <w:pPr>
              <w:rPr>
                <w:rFonts w:cs="Arial"/>
                <w:color w:val="000000"/>
                <w:sz w:val="18"/>
                <w:szCs w:val="18"/>
              </w:rPr>
            </w:pPr>
          </w:p>
        </w:tc>
        <w:tc>
          <w:tcPr>
            <w:tcW w:w="1017" w:type="dxa"/>
            <w:tcBorders>
              <w:top w:val="nil"/>
              <w:left w:val="nil"/>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Pracující</w:t>
            </w:r>
          </w:p>
        </w:tc>
        <w:tc>
          <w:tcPr>
            <w:tcW w:w="1134" w:type="dxa"/>
            <w:tcBorders>
              <w:top w:val="nil"/>
              <w:left w:val="nil"/>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 xml:space="preserve">z toho </w:t>
            </w:r>
            <w:r w:rsidRPr="00572B3A">
              <w:rPr>
                <w:rFonts w:cs="Arial"/>
                <w:color w:val="000000"/>
                <w:sz w:val="18"/>
                <w:szCs w:val="18"/>
              </w:rPr>
              <w:br/>
              <w:t>v pozici zaměst--nance</w:t>
            </w:r>
          </w:p>
        </w:tc>
        <w:tc>
          <w:tcPr>
            <w:tcW w:w="993" w:type="dxa"/>
            <w:tcBorders>
              <w:top w:val="nil"/>
              <w:left w:val="nil"/>
              <w:bottom w:val="single" w:sz="4" w:space="0" w:color="auto"/>
              <w:right w:val="single" w:sz="4" w:space="0" w:color="auto"/>
            </w:tcBorders>
            <w:shd w:val="clear" w:color="auto" w:fill="auto"/>
            <w:vAlign w:val="center"/>
            <w:hideMark/>
          </w:tcPr>
          <w:p w:rsidR="0051354C" w:rsidRPr="00572B3A" w:rsidRDefault="0051354C" w:rsidP="00851E06">
            <w:pPr>
              <w:jc w:val="center"/>
              <w:rPr>
                <w:rFonts w:cs="Arial"/>
                <w:color w:val="000000"/>
                <w:sz w:val="18"/>
                <w:szCs w:val="18"/>
              </w:rPr>
            </w:pPr>
            <w:r w:rsidRPr="00572B3A">
              <w:rPr>
                <w:rFonts w:cs="Arial"/>
                <w:color w:val="000000"/>
                <w:sz w:val="18"/>
                <w:szCs w:val="18"/>
              </w:rPr>
              <w:t>Neza</w:t>
            </w:r>
            <w:r w:rsidR="00572B3A" w:rsidRPr="00572B3A">
              <w:rPr>
                <w:rFonts w:cs="Arial"/>
                <w:color w:val="000000"/>
                <w:sz w:val="18"/>
                <w:szCs w:val="18"/>
              </w:rPr>
              <w:t>--</w:t>
            </w:r>
            <w:r w:rsidRPr="00572B3A">
              <w:rPr>
                <w:rFonts w:cs="Arial"/>
                <w:color w:val="000000"/>
                <w:sz w:val="18"/>
                <w:szCs w:val="18"/>
              </w:rPr>
              <w:t>městnaní</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354C" w:rsidRPr="00572B3A" w:rsidRDefault="0051354C" w:rsidP="00851E06">
            <w:pPr>
              <w:rPr>
                <w:rFonts w:cs="Arial"/>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354C" w:rsidRPr="00572B3A" w:rsidRDefault="0051354C" w:rsidP="00851E06">
            <w:pPr>
              <w:rPr>
                <w:rFonts w:cs="Arial"/>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354C" w:rsidRPr="00572B3A" w:rsidRDefault="0051354C" w:rsidP="00851E06">
            <w:pPr>
              <w:rPr>
                <w:rFonts w:cs="Arial"/>
                <w:color w:val="000000"/>
                <w:sz w:val="18"/>
                <w:szCs w:val="18"/>
              </w:rPr>
            </w:pPr>
          </w:p>
        </w:tc>
      </w:tr>
      <w:tr w:rsidR="0051354C" w:rsidRPr="00572B3A" w:rsidTr="00851E06">
        <w:trPr>
          <w:trHeight w:val="22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7333" w:type="dxa"/>
            <w:gridSpan w:val="7"/>
            <w:tcBorders>
              <w:top w:val="single" w:sz="4" w:space="0" w:color="auto"/>
              <w:left w:val="nil"/>
              <w:bottom w:val="single" w:sz="4" w:space="0" w:color="auto"/>
              <w:right w:val="single" w:sz="4" w:space="0" w:color="auto"/>
            </w:tcBorders>
            <w:shd w:val="clear" w:color="auto" w:fill="auto"/>
            <w:vAlign w:val="bottom"/>
            <w:hideMark/>
          </w:tcPr>
          <w:p w:rsidR="0051354C" w:rsidRPr="00572B3A" w:rsidRDefault="0051354C" w:rsidP="00851E06">
            <w:pPr>
              <w:jc w:val="center"/>
              <w:rPr>
                <w:rFonts w:cs="Arial"/>
                <w:color w:val="000000"/>
                <w:sz w:val="18"/>
                <w:szCs w:val="18"/>
              </w:rPr>
            </w:pPr>
            <w:r w:rsidRPr="00572B3A">
              <w:rPr>
                <w:rFonts w:cs="Arial"/>
                <w:color w:val="000000"/>
                <w:sz w:val="18"/>
                <w:szCs w:val="18"/>
              </w:rPr>
              <w:t>abs.</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Bezdomovci celkem</w:t>
            </w:r>
          </w:p>
        </w:tc>
        <w:tc>
          <w:tcPr>
            <w:tcW w:w="1213"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11496</w:t>
            </w:r>
          </w:p>
        </w:tc>
        <w:tc>
          <w:tcPr>
            <w:tcW w:w="1017"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3332</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2426</w:t>
            </w:r>
          </w:p>
        </w:tc>
        <w:tc>
          <w:tcPr>
            <w:tcW w:w="993"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4464</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2872</w:t>
            </w:r>
          </w:p>
        </w:tc>
        <w:tc>
          <w:tcPr>
            <w:tcW w:w="992"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1581</w:t>
            </w:r>
          </w:p>
        </w:tc>
        <w:tc>
          <w:tcPr>
            <w:tcW w:w="850"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828</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z toho</w:t>
            </w:r>
          </w:p>
        </w:tc>
        <w:tc>
          <w:tcPr>
            <w:tcW w:w="1213" w:type="dxa"/>
            <w:tcBorders>
              <w:top w:val="nil"/>
              <w:left w:val="nil"/>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017"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992"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850" w:type="dxa"/>
            <w:tcBorders>
              <w:top w:val="nil"/>
              <w:left w:val="nil"/>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A45B5A" w:rsidP="00851E06">
            <w:pPr>
              <w:rPr>
                <w:rFonts w:cs="Arial"/>
                <w:color w:val="000000"/>
                <w:sz w:val="18"/>
                <w:szCs w:val="18"/>
              </w:rPr>
            </w:pPr>
            <w:r>
              <w:rPr>
                <w:rFonts w:cs="Arial"/>
                <w:color w:val="000000"/>
                <w:sz w:val="18"/>
                <w:szCs w:val="18"/>
              </w:rPr>
              <w:t xml:space="preserve">   </w:t>
            </w:r>
            <w:r w:rsidR="0051354C" w:rsidRPr="00572B3A">
              <w:rPr>
                <w:rFonts w:cs="Arial"/>
                <w:color w:val="000000"/>
                <w:sz w:val="18"/>
                <w:szCs w:val="18"/>
              </w:rPr>
              <w:t>ve věku 15-64 let</w:t>
            </w:r>
          </w:p>
        </w:tc>
        <w:tc>
          <w:tcPr>
            <w:tcW w:w="1213"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10597</w:t>
            </w:r>
          </w:p>
        </w:tc>
        <w:tc>
          <w:tcPr>
            <w:tcW w:w="1017"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3302</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2410</w:t>
            </w:r>
          </w:p>
        </w:tc>
        <w:tc>
          <w:tcPr>
            <w:tcW w:w="993"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4457</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2051</w:t>
            </w:r>
          </w:p>
        </w:tc>
        <w:tc>
          <w:tcPr>
            <w:tcW w:w="992"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1170</w:t>
            </w:r>
          </w:p>
        </w:tc>
        <w:tc>
          <w:tcPr>
            <w:tcW w:w="850" w:type="dxa"/>
            <w:tcBorders>
              <w:top w:val="nil"/>
              <w:left w:val="nil"/>
              <w:bottom w:val="nil"/>
              <w:right w:val="single" w:sz="4" w:space="0" w:color="auto"/>
            </w:tcBorders>
            <w:shd w:val="clear" w:color="auto" w:fill="auto"/>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787</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7333" w:type="dxa"/>
            <w:gridSpan w:val="7"/>
            <w:tcBorders>
              <w:top w:val="single" w:sz="4" w:space="0" w:color="auto"/>
              <w:left w:val="nil"/>
              <w:bottom w:val="single" w:sz="4" w:space="0" w:color="auto"/>
              <w:right w:val="single" w:sz="4" w:space="0" w:color="auto"/>
            </w:tcBorders>
            <w:shd w:val="clear" w:color="auto" w:fill="auto"/>
            <w:vAlign w:val="bottom"/>
            <w:hideMark/>
          </w:tcPr>
          <w:p w:rsidR="0051354C" w:rsidRPr="00572B3A" w:rsidRDefault="0051354C" w:rsidP="00851E06">
            <w:pPr>
              <w:jc w:val="center"/>
              <w:rPr>
                <w:rFonts w:cs="Arial"/>
                <w:color w:val="000000"/>
                <w:sz w:val="18"/>
                <w:szCs w:val="18"/>
              </w:rPr>
            </w:pPr>
            <w:r w:rsidRPr="00572B3A">
              <w:rPr>
                <w:rFonts w:cs="Arial"/>
                <w:color w:val="000000"/>
                <w:sz w:val="18"/>
                <w:szCs w:val="18"/>
              </w:rPr>
              <w:t>%</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Bezdomovci celkem</w:t>
            </w:r>
          </w:p>
        </w:tc>
        <w:tc>
          <w:tcPr>
            <w:tcW w:w="1213"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100,0</w:t>
            </w:r>
          </w:p>
        </w:tc>
        <w:tc>
          <w:tcPr>
            <w:tcW w:w="1017"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29,0</w:t>
            </w:r>
          </w:p>
        </w:tc>
        <w:tc>
          <w:tcPr>
            <w:tcW w:w="1134"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21,1</w:t>
            </w:r>
          </w:p>
        </w:tc>
        <w:tc>
          <w:tcPr>
            <w:tcW w:w="993"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38,8</w:t>
            </w:r>
          </w:p>
        </w:tc>
        <w:tc>
          <w:tcPr>
            <w:tcW w:w="1134"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25,0</w:t>
            </w:r>
          </w:p>
        </w:tc>
        <w:tc>
          <w:tcPr>
            <w:tcW w:w="992"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13,8</w:t>
            </w:r>
          </w:p>
        </w:tc>
        <w:tc>
          <w:tcPr>
            <w:tcW w:w="850" w:type="dxa"/>
            <w:tcBorders>
              <w:top w:val="nil"/>
              <w:left w:val="nil"/>
              <w:bottom w:val="nil"/>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7,2</w:t>
            </w:r>
          </w:p>
        </w:tc>
      </w:tr>
      <w:tr w:rsidR="0051354C" w:rsidRPr="00572B3A" w:rsidTr="00851E06">
        <w:trPr>
          <w:trHeight w:val="255"/>
        </w:trPr>
        <w:tc>
          <w:tcPr>
            <w:tcW w:w="1754" w:type="dxa"/>
            <w:tcBorders>
              <w:top w:val="nil"/>
              <w:left w:val="single" w:sz="4" w:space="0" w:color="auto"/>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z toho</w:t>
            </w:r>
          </w:p>
        </w:tc>
        <w:tc>
          <w:tcPr>
            <w:tcW w:w="1213" w:type="dxa"/>
            <w:tcBorders>
              <w:top w:val="nil"/>
              <w:left w:val="nil"/>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017"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1134"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992" w:type="dxa"/>
            <w:tcBorders>
              <w:top w:val="nil"/>
              <w:left w:val="nil"/>
              <w:bottom w:val="nil"/>
              <w:right w:val="single" w:sz="4" w:space="0" w:color="auto"/>
            </w:tcBorders>
            <w:shd w:val="clear" w:color="auto" w:fill="auto"/>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c>
          <w:tcPr>
            <w:tcW w:w="850" w:type="dxa"/>
            <w:tcBorders>
              <w:top w:val="nil"/>
              <w:left w:val="nil"/>
              <w:bottom w:val="nil"/>
              <w:right w:val="single" w:sz="4" w:space="0" w:color="auto"/>
            </w:tcBorders>
            <w:shd w:val="clear" w:color="auto" w:fill="auto"/>
            <w:noWrap/>
            <w:vAlign w:val="bottom"/>
            <w:hideMark/>
          </w:tcPr>
          <w:p w:rsidR="0051354C" w:rsidRPr="00572B3A" w:rsidRDefault="0051354C" w:rsidP="00851E06">
            <w:pPr>
              <w:rPr>
                <w:rFonts w:cs="Arial"/>
                <w:color w:val="000000"/>
                <w:sz w:val="18"/>
                <w:szCs w:val="18"/>
              </w:rPr>
            </w:pPr>
            <w:r w:rsidRPr="00572B3A">
              <w:rPr>
                <w:rFonts w:cs="Arial"/>
                <w:color w:val="000000"/>
                <w:sz w:val="18"/>
                <w:szCs w:val="18"/>
              </w:rPr>
              <w:t> </w:t>
            </w:r>
          </w:p>
        </w:tc>
      </w:tr>
      <w:tr w:rsidR="0051354C" w:rsidRPr="00572B3A" w:rsidTr="00851E06">
        <w:trPr>
          <w:trHeight w:val="255"/>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1354C" w:rsidRPr="00572B3A" w:rsidRDefault="00A45B5A" w:rsidP="00851E06">
            <w:pPr>
              <w:rPr>
                <w:rFonts w:cs="Arial"/>
                <w:color w:val="000000"/>
                <w:sz w:val="18"/>
                <w:szCs w:val="18"/>
              </w:rPr>
            </w:pPr>
            <w:r>
              <w:rPr>
                <w:rFonts w:cs="Arial"/>
                <w:color w:val="000000"/>
                <w:sz w:val="18"/>
                <w:szCs w:val="18"/>
              </w:rPr>
              <w:t xml:space="preserve">   </w:t>
            </w:r>
            <w:r w:rsidR="0051354C" w:rsidRPr="00572B3A">
              <w:rPr>
                <w:rFonts w:cs="Arial"/>
                <w:color w:val="000000"/>
                <w:sz w:val="18"/>
                <w:szCs w:val="18"/>
              </w:rPr>
              <w:t>ve věku 15-64 let</w:t>
            </w:r>
          </w:p>
        </w:tc>
        <w:tc>
          <w:tcPr>
            <w:tcW w:w="1213"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22,7</w:t>
            </w:r>
          </w:p>
        </w:tc>
        <w:tc>
          <w:tcPr>
            <w:tcW w:w="993"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42,1</w:t>
            </w:r>
          </w:p>
        </w:tc>
        <w:tc>
          <w:tcPr>
            <w:tcW w:w="1134"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19,4</w:t>
            </w:r>
          </w:p>
        </w:tc>
        <w:tc>
          <w:tcPr>
            <w:tcW w:w="992"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11,0</w:t>
            </w:r>
          </w:p>
        </w:tc>
        <w:tc>
          <w:tcPr>
            <w:tcW w:w="850" w:type="dxa"/>
            <w:tcBorders>
              <w:top w:val="nil"/>
              <w:left w:val="nil"/>
              <w:bottom w:val="single" w:sz="4" w:space="0" w:color="auto"/>
              <w:right w:val="single" w:sz="4" w:space="0" w:color="auto"/>
            </w:tcBorders>
            <w:shd w:val="clear" w:color="auto" w:fill="auto"/>
            <w:noWrap/>
            <w:vAlign w:val="bottom"/>
            <w:hideMark/>
          </w:tcPr>
          <w:p w:rsidR="0051354C" w:rsidRPr="00572B3A" w:rsidRDefault="0051354C" w:rsidP="00851E06">
            <w:pPr>
              <w:jc w:val="right"/>
              <w:rPr>
                <w:rFonts w:cs="Arial"/>
                <w:color w:val="000000"/>
                <w:sz w:val="18"/>
                <w:szCs w:val="18"/>
              </w:rPr>
            </w:pPr>
            <w:r w:rsidRPr="00572B3A">
              <w:rPr>
                <w:rFonts w:cs="Arial"/>
                <w:color w:val="000000"/>
                <w:sz w:val="18"/>
                <w:szCs w:val="18"/>
              </w:rPr>
              <w:t>7,4</w:t>
            </w:r>
          </w:p>
        </w:tc>
      </w:tr>
    </w:tbl>
    <w:p w:rsidR="0051354C" w:rsidRDefault="0051354C" w:rsidP="0051354C">
      <w:pPr>
        <w:pStyle w:val="Normln-web"/>
        <w:rPr>
          <w:sz w:val="20"/>
          <w:szCs w:val="20"/>
        </w:rPr>
      </w:pPr>
    </w:p>
    <w:p w:rsidR="002714B1" w:rsidRDefault="0051354C" w:rsidP="00572B3A">
      <w:pPr>
        <w:pStyle w:val="Normln-web"/>
        <w:spacing w:line="276" w:lineRule="auto"/>
        <w:rPr>
          <w:sz w:val="20"/>
          <w:szCs w:val="20"/>
        </w:rPr>
      </w:pPr>
      <w:r>
        <w:rPr>
          <w:sz w:val="20"/>
          <w:szCs w:val="20"/>
        </w:rPr>
        <w:t xml:space="preserve">Se statusem bezdomovce a úrovní ekonomické aktivity koresponduje struktura podle nejvyššího ukončeného vzdělání. Tři čtvrtiny sečtených bezdomovců měly střední nebo základní vzdělání, přičemž na jednoho bezdomovce se základním vzděláním připadli zhruba dva se vzděláním středním.  Právě vzdělání střední (bez maturity) bylo nejpočetnější skupinou – mělo ho více než 47 % sečtených bezdomovců starších 15 let. Tyto osoby tedy určitou kvalifikaci pro případný výkon povolání měly a měly tudíž i předpoklady najít si uplatnění na trhu práce. </w:t>
      </w:r>
    </w:p>
    <w:p w:rsidR="002714B1" w:rsidRDefault="002714B1" w:rsidP="00572B3A">
      <w:pPr>
        <w:pStyle w:val="Normln-web"/>
        <w:spacing w:line="276" w:lineRule="auto"/>
        <w:rPr>
          <w:sz w:val="20"/>
          <w:szCs w:val="20"/>
        </w:rPr>
      </w:pPr>
    </w:p>
    <w:p w:rsidR="00DD1433" w:rsidRDefault="002714B1" w:rsidP="002714B1">
      <w:pPr>
        <w:spacing w:line="276" w:lineRule="auto"/>
        <w:rPr>
          <w:b/>
          <w:sz w:val="20"/>
          <w:szCs w:val="20"/>
        </w:rPr>
      </w:pPr>
      <w:r w:rsidRPr="001770AA">
        <w:rPr>
          <w:b/>
          <w:sz w:val="20"/>
          <w:szCs w:val="20"/>
        </w:rPr>
        <w:t xml:space="preserve">Graf č. </w:t>
      </w:r>
      <w:r>
        <w:rPr>
          <w:b/>
          <w:sz w:val="20"/>
          <w:szCs w:val="20"/>
        </w:rPr>
        <w:t xml:space="preserve">20 Bezdomovci podle nejvyššího ukončeného vzdělání </w:t>
      </w:r>
    </w:p>
    <w:p w:rsidR="002714B1" w:rsidRDefault="002714B1" w:rsidP="002714B1">
      <w:pPr>
        <w:spacing w:line="276" w:lineRule="auto"/>
        <w:rPr>
          <w:b/>
          <w:bCs/>
          <w:sz w:val="20"/>
          <w:szCs w:val="20"/>
        </w:rPr>
      </w:pPr>
      <w:r w:rsidRPr="001770AA">
        <w:rPr>
          <w:b/>
          <w:bCs/>
          <w:sz w:val="20"/>
          <w:szCs w:val="20"/>
        </w:rPr>
        <w:t>k 26.</w:t>
      </w:r>
      <w:r>
        <w:rPr>
          <w:b/>
          <w:bCs/>
          <w:sz w:val="20"/>
          <w:szCs w:val="20"/>
        </w:rPr>
        <w:t xml:space="preserve"> </w:t>
      </w:r>
      <w:r w:rsidRPr="001770AA">
        <w:rPr>
          <w:b/>
          <w:bCs/>
          <w:sz w:val="20"/>
          <w:szCs w:val="20"/>
        </w:rPr>
        <w:t>3.</w:t>
      </w:r>
      <w:r>
        <w:rPr>
          <w:b/>
          <w:bCs/>
          <w:sz w:val="20"/>
          <w:szCs w:val="20"/>
        </w:rPr>
        <w:t xml:space="preserve"> </w:t>
      </w:r>
      <w:r w:rsidRPr="001770AA">
        <w:rPr>
          <w:b/>
          <w:bCs/>
          <w:sz w:val="20"/>
          <w:szCs w:val="20"/>
        </w:rPr>
        <w:t>2011</w:t>
      </w:r>
    </w:p>
    <w:p w:rsidR="0051354C" w:rsidRDefault="002714B1" w:rsidP="00DD1433">
      <w:pPr>
        <w:spacing w:line="276" w:lineRule="auto"/>
        <w:rPr>
          <w:sz w:val="20"/>
          <w:szCs w:val="20"/>
        </w:rPr>
      </w:pPr>
      <w:r w:rsidRPr="002714B1">
        <w:rPr>
          <w:b/>
          <w:bCs/>
          <w:sz w:val="20"/>
          <w:szCs w:val="20"/>
          <w:lang w:eastAsia="cs-CZ"/>
        </w:rPr>
        <w:drawing>
          <wp:anchor distT="0" distB="0" distL="114300" distR="114300" simplePos="0" relativeHeight="251679744" behindDoc="0" locked="0" layoutInCell="1" allowOverlap="1">
            <wp:simplePos x="0" y="0"/>
            <wp:positionH relativeFrom="column">
              <wp:posOffset>20320</wp:posOffset>
            </wp:positionH>
            <wp:positionV relativeFrom="paragraph">
              <wp:posOffset>66040</wp:posOffset>
            </wp:positionV>
            <wp:extent cx="3695700" cy="2105025"/>
            <wp:effectExtent l="19050" t="0" r="19050" b="0"/>
            <wp:wrapSquare wrapText="bothSides"/>
            <wp:docPr id="2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51354C">
        <w:rPr>
          <w:sz w:val="20"/>
          <w:szCs w:val="20"/>
        </w:rPr>
        <w:t xml:space="preserve">Že je vzdělání poměrně důležitým faktorem pro pracovní uplatnění dokumentuje i srovnání s bezdomovci se vzděláním základním (tedy bez jakékoliv kvalifikace). Zatímco z počtu sečtených bezdomovců se středním vzděláním pracovala třetina, z počtu bezdomovců se vzděláním základním pracovalo necelých 18 %. </w:t>
      </w:r>
    </w:p>
    <w:p w:rsidR="0051354C" w:rsidRDefault="0051354C" w:rsidP="00572B3A">
      <w:pPr>
        <w:pStyle w:val="Normln-web"/>
        <w:spacing w:line="276" w:lineRule="auto"/>
        <w:rPr>
          <w:sz w:val="20"/>
          <w:szCs w:val="20"/>
        </w:rPr>
      </w:pPr>
      <w:r>
        <w:rPr>
          <w:sz w:val="20"/>
          <w:szCs w:val="20"/>
        </w:rPr>
        <w:t>Nej</w:t>
      </w:r>
      <w:r w:rsidR="00220D4D">
        <w:rPr>
          <w:sz w:val="20"/>
          <w:szCs w:val="20"/>
        </w:rPr>
        <w:t>více pracujících bezdomovců (25 </w:t>
      </w:r>
      <w:r>
        <w:rPr>
          <w:sz w:val="20"/>
          <w:szCs w:val="20"/>
        </w:rPr>
        <w:t>%) našlo uplatnění ve zpracovatelském průmyslu, zejména v kovodělné výrobě a výrobě motorový</w:t>
      </w:r>
      <w:r w:rsidR="00220D4D">
        <w:rPr>
          <w:sz w:val="20"/>
          <w:szCs w:val="20"/>
        </w:rPr>
        <w:t>ch vozidel, ve stavebnictví (12 </w:t>
      </w:r>
      <w:r>
        <w:rPr>
          <w:sz w:val="20"/>
          <w:szCs w:val="20"/>
        </w:rPr>
        <w:t xml:space="preserve">%), dopravě a skladování (9 %) a obchodě (necelých 8 %). Z hlediska konkrétních vykonávaných zaměstnání byly zhruba stejně (cca 22 %) zastoupeny skupina řemeslníků (zejména řemeslníci na stavbách, nástrojaři a svářeči) a pracovníci obsluhy strojů a zařízení (především řidiči nákladních automobilů a montážní dělníci). Třetí nejpočetnější skupinu (12,5 %) tvořili pracovníci ve službách a prodeji – většinou prodavači nebo jiní pracovníci v prodejnách. </w:t>
      </w:r>
    </w:p>
    <w:p w:rsidR="0051354C" w:rsidRDefault="0051354C" w:rsidP="00E1165F">
      <w:pPr>
        <w:pStyle w:val="Normln-web"/>
        <w:spacing w:line="276" w:lineRule="auto"/>
        <w:rPr>
          <w:sz w:val="20"/>
          <w:szCs w:val="20"/>
        </w:rPr>
      </w:pPr>
      <w:r>
        <w:rPr>
          <w:sz w:val="20"/>
          <w:szCs w:val="20"/>
        </w:rPr>
        <w:lastRenderedPageBreak/>
        <w:t>Stejně jako u celkové populace i bezdomovci využili ve velké míře dobrovolnosti odpovědí na otázky na národnost nebo náboženskou víru a nechali tyto otázky často bez odpovědi. Národnost neuvedla téměř čtvrtina z nich, náboženskou víru neuvedlo téměř 47 % osob bez domova.</w:t>
      </w:r>
    </w:p>
    <w:p w:rsidR="0051354C" w:rsidRDefault="0051354C" w:rsidP="00E1165F">
      <w:pPr>
        <w:pStyle w:val="Normln-web"/>
        <w:spacing w:line="276" w:lineRule="auto"/>
        <w:rPr>
          <w:sz w:val="20"/>
          <w:szCs w:val="20"/>
        </w:rPr>
      </w:pPr>
      <w:r>
        <w:rPr>
          <w:sz w:val="20"/>
          <w:szCs w:val="20"/>
        </w:rPr>
        <w:t xml:space="preserve">Dominantní národností </w:t>
      </w:r>
      <w:r w:rsidR="00E1165F">
        <w:rPr>
          <w:sz w:val="20"/>
          <w:szCs w:val="20"/>
        </w:rPr>
        <w:t xml:space="preserve">bezdomovců </w:t>
      </w:r>
      <w:r>
        <w:rPr>
          <w:sz w:val="20"/>
          <w:szCs w:val="20"/>
        </w:rPr>
        <w:t xml:space="preserve">byla národnost česká, kterou deklarovaly více než dvě třetiny </w:t>
      </w:r>
      <w:r w:rsidR="00E1165F">
        <w:rPr>
          <w:sz w:val="20"/>
          <w:szCs w:val="20"/>
        </w:rPr>
        <w:t>z nich</w:t>
      </w:r>
      <w:r>
        <w:rPr>
          <w:sz w:val="20"/>
          <w:szCs w:val="20"/>
        </w:rPr>
        <w:t>, jinou než českou příp. dvojí národnost uvedla desetina osob bez domova. Ačkoliv národnost byla vnímána jako citlivá otázka, u mateřského jazyka tomu tak nebylo. Pouhá 2 % bezdomovců svůj mateřský jazyk neuvedla. Současně z</w:t>
      </w:r>
      <w:r w:rsidR="00E1165F">
        <w:rPr>
          <w:sz w:val="20"/>
          <w:szCs w:val="20"/>
        </w:rPr>
        <w:t> </w:t>
      </w:r>
      <w:r>
        <w:rPr>
          <w:sz w:val="20"/>
          <w:szCs w:val="20"/>
        </w:rPr>
        <w:t>2</w:t>
      </w:r>
      <w:r w:rsidR="00E1165F">
        <w:rPr>
          <w:sz w:val="20"/>
          <w:szCs w:val="20"/>
        </w:rPr>
        <w:t xml:space="preserve"> </w:t>
      </w:r>
      <w:r>
        <w:rPr>
          <w:sz w:val="20"/>
          <w:szCs w:val="20"/>
        </w:rPr>
        <w:t xml:space="preserve">637 bezdomovců, kteří neuvedli svou národnost, pouze 151 osob neuvedlo ani mateřský jazyk (tj. necelých 6 % z počtu bezdomovců bez uvedené národnosti resp. 1,3 % z celkového počtu bezdomovců). </w:t>
      </w:r>
    </w:p>
    <w:p w:rsidR="00DD1433" w:rsidRDefault="00DD1433" w:rsidP="00DD1433">
      <w:pPr>
        <w:spacing w:line="276" w:lineRule="auto"/>
        <w:rPr>
          <w:b/>
          <w:sz w:val="20"/>
          <w:szCs w:val="20"/>
        </w:rPr>
      </w:pPr>
    </w:p>
    <w:p w:rsidR="00DD1433" w:rsidRDefault="00DD1433" w:rsidP="00DD1433">
      <w:pPr>
        <w:spacing w:line="276" w:lineRule="auto"/>
        <w:rPr>
          <w:b/>
          <w:bCs/>
          <w:sz w:val="20"/>
          <w:szCs w:val="20"/>
        </w:rPr>
      </w:pPr>
      <w:r w:rsidRPr="001770AA">
        <w:rPr>
          <w:b/>
          <w:sz w:val="20"/>
          <w:szCs w:val="20"/>
        </w:rPr>
        <w:t>Graf</w:t>
      </w:r>
      <w:r>
        <w:rPr>
          <w:b/>
          <w:sz w:val="20"/>
          <w:szCs w:val="20"/>
        </w:rPr>
        <w:t>y</w:t>
      </w:r>
      <w:r w:rsidRPr="001770AA">
        <w:rPr>
          <w:b/>
          <w:sz w:val="20"/>
          <w:szCs w:val="20"/>
        </w:rPr>
        <w:t xml:space="preserve"> č. </w:t>
      </w:r>
      <w:r>
        <w:rPr>
          <w:b/>
          <w:sz w:val="20"/>
          <w:szCs w:val="20"/>
        </w:rPr>
        <w:t xml:space="preserve">21, 22 Bezdomovci podle mateřského jazyka a národnosti </w:t>
      </w:r>
      <w:r w:rsidRPr="001770AA">
        <w:rPr>
          <w:b/>
          <w:bCs/>
          <w:sz w:val="20"/>
          <w:szCs w:val="20"/>
        </w:rPr>
        <w:t>k 26.</w:t>
      </w:r>
      <w:r>
        <w:rPr>
          <w:b/>
          <w:bCs/>
          <w:sz w:val="20"/>
          <w:szCs w:val="20"/>
        </w:rPr>
        <w:t xml:space="preserve"> </w:t>
      </w:r>
      <w:r w:rsidRPr="001770AA">
        <w:rPr>
          <w:b/>
          <w:bCs/>
          <w:sz w:val="20"/>
          <w:szCs w:val="20"/>
        </w:rPr>
        <w:t>3.</w:t>
      </w:r>
      <w:r>
        <w:rPr>
          <w:b/>
          <w:bCs/>
          <w:sz w:val="20"/>
          <w:szCs w:val="20"/>
        </w:rPr>
        <w:t xml:space="preserve"> </w:t>
      </w:r>
      <w:r w:rsidRPr="001770AA">
        <w:rPr>
          <w:b/>
          <w:bCs/>
          <w:sz w:val="20"/>
          <w:szCs w:val="20"/>
        </w:rPr>
        <w:t>2011</w:t>
      </w:r>
    </w:p>
    <w:p w:rsidR="00EE0737" w:rsidRDefault="00185204" w:rsidP="00DD1433">
      <w:pPr>
        <w:spacing w:line="276" w:lineRule="auto"/>
        <w:rPr>
          <w:b/>
          <w:bCs/>
          <w:sz w:val="20"/>
          <w:szCs w:val="20"/>
        </w:rPr>
      </w:pPr>
      <w:r>
        <w:rPr>
          <w:b/>
          <w:bCs/>
          <w:sz w:val="20"/>
          <w:szCs w:val="20"/>
          <w:lang w:eastAsia="cs-CZ"/>
        </w:rPr>
        <w:drawing>
          <wp:anchor distT="0" distB="0" distL="36195" distR="36195" simplePos="0" relativeHeight="251681792" behindDoc="0" locked="0" layoutInCell="1" allowOverlap="1">
            <wp:simplePos x="0" y="0"/>
            <wp:positionH relativeFrom="column">
              <wp:posOffset>19685</wp:posOffset>
            </wp:positionH>
            <wp:positionV relativeFrom="paragraph">
              <wp:posOffset>172085</wp:posOffset>
            </wp:positionV>
            <wp:extent cx="3057525" cy="2105025"/>
            <wp:effectExtent l="19050" t="0" r="9525" b="0"/>
            <wp:wrapSquare wrapText="bothSides"/>
            <wp:docPr id="34"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b/>
          <w:bCs/>
          <w:sz w:val="20"/>
          <w:szCs w:val="20"/>
          <w:lang w:eastAsia="cs-CZ"/>
        </w:rPr>
        <w:drawing>
          <wp:anchor distT="0" distB="0" distL="36195" distR="36195" simplePos="0" relativeHeight="251682816" behindDoc="0" locked="0" layoutInCell="1" allowOverlap="1">
            <wp:simplePos x="0" y="0"/>
            <wp:positionH relativeFrom="column">
              <wp:posOffset>3077845</wp:posOffset>
            </wp:positionH>
            <wp:positionV relativeFrom="paragraph">
              <wp:posOffset>172085</wp:posOffset>
            </wp:positionV>
            <wp:extent cx="2933700" cy="2105025"/>
            <wp:effectExtent l="19050" t="0" r="19050" b="0"/>
            <wp:wrapSquare wrapText="bothSides"/>
            <wp:docPr id="3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1354C" w:rsidRDefault="0051354C" w:rsidP="009A629E">
      <w:pPr>
        <w:pStyle w:val="Normln-web"/>
        <w:spacing w:line="276" w:lineRule="auto"/>
        <w:rPr>
          <w:sz w:val="20"/>
          <w:szCs w:val="20"/>
        </w:rPr>
      </w:pPr>
      <w:r>
        <w:rPr>
          <w:sz w:val="20"/>
          <w:szCs w:val="20"/>
        </w:rPr>
        <w:t>K náboženské víře se přihlásila necelá pětina bezdomovců. Přitom 10 % bezdomovců uvedlo konkrétní církev nebo náboženskou společnost (6 % Církev římskokatolickou) a 8 % zvolilo na sčítacím formuláři „věřící-nehlásící se k žádné církvi ani náboženské společnosti“. Více než třetina bezdomovců (35 %) deklaroval</w:t>
      </w:r>
      <w:r w:rsidR="00067BCE">
        <w:rPr>
          <w:sz w:val="20"/>
          <w:szCs w:val="20"/>
        </w:rPr>
        <w:t>a</w:t>
      </w:r>
      <w:r>
        <w:rPr>
          <w:sz w:val="20"/>
          <w:szCs w:val="20"/>
        </w:rPr>
        <w:t>, že je bez náboženské víry. Ostatní nechali otázku bez odpovědi. Podíl neuvedených odpovědí u otázky na náboženskou víru byl stejně jako u celkové populace výrazně vyšší než podíl neuvedených národností. V případě bezdomovců byl tento podíl více než dvojnásobný.</w:t>
      </w:r>
    </w:p>
    <w:p w:rsidR="00B903FD" w:rsidRDefault="00114D49" w:rsidP="00114D49">
      <w:pPr>
        <w:pStyle w:val="Normln-web"/>
        <w:spacing w:line="276" w:lineRule="auto"/>
        <w:rPr>
          <w:sz w:val="20"/>
        </w:rPr>
      </w:pPr>
      <w:r>
        <w:rPr>
          <w:sz w:val="20"/>
        </w:rPr>
        <w:t xml:space="preserve"> </w:t>
      </w:r>
    </w:p>
    <w:sectPr w:rsidR="00B903FD" w:rsidSect="002C669A">
      <w:headerReference w:type="default" r:id="rId13"/>
      <w:pgSz w:w="11905" w:h="16837"/>
      <w:pgMar w:top="2269" w:right="851" w:bottom="1418" w:left="158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B2" w:rsidRDefault="007D6DB2">
      <w:r>
        <w:separator/>
      </w:r>
    </w:p>
  </w:endnote>
  <w:endnote w:type="continuationSeparator" w:id="0">
    <w:p w:rsidR="007D6DB2" w:rsidRDefault="007D6D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sig w:usb0="00000000" w:usb1="00000000" w:usb2="00000000" w:usb3="00000000" w:csb0="00000000"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B2" w:rsidRDefault="007D6DB2">
      <w:r>
        <w:separator/>
      </w:r>
    </w:p>
  </w:footnote>
  <w:footnote w:type="continuationSeparator" w:id="0">
    <w:p w:rsidR="007D6DB2" w:rsidRDefault="007D6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tblInd w:w="108" w:type="dxa"/>
      <w:tblLayout w:type="fixed"/>
      <w:tblLook w:val="0000"/>
    </w:tblPr>
    <w:tblGrid>
      <w:gridCol w:w="2835"/>
      <w:gridCol w:w="3079"/>
      <w:gridCol w:w="3655"/>
    </w:tblGrid>
    <w:tr w:rsidR="001F2998" w:rsidTr="00220D4D">
      <w:tc>
        <w:tcPr>
          <w:tcW w:w="2835" w:type="dxa"/>
          <w:vAlign w:val="center"/>
        </w:tcPr>
        <w:p w:rsidR="001F2998" w:rsidRDefault="001F2998" w:rsidP="00375D96">
          <w:pPr>
            <w:pStyle w:val="Zhlav"/>
            <w:tabs>
              <w:tab w:val="right" w:pos="9072"/>
            </w:tabs>
            <w:snapToGrid w:val="0"/>
            <w:rPr>
              <w:sz w:val="20"/>
              <w:lang w:val="en-GB"/>
            </w:rPr>
          </w:pPr>
          <w:r>
            <w:rPr>
              <w:lang w:eastAsia="cs-CZ"/>
            </w:rPr>
            <w:drawing>
              <wp:anchor distT="0" distB="0" distL="0" distR="0" simplePos="0" relativeHeight="251660288" behindDoc="0" locked="0" layoutInCell="1" allowOverlap="1">
                <wp:simplePos x="0" y="0"/>
                <wp:positionH relativeFrom="column">
                  <wp:posOffset>-1270</wp:posOffset>
                </wp:positionH>
                <wp:positionV relativeFrom="paragraph">
                  <wp:posOffset>0</wp:posOffset>
                </wp:positionV>
                <wp:extent cx="1673860" cy="828040"/>
                <wp:effectExtent l="19050" t="0" r="2540" b="0"/>
                <wp:wrapTopAndBottom/>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3860" cy="828040"/>
                        </a:xfrm>
                        <a:prstGeom prst="rect">
                          <a:avLst/>
                        </a:prstGeom>
                        <a:solidFill>
                          <a:srgbClr val="FFFFFF"/>
                        </a:solidFill>
                        <a:ln w="9525">
                          <a:noFill/>
                          <a:miter lim="800000"/>
                          <a:headEnd/>
                          <a:tailEnd/>
                        </a:ln>
                      </pic:spPr>
                    </pic:pic>
                  </a:graphicData>
                </a:graphic>
              </wp:anchor>
            </w:drawing>
          </w:r>
        </w:p>
      </w:tc>
      <w:tc>
        <w:tcPr>
          <w:tcW w:w="3079" w:type="dxa"/>
          <w:vAlign w:val="center"/>
        </w:tcPr>
        <w:p w:rsidR="001F2998" w:rsidRDefault="001F2998" w:rsidP="00375D96">
          <w:pPr>
            <w:pStyle w:val="Zhlav"/>
            <w:tabs>
              <w:tab w:val="left" w:pos="709"/>
              <w:tab w:val="right" w:pos="9072"/>
            </w:tabs>
            <w:snapToGrid w:val="0"/>
            <w:jc w:val="center"/>
            <w:rPr>
              <w:b/>
              <w:sz w:val="28"/>
              <w:lang w:val="en-GB"/>
            </w:rPr>
          </w:pPr>
        </w:p>
      </w:tc>
      <w:tc>
        <w:tcPr>
          <w:tcW w:w="3655" w:type="dxa"/>
          <w:vAlign w:val="center"/>
        </w:tcPr>
        <w:p w:rsidR="001F2998" w:rsidRDefault="001F2998" w:rsidP="00375D96">
          <w:pPr>
            <w:pStyle w:val="Zhlav"/>
            <w:tabs>
              <w:tab w:val="left" w:pos="709"/>
              <w:tab w:val="right" w:pos="9072"/>
            </w:tabs>
            <w:snapToGrid w:val="0"/>
            <w:jc w:val="right"/>
            <w:rPr>
              <w:sz w:val="20"/>
              <w:lang w:val="en-GB"/>
            </w:rPr>
          </w:pPr>
          <w:r>
            <w:rPr>
              <w:sz w:val="20"/>
              <w:lang w:eastAsia="cs-CZ"/>
            </w:rPr>
            <w:drawing>
              <wp:anchor distT="0" distB="0" distL="114300" distR="114300" simplePos="0" relativeHeight="251661312" behindDoc="1" locked="0" layoutInCell="1" allowOverlap="1">
                <wp:simplePos x="0" y="0"/>
                <wp:positionH relativeFrom="page">
                  <wp:posOffset>466090</wp:posOffset>
                </wp:positionH>
                <wp:positionV relativeFrom="page">
                  <wp:posOffset>261620</wp:posOffset>
                </wp:positionV>
                <wp:extent cx="1741170" cy="450215"/>
                <wp:effectExtent l="19050" t="0" r="0" b="0"/>
                <wp:wrapNone/>
                <wp:docPr id="18"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
                        <a:srcRect r="61736"/>
                        <a:stretch>
                          <a:fillRect/>
                        </a:stretch>
                      </pic:blipFill>
                      <pic:spPr bwMode="auto">
                        <a:xfrm>
                          <a:off x="0" y="0"/>
                          <a:ext cx="1741170" cy="450215"/>
                        </a:xfrm>
                        <a:prstGeom prst="rect">
                          <a:avLst/>
                        </a:prstGeom>
                        <a:noFill/>
                        <a:ln w="9525">
                          <a:noFill/>
                          <a:miter lim="800000"/>
                          <a:headEnd/>
                          <a:tailEnd/>
                        </a:ln>
                      </pic:spPr>
                    </pic:pic>
                  </a:graphicData>
                </a:graphic>
              </wp:anchor>
            </w:drawing>
          </w:r>
        </w:p>
      </w:tc>
    </w:tr>
  </w:tbl>
  <w:p w:rsidR="001F2998" w:rsidRDefault="001F2998">
    <w:pPr>
      <w:pStyle w:val="Zhlav"/>
      <w:tabs>
        <w:tab w:val="left" w:pos="709"/>
        <w:tab w:val="right" w:pos="9072"/>
      </w:tabs>
      <w:rPr>
        <w:sz w:val="2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33"/>
    <w:lvl w:ilvl="0">
      <w:start w:val="1"/>
      <w:numFmt w:val="decimal"/>
      <w:lvlText w:val="%1"/>
      <w:lvlJc w:val="left"/>
      <w:pPr>
        <w:tabs>
          <w:tab w:val="num" w:pos="0"/>
        </w:tabs>
        <w:ind w:left="360" w:hanging="360"/>
      </w:pPr>
      <w:rPr>
        <w:rFonts w:ascii="Arial" w:hAnsi="Arial"/>
        <w:b/>
        <w:i w:val="0"/>
        <w:sz w:val="19"/>
      </w:rPr>
    </w:lvl>
    <w:lvl w:ilvl="1">
      <w:start w:val="1"/>
      <w:numFmt w:val="decimal"/>
      <w:lvlText w:val="%1.%2"/>
      <w:lvlJc w:val="left"/>
      <w:pPr>
        <w:tabs>
          <w:tab w:val="num" w:pos="0"/>
        </w:tabs>
        <w:ind w:left="720" w:hanging="360"/>
      </w:pPr>
      <w:rPr>
        <w:rFonts w:ascii="Arial" w:hAnsi="Arial"/>
        <w:b w:val="0"/>
        <w:i w:val="0"/>
        <w:sz w:val="19"/>
      </w:rPr>
    </w:lvl>
    <w:lvl w:ilvl="2">
      <w:start w:val="1"/>
      <w:numFmt w:val="decimal"/>
      <w:lvlText w:val="%1.%2.%3"/>
      <w:lvlJc w:val="left"/>
      <w:pPr>
        <w:tabs>
          <w:tab w:val="num" w:pos="0"/>
        </w:tabs>
        <w:ind w:left="1080" w:hanging="360"/>
      </w:pPr>
      <w:rPr>
        <w:rFonts w:ascii="Arial" w:hAnsi="Arial"/>
        <w:b w:val="0"/>
        <w:i w:val="0"/>
        <w:sz w:val="19"/>
      </w:rPr>
    </w:lvl>
    <w:lvl w:ilvl="3">
      <w:start w:val="1"/>
      <w:numFmt w:val="decimal"/>
      <w:lvlText w:val="%1.%2.%3.%4"/>
      <w:lvlJc w:val="left"/>
      <w:pPr>
        <w:tabs>
          <w:tab w:val="num" w:pos="0"/>
        </w:tabs>
        <w:ind w:left="1440" w:hanging="360"/>
      </w:pPr>
      <w:rPr>
        <w:rFonts w:ascii="Arial" w:hAnsi="Arial"/>
        <w:b w:val="0"/>
        <w:i w:val="0"/>
        <w:sz w:val="19"/>
      </w:rPr>
    </w:lvl>
    <w:lvl w:ilvl="4">
      <w:start w:val="1"/>
      <w:numFmt w:val="none"/>
      <w:lvlText w:val=""/>
      <w:lvlJc w:val="left"/>
      <w:pPr>
        <w:tabs>
          <w:tab w:val="num" w:pos="0"/>
        </w:tabs>
        <w:ind w:left="1800" w:hanging="360"/>
      </w:pPr>
      <w:rPr>
        <w:rFonts w:ascii="Arial" w:hAnsi="Arial"/>
        <w:b w:val="0"/>
        <w:i/>
        <w:sz w:val="19"/>
      </w:rPr>
    </w:lvl>
    <w:lvl w:ilvl="5">
      <w:start w:val="1"/>
      <w:numFmt w:val="none"/>
      <w:lvlText w:val=""/>
      <w:lvlJc w:val="left"/>
      <w:pPr>
        <w:tabs>
          <w:tab w:val="num" w:pos="0"/>
        </w:tabs>
        <w:ind w:left="2160" w:hanging="360"/>
      </w:pPr>
      <w:rPr>
        <w:rFonts w:ascii="Arial" w:hAnsi="Arial"/>
        <w:b w:val="0"/>
        <w:i/>
        <w:sz w:val="19"/>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7E21487"/>
    <w:multiLevelType w:val="hybridMultilevel"/>
    <w:tmpl w:val="A162A74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1D280E"/>
    <w:multiLevelType w:val="hybridMultilevel"/>
    <w:tmpl w:val="7CEA95E4"/>
    <w:lvl w:ilvl="0" w:tplc="C21ADF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821C9E"/>
    <w:multiLevelType w:val="hybridMultilevel"/>
    <w:tmpl w:val="344227B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8631BF"/>
    <w:multiLevelType w:val="hybridMultilevel"/>
    <w:tmpl w:val="9852FDFC"/>
    <w:lvl w:ilvl="0" w:tplc="55787480">
      <w:start w:val="1"/>
      <w:numFmt w:val="decimal"/>
      <w:lvlText w:val="%1."/>
      <w:lvlJc w:val="left"/>
      <w:pPr>
        <w:ind w:left="502" w:hanging="360"/>
      </w:pPr>
      <w:rPr>
        <w:rFonts w:ascii="Arial" w:eastAsia="Times New Roman" w:hAnsi="Arial" w:cs="Arial"/>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1F082C05"/>
    <w:multiLevelType w:val="hybridMultilevel"/>
    <w:tmpl w:val="08DEA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B372C"/>
    <w:multiLevelType w:val="hybridMultilevel"/>
    <w:tmpl w:val="C5C81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2110DD"/>
    <w:multiLevelType w:val="multilevel"/>
    <w:tmpl w:val="D3D41B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1246C9F"/>
    <w:multiLevelType w:val="hybridMultilevel"/>
    <w:tmpl w:val="CBEA4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3D0BFB"/>
    <w:multiLevelType w:val="hybridMultilevel"/>
    <w:tmpl w:val="9378FAC4"/>
    <w:lvl w:ilvl="0" w:tplc="5888C54C">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4DC11A06"/>
    <w:multiLevelType w:val="hybridMultilevel"/>
    <w:tmpl w:val="943E9F4A"/>
    <w:lvl w:ilvl="0" w:tplc="22546BEC">
      <w:start w:val="1"/>
      <w:numFmt w:val="bullet"/>
      <w:lvlText w:val=""/>
      <w:lvlJc w:val="left"/>
      <w:pPr>
        <w:ind w:left="720" w:hanging="360"/>
      </w:pPr>
      <w:rPr>
        <w:rFonts w:ascii="Symbol" w:hAnsi="Symbol" w:hint="default"/>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5D1782"/>
    <w:multiLevelType w:val="hybridMultilevel"/>
    <w:tmpl w:val="9DFC6328"/>
    <w:lvl w:ilvl="0" w:tplc="27B21D7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C264DA5"/>
    <w:multiLevelType w:val="hybridMultilevel"/>
    <w:tmpl w:val="F1D65D52"/>
    <w:lvl w:ilvl="0" w:tplc="22546BEC">
      <w:start w:val="1"/>
      <w:numFmt w:val="bullet"/>
      <w:lvlText w:val=""/>
      <w:lvlJc w:val="left"/>
      <w:pPr>
        <w:ind w:left="720" w:hanging="360"/>
      </w:pPr>
      <w:rPr>
        <w:rFonts w:ascii="Symbol" w:hAnsi="Symbol" w:hint="default"/>
        <w:sz w:val="3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090407"/>
    <w:multiLevelType w:val="hybridMultilevel"/>
    <w:tmpl w:val="715C4E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9EB04C4"/>
    <w:multiLevelType w:val="hybridMultilevel"/>
    <w:tmpl w:val="A75A9E5A"/>
    <w:lvl w:ilvl="0" w:tplc="D62AC1FE">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7D836F37"/>
    <w:multiLevelType w:val="hybridMultilevel"/>
    <w:tmpl w:val="E57E9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8"/>
  </w:num>
  <w:num w:numId="6">
    <w:abstractNumId w:val="14"/>
  </w:num>
  <w:num w:numId="7">
    <w:abstractNumId w:val="9"/>
  </w:num>
  <w:num w:numId="8">
    <w:abstractNumId w:val="16"/>
  </w:num>
  <w:num w:numId="9">
    <w:abstractNumId w:val="2"/>
  </w:num>
  <w:num w:numId="10">
    <w:abstractNumId w:val="15"/>
  </w:num>
  <w:num w:numId="11">
    <w:abstractNumId w:val="7"/>
  </w:num>
  <w:num w:numId="12">
    <w:abstractNumId w:val="10"/>
  </w:num>
  <w:num w:numId="13">
    <w:abstractNumId w:val="12"/>
  </w:num>
  <w:num w:numId="14">
    <w:abstractNumId w:val="6"/>
  </w:num>
  <w:num w:numId="15">
    <w:abstractNumId w:val="4"/>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4930"/>
  </w:hdrShapeDefaults>
  <w:footnotePr>
    <w:footnote w:id="-1"/>
    <w:footnote w:id="0"/>
  </w:footnotePr>
  <w:endnotePr>
    <w:endnote w:id="-1"/>
    <w:endnote w:id="0"/>
  </w:endnotePr>
  <w:compat/>
  <w:rsids>
    <w:rsidRoot w:val="00A43350"/>
    <w:rsid w:val="000027BD"/>
    <w:rsid w:val="000061AF"/>
    <w:rsid w:val="0000699C"/>
    <w:rsid w:val="00013296"/>
    <w:rsid w:val="0001649E"/>
    <w:rsid w:val="00024FFB"/>
    <w:rsid w:val="00033EF7"/>
    <w:rsid w:val="00034AD1"/>
    <w:rsid w:val="0003647C"/>
    <w:rsid w:val="00037C67"/>
    <w:rsid w:val="00046889"/>
    <w:rsid w:val="0004727B"/>
    <w:rsid w:val="00047E82"/>
    <w:rsid w:val="0005747A"/>
    <w:rsid w:val="00061472"/>
    <w:rsid w:val="00061F3F"/>
    <w:rsid w:val="00067BCE"/>
    <w:rsid w:val="00072F99"/>
    <w:rsid w:val="00082788"/>
    <w:rsid w:val="00084B9C"/>
    <w:rsid w:val="0008568E"/>
    <w:rsid w:val="000867F7"/>
    <w:rsid w:val="00091E81"/>
    <w:rsid w:val="000933E8"/>
    <w:rsid w:val="000A2D41"/>
    <w:rsid w:val="000A7854"/>
    <w:rsid w:val="000B7DED"/>
    <w:rsid w:val="000C0495"/>
    <w:rsid w:val="000C0514"/>
    <w:rsid w:val="000C2170"/>
    <w:rsid w:val="000C4C22"/>
    <w:rsid w:val="000C6FA3"/>
    <w:rsid w:val="000D02C3"/>
    <w:rsid w:val="000D1E4D"/>
    <w:rsid w:val="000D2754"/>
    <w:rsid w:val="000D57B9"/>
    <w:rsid w:val="000E10FC"/>
    <w:rsid w:val="000E43EC"/>
    <w:rsid w:val="000E5F8B"/>
    <w:rsid w:val="000F3DA7"/>
    <w:rsid w:val="00100B0F"/>
    <w:rsid w:val="00100BD6"/>
    <w:rsid w:val="00100BE2"/>
    <w:rsid w:val="00112079"/>
    <w:rsid w:val="00112B68"/>
    <w:rsid w:val="001133B5"/>
    <w:rsid w:val="00114D49"/>
    <w:rsid w:val="00123BB9"/>
    <w:rsid w:val="001361EF"/>
    <w:rsid w:val="00137CBE"/>
    <w:rsid w:val="00144135"/>
    <w:rsid w:val="00144A68"/>
    <w:rsid w:val="001475BB"/>
    <w:rsid w:val="00160035"/>
    <w:rsid w:val="00165156"/>
    <w:rsid w:val="00165DC3"/>
    <w:rsid w:val="00165E65"/>
    <w:rsid w:val="00171994"/>
    <w:rsid w:val="001770AA"/>
    <w:rsid w:val="00185204"/>
    <w:rsid w:val="00185D3A"/>
    <w:rsid w:val="001867B3"/>
    <w:rsid w:val="00190A4D"/>
    <w:rsid w:val="00192052"/>
    <w:rsid w:val="001929D6"/>
    <w:rsid w:val="00192BC1"/>
    <w:rsid w:val="001948FF"/>
    <w:rsid w:val="001A021A"/>
    <w:rsid w:val="001A35EA"/>
    <w:rsid w:val="001B3330"/>
    <w:rsid w:val="001B557E"/>
    <w:rsid w:val="001C15A1"/>
    <w:rsid w:val="001C2D10"/>
    <w:rsid w:val="001C4BD3"/>
    <w:rsid w:val="001C6ADC"/>
    <w:rsid w:val="001D5A67"/>
    <w:rsid w:val="001E4771"/>
    <w:rsid w:val="001E730D"/>
    <w:rsid w:val="001F2998"/>
    <w:rsid w:val="001F7B1F"/>
    <w:rsid w:val="00202DE1"/>
    <w:rsid w:val="00203689"/>
    <w:rsid w:val="00205C4C"/>
    <w:rsid w:val="002070C6"/>
    <w:rsid w:val="00217930"/>
    <w:rsid w:val="00220D4D"/>
    <w:rsid w:val="002262F3"/>
    <w:rsid w:val="002337AE"/>
    <w:rsid w:val="002371AD"/>
    <w:rsid w:val="00240500"/>
    <w:rsid w:val="002451DB"/>
    <w:rsid w:val="002460A4"/>
    <w:rsid w:val="002503A3"/>
    <w:rsid w:val="002521AC"/>
    <w:rsid w:val="00256B0A"/>
    <w:rsid w:val="00262417"/>
    <w:rsid w:val="00263C0C"/>
    <w:rsid w:val="0026488A"/>
    <w:rsid w:val="00264BF8"/>
    <w:rsid w:val="00266D4E"/>
    <w:rsid w:val="002714B1"/>
    <w:rsid w:val="00280C69"/>
    <w:rsid w:val="00282C4C"/>
    <w:rsid w:val="00286DC6"/>
    <w:rsid w:val="00290472"/>
    <w:rsid w:val="0029061A"/>
    <w:rsid w:val="002971B1"/>
    <w:rsid w:val="002A6808"/>
    <w:rsid w:val="002B2884"/>
    <w:rsid w:val="002B2E31"/>
    <w:rsid w:val="002C2385"/>
    <w:rsid w:val="002C36A9"/>
    <w:rsid w:val="002C669A"/>
    <w:rsid w:val="002C6AB4"/>
    <w:rsid w:val="002D2B6E"/>
    <w:rsid w:val="002D3629"/>
    <w:rsid w:val="002D74C1"/>
    <w:rsid w:val="002F1ECE"/>
    <w:rsid w:val="00300C83"/>
    <w:rsid w:val="003019C6"/>
    <w:rsid w:val="00301D97"/>
    <w:rsid w:val="003031C0"/>
    <w:rsid w:val="00305B4D"/>
    <w:rsid w:val="00306C5A"/>
    <w:rsid w:val="00315C1E"/>
    <w:rsid w:val="00331266"/>
    <w:rsid w:val="00333073"/>
    <w:rsid w:val="00333BE2"/>
    <w:rsid w:val="00336D49"/>
    <w:rsid w:val="00341839"/>
    <w:rsid w:val="00355BF6"/>
    <w:rsid w:val="0035684E"/>
    <w:rsid w:val="00360705"/>
    <w:rsid w:val="00360A03"/>
    <w:rsid w:val="00361FA5"/>
    <w:rsid w:val="003620C3"/>
    <w:rsid w:val="0036434D"/>
    <w:rsid w:val="00370F79"/>
    <w:rsid w:val="0037279D"/>
    <w:rsid w:val="003728C9"/>
    <w:rsid w:val="003730BB"/>
    <w:rsid w:val="00373752"/>
    <w:rsid w:val="00374029"/>
    <w:rsid w:val="00375D96"/>
    <w:rsid w:val="003774F2"/>
    <w:rsid w:val="00380306"/>
    <w:rsid w:val="00385D95"/>
    <w:rsid w:val="00386878"/>
    <w:rsid w:val="0039015A"/>
    <w:rsid w:val="0039282B"/>
    <w:rsid w:val="00394D79"/>
    <w:rsid w:val="00397E72"/>
    <w:rsid w:val="003A027D"/>
    <w:rsid w:val="003A060A"/>
    <w:rsid w:val="003A44FD"/>
    <w:rsid w:val="003B0EED"/>
    <w:rsid w:val="003B29E3"/>
    <w:rsid w:val="003B3622"/>
    <w:rsid w:val="003B68CB"/>
    <w:rsid w:val="003B794D"/>
    <w:rsid w:val="003C2331"/>
    <w:rsid w:val="003C3568"/>
    <w:rsid w:val="003C5019"/>
    <w:rsid w:val="003C5316"/>
    <w:rsid w:val="003D07B5"/>
    <w:rsid w:val="003E16DB"/>
    <w:rsid w:val="003E596D"/>
    <w:rsid w:val="003F0458"/>
    <w:rsid w:val="003F3012"/>
    <w:rsid w:val="003F465C"/>
    <w:rsid w:val="003F5EFE"/>
    <w:rsid w:val="003F5FFE"/>
    <w:rsid w:val="003F627B"/>
    <w:rsid w:val="003F67A8"/>
    <w:rsid w:val="004009D7"/>
    <w:rsid w:val="00402F28"/>
    <w:rsid w:val="00406B1F"/>
    <w:rsid w:val="00406B82"/>
    <w:rsid w:val="00407ED2"/>
    <w:rsid w:val="00413F59"/>
    <w:rsid w:val="00416794"/>
    <w:rsid w:val="0042539C"/>
    <w:rsid w:val="0042568C"/>
    <w:rsid w:val="00426029"/>
    <w:rsid w:val="00433AF9"/>
    <w:rsid w:val="0043470F"/>
    <w:rsid w:val="00434CB4"/>
    <w:rsid w:val="00437BD7"/>
    <w:rsid w:val="00441D06"/>
    <w:rsid w:val="00443222"/>
    <w:rsid w:val="00443FFA"/>
    <w:rsid w:val="00447F97"/>
    <w:rsid w:val="00450FD7"/>
    <w:rsid w:val="004532F5"/>
    <w:rsid w:val="00461252"/>
    <w:rsid w:val="0046418F"/>
    <w:rsid w:val="00464653"/>
    <w:rsid w:val="004675C1"/>
    <w:rsid w:val="004701CA"/>
    <w:rsid w:val="00471506"/>
    <w:rsid w:val="0047261A"/>
    <w:rsid w:val="00474198"/>
    <w:rsid w:val="004808AA"/>
    <w:rsid w:val="0048109A"/>
    <w:rsid w:val="00482E89"/>
    <w:rsid w:val="00492844"/>
    <w:rsid w:val="00493AEB"/>
    <w:rsid w:val="00494D30"/>
    <w:rsid w:val="004A16CC"/>
    <w:rsid w:val="004A5D14"/>
    <w:rsid w:val="004B12AB"/>
    <w:rsid w:val="004B2DC6"/>
    <w:rsid w:val="004C011D"/>
    <w:rsid w:val="004C0502"/>
    <w:rsid w:val="004C0C78"/>
    <w:rsid w:val="004C4847"/>
    <w:rsid w:val="004C5116"/>
    <w:rsid w:val="004D30D8"/>
    <w:rsid w:val="004D4B17"/>
    <w:rsid w:val="004D60B0"/>
    <w:rsid w:val="004D7FC2"/>
    <w:rsid w:val="004E1261"/>
    <w:rsid w:val="004E27E8"/>
    <w:rsid w:val="004F1145"/>
    <w:rsid w:val="004F1C91"/>
    <w:rsid w:val="004F4C67"/>
    <w:rsid w:val="004F71A1"/>
    <w:rsid w:val="004F756D"/>
    <w:rsid w:val="005039F6"/>
    <w:rsid w:val="005043DD"/>
    <w:rsid w:val="0051354C"/>
    <w:rsid w:val="00513E37"/>
    <w:rsid w:val="00515740"/>
    <w:rsid w:val="00520968"/>
    <w:rsid w:val="00531924"/>
    <w:rsid w:val="00533EBF"/>
    <w:rsid w:val="0053587E"/>
    <w:rsid w:val="00537191"/>
    <w:rsid w:val="00547DC5"/>
    <w:rsid w:val="00557239"/>
    <w:rsid w:val="00557D92"/>
    <w:rsid w:val="0056190C"/>
    <w:rsid w:val="00563BB4"/>
    <w:rsid w:val="00566545"/>
    <w:rsid w:val="0056725A"/>
    <w:rsid w:val="00572438"/>
    <w:rsid w:val="00572831"/>
    <w:rsid w:val="00572B3A"/>
    <w:rsid w:val="00576717"/>
    <w:rsid w:val="00576861"/>
    <w:rsid w:val="005776A2"/>
    <w:rsid w:val="00586100"/>
    <w:rsid w:val="00593406"/>
    <w:rsid w:val="00596D24"/>
    <w:rsid w:val="005A15AE"/>
    <w:rsid w:val="005A20B0"/>
    <w:rsid w:val="005A2BAA"/>
    <w:rsid w:val="005B7456"/>
    <w:rsid w:val="005C32F8"/>
    <w:rsid w:val="005D5808"/>
    <w:rsid w:val="005D66DF"/>
    <w:rsid w:val="005E1E43"/>
    <w:rsid w:val="005E5343"/>
    <w:rsid w:val="005F44BD"/>
    <w:rsid w:val="0060050E"/>
    <w:rsid w:val="0060534A"/>
    <w:rsid w:val="00611EA2"/>
    <w:rsid w:val="00613DCD"/>
    <w:rsid w:val="00627A32"/>
    <w:rsid w:val="00633C42"/>
    <w:rsid w:val="00634E58"/>
    <w:rsid w:val="00640086"/>
    <w:rsid w:val="00653754"/>
    <w:rsid w:val="006561DB"/>
    <w:rsid w:val="006563B4"/>
    <w:rsid w:val="00656EF6"/>
    <w:rsid w:val="00664601"/>
    <w:rsid w:val="00666CC7"/>
    <w:rsid w:val="006717BB"/>
    <w:rsid w:val="00674616"/>
    <w:rsid w:val="00674E34"/>
    <w:rsid w:val="0068051B"/>
    <w:rsid w:val="00683BE4"/>
    <w:rsid w:val="0068496D"/>
    <w:rsid w:val="00690BB3"/>
    <w:rsid w:val="00692997"/>
    <w:rsid w:val="00694020"/>
    <w:rsid w:val="006A2980"/>
    <w:rsid w:val="006A31EB"/>
    <w:rsid w:val="006A54EA"/>
    <w:rsid w:val="006C1DC5"/>
    <w:rsid w:val="006C4926"/>
    <w:rsid w:val="006D33FE"/>
    <w:rsid w:val="006D7537"/>
    <w:rsid w:val="006E0203"/>
    <w:rsid w:val="006E41A1"/>
    <w:rsid w:val="006E4E84"/>
    <w:rsid w:val="006E6536"/>
    <w:rsid w:val="006E6AB4"/>
    <w:rsid w:val="006F3A7C"/>
    <w:rsid w:val="006F4A12"/>
    <w:rsid w:val="006F59C7"/>
    <w:rsid w:val="00712232"/>
    <w:rsid w:val="007156E9"/>
    <w:rsid w:val="00717C4E"/>
    <w:rsid w:val="00720280"/>
    <w:rsid w:val="007206C0"/>
    <w:rsid w:val="00721DF9"/>
    <w:rsid w:val="00725E0C"/>
    <w:rsid w:val="007315B5"/>
    <w:rsid w:val="007346C9"/>
    <w:rsid w:val="0073476F"/>
    <w:rsid w:val="00735BF0"/>
    <w:rsid w:val="00735FC8"/>
    <w:rsid w:val="00741BDA"/>
    <w:rsid w:val="00742168"/>
    <w:rsid w:val="0074450D"/>
    <w:rsid w:val="00746369"/>
    <w:rsid w:val="00754193"/>
    <w:rsid w:val="007560B0"/>
    <w:rsid w:val="007564B9"/>
    <w:rsid w:val="0075761B"/>
    <w:rsid w:val="007607E6"/>
    <w:rsid w:val="00760C72"/>
    <w:rsid w:val="00762FD9"/>
    <w:rsid w:val="00765C76"/>
    <w:rsid w:val="0076670A"/>
    <w:rsid w:val="0077255D"/>
    <w:rsid w:val="00774640"/>
    <w:rsid w:val="00775164"/>
    <w:rsid w:val="007757B8"/>
    <w:rsid w:val="00777A4C"/>
    <w:rsid w:val="00782C08"/>
    <w:rsid w:val="007962B8"/>
    <w:rsid w:val="00797948"/>
    <w:rsid w:val="00797BC3"/>
    <w:rsid w:val="007A34AA"/>
    <w:rsid w:val="007A44C6"/>
    <w:rsid w:val="007A5222"/>
    <w:rsid w:val="007B34CD"/>
    <w:rsid w:val="007B6288"/>
    <w:rsid w:val="007C022F"/>
    <w:rsid w:val="007C6437"/>
    <w:rsid w:val="007C6E1A"/>
    <w:rsid w:val="007D2C10"/>
    <w:rsid w:val="007D35A0"/>
    <w:rsid w:val="007D6DB2"/>
    <w:rsid w:val="007E61AF"/>
    <w:rsid w:val="007E70B2"/>
    <w:rsid w:val="007F05D2"/>
    <w:rsid w:val="007F0C7C"/>
    <w:rsid w:val="007F2E8C"/>
    <w:rsid w:val="007F7617"/>
    <w:rsid w:val="007F78D3"/>
    <w:rsid w:val="0080236A"/>
    <w:rsid w:val="00802AFC"/>
    <w:rsid w:val="00807462"/>
    <w:rsid w:val="00807764"/>
    <w:rsid w:val="008103D6"/>
    <w:rsid w:val="008110EF"/>
    <w:rsid w:val="008115DB"/>
    <w:rsid w:val="00811CB1"/>
    <w:rsid w:val="00813644"/>
    <w:rsid w:val="00813743"/>
    <w:rsid w:val="008220BB"/>
    <w:rsid w:val="00825DC1"/>
    <w:rsid w:val="00826508"/>
    <w:rsid w:val="00830A13"/>
    <w:rsid w:val="00833EE1"/>
    <w:rsid w:val="00834423"/>
    <w:rsid w:val="00834432"/>
    <w:rsid w:val="00840075"/>
    <w:rsid w:val="00841A52"/>
    <w:rsid w:val="0084286F"/>
    <w:rsid w:val="00844633"/>
    <w:rsid w:val="0084560C"/>
    <w:rsid w:val="008463AC"/>
    <w:rsid w:val="00846713"/>
    <w:rsid w:val="00850952"/>
    <w:rsid w:val="00851E06"/>
    <w:rsid w:val="00852146"/>
    <w:rsid w:val="00864782"/>
    <w:rsid w:val="0087228E"/>
    <w:rsid w:val="008732F0"/>
    <w:rsid w:val="008749FF"/>
    <w:rsid w:val="00877E12"/>
    <w:rsid w:val="0088193B"/>
    <w:rsid w:val="00885A87"/>
    <w:rsid w:val="00890A66"/>
    <w:rsid w:val="00890DD9"/>
    <w:rsid w:val="00893EFF"/>
    <w:rsid w:val="008A0C74"/>
    <w:rsid w:val="008A11CE"/>
    <w:rsid w:val="008A2104"/>
    <w:rsid w:val="008A4180"/>
    <w:rsid w:val="008B0B49"/>
    <w:rsid w:val="008C4593"/>
    <w:rsid w:val="008C59E1"/>
    <w:rsid w:val="008D140A"/>
    <w:rsid w:val="008D1F14"/>
    <w:rsid w:val="008D44AD"/>
    <w:rsid w:val="008E478F"/>
    <w:rsid w:val="008F2C5C"/>
    <w:rsid w:val="009022A0"/>
    <w:rsid w:val="00904EA7"/>
    <w:rsid w:val="0091209F"/>
    <w:rsid w:val="0091696C"/>
    <w:rsid w:val="00920338"/>
    <w:rsid w:val="009227D1"/>
    <w:rsid w:val="00925CEF"/>
    <w:rsid w:val="00926496"/>
    <w:rsid w:val="009306A0"/>
    <w:rsid w:val="00930C18"/>
    <w:rsid w:val="0093417B"/>
    <w:rsid w:val="00956BAB"/>
    <w:rsid w:val="00957985"/>
    <w:rsid w:val="00960A32"/>
    <w:rsid w:val="009662F2"/>
    <w:rsid w:val="00971BE2"/>
    <w:rsid w:val="009725E2"/>
    <w:rsid w:val="00972D8E"/>
    <w:rsid w:val="00976CD1"/>
    <w:rsid w:val="0097751D"/>
    <w:rsid w:val="00980DFB"/>
    <w:rsid w:val="00981981"/>
    <w:rsid w:val="009829E6"/>
    <w:rsid w:val="00992EF3"/>
    <w:rsid w:val="009939B1"/>
    <w:rsid w:val="00994BF3"/>
    <w:rsid w:val="009966B7"/>
    <w:rsid w:val="009A1D50"/>
    <w:rsid w:val="009A629E"/>
    <w:rsid w:val="009B266B"/>
    <w:rsid w:val="009B2919"/>
    <w:rsid w:val="009B32DE"/>
    <w:rsid w:val="009B5FC7"/>
    <w:rsid w:val="009C16DE"/>
    <w:rsid w:val="009D0018"/>
    <w:rsid w:val="009D3BBA"/>
    <w:rsid w:val="009E029E"/>
    <w:rsid w:val="009F0BD8"/>
    <w:rsid w:val="009F3141"/>
    <w:rsid w:val="00A0300C"/>
    <w:rsid w:val="00A06082"/>
    <w:rsid w:val="00A07130"/>
    <w:rsid w:val="00A13732"/>
    <w:rsid w:val="00A16FFB"/>
    <w:rsid w:val="00A21780"/>
    <w:rsid w:val="00A21966"/>
    <w:rsid w:val="00A27222"/>
    <w:rsid w:val="00A30C16"/>
    <w:rsid w:val="00A33915"/>
    <w:rsid w:val="00A3535B"/>
    <w:rsid w:val="00A40282"/>
    <w:rsid w:val="00A4116D"/>
    <w:rsid w:val="00A4183C"/>
    <w:rsid w:val="00A41999"/>
    <w:rsid w:val="00A43350"/>
    <w:rsid w:val="00A45B5A"/>
    <w:rsid w:val="00A4679E"/>
    <w:rsid w:val="00A50EC1"/>
    <w:rsid w:val="00A54910"/>
    <w:rsid w:val="00A576F4"/>
    <w:rsid w:val="00A57CF9"/>
    <w:rsid w:val="00A62C9C"/>
    <w:rsid w:val="00A66E34"/>
    <w:rsid w:val="00A6769D"/>
    <w:rsid w:val="00A710D8"/>
    <w:rsid w:val="00A84380"/>
    <w:rsid w:val="00A8515D"/>
    <w:rsid w:val="00A92FC8"/>
    <w:rsid w:val="00AA0854"/>
    <w:rsid w:val="00AA40D3"/>
    <w:rsid w:val="00AB094A"/>
    <w:rsid w:val="00AB0AC0"/>
    <w:rsid w:val="00AB2D60"/>
    <w:rsid w:val="00AB3F12"/>
    <w:rsid w:val="00AB46F5"/>
    <w:rsid w:val="00AB5F6A"/>
    <w:rsid w:val="00AC2069"/>
    <w:rsid w:val="00AC7DB3"/>
    <w:rsid w:val="00AD7182"/>
    <w:rsid w:val="00AE066F"/>
    <w:rsid w:val="00AE1338"/>
    <w:rsid w:val="00AE45C3"/>
    <w:rsid w:val="00AF38BD"/>
    <w:rsid w:val="00AF50AF"/>
    <w:rsid w:val="00AF73E8"/>
    <w:rsid w:val="00B00744"/>
    <w:rsid w:val="00B02A61"/>
    <w:rsid w:val="00B02F11"/>
    <w:rsid w:val="00B078AE"/>
    <w:rsid w:val="00B109CA"/>
    <w:rsid w:val="00B201EA"/>
    <w:rsid w:val="00B225CF"/>
    <w:rsid w:val="00B24D10"/>
    <w:rsid w:val="00B258EC"/>
    <w:rsid w:val="00B35AC2"/>
    <w:rsid w:val="00B36551"/>
    <w:rsid w:val="00B36AF5"/>
    <w:rsid w:val="00B4210F"/>
    <w:rsid w:val="00B452EA"/>
    <w:rsid w:val="00B516F4"/>
    <w:rsid w:val="00B61275"/>
    <w:rsid w:val="00B679F7"/>
    <w:rsid w:val="00B70887"/>
    <w:rsid w:val="00B8291A"/>
    <w:rsid w:val="00B82F65"/>
    <w:rsid w:val="00B86F81"/>
    <w:rsid w:val="00B903FD"/>
    <w:rsid w:val="00B93AE1"/>
    <w:rsid w:val="00BA0583"/>
    <w:rsid w:val="00BA2890"/>
    <w:rsid w:val="00BB125D"/>
    <w:rsid w:val="00BB400A"/>
    <w:rsid w:val="00BB5235"/>
    <w:rsid w:val="00BB5905"/>
    <w:rsid w:val="00BB7C6C"/>
    <w:rsid w:val="00BC65EB"/>
    <w:rsid w:val="00BD48D5"/>
    <w:rsid w:val="00BE0728"/>
    <w:rsid w:val="00BE54A1"/>
    <w:rsid w:val="00BE7A51"/>
    <w:rsid w:val="00BF5AFA"/>
    <w:rsid w:val="00BF70FF"/>
    <w:rsid w:val="00C042BD"/>
    <w:rsid w:val="00C0594D"/>
    <w:rsid w:val="00C117FF"/>
    <w:rsid w:val="00C12AF8"/>
    <w:rsid w:val="00C15BD5"/>
    <w:rsid w:val="00C16D7E"/>
    <w:rsid w:val="00C321C7"/>
    <w:rsid w:val="00C416D7"/>
    <w:rsid w:val="00C431EE"/>
    <w:rsid w:val="00C444D7"/>
    <w:rsid w:val="00C5001A"/>
    <w:rsid w:val="00C570F4"/>
    <w:rsid w:val="00C722E8"/>
    <w:rsid w:val="00C72651"/>
    <w:rsid w:val="00C72AD3"/>
    <w:rsid w:val="00C73231"/>
    <w:rsid w:val="00C74CC1"/>
    <w:rsid w:val="00C80A23"/>
    <w:rsid w:val="00C83D68"/>
    <w:rsid w:val="00C84A14"/>
    <w:rsid w:val="00C90F6F"/>
    <w:rsid w:val="00CA2329"/>
    <w:rsid w:val="00CA4012"/>
    <w:rsid w:val="00CA5B63"/>
    <w:rsid w:val="00CA7B27"/>
    <w:rsid w:val="00CC098F"/>
    <w:rsid w:val="00CC112B"/>
    <w:rsid w:val="00CD63ED"/>
    <w:rsid w:val="00CE0D0A"/>
    <w:rsid w:val="00CE1BB5"/>
    <w:rsid w:val="00CF1FE3"/>
    <w:rsid w:val="00D01658"/>
    <w:rsid w:val="00D04D1D"/>
    <w:rsid w:val="00D05629"/>
    <w:rsid w:val="00D17C88"/>
    <w:rsid w:val="00D20394"/>
    <w:rsid w:val="00D2062A"/>
    <w:rsid w:val="00D22D5F"/>
    <w:rsid w:val="00D24D92"/>
    <w:rsid w:val="00D25021"/>
    <w:rsid w:val="00D30AEB"/>
    <w:rsid w:val="00D4082A"/>
    <w:rsid w:val="00D44169"/>
    <w:rsid w:val="00D474BC"/>
    <w:rsid w:val="00D524B1"/>
    <w:rsid w:val="00D56645"/>
    <w:rsid w:val="00D57959"/>
    <w:rsid w:val="00D60D29"/>
    <w:rsid w:val="00D61129"/>
    <w:rsid w:val="00D61A51"/>
    <w:rsid w:val="00D71F47"/>
    <w:rsid w:val="00D72689"/>
    <w:rsid w:val="00D73197"/>
    <w:rsid w:val="00D75AB0"/>
    <w:rsid w:val="00D7658E"/>
    <w:rsid w:val="00D7770A"/>
    <w:rsid w:val="00D82095"/>
    <w:rsid w:val="00D85544"/>
    <w:rsid w:val="00D85825"/>
    <w:rsid w:val="00D903DC"/>
    <w:rsid w:val="00D90880"/>
    <w:rsid w:val="00D96332"/>
    <w:rsid w:val="00DA05FC"/>
    <w:rsid w:val="00DA23D4"/>
    <w:rsid w:val="00DA2841"/>
    <w:rsid w:val="00DA2C4F"/>
    <w:rsid w:val="00DB1E5E"/>
    <w:rsid w:val="00DB2238"/>
    <w:rsid w:val="00DB2853"/>
    <w:rsid w:val="00DB4DF6"/>
    <w:rsid w:val="00DB5F54"/>
    <w:rsid w:val="00DC0C7F"/>
    <w:rsid w:val="00DC1985"/>
    <w:rsid w:val="00DD0301"/>
    <w:rsid w:val="00DD1433"/>
    <w:rsid w:val="00DD1E2B"/>
    <w:rsid w:val="00DD28F1"/>
    <w:rsid w:val="00DD3831"/>
    <w:rsid w:val="00DD3F8E"/>
    <w:rsid w:val="00DE0DFA"/>
    <w:rsid w:val="00DF2482"/>
    <w:rsid w:val="00DF2AF0"/>
    <w:rsid w:val="00DF3194"/>
    <w:rsid w:val="00DF4439"/>
    <w:rsid w:val="00DF5A71"/>
    <w:rsid w:val="00E00460"/>
    <w:rsid w:val="00E00C0E"/>
    <w:rsid w:val="00E02AC7"/>
    <w:rsid w:val="00E03350"/>
    <w:rsid w:val="00E049E3"/>
    <w:rsid w:val="00E06791"/>
    <w:rsid w:val="00E1165F"/>
    <w:rsid w:val="00E17DA6"/>
    <w:rsid w:val="00E20DE8"/>
    <w:rsid w:val="00E378ED"/>
    <w:rsid w:val="00E47793"/>
    <w:rsid w:val="00E60CED"/>
    <w:rsid w:val="00E736AC"/>
    <w:rsid w:val="00E73ED3"/>
    <w:rsid w:val="00E74AD7"/>
    <w:rsid w:val="00E74EC8"/>
    <w:rsid w:val="00E77465"/>
    <w:rsid w:val="00E77EDA"/>
    <w:rsid w:val="00E80801"/>
    <w:rsid w:val="00E93FC1"/>
    <w:rsid w:val="00E955B5"/>
    <w:rsid w:val="00E96922"/>
    <w:rsid w:val="00EA0259"/>
    <w:rsid w:val="00EA379A"/>
    <w:rsid w:val="00EA38CF"/>
    <w:rsid w:val="00EA54FF"/>
    <w:rsid w:val="00EB1EDB"/>
    <w:rsid w:val="00EB4C96"/>
    <w:rsid w:val="00EB7E47"/>
    <w:rsid w:val="00EC2575"/>
    <w:rsid w:val="00EC7146"/>
    <w:rsid w:val="00ED01C9"/>
    <w:rsid w:val="00ED078D"/>
    <w:rsid w:val="00ED3099"/>
    <w:rsid w:val="00ED36CE"/>
    <w:rsid w:val="00ED42A5"/>
    <w:rsid w:val="00EE0737"/>
    <w:rsid w:val="00EF568B"/>
    <w:rsid w:val="00EF5C39"/>
    <w:rsid w:val="00F03DB2"/>
    <w:rsid w:val="00F1401C"/>
    <w:rsid w:val="00F14651"/>
    <w:rsid w:val="00F245C4"/>
    <w:rsid w:val="00F27438"/>
    <w:rsid w:val="00F309E9"/>
    <w:rsid w:val="00F31F91"/>
    <w:rsid w:val="00F373FD"/>
    <w:rsid w:val="00F429CD"/>
    <w:rsid w:val="00F44CB0"/>
    <w:rsid w:val="00F5229C"/>
    <w:rsid w:val="00F63CFB"/>
    <w:rsid w:val="00F64BE1"/>
    <w:rsid w:val="00F672CB"/>
    <w:rsid w:val="00F70323"/>
    <w:rsid w:val="00F709AC"/>
    <w:rsid w:val="00F723B5"/>
    <w:rsid w:val="00F7485B"/>
    <w:rsid w:val="00F74D06"/>
    <w:rsid w:val="00F85C69"/>
    <w:rsid w:val="00F90CA1"/>
    <w:rsid w:val="00F91AFA"/>
    <w:rsid w:val="00F91F8B"/>
    <w:rsid w:val="00F92ADE"/>
    <w:rsid w:val="00F9328B"/>
    <w:rsid w:val="00FA1C09"/>
    <w:rsid w:val="00FA4F8D"/>
    <w:rsid w:val="00FB3970"/>
    <w:rsid w:val="00FB4116"/>
    <w:rsid w:val="00FC1331"/>
    <w:rsid w:val="00FC6C6D"/>
    <w:rsid w:val="00FC7DD2"/>
    <w:rsid w:val="00FD0A2B"/>
    <w:rsid w:val="00FD1E05"/>
    <w:rsid w:val="00FD35EB"/>
    <w:rsid w:val="00FD74EF"/>
    <w:rsid w:val="00FE1445"/>
    <w:rsid w:val="00FE2C46"/>
    <w:rsid w:val="00FE7D05"/>
    <w:rsid w:val="00FF054E"/>
    <w:rsid w:val="00FF5D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8AA"/>
    <w:pPr>
      <w:suppressAutoHyphens/>
    </w:pPr>
    <w:rPr>
      <w:rFonts w:ascii="Arial" w:hAnsi="Arial"/>
      <w:noProof/>
      <w:sz w:val="19"/>
      <w:szCs w:val="24"/>
      <w:lang w:eastAsia="ar-SA"/>
    </w:rPr>
  </w:style>
  <w:style w:type="paragraph" w:styleId="Nadpis1">
    <w:name w:val="heading 1"/>
    <w:next w:val="Nadpis2"/>
    <w:qFormat/>
    <w:rsid w:val="004808AA"/>
    <w:pPr>
      <w:keepNext/>
      <w:pageBreakBefore/>
      <w:tabs>
        <w:tab w:val="num" w:pos="0"/>
      </w:tabs>
      <w:suppressAutoHyphens/>
      <w:spacing w:after="800"/>
      <w:ind w:left="851" w:hanging="851"/>
      <w:outlineLvl w:val="0"/>
    </w:pPr>
    <w:rPr>
      <w:rFonts w:ascii="Times New Roman Bold" w:eastAsia="Arial" w:hAnsi="Times New Roman Bold" w:cs="Arial"/>
      <w:bCs/>
      <w:color w:val="002776"/>
      <w:kern w:val="1"/>
      <w:sz w:val="60"/>
      <w:szCs w:val="32"/>
      <w:lang w:val="en-US" w:eastAsia="ar-SA"/>
    </w:rPr>
  </w:style>
  <w:style w:type="paragraph" w:styleId="Nadpis2">
    <w:name w:val="heading 2"/>
    <w:basedOn w:val="Nadpis1"/>
    <w:next w:val="Nadpis3"/>
    <w:qFormat/>
    <w:rsid w:val="004808AA"/>
    <w:pPr>
      <w:pageBreakBefore w:val="0"/>
      <w:tabs>
        <w:tab w:val="clear" w:pos="0"/>
      </w:tabs>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
    <w:qFormat/>
    <w:rsid w:val="004808AA"/>
    <w:pPr>
      <w:outlineLvl w:val="2"/>
    </w:pPr>
    <w:rPr>
      <w:bCs/>
      <w:color w:val="3C8A2E"/>
      <w:szCs w:val="26"/>
    </w:rPr>
  </w:style>
  <w:style w:type="paragraph" w:styleId="Nadpis4">
    <w:name w:val="heading 4"/>
    <w:basedOn w:val="Normln"/>
    <w:next w:val="Normln"/>
    <w:qFormat/>
    <w:rsid w:val="004808AA"/>
    <w:pPr>
      <w:keepNext/>
      <w:keepLines/>
      <w:tabs>
        <w:tab w:val="num" w:pos="0"/>
      </w:tabs>
      <w:spacing w:before="240" w:after="240"/>
      <w:ind w:left="864" w:hanging="864"/>
      <w:outlineLvl w:val="3"/>
    </w:pPr>
    <w:rPr>
      <w:b/>
      <w:bCs/>
      <w:iCs/>
      <w:sz w:val="24"/>
    </w:rPr>
  </w:style>
  <w:style w:type="paragraph" w:styleId="Nadpis5">
    <w:name w:val="heading 5"/>
    <w:basedOn w:val="Normln"/>
    <w:next w:val="Normln"/>
    <w:qFormat/>
    <w:rsid w:val="004808AA"/>
    <w:pPr>
      <w:keepNext/>
      <w:keepLines/>
      <w:tabs>
        <w:tab w:val="num" w:pos="0"/>
      </w:tabs>
      <w:spacing w:before="240" w:after="240"/>
      <w:ind w:left="1008" w:hanging="1008"/>
      <w:outlineLvl w:val="4"/>
    </w:pPr>
    <w:rPr>
      <w:b/>
      <w:i/>
      <w:color w:val="00133A"/>
      <w:sz w:val="24"/>
    </w:rPr>
  </w:style>
  <w:style w:type="paragraph" w:styleId="Nadpis6">
    <w:name w:val="heading 6"/>
    <w:basedOn w:val="Normln"/>
    <w:next w:val="Normln"/>
    <w:qFormat/>
    <w:rsid w:val="004808AA"/>
    <w:pPr>
      <w:keepNext/>
      <w:keepLines/>
      <w:tabs>
        <w:tab w:val="num" w:pos="0"/>
      </w:tabs>
      <w:spacing w:before="240" w:after="240"/>
      <w:ind w:left="1418" w:hanging="1418"/>
      <w:outlineLvl w:val="5"/>
    </w:pPr>
    <w:rPr>
      <w:i/>
      <w:iCs/>
      <w:color w:val="00133A"/>
      <w:sz w:val="24"/>
    </w:rPr>
  </w:style>
  <w:style w:type="paragraph" w:styleId="Nadpis7">
    <w:name w:val="heading 7"/>
    <w:basedOn w:val="Normln"/>
    <w:next w:val="Normln"/>
    <w:qFormat/>
    <w:rsid w:val="004808AA"/>
    <w:pPr>
      <w:keepNext/>
      <w:keepLines/>
      <w:tabs>
        <w:tab w:val="num" w:pos="0"/>
      </w:tabs>
      <w:spacing w:before="240" w:after="240"/>
      <w:ind w:left="1576" w:hanging="1576"/>
      <w:outlineLvl w:val="6"/>
    </w:pPr>
    <w:rPr>
      <w:i/>
      <w:iCs/>
      <w:color w:val="404040"/>
      <w:sz w:val="22"/>
    </w:rPr>
  </w:style>
  <w:style w:type="paragraph" w:styleId="Nadpis8">
    <w:name w:val="heading 8"/>
    <w:basedOn w:val="Normln"/>
    <w:next w:val="Normln"/>
    <w:qFormat/>
    <w:rsid w:val="004808AA"/>
    <w:pPr>
      <w:keepNext/>
      <w:keepLines/>
      <w:tabs>
        <w:tab w:val="num" w:pos="0"/>
      </w:tabs>
      <w:spacing w:before="240" w:after="240"/>
      <w:ind w:left="1701" w:hanging="1701"/>
      <w:outlineLvl w:val="7"/>
    </w:pPr>
    <w:rPr>
      <w:i/>
      <w:color w:val="404040"/>
      <w:sz w:val="20"/>
      <w:szCs w:val="20"/>
    </w:rPr>
  </w:style>
  <w:style w:type="paragraph" w:styleId="Nadpis9">
    <w:name w:val="heading 9"/>
    <w:basedOn w:val="Normln"/>
    <w:next w:val="Normln"/>
    <w:qFormat/>
    <w:rsid w:val="004808AA"/>
    <w:pPr>
      <w:keepNext/>
      <w:keepLines/>
      <w:tabs>
        <w:tab w:val="num" w:pos="0"/>
      </w:tabs>
      <w:spacing w:before="240" w:after="240"/>
      <w:ind w:left="1985" w:hanging="1985"/>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sid w:val="004808AA"/>
    <w:rPr>
      <w:rFonts w:ascii="Symbol" w:hAnsi="Symbol"/>
    </w:rPr>
  </w:style>
  <w:style w:type="character" w:customStyle="1" w:styleId="WW8Num6z0">
    <w:name w:val="WW8Num6z0"/>
    <w:rsid w:val="004808AA"/>
    <w:rPr>
      <w:rFonts w:ascii="Symbol" w:hAnsi="Symbol"/>
    </w:rPr>
  </w:style>
  <w:style w:type="character" w:customStyle="1" w:styleId="WW8Num7z0">
    <w:name w:val="WW8Num7z0"/>
    <w:rsid w:val="004808AA"/>
    <w:rPr>
      <w:rFonts w:ascii="Symbol" w:hAnsi="Symbol"/>
    </w:rPr>
  </w:style>
  <w:style w:type="character" w:customStyle="1" w:styleId="WW8Num8z0">
    <w:name w:val="WW8Num8z0"/>
    <w:rsid w:val="004808AA"/>
    <w:rPr>
      <w:rFonts w:ascii="Symbol" w:hAnsi="Symbol"/>
      <w:b w:val="0"/>
      <w:i w:val="0"/>
      <w:sz w:val="19"/>
    </w:rPr>
  </w:style>
  <w:style w:type="character" w:customStyle="1" w:styleId="WW8Num10z0">
    <w:name w:val="WW8Num10z0"/>
    <w:rsid w:val="004808AA"/>
    <w:rPr>
      <w:rFonts w:ascii="Symbol" w:hAnsi="Symbol"/>
    </w:rPr>
  </w:style>
  <w:style w:type="character" w:customStyle="1" w:styleId="WW8Num11z0">
    <w:name w:val="WW8Num11z0"/>
    <w:rsid w:val="004808AA"/>
    <w:rPr>
      <w:b/>
    </w:rPr>
  </w:style>
  <w:style w:type="character" w:customStyle="1" w:styleId="WW8Num12z0">
    <w:name w:val="WW8Num12z0"/>
    <w:rsid w:val="004808AA"/>
    <w:rPr>
      <w:b/>
    </w:rPr>
  </w:style>
  <w:style w:type="character" w:customStyle="1" w:styleId="WW8Num13z0">
    <w:name w:val="WW8Num13z0"/>
    <w:rsid w:val="004808AA"/>
    <w:rPr>
      <w:rFonts w:ascii="Arial" w:hAnsi="Arial"/>
      <w:b/>
      <w:i w:val="0"/>
      <w:sz w:val="19"/>
    </w:rPr>
  </w:style>
  <w:style w:type="character" w:customStyle="1" w:styleId="WW8Num13z1">
    <w:name w:val="WW8Num13z1"/>
    <w:rsid w:val="004808AA"/>
    <w:rPr>
      <w:rFonts w:ascii="Arial" w:hAnsi="Arial"/>
      <w:b w:val="0"/>
      <w:i w:val="0"/>
      <w:sz w:val="19"/>
    </w:rPr>
  </w:style>
  <w:style w:type="character" w:customStyle="1" w:styleId="WW8Num13z4">
    <w:name w:val="WW8Num13z4"/>
    <w:rsid w:val="004808AA"/>
    <w:rPr>
      <w:rFonts w:ascii="Arial" w:hAnsi="Arial"/>
      <w:b w:val="0"/>
      <w:i/>
      <w:sz w:val="19"/>
    </w:rPr>
  </w:style>
  <w:style w:type="character" w:customStyle="1" w:styleId="WW8Num14z0">
    <w:name w:val="WW8Num14z0"/>
    <w:rsid w:val="004808AA"/>
    <w:rPr>
      <w:rFonts w:ascii="Symbol" w:hAnsi="Symbol"/>
    </w:rPr>
  </w:style>
  <w:style w:type="character" w:customStyle="1" w:styleId="WW8Num14z1">
    <w:name w:val="WW8Num14z1"/>
    <w:rsid w:val="004808AA"/>
    <w:rPr>
      <w:rFonts w:ascii="Courier New" w:hAnsi="Courier New" w:cs="Courier New"/>
    </w:rPr>
  </w:style>
  <w:style w:type="character" w:customStyle="1" w:styleId="WW8Num14z2">
    <w:name w:val="WW8Num14z2"/>
    <w:rsid w:val="004808AA"/>
    <w:rPr>
      <w:rFonts w:ascii="Wingdings" w:hAnsi="Wingdings"/>
    </w:rPr>
  </w:style>
  <w:style w:type="character" w:customStyle="1" w:styleId="WW8Num15z0">
    <w:name w:val="WW8Num15z0"/>
    <w:rsid w:val="004808AA"/>
    <w:rPr>
      <w:rFonts w:ascii="Wingdings" w:hAnsi="Wingdings"/>
      <w:color w:val="000080"/>
    </w:rPr>
  </w:style>
  <w:style w:type="character" w:customStyle="1" w:styleId="WW8Num15z1">
    <w:name w:val="WW8Num15z1"/>
    <w:rsid w:val="004808AA"/>
    <w:rPr>
      <w:rFonts w:ascii="Courier New" w:hAnsi="Courier New" w:cs="Courier New"/>
    </w:rPr>
  </w:style>
  <w:style w:type="character" w:customStyle="1" w:styleId="WW8Num15z2">
    <w:name w:val="WW8Num15z2"/>
    <w:rsid w:val="004808AA"/>
    <w:rPr>
      <w:rFonts w:ascii="Wingdings" w:hAnsi="Wingdings"/>
    </w:rPr>
  </w:style>
  <w:style w:type="character" w:customStyle="1" w:styleId="WW8Num15z3">
    <w:name w:val="WW8Num15z3"/>
    <w:rsid w:val="004808AA"/>
    <w:rPr>
      <w:rFonts w:ascii="Symbol" w:hAnsi="Symbol"/>
    </w:rPr>
  </w:style>
  <w:style w:type="character" w:customStyle="1" w:styleId="WW8Num16z0">
    <w:name w:val="WW8Num16z0"/>
    <w:rsid w:val="004808AA"/>
    <w:rPr>
      <w:rFonts w:ascii="Arial" w:hAnsi="Arial"/>
      <w:b/>
      <w:i w:val="0"/>
      <w:sz w:val="19"/>
    </w:rPr>
  </w:style>
  <w:style w:type="character" w:customStyle="1" w:styleId="WW8Num16z1">
    <w:name w:val="WW8Num16z1"/>
    <w:rsid w:val="004808AA"/>
    <w:rPr>
      <w:rFonts w:ascii="Arial" w:hAnsi="Arial"/>
      <w:b w:val="0"/>
      <w:i w:val="0"/>
      <w:sz w:val="19"/>
    </w:rPr>
  </w:style>
  <w:style w:type="character" w:customStyle="1" w:styleId="WW8Num16z4">
    <w:name w:val="WW8Num16z4"/>
    <w:rsid w:val="004808AA"/>
    <w:rPr>
      <w:rFonts w:ascii="Arial" w:hAnsi="Arial"/>
      <w:b w:val="0"/>
      <w:i/>
      <w:sz w:val="19"/>
    </w:rPr>
  </w:style>
  <w:style w:type="character" w:customStyle="1" w:styleId="WW8Num17z0">
    <w:name w:val="WW8Num17z0"/>
    <w:rsid w:val="004808AA"/>
    <w:rPr>
      <w:rFonts w:ascii="Arial" w:hAnsi="Arial"/>
      <w:b/>
      <w:i w:val="0"/>
      <w:sz w:val="19"/>
    </w:rPr>
  </w:style>
  <w:style w:type="character" w:customStyle="1" w:styleId="WW8Num17z1">
    <w:name w:val="WW8Num17z1"/>
    <w:rsid w:val="004808AA"/>
    <w:rPr>
      <w:rFonts w:ascii="Arial" w:hAnsi="Arial"/>
      <w:b w:val="0"/>
      <w:i w:val="0"/>
      <w:sz w:val="19"/>
    </w:rPr>
  </w:style>
  <w:style w:type="character" w:customStyle="1" w:styleId="WW8Num17z4">
    <w:name w:val="WW8Num17z4"/>
    <w:rsid w:val="004808AA"/>
    <w:rPr>
      <w:rFonts w:ascii="Arial" w:hAnsi="Arial"/>
      <w:b w:val="0"/>
      <w:i/>
      <w:sz w:val="19"/>
    </w:rPr>
  </w:style>
  <w:style w:type="character" w:customStyle="1" w:styleId="WW8Num19z0">
    <w:name w:val="WW8Num19z0"/>
    <w:rsid w:val="004808AA"/>
    <w:rPr>
      <w:rFonts w:ascii="Symbol" w:hAnsi="Symbol"/>
    </w:rPr>
  </w:style>
  <w:style w:type="character" w:customStyle="1" w:styleId="WW8Num19z1">
    <w:name w:val="WW8Num19z1"/>
    <w:rsid w:val="004808AA"/>
    <w:rPr>
      <w:rFonts w:ascii="Courier New" w:hAnsi="Courier New" w:cs="Courier New"/>
    </w:rPr>
  </w:style>
  <w:style w:type="character" w:customStyle="1" w:styleId="WW8Num19z2">
    <w:name w:val="WW8Num19z2"/>
    <w:rsid w:val="004808AA"/>
    <w:rPr>
      <w:rFonts w:ascii="Wingdings" w:hAnsi="Wingdings"/>
    </w:rPr>
  </w:style>
  <w:style w:type="character" w:customStyle="1" w:styleId="WW8Num21z0">
    <w:name w:val="WW8Num21z0"/>
    <w:rsid w:val="004808AA"/>
    <w:rPr>
      <w:rFonts w:ascii="Arial" w:hAnsi="Arial"/>
      <w:b/>
      <w:i w:val="0"/>
      <w:sz w:val="19"/>
    </w:rPr>
  </w:style>
  <w:style w:type="character" w:customStyle="1" w:styleId="WW8Num21z1">
    <w:name w:val="WW8Num21z1"/>
    <w:rsid w:val="004808AA"/>
    <w:rPr>
      <w:rFonts w:ascii="Arial" w:hAnsi="Arial"/>
      <w:b w:val="0"/>
      <w:i w:val="0"/>
      <w:sz w:val="19"/>
    </w:rPr>
  </w:style>
  <w:style w:type="character" w:customStyle="1" w:styleId="WW8Num21z4">
    <w:name w:val="WW8Num21z4"/>
    <w:rsid w:val="004808AA"/>
    <w:rPr>
      <w:rFonts w:ascii="Arial" w:hAnsi="Arial"/>
      <w:b w:val="0"/>
      <w:i/>
      <w:sz w:val="19"/>
    </w:rPr>
  </w:style>
  <w:style w:type="character" w:customStyle="1" w:styleId="WW8Num23z0">
    <w:name w:val="WW8Num23z0"/>
    <w:rsid w:val="004808AA"/>
    <w:rPr>
      <w:rFonts w:ascii="Arial" w:hAnsi="Arial"/>
      <w:b/>
      <w:i w:val="0"/>
      <w:sz w:val="19"/>
    </w:rPr>
  </w:style>
  <w:style w:type="character" w:customStyle="1" w:styleId="WW8Num23z1">
    <w:name w:val="WW8Num23z1"/>
    <w:rsid w:val="004808AA"/>
    <w:rPr>
      <w:rFonts w:ascii="Arial" w:hAnsi="Arial"/>
      <w:b w:val="0"/>
      <w:i w:val="0"/>
      <w:sz w:val="19"/>
    </w:rPr>
  </w:style>
  <w:style w:type="character" w:customStyle="1" w:styleId="WW8Num23z4">
    <w:name w:val="WW8Num23z4"/>
    <w:rsid w:val="004808AA"/>
    <w:rPr>
      <w:rFonts w:ascii="Arial" w:hAnsi="Arial"/>
      <w:b w:val="0"/>
      <w:i/>
      <w:sz w:val="19"/>
    </w:rPr>
  </w:style>
  <w:style w:type="character" w:customStyle="1" w:styleId="WW8Num24z0">
    <w:name w:val="WW8Num24z0"/>
    <w:rsid w:val="004808AA"/>
    <w:rPr>
      <w:rFonts w:ascii="Times New Roman" w:hAnsi="Times New Roman"/>
      <w:b w:val="0"/>
      <w:i w:val="0"/>
      <w:color w:val="002776"/>
      <w:sz w:val="60"/>
      <w:szCs w:val="32"/>
    </w:rPr>
  </w:style>
  <w:style w:type="character" w:customStyle="1" w:styleId="WW8Num24z1">
    <w:name w:val="WW8Num24z1"/>
    <w:rsid w:val="004808AA"/>
    <w:rPr>
      <w:rFonts w:ascii="Times New Roman Bold" w:hAnsi="Times New Roman Bold"/>
      <w:b/>
      <w:i w:val="0"/>
      <w:color w:val="000066"/>
      <w:sz w:val="24"/>
      <w:szCs w:val="24"/>
    </w:rPr>
  </w:style>
  <w:style w:type="character" w:customStyle="1" w:styleId="WW8Num25z0">
    <w:name w:val="WW8Num25z0"/>
    <w:rsid w:val="004808AA"/>
    <w:rPr>
      <w:rFonts w:ascii="Arial" w:hAnsi="Arial"/>
      <w:b/>
      <w:i w:val="0"/>
      <w:sz w:val="19"/>
    </w:rPr>
  </w:style>
  <w:style w:type="character" w:customStyle="1" w:styleId="WW8Num25z1">
    <w:name w:val="WW8Num25z1"/>
    <w:rsid w:val="004808AA"/>
    <w:rPr>
      <w:rFonts w:ascii="Arial" w:hAnsi="Arial"/>
      <w:b w:val="0"/>
      <w:i w:val="0"/>
      <w:sz w:val="19"/>
    </w:rPr>
  </w:style>
  <w:style w:type="character" w:customStyle="1" w:styleId="WW8Num25z4">
    <w:name w:val="WW8Num25z4"/>
    <w:rsid w:val="004808AA"/>
    <w:rPr>
      <w:rFonts w:ascii="Arial" w:hAnsi="Arial"/>
      <w:b w:val="0"/>
      <w:i/>
      <w:sz w:val="19"/>
    </w:rPr>
  </w:style>
  <w:style w:type="character" w:customStyle="1" w:styleId="WW8Num26z0">
    <w:name w:val="WW8Num26z0"/>
    <w:rsid w:val="004808AA"/>
    <w:rPr>
      <w:rFonts w:ascii="Arial" w:hAnsi="Arial"/>
      <w:b/>
      <w:i w:val="0"/>
      <w:sz w:val="19"/>
    </w:rPr>
  </w:style>
  <w:style w:type="character" w:customStyle="1" w:styleId="WW8Num26z1">
    <w:name w:val="WW8Num26z1"/>
    <w:rsid w:val="004808AA"/>
    <w:rPr>
      <w:rFonts w:ascii="Arial" w:hAnsi="Arial"/>
      <w:b w:val="0"/>
      <w:i w:val="0"/>
      <w:sz w:val="19"/>
    </w:rPr>
  </w:style>
  <w:style w:type="character" w:customStyle="1" w:styleId="WW8Num26z4">
    <w:name w:val="WW8Num26z4"/>
    <w:rsid w:val="004808AA"/>
    <w:rPr>
      <w:rFonts w:ascii="Arial" w:hAnsi="Arial"/>
      <w:b w:val="0"/>
      <w:i/>
      <w:sz w:val="19"/>
    </w:rPr>
  </w:style>
  <w:style w:type="character" w:customStyle="1" w:styleId="WW8Num27z0">
    <w:name w:val="WW8Num27z0"/>
    <w:rsid w:val="004808AA"/>
    <w:rPr>
      <w:rFonts w:ascii="Arial" w:hAnsi="Arial"/>
      <w:b/>
      <w:i w:val="0"/>
      <w:sz w:val="19"/>
    </w:rPr>
  </w:style>
  <w:style w:type="character" w:customStyle="1" w:styleId="WW8Num27z1">
    <w:name w:val="WW8Num27z1"/>
    <w:rsid w:val="004808AA"/>
    <w:rPr>
      <w:rFonts w:ascii="Arial" w:hAnsi="Arial"/>
      <w:b w:val="0"/>
      <w:i w:val="0"/>
      <w:sz w:val="19"/>
    </w:rPr>
  </w:style>
  <w:style w:type="character" w:customStyle="1" w:styleId="WW8Num27z4">
    <w:name w:val="WW8Num27z4"/>
    <w:rsid w:val="004808AA"/>
    <w:rPr>
      <w:rFonts w:ascii="Arial" w:hAnsi="Arial"/>
      <w:b w:val="0"/>
      <w:i/>
      <w:sz w:val="19"/>
    </w:rPr>
  </w:style>
  <w:style w:type="character" w:customStyle="1" w:styleId="WW8Num28z0">
    <w:name w:val="WW8Num28z0"/>
    <w:rsid w:val="004808AA"/>
    <w:rPr>
      <w:rFonts w:ascii="Times New Roman" w:hAnsi="Times New Roman"/>
      <w:b w:val="0"/>
      <w:i w:val="0"/>
      <w:color w:val="002776"/>
      <w:sz w:val="60"/>
    </w:rPr>
  </w:style>
  <w:style w:type="character" w:customStyle="1" w:styleId="WW8Num28z1">
    <w:name w:val="WW8Num28z1"/>
    <w:rsid w:val="004808AA"/>
    <w:rPr>
      <w:rFonts w:ascii="Arial" w:hAnsi="Arial"/>
      <w:b/>
      <w:i w:val="0"/>
      <w:color w:val="92D400"/>
      <w:sz w:val="24"/>
    </w:rPr>
  </w:style>
  <w:style w:type="character" w:customStyle="1" w:styleId="WW8Num28z2">
    <w:name w:val="WW8Num28z2"/>
    <w:rsid w:val="004808AA"/>
    <w:rPr>
      <w:rFonts w:ascii="Arial" w:hAnsi="Arial"/>
      <w:b/>
      <w:i w:val="0"/>
      <w:color w:val="3C8A2E"/>
      <w:sz w:val="24"/>
    </w:rPr>
  </w:style>
  <w:style w:type="character" w:customStyle="1" w:styleId="WW8Num28z3">
    <w:name w:val="WW8Num28z3"/>
    <w:rsid w:val="004808AA"/>
    <w:rPr>
      <w:rFonts w:ascii="Arial" w:hAnsi="Arial"/>
      <w:b/>
      <w:i w:val="0"/>
      <w:color w:val="auto"/>
      <w:sz w:val="24"/>
    </w:rPr>
  </w:style>
  <w:style w:type="character" w:customStyle="1" w:styleId="WW8Num28z4">
    <w:name w:val="WW8Num28z4"/>
    <w:rsid w:val="004808AA"/>
    <w:rPr>
      <w:rFonts w:ascii="Arial" w:hAnsi="Arial"/>
      <w:b/>
      <w:i/>
      <w:color w:val="000000"/>
      <w:sz w:val="24"/>
    </w:rPr>
  </w:style>
  <w:style w:type="character" w:customStyle="1" w:styleId="WW8Num28z5">
    <w:name w:val="WW8Num28z5"/>
    <w:rsid w:val="004808AA"/>
    <w:rPr>
      <w:rFonts w:ascii="Arial" w:hAnsi="Arial"/>
      <w:b w:val="0"/>
      <w:i/>
      <w:color w:val="auto"/>
      <w:sz w:val="24"/>
    </w:rPr>
  </w:style>
  <w:style w:type="character" w:customStyle="1" w:styleId="WW8Num29z0">
    <w:name w:val="WW8Num29z0"/>
    <w:rsid w:val="004808AA"/>
    <w:rPr>
      <w:rFonts w:ascii="Symbol" w:hAnsi="Symbol"/>
    </w:rPr>
  </w:style>
  <w:style w:type="character" w:customStyle="1" w:styleId="WW8Num29z1">
    <w:name w:val="WW8Num29z1"/>
    <w:rsid w:val="004808AA"/>
    <w:rPr>
      <w:rFonts w:ascii="Courier New" w:hAnsi="Courier New" w:cs="Courier New"/>
    </w:rPr>
  </w:style>
  <w:style w:type="character" w:customStyle="1" w:styleId="WW8Num29z2">
    <w:name w:val="WW8Num29z2"/>
    <w:rsid w:val="004808AA"/>
    <w:rPr>
      <w:rFonts w:ascii="Wingdings" w:hAnsi="Wingdings"/>
    </w:rPr>
  </w:style>
  <w:style w:type="character" w:customStyle="1" w:styleId="WW8Num30z0">
    <w:name w:val="WW8Num30z0"/>
    <w:rsid w:val="004808AA"/>
    <w:rPr>
      <w:rFonts w:ascii="Arial" w:hAnsi="Arial"/>
      <w:b/>
      <w:i w:val="0"/>
      <w:sz w:val="19"/>
    </w:rPr>
  </w:style>
  <w:style w:type="character" w:customStyle="1" w:styleId="WW8Num30z1">
    <w:name w:val="WW8Num30z1"/>
    <w:rsid w:val="004808AA"/>
    <w:rPr>
      <w:rFonts w:ascii="Arial" w:hAnsi="Arial"/>
      <w:b w:val="0"/>
      <w:i w:val="0"/>
      <w:sz w:val="19"/>
    </w:rPr>
  </w:style>
  <w:style w:type="character" w:customStyle="1" w:styleId="WW8Num30z4">
    <w:name w:val="WW8Num30z4"/>
    <w:rsid w:val="004808AA"/>
    <w:rPr>
      <w:rFonts w:ascii="Arial" w:hAnsi="Arial"/>
      <w:b w:val="0"/>
      <w:i/>
      <w:sz w:val="19"/>
    </w:rPr>
  </w:style>
  <w:style w:type="character" w:customStyle="1" w:styleId="WW8Num31z0">
    <w:name w:val="WW8Num31z0"/>
    <w:rsid w:val="004808AA"/>
    <w:rPr>
      <w:rFonts w:ascii="Arial" w:hAnsi="Arial"/>
      <w:b/>
      <w:i w:val="0"/>
      <w:sz w:val="19"/>
    </w:rPr>
  </w:style>
  <w:style w:type="character" w:customStyle="1" w:styleId="WW8Num31z1">
    <w:name w:val="WW8Num31z1"/>
    <w:rsid w:val="004808AA"/>
    <w:rPr>
      <w:rFonts w:ascii="Arial" w:hAnsi="Arial"/>
      <w:b w:val="0"/>
      <w:i w:val="0"/>
      <w:sz w:val="19"/>
    </w:rPr>
  </w:style>
  <w:style w:type="character" w:customStyle="1" w:styleId="WW8Num31z4">
    <w:name w:val="WW8Num31z4"/>
    <w:rsid w:val="004808AA"/>
    <w:rPr>
      <w:rFonts w:ascii="Arial" w:hAnsi="Arial"/>
      <w:b w:val="0"/>
      <w:i/>
      <w:sz w:val="19"/>
    </w:rPr>
  </w:style>
  <w:style w:type="character" w:customStyle="1" w:styleId="WW8Num32z0">
    <w:name w:val="WW8Num32z0"/>
    <w:rsid w:val="004808AA"/>
    <w:rPr>
      <w:rFonts w:ascii="Arial" w:hAnsi="Arial"/>
      <w:b/>
      <w:i w:val="0"/>
      <w:sz w:val="19"/>
    </w:rPr>
  </w:style>
  <w:style w:type="character" w:customStyle="1" w:styleId="WW8Num32z1">
    <w:name w:val="WW8Num32z1"/>
    <w:rsid w:val="004808AA"/>
    <w:rPr>
      <w:rFonts w:ascii="Arial" w:hAnsi="Arial"/>
      <w:b w:val="0"/>
      <w:i w:val="0"/>
      <w:sz w:val="19"/>
    </w:rPr>
  </w:style>
  <w:style w:type="character" w:customStyle="1" w:styleId="WW8Num32z4">
    <w:name w:val="WW8Num32z4"/>
    <w:rsid w:val="004808AA"/>
    <w:rPr>
      <w:rFonts w:ascii="Arial" w:hAnsi="Arial"/>
      <w:b w:val="0"/>
      <w:i/>
      <w:sz w:val="19"/>
    </w:rPr>
  </w:style>
  <w:style w:type="character" w:customStyle="1" w:styleId="WW8Num33z0">
    <w:name w:val="WW8Num33z0"/>
    <w:rsid w:val="004808AA"/>
    <w:rPr>
      <w:rFonts w:ascii="Arial" w:hAnsi="Arial"/>
      <w:b/>
      <w:i w:val="0"/>
      <w:sz w:val="19"/>
    </w:rPr>
  </w:style>
  <w:style w:type="character" w:customStyle="1" w:styleId="WW8Num33z1">
    <w:name w:val="WW8Num33z1"/>
    <w:rsid w:val="004808AA"/>
    <w:rPr>
      <w:rFonts w:ascii="Arial" w:hAnsi="Arial"/>
      <w:b w:val="0"/>
      <w:i w:val="0"/>
      <w:sz w:val="19"/>
    </w:rPr>
  </w:style>
  <w:style w:type="character" w:customStyle="1" w:styleId="WW8Num33z4">
    <w:name w:val="WW8Num33z4"/>
    <w:rsid w:val="004808AA"/>
    <w:rPr>
      <w:rFonts w:ascii="Arial" w:hAnsi="Arial"/>
      <w:b w:val="0"/>
      <w:i/>
      <w:sz w:val="19"/>
    </w:rPr>
  </w:style>
  <w:style w:type="character" w:customStyle="1" w:styleId="WW8Num34z0">
    <w:name w:val="WW8Num34z0"/>
    <w:rsid w:val="004808AA"/>
    <w:rPr>
      <w:rFonts w:ascii="Symbol" w:hAnsi="Symbol"/>
      <w:b w:val="0"/>
      <w:i w:val="0"/>
      <w:sz w:val="19"/>
    </w:rPr>
  </w:style>
  <w:style w:type="character" w:customStyle="1" w:styleId="WW8Num34z1">
    <w:name w:val="WW8Num34z1"/>
    <w:rsid w:val="004808AA"/>
    <w:rPr>
      <w:rFonts w:ascii="Courier New" w:hAnsi="Courier New" w:cs="Courier New"/>
    </w:rPr>
  </w:style>
  <w:style w:type="character" w:customStyle="1" w:styleId="WW8Num34z2">
    <w:name w:val="WW8Num34z2"/>
    <w:rsid w:val="004808AA"/>
    <w:rPr>
      <w:rFonts w:ascii="Wingdings" w:hAnsi="Wingdings"/>
    </w:rPr>
  </w:style>
  <w:style w:type="character" w:customStyle="1" w:styleId="WW8Num34z3">
    <w:name w:val="WW8Num34z3"/>
    <w:rsid w:val="004808AA"/>
    <w:rPr>
      <w:rFonts w:ascii="Symbol" w:hAnsi="Symbol"/>
    </w:rPr>
  </w:style>
  <w:style w:type="character" w:customStyle="1" w:styleId="WW8Num36z0">
    <w:name w:val="WW8Num36z0"/>
    <w:rsid w:val="004808AA"/>
    <w:rPr>
      <w:rFonts w:ascii="Arial" w:hAnsi="Arial"/>
      <w:b/>
      <w:i w:val="0"/>
      <w:sz w:val="19"/>
    </w:rPr>
  </w:style>
  <w:style w:type="character" w:customStyle="1" w:styleId="WW8Num36z1">
    <w:name w:val="WW8Num36z1"/>
    <w:rsid w:val="004808AA"/>
    <w:rPr>
      <w:rFonts w:ascii="Arial" w:hAnsi="Arial"/>
      <w:b w:val="0"/>
      <w:i w:val="0"/>
      <w:sz w:val="19"/>
    </w:rPr>
  </w:style>
  <w:style w:type="character" w:customStyle="1" w:styleId="WW8Num36z4">
    <w:name w:val="WW8Num36z4"/>
    <w:rsid w:val="004808AA"/>
    <w:rPr>
      <w:rFonts w:ascii="Arial" w:hAnsi="Arial"/>
      <w:b w:val="0"/>
      <w:i/>
      <w:sz w:val="19"/>
    </w:rPr>
  </w:style>
  <w:style w:type="character" w:styleId="slostrnky">
    <w:name w:val="page number"/>
    <w:semiHidden/>
    <w:rsid w:val="004808AA"/>
    <w:rPr>
      <w:rFonts w:ascii="Arial" w:hAnsi="Arial"/>
      <w:sz w:val="16"/>
    </w:rPr>
  </w:style>
  <w:style w:type="character" w:styleId="Hypertextovodkaz">
    <w:name w:val="Hyperlink"/>
    <w:semiHidden/>
    <w:rsid w:val="004808AA"/>
    <w:rPr>
      <w:rFonts w:ascii="Arial" w:hAnsi="Arial"/>
      <w:color w:val="00A1DE"/>
      <w:sz w:val="16"/>
      <w:u w:val="single"/>
    </w:rPr>
  </w:style>
  <w:style w:type="character" w:customStyle="1" w:styleId="HeaderChar">
    <w:name w:val="Header Char"/>
    <w:rsid w:val="004808AA"/>
    <w:rPr>
      <w:rFonts w:ascii="Arial" w:hAnsi="Arial"/>
      <w:sz w:val="16"/>
      <w:szCs w:val="24"/>
    </w:rPr>
  </w:style>
  <w:style w:type="character" w:customStyle="1" w:styleId="FooterChar">
    <w:name w:val="Footer Char"/>
    <w:rsid w:val="004808AA"/>
    <w:rPr>
      <w:sz w:val="24"/>
      <w:szCs w:val="24"/>
    </w:rPr>
  </w:style>
  <w:style w:type="character" w:customStyle="1" w:styleId="CaptionbodyChar">
    <w:name w:val="Caption body Char"/>
    <w:rsid w:val="004808AA"/>
    <w:rPr>
      <w:rFonts w:ascii="Arial" w:hAnsi="Arial"/>
      <w:color w:val="000000"/>
      <w:sz w:val="18"/>
      <w:lang w:val="en-US" w:eastAsia="ar-SA" w:bidi="ar-SA"/>
    </w:rPr>
  </w:style>
  <w:style w:type="character" w:customStyle="1" w:styleId="Bulletslevel1Char">
    <w:name w:val="Bullets level 1 Char"/>
    <w:rsid w:val="004808AA"/>
    <w:rPr>
      <w:rFonts w:ascii="Arial" w:eastAsia="Times" w:hAnsi="Arial"/>
      <w:color w:val="000000"/>
      <w:sz w:val="19"/>
      <w:lang w:val="en-GB"/>
    </w:rPr>
  </w:style>
  <w:style w:type="character" w:customStyle="1" w:styleId="Bulletslevel2Char">
    <w:name w:val="Bullets level 2 Char"/>
    <w:basedOn w:val="Bulletslevel1Char"/>
    <w:rsid w:val="004808AA"/>
  </w:style>
  <w:style w:type="character" w:customStyle="1" w:styleId="Heading4Char">
    <w:name w:val="Heading 4 Char"/>
    <w:rsid w:val="004808AA"/>
    <w:rPr>
      <w:rFonts w:ascii="Arial" w:eastAsia="Times New Roman" w:hAnsi="Arial" w:cs="Times New Roman"/>
      <w:b/>
      <w:bCs/>
      <w:iCs/>
      <w:sz w:val="24"/>
      <w:szCs w:val="24"/>
    </w:rPr>
  </w:style>
  <w:style w:type="character" w:customStyle="1" w:styleId="Heading5Char">
    <w:name w:val="Heading 5 Char"/>
    <w:rsid w:val="004808AA"/>
    <w:rPr>
      <w:rFonts w:ascii="Arial" w:eastAsia="Times New Roman" w:hAnsi="Arial" w:cs="Times New Roman"/>
      <w:b/>
      <w:i/>
      <w:color w:val="00133A"/>
      <w:sz w:val="24"/>
      <w:szCs w:val="24"/>
    </w:rPr>
  </w:style>
  <w:style w:type="character" w:customStyle="1" w:styleId="Heading6Char">
    <w:name w:val="Heading 6 Char"/>
    <w:rsid w:val="004808AA"/>
    <w:rPr>
      <w:rFonts w:ascii="Arial" w:eastAsia="Times New Roman" w:hAnsi="Arial" w:cs="Times New Roman"/>
      <w:i/>
      <w:iCs/>
      <w:color w:val="00133A"/>
      <w:sz w:val="24"/>
      <w:szCs w:val="24"/>
    </w:rPr>
  </w:style>
  <w:style w:type="character" w:customStyle="1" w:styleId="Heading7Char">
    <w:name w:val="Heading 7 Char"/>
    <w:rsid w:val="004808AA"/>
    <w:rPr>
      <w:rFonts w:ascii="Arial" w:eastAsia="Times New Roman" w:hAnsi="Arial" w:cs="Times New Roman"/>
      <w:i/>
      <w:iCs/>
      <w:color w:val="404040"/>
      <w:sz w:val="22"/>
      <w:szCs w:val="24"/>
    </w:rPr>
  </w:style>
  <w:style w:type="character" w:customStyle="1" w:styleId="Heading8Char">
    <w:name w:val="Heading 8 Char"/>
    <w:rsid w:val="004808AA"/>
    <w:rPr>
      <w:rFonts w:ascii="Arial" w:eastAsia="Times New Roman" w:hAnsi="Arial" w:cs="Times New Roman"/>
      <w:i/>
      <w:color w:val="404040"/>
    </w:rPr>
  </w:style>
  <w:style w:type="character" w:customStyle="1" w:styleId="Heading9Char">
    <w:name w:val="Heading 9 Char"/>
    <w:rsid w:val="004808AA"/>
    <w:rPr>
      <w:rFonts w:ascii="Arial" w:eastAsia="Times New Roman" w:hAnsi="Arial" w:cs="Times New Roman"/>
      <w:i/>
      <w:iCs/>
      <w:color w:val="404040"/>
      <w:sz w:val="18"/>
    </w:rPr>
  </w:style>
  <w:style w:type="character" w:customStyle="1" w:styleId="FootnoteCharacters">
    <w:name w:val="Footnote Characters"/>
    <w:rsid w:val="004808AA"/>
    <w:rPr>
      <w:rFonts w:ascii="Arial" w:hAnsi="Arial"/>
      <w:sz w:val="16"/>
      <w:vertAlign w:val="superscript"/>
    </w:rPr>
  </w:style>
  <w:style w:type="character" w:customStyle="1" w:styleId="FootnoteTextChar">
    <w:name w:val="Footnote Text Char"/>
    <w:rsid w:val="004808AA"/>
    <w:rPr>
      <w:rFonts w:ascii="Arial" w:hAnsi="Arial"/>
      <w:sz w:val="16"/>
    </w:rPr>
  </w:style>
  <w:style w:type="character" w:customStyle="1" w:styleId="BodyTextIndentChar">
    <w:name w:val="Body Text Indent Char"/>
    <w:rsid w:val="004808AA"/>
    <w:rPr>
      <w:rFonts w:ascii="Arial" w:hAnsi="Arial"/>
      <w:bCs/>
      <w:szCs w:val="24"/>
      <w:lang w:val="cs-CZ"/>
    </w:rPr>
  </w:style>
  <w:style w:type="character" w:styleId="Odkaznakoment">
    <w:name w:val="annotation reference"/>
    <w:uiPriority w:val="99"/>
    <w:semiHidden/>
    <w:rsid w:val="004808AA"/>
    <w:rPr>
      <w:sz w:val="16"/>
      <w:szCs w:val="16"/>
    </w:rPr>
  </w:style>
  <w:style w:type="character" w:customStyle="1" w:styleId="CommentTextChar">
    <w:name w:val="Comment Text Char"/>
    <w:rsid w:val="004808AA"/>
    <w:rPr>
      <w:rFonts w:ascii="Arial" w:hAnsi="Arial"/>
    </w:rPr>
  </w:style>
  <w:style w:type="character" w:customStyle="1" w:styleId="CommentSubjectChar">
    <w:name w:val="Comment Subject Char"/>
    <w:rsid w:val="004808AA"/>
    <w:rPr>
      <w:rFonts w:ascii="Arial" w:hAnsi="Arial"/>
      <w:b/>
      <w:bCs/>
    </w:rPr>
  </w:style>
  <w:style w:type="character" w:customStyle="1" w:styleId="PlainTextChar">
    <w:name w:val="Plain Text Char"/>
    <w:rsid w:val="004808AA"/>
    <w:rPr>
      <w:rFonts w:ascii="Arial" w:hAnsi="Arial"/>
      <w:color w:val="000000"/>
      <w:szCs w:val="21"/>
    </w:rPr>
  </w:style>
  <w:style w:type="paragraph" w:customStyle="1" w:styleId="Heading">
    <w:name w:val="Heading"/>
    <w:basedOn w:val="Normln"/>
    <w:next w:val="Zkladntext"/>
    <w:rsid w:val="004808AA"/>
    <w:pPr>
      <w:keepNext/>
      <w:spacing w:before="240" w:after="120"/>
    </w:pPr>
    <w:rPr>
      <w:rFonts w:eastAsia="Arial Unicode MS" w:cs="Tahoma"/>
      <w:sz w:val="28"/>
      <w:szCs w:val="28"/>
    </w:rPr>
  </w:style>
  <w:style w:type="paragraph" w:styleId="Zkladntext">
    <w:name w:val="Body Text"/>
    <w:basedOn w:val="Normln"/>
    <w:semiHidden/>
    <w:rsid w:val="004808AA"/>
    <w:pPr>
      <w:spacing w:after="120"/>
    </w:pPr>
  </w:style>
  <w:style w:type="paragraph" w:styleId="Seznam">
    <w:name w:val="List"/>
    <w:basedOn w:val="Zkladntext"/>
    <w:semiHidden/>
    <w:rsid w:val="004808AA"/>
    <w:rPr>
      <w:rFonts w:cs="Tahoma"/>
    </w:rPr>
  </w:style>
  <w:style w:type="paragraph" w:customStyle="1" w:styleId="Caption">
    <w:name w:val="Caption"/>
    <w:basedOn w:val="Normln"/>
    <w:rsid w:val="004808AA"/>
    <w:pPr>
      <w:suppressLineNumbers/>
      <w:spacing w:before="120" w:after="120"/>
    </w:pPr>
    <w:rPr>
      <w:rFonts w:cs="Tahoma"/>
      <w:i/>
      <w:iCs/>
      <w:sz w:val="24"/>
    </w:rPr>
  </w:style>
  <w:style w:type="paragraph" w:customStyle="1" w:styleId="Index">
    <w:name w:val="Index"/>
    <w:basedOn w:val="Normln"/>
    <w:rsid w:val="004808AA"/>
    <w:pPr>
      <w:suppressLineNumbers/>
    </w:pPr>
    <w:rPr>
      <w:rFonts w:cs="Tahoma"/>
    </w:rPr>
  </w:style>
  <w:style w:type="paragraph" w:styleId="Zhlav">
    <w:name w:val="header"/>
    <w:basedOn w:val="Normln"/>
    <w:semiHidden/>
    <w:rsid w:val="004808AA"/>
    <w:rPr>
      <w:sz w:val="16"/>
    </w:rPr>
  </w:style>
  <w:style w:type="paragraph" w:styleId="Zpat">
    <w:name w:val="footer"/>
    <w:basedOn w:val="Normln"/>
    <w:semiHidden/>
    <w:rsid w:val="004808AA"/>
  </w:style>
  <w:style w:type="paragraph" w:styleId="Obsah1">
    <w:name w:val="toc 1"/>
    <w:basedOn w:val="Normln"/>
    <w:next w:val="Normln"/>
    <w:semiHidden/>
    <w:rsid w:val="004808AA"/>
    <w:pPr>
      <w:spacing w:after="240"/>
    </w:pPr>
    <w:rPr>
      <w:sz w:val="24"/>
    </w:rPr>
  </w:style>
  <w:style w:type="paragraph" w:styleId="Obsah2">
    <w:name w:val="toc 2"/>
    <w:basedOn w:val="Normln"/>
    <w:next w:val="Normln"/>
    <w:semiHidden/>
    <w:rsid w:val="004808AA"/>
    <w:pPr>
      <w:spacing w:after="240"/>
      <w:ind w:left="238"/>
    </w:pPr>
    <w:rPr>
      <w:sz w:val="24"/>
    </w:rPr>
  </w:style>
  <w:style w:type="paragraph" w:styleId="Obsah3">
    <w:name w:val="toc 3"/>
    <w:basedOn w:val="Normln"/>
    <w:next w:val="Normln"/>
    <w:semiHidden/>
    <w:rsid w:val="004808AA"/>
    <w:pPr>
      <w:spacing w:after="240"/>
      <w:ind w:left="482"/>
    </w:pPr>
    <w:rPr>
      <w:sz w:val="24"/>
    </w:rPr>
  </w:style>
  <w:style w:type="paragraph" w:customStyle="1" w:styleId="Textbubliny1">
    <w:name w:val="Text bubliny1"/>
    <w:basedOn w:val="Normln"/>
    <w:rsid w:val="004808AA"/>
    <w:rPr>
      <w:rFonts w:ascii="Tahoma" w:hAnsi="Tahoma" w:cs="Tahoma"/>
      <w:sz w:val="16"/>
      <w:szCs w:val="16"/>
    </w:rPr>
  </w:style>
  <w:style w:type="paragraph" w:customStyle="1" w:styleId="Bodytext">
    <w:name w:val="Body text"/>
    <w:rsid w:val="004808AA"/>
    <w:pPr>
      <w:suppressAutoHyphens/>
    </w:pPr>
    <w:rPr>
      <w:rFonts w:ascii="Arial" w:eastAsia="Arial" w:hAnsi="Arial"/>
      <w:color w:val="000000"/>
      <w:sz w:val="19"/>
      <w:szCs w:val="48"/>
      <w:lang w:eastAsia="ar-SA"/>
    </w:rPr>
  </w:style>
  <w:style w:type="paragraph" w:customStyle="1" w:styleId="Legalentity">
    <w:name w:val="Legal entity"/>
    <w:basedOn w:val="Normln"/>
    <w:rsid w:val="004808AA"/>
    <w:pPr>
      <w:widowControl w:val="0"/>
      <w:autoSpaceDE w:val="0"/>
      <w:spacing w:after="90" w:line="180" w:lineRule="atLeast"/>
      <w:textAlignment w:val="center"/>
    </w:pPr>
    <w:rPr>
      <w:color w:val="000000"/>
      <w:sz w:val="15"/>
      <w:szCs w:val="20"/>
      <w:lang w:val="en-GB"/>
    </w:rPr>
  </w:style>
  <w:style w:type="paragraph" w:customStyle="1" w:styleId="smlouvaheading1">
    <w:name w:val="smlouva heading 1"/>
    <w:next w:val="Bodytext"/>
    <w:rsid w:val="004808AA"/>
    <w:pPr>
      <w:tabs>
        <w:tab w:val="num" w:pos="0"/>
        <w:tab w:val="left" w:pos="873"/>
      </w:tabs>
      <w:suppressAutoHyphens/>
      <w:spacing w:before="120" w:after="120"/>
      <w:ind w:left="360" w:hanging="360"/>
    </w:pPr>
    <w:rPr>
      <w:rFonts w:ascii="Arial" w:eastAsia="Arial" w:hAnsi="Arial"/>
      <w:b/>
      <w:color w:val="000000"/>
      <w:sz w:val="19"/>
      <w:szCs w:val="24"/>
      <w:lang w:eastAsia="ar-SA"/>
    </w:rPr>
  </w:style>
  <w:style w:type="paragraph" w:customStyle="1" w:styleId="CaptionIntroductionparagraph">
    <w:name w:val="Caption Introduction paragraph"/>
    <w:rsid w:val="004808AA"/>
    <w:pPr>
      <w:suppressAutoHyphens/>
    </w:pPr>
    <w:rPr>
      <w:rFonts w:ascii="Arial" w:eastAsia="Arial" w:hAnsi="Arial"/>
      <w:b/>
      <w:color w:val="00A1DE"/>
      <w:sz w:val="24"/>
      <w:szCs w:val="22"/>
      <w:lang w:eastAsia="ar-SA"/>
    </w:rPr>
  </w:style>
  <w:style w:type="paragraph" w:customStyle="1" w:styleId="smlouvaheading2">
    <w:name w:val="smlouva heading 2"/>
    <w:basedOn w:val="CaptionIntroductionparagraph"/>
    <w:next w:val="Bodytext"/>
    <w:rsid w:val="004808AA"/>
    <w:pPr>
      <w:tabs>
        <w:tab w:val="num" w:pos="0"/>
      </w:tabs>
      <w:ind w:left="360" w:hanging="360"/>
    </w:pPr>
    <w:rPr>
      <w:b w:val="0"/>
      <w:color w:val="000000"/>
      <w:sz w:val="19"/>
    </w:rPr>
  </w:style>
  <w:style w:type="paragraph" w:customStyle="1" w:styleId="smlouvaheading3">
    <w:name w:val="smlouva heading 3"/>
    <w:basedOn w:val="smlouvaheading2"/>
    <w:next w:val="Bodytext"/>
    <w:rsid w:val="004808AA"/>
  </w:style>
  <w:style w:type="paragraph" w:customStyle="1" w:styleId="smlouvaheading4">
    <w:name w:val="smlouva heading 4"/>
    <w:basedOn w:val="smlouvaheading3"/>
    <w:next w:val="Bodytext"/>
    <w:rsid w:val="004808AA"/>
    <w:rPr>
      <w:color w:val="auto"/>
    </w:rPr>
  </w:style>
  <w:style w:type="paragraph" w:customStyle="1" w:styleId="smlouvabodytextbold">
    <w:name w:val="smlouva body text bold"/>
    <w:basedOn w:val="smlouvaheading4"/>
    <w:next w:val="Bodytext"/>
    <w:rsid w:val="004808AA"/>
    <w:pPr>
      <w:tabs>
        <w:tab w:val="clear" w:pos="0"/>
      </w:tabs>
      <w:ind w:left="0" w:firstLine="0"/>
    </w:pPr>
    <w:rPr>
      <w:b/>
    </w:rPr>
  </w:style>
  <w:style w:type="paragraph" w:customStyle="1" w:styleId="Bodytextbold">
    <w:name w:val="Body text bold"/>
    <w:basedOn w:val="smlouvabodytextbold"/>
    <w:next w:val="Bodytext"/>
    <w:rsid w:val="004808AA"/>
    <w:rPr>
      <w:color w:val="000000"/>
    </w:rPr>
  </w:style>
  <w:style w:type="paragraph" w:customStyle="1" w:styleId="Captionbody">
    <w:name w:val="Caption body"/>
    <w:rsid w:val="004808AA"/>
    <w:pPr>
      <w:suppressAutoHyphens/>
    </w:pPr>
    <w:rPr>
      <w:rFonts w:ascii="Arial" w:eastAsia="Arial" w:hAnsi="Arial"/>
      <w:color w:val="000000"/>
      <w:sz w:val="18"/>
      <w:lang w:val="en-US" w:eastAsia="ar-SA"/>
    </w:rPr>
  </w:style>
  <w:style w:type="paragraph" w:customStyle="1" w:styleId="Captionheading">
    <w:name w:val="Caption heading"/>
    <w:basedOn w:val="Captionbody"/>
    <w:rsid w:val="004808AA"/>
    <w:rPr>
      <w:b/>
    </w:rPr>
  </w:style>
  <w:style w:type="paragraph" w:customStyle="1" w:styleId="smlouvabodytext">
    <w:name w:val="smlouva body text"/>
    <w:basedOn w:val="Normln"/>
    <w:rsid w:val="004808AA"/>
    <w:rPr>
      <w:rFonts w:eastAsia="Times"/>
    </w:rPr>
  </w:style>
  <w:style w:type="paragraph" w:customStyle="1" w:styleId="Bulletslevel1">
    <w:name w:val="Bullets level 1"/>
    <w:basedOn w:val="Normln"/>
    <w:rsid w:val="004808AA"/>
    <w:pPr>
      <w:spacing w:before="120"/>
      <w:ind w:left="360"/>
    </w:pPr>
    <w:rPr>
      <w:rFonts w:eastAsia="Times"/>
      <w:color w:val="000000"/>
      <w:szCs w:val="20"/>
      <w:lang w:val="en-GB"/>
    </w:rPr>
  </w:style>
  <w:style w:type="paragraph" w:customStyle="1" w:styleId="Bulletslevel2">
    <w:name w:val="Bullets level 2"/>
    <w:basedOn w:val="Normln"/>
    <w:rsid w:val="004808AA"/>
    <w:pPr>
      <w:spacing w:before="120"/>
    </w:pPr>
    <w:rPr>
      <w:rFonts w:eastAsia="Times"/>
      <w:color w:val="000000"/>
      <w:szCs w:val="20"/>
      <w:lang w:val="en-GB"/>
    </w:rPr>
  </w:style>
  <w:style w:type="paragraph" w:customStyle="1" w:styleId="PulloutQuote">
    <w:name w:val="Pullout Quote"/>
    <w:rsid w:val="004808AA"/>
    <w:pPr>
      <w:pBdr>
        <w:top w:val="single" w:sz="4" w:space="4" w:color="00FFFF"/>
      </w:pBdr>
      <w:suppressAutoHyphens/>
      <w:spacing w:line="320" w:lineRule="exact"/>
    </w:pPr>
    <w:rPr>
      <w:rFonts w:eastAsia="Times"/>
      <w:color w:val="00A1DE"/>
      <w:sz w:val="32"/>
      <w:lang w:val="en-GB" w:eastAsia="ar-SA"/>
    </w:rPr>
  </w:style>
  <w:style w:type="paragraph" w:customStyle="1" w:styleId="Highlight1">
    <w:name w:val="Highlight 1"/>
    <w:basedOn w:val="Normln"/>
    <w:rsid w:val="004808AA"/>
    <w:rPr>
      <w:b/>
      <w:color w:val="3C8A2E"/>
      <w:sz w:val="20"/>
      <w:szCs w:val="16"/>
    </w:rPr>
  </w:style>
  <w:style w:type="paragraph" w:customStyle="1" w:styleId="Highlight2">
    <w:name w:val="Highlight 2"/>
    <w:basedOn w:val="Highlight1"/>
    <w:rsid w:val="004808AA"/>
    <w:rPr>
      <w:color w:val="92D400"/>
    </w:rPr>
  </w:style>
  <w:style w:type="paragraph" w:styleId="Obsah4">
    <w:name w:val="toc 4"/>
    <w:basedOn w:val="Normln"/>
    <w:next w:val="Normln"/>
    <w:semiHidden/>
    <w:rsid w:val="004808AA"/>
    <w:pPr>
      <w:spacing w:after="240"/>
      <w:ind w:left="720"/>
    </w:pPr>
  </w:style>
  <w:style w:type="paragraph" w:styleId="Obsah5">
    <w:name w:val="toc 5"/>
    <w:basedOn w:val="Normln"/>
    <w:next w:val="Normln"/>
    <w:semiHidden/>
    <w:rsid w:val="004808AA"/>
    <w:pPr>
      <w:spacing w:after="100"/>
      <w:ind w:left="960"/>
    </w:pPr>
  </w:style>
  <w:style w:type="paragraph" w:styleId="Textpoznpodarou">
    <w:name w:val="footnote text"/>
    <w:basedOn w:val="Normln"/>
    <w:semiHidden/>
    <w:rsid w:val="004808AA"/>
    <w:rPr>
      <w:sz w:val="16"/>
      <w:szCs w:val="20"/>
    </w:rPr>
  </w:style>
  <w:style w:type="paragraph" w:customStyle="1" w:styleId="Highlight3">
    <w:name w:val="Highlight 3"/>
    <w:basedOn w:val="Highlight2"/>
    <w:rsid w:val="004808AA"/>
    <w:rPr>
      <w:color w:val="00A1DE"/>
    </w:rPr>
  </w:style>
  <w:style w:type="paragraph" w:customStyle="1" w:styleId="Nadpisobsahu1">
    <w:name w:val="Nadpis obsahu1"/>
    <w:basedOn w:val="Nadpis1"/>
    <w:next w:val="Normln"/>
    <w:rsid w:val="004808AA"/>
    <w:pPr>
      <w:keepLines/>
      <w:pageBreakBefore w:val="0"/>
      <w:tabs>
        <w:tab w:val="clear" w:pos="0"/>
      </w:tabs>
      <w:spacing w:before="480" w:after="0" w:line="276" w:lineRule="auto"/>
      <w:ind w:left="0" w:firstLine="0"/>
    </w:pPr>
    <w:rPr>
      <w:rFonts w:ascii="Arial" w:eastAsia="Times New Roman" w:hAnsi="Arial" w:cs="Times New Roman"/>
      <w:b/>
      <w:color w:val="001D58"/>
      <w:sz w:val="28"/>
      <w:szCs w:val="28"/>
    </w:rPr>
  </w:style>
  <w:style w:type="paragraph" w:styleId="Zkladntextodsazen">
    <w:name w:val="Body Text Indent"/>
    <w:basedOn w:val="Normln"/>
    <w:semiHidden/>
    <w:rsid w:val="004808AA"/>
    <w:pPr>
      <w:widowControl w:val="0"/>
      <w:spacing w:line="360" w:lineRule="atLeast"/>
      <w:ind w:left="1440"/>
      <w:jc w:val="both"/>
      <w:textAlignment w:val="baseline"/>
    </w:pPr>
    <w:rPr>
      <w:bCs/>
      <w:sz w:val="20"/>
    </w:rPr>
  </w:style>
  <w:style w:type="paragraph" w:styleId="Textkomente">
    <w:name w:val="annotation text"/>
    <w:basedOn w:val="Normln"/>
    <w:link w:val="TextkomenteChar"/>
    <w:uiPriority w:val="99"/>
    <w:semiHidden/>
    <w:rsid w:val="004808AA"/>
    <w:rPr>
      <w:sz w:val="20"/>
      <w:szCs w:val="20"/>
    </w:rPr>
  </w:style>
  <w:style w:type="paragraph" w:customStyle="1" w:styleId="CommentSubject">
    <w:name w:val="Comment Subject"/>
    <w:basedOn w:val="Textkomente"/>
    <w:next w:val="Textkomente"/>
    <w:rsid w:val="004808AA"/>
    <w:rPr>
      <w:b/>
      <w:bCs/>
    </w:rPr>
  </w:style>
  <w:style w:type="paragraph" w:styleId="Prosttext">
    <w:name w:val="Plain Text"/>
    <w:basedOn w:val="Normln"/>
    <w:semiHidden/>
    <w:rsid w:val="004808AA"/>
    <w:rPr>
      <w:color w:val="000000"/>
      <w:sz w:val="20"/>
      <w:szCs w:val="21"/>
    </w:rPr>
  </w:style>
  <w:style w:type="paragraph" w:customStyle="1" w:styleId="TableContents">
    <w:name w:val="Table Contents"/>
    <w:basedOn w:val="Normln"/>
    <w:rsid w:val="004808AA"/>
    <w:pPr>
      <w:suppressLineNumbers/>
    </w:pPr>
  </w:style>
  <w:style w:type="paragraph" w:customStyle="1" w:styleId="TableHeading">
    <w:name w:val="Table Heading"/>
    <w:basedOn w:val="TableContents"/>
    <w:rsid w:val="004808AA"/>
    <w:pPr>
      <w:jc w:val="center"/>
    </w:pPr>
    <w:rPr>
      <w:b/>
      <w:bCs/>
    </w:rPr>
  </w:style>
  <w:style w:type="paragraph" w:customStyle="1" w:styleId="Normln-web">
    <w:name w:val="Normální-web"/>
    <w:basedOn w:val="Normln"/>
    <w:rsid w:val="0051354C"/>
    <w:pPr>
      <w:suppressAutoHyphens w:val="0"/>
      <w:spacing w:before="120"/>
      <w:jc w:val="both"/>
    </w:pPr>
    <w:rPr>
      <w:sz w:val="24"/>
      <w:lang w:eastAsia="cs-CZ"/>
    </w:rPr>
  </w:style>
  <w:style w:type="paragraph" w:customStyle="1" w:styleId="Nadpis1a">
    <w:name w:val="Nadpis 1a"/>
    <w:basedOn w:val="Nadpis1"/>
    <w:next w:val="Normln-web"/>
    <w:rsid w:val="0051354C"/>
    <w:pPr>
      <w:pageBreakBefore w:val="0"/>
      <w:tabs>
        <w:tab w:val="clear" w:pos="0"/>
      </w:tabs>
      <w:suppressAutoHyphens w:val="0"/>
      <w:spacing w:before="240" w:after="120"/>
      <w:ind w:left="0" w:firstLine="0"/>
      <w:jc w:val="both"/>
    </w:pPr>
    <w:rPr>
      <w:rFonts w:ascii="Arial" w:eastAsia="Times New Roman" w:hAnsi="Arial"/>
      <w:b/>
      <w:i/>
      <w:color w:val="auto"/>
      <w:kern w:val="32"/>
      <w:sz w:val="32"/>
      <w:lang w:val="cs-CZ" w:eastAsia="cs-CZ"/>
    </w:rPr>
  </w:style>
  <w:style w:type="paragraph" w:customStyle="1" w:styleId="Textodstavce">
    <w:name w:val="Text odstavce"/>
    <w:basedOn w:val="Normln"/>
    <w:rsid w:val="0051354C"/>
    <w:pPr>
      <w:tabs>
        <w:tab w:val="num" w:pos="720"/>
        <w:tab w:val="left" w:pos="851"/>
      </w:tabs>
      <w:suppressAutoHyphens w:val="0"/>
      <w:spacing w:before="120" w:after="120"/>
      <w:ind w:left="720" w:hanging="720"/>
      <w:jc w:val="both"/>
      <w:outlineLvl w:val="6"/>
    </w:pPr>
    <w:rPr>
      <w:rFonts w:ascii="Times New Roman" w:hAnsi="Times New Roman"/>
      <w:sz w:val="24"/>
      <w:szCs w:val="20"/>
      <w:lang w:eastAsia="cs-CZ"/>
    </w:rPr>
  </w:style>
  <w:style w:type="character" w:customStyle="1" w:styleId="TextkomenteChar">
    <w:name w:val="Text komentáře Char"/>
    <w:basedOn w:val="Standardnpsmoodstavce"/>
    <w:link w:val="Textkomente"/>
    <w:uiPriority w:val="99"/>
    <w:semiHidden/>
    <w:rsid w:val="0051354C"/>
    <w:rPr>
      <w:rFonts w:ascii="Arial" w:hAnsi="Arial"/>
      <w:lang w:val="en-US" w:eastAsia="ar-SA"/>
    </w:rPr>
  </w:style>
  <w:style w:type="paragraph" w:styleId="Textbubliny">
    <w:name w:val="Balloon Text"/>
    <w:basedOn w:val="Normln"/>
    <w:link w:val="TextbublinyChar"/>
    <w:uiPriority w:val="99"/>
    <w:semiHidden/>
    <w:unhideWhenUsed/>
    <w:rsid w:val="0051354C"/>
    <w:rPr>
      <w:rFonts w:ascii="Tahoma" w:hAnsi="Tahoma" w:cs="Tahoma"/>
      <w:sz w:val="16"/>
      <w:szCs w:val="16"/>
    </w:rPr>
  </w:style>
  <w:style w:type="character" w:customStyle="1" w:styleId="TextbublinyChar">
    <w:name w:val="Text bubliny Char"/>
    <w:basedOn w:val="Standardnpsmoodstavce"/>
    <w:link w:val="Textbubliny"/>
    <w:uiPriority w:val="99"/>
    <w:semiHidden/>
    <w:rsid w:val="0051354C"/>
    <w:rPr>
      <w:rFonts w:ascii="Tahoma" w:hAnsi="Tahoma" w:cs="Tahoma"/>
      <w:sz w:val="16"/>
      <w:szCs w:val="16"/>
      <w:lang w:val="en-US" w:eastAsia="ar-SA"/>
    </w:rPr>
  </w:style>
  <w:style w:type="paragraph" w:styleId="Pedmtkomente">
    <w:name w:val="annotation subject"/>
    <w:basedOn w:val="Textkomente"/>
    <w:next w:val="Textkomente"/>
    <w:link w:val="PedmtkomenteChar"/>
    <w:uiPriority w:val="99"/>
    <w:semiHidden/>
    <w:unhideWhenUsed/>
    <w:rsid w:val="00994BF3"/>
    <w:rPr>
      <w:b/>
      <w:bCs/>
    </w:rPr>
  </w:style>
  <w:style w:type="character" w:customStyle="1" w:styleId="PedmtkomenteChar">
    <w:name w:val="Předmět komentáře Char"/>
    <w:basedOn w:val="TextkomenteChar"/>
    <w:link w:val="Pedmtkomente"/>
    <w:uiPriority w:val="99"/>
    <w:semiHidden/>
    <w:rsid w:val="00994BF3"/>
    <w:rPr>
      <w:b/>
      <w:bCs/>
      <w:noProof/>
    </w:rPr>
  </w:style>
  <w:style w:type="paragraph" w:styleId="Textvysvtlivek">
    <w:name w:val="endnote text"/>
    <w:basedOn w:val="Normln"/>
    <w:link w:val="TextvysvtlivekChar"/>
    <w:uiPriority w:val="99"/>
    <w:semiHidden/>
    <w:unhideWhenUsed/>
    <w:rsid w:val="00373752"/>
    <w:rPr>
      <w:sz w:val="20"/>
      <w:szCs w:val="20"/>
    </w:rPr>
  </w:style>
  <w:style w:type="character" w:customStyle="1" w:styleId="TextvysvtlivekChar">
    <w:name w:val="Text vysvětlivek Char"/>
    <w:basedOn w:val="Standardnpsmoodstavce"/>
    <w:link w:val="Textvysvtlivek"/>
    <w:uiPriority w:val="99"/>
    <w:semiHidden/>
    <w:rsid w:val="00373752"/>
    <w:rPr>
      <w:rFonts w:ascii="Arial" w:hAnsi="Arial"/>
      <w:noProof/>
      <w:lang w:eastAsia="ar-SA"/>
    </w:rPr>
  </w:style>
  <w:style w:type="character" w:styleId="Odkaznavysvtlivky">
    <w:name w:val="endnote reference"/>
    <w:basedOn w:val="Standardnpsmoodstavce"/>
    <w:uiPriority w:val="99"/>
    <w:semiHidden/>
    <w:unhideWhenUsed/>
    <w:rsid w:val="00373752"/>
    <w:rPr>
      <w:vertAlign w:val="superscript"/>
    </w:rPr>
  </w:style>
  <w:style w:type="character" w:styleId="Znakapoznpodarou">
    <w:name w:val="footnote reference"/>
    <w:basedOn w:val="Standardnpsmoodstavce"/>
    <w:uiPriority w:val="99"/>
    <w:semiHidden/>
    <w:unhideWhenUsed/>
    <w:rsid w:val="00373752"/>
    <w:rPr>
      <w:vertAlign w:val="superscript"/>
    </w:rPr>
  </w:style>
  <w:style w:type="paragraph" w:styleId="Rozvrendokumentu">
    <w:name w:val="Document Map"/>
    <w:basedOn w:val="Normln"/>
    <w:link w:val="RozvrendokumentuChar"/>
    <w:uiPriority w:val="99"/>
    <w:semiHidden/>
    <w:unhideWhenUsed/>
    <w:rsid w:val="005B7456"/>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B7456"/>
    <w:rPr>
      <w:rFonts w:ascii="Tahoma" w:hAnsi="Tahoma" w:cs="Tahoma"/>
      <w:noProof/>
      <w:sz w:val="16"/>
      <w:szCs w:val="16"/>
      <w:lang w:eastAsia="ar-SA"/>
    </w:rPr>
  </w:style>
  <w:style w:type="paragraph" w:styleId="Odstavecseseznamem">
    <w:name w:val="List Paragraph"/>
    <w:basedOn w:val="Normln"/>
    <w:uiPriority w:val="34"/>
    <w:qFormat/>
    <w:rsid w:val="00341839"/>
    <w:pPr>
      <w:ind w:left="720"/>
      <w:contextualSpacing/>
    </w:pPr>
  </w:style>
  <w:style w:type="paragraph" w:styleId="Normlnweb">
    <w:name w:val="Normal (Web)"/>
    <w:basedOn w:val="Normln"/>
    <w:uiPriority w:val="99"/>
    <w:semiHidden/>
    <w:unhideWhenUsed/>
    <w:rsid w:val="0001649E"/>
    <w:pPr>
      <w:suppressAutoHyphens w:val="0"/>
      <w:spacing w:before="100" w:beforeAutospacing="1" w:after="100" w:afterAutospacing="1"/>
    </w:pPr>
    <w:rPr>
      <w:rFonts w:ascii="Times New Roman" w:hAnsi="Times New Roman"/>
      <w:noProof w:val="0"/>
      <w:sz w:val="24"/>
      <w:lang w:eastAsia="cs-CZ"/>
    </w:rPr>
  </w:style>
</w:styles>
</file>

<file path=word/webSettings.xml><?xml version="1.0" encoding="utf-8"?>
<w:webSettings xmlns:r="http://schemas.openxmlformats.org/officeDocument/2006/relationships" xmlns:w="http://schemas.openxmlformats.org/wordprocessingml/2006/main">
  <w:divs>
    <w:div w:id="63455422">
      <w:bodyDiv w:val="1"/>
      <w:marLeft w:val="0"/>
      <w:marRight w:val="0"/>
      <w:marTop w:val="0"/>
      <w:marBottom w:val="0"/>
      <w:divBdr>
        <w:top w:val="none" w:sz="0" w:space="0" w:color="auto"/>
        <w:left w:val="none" w:sz="0" w:space="0" w:color="auto"/>
        <w:bottom w:val="none" w:sz="0" w:space="0" w:color="auto"/>
        <w:right w:val="none" w:sz="0" w:space="0" w:color="auto"/>
      </w:divBdr>
    </w:div>
    <w:div w:id="117533277">
      <w:bodyDiv w:val="1"/>
      <w:marLeft w:val="0"/>
      <w:marRight w:val="0"/>
      <w:marTop w:val="0"/>
      <w:marBottom w:val="0"/>
      <w:divBdr>
        <w:top w:val="none" w:sz="0" w:space="0" w:color="auto"/>
        <w:left w:val="none" w:sz="0" w:space="0" w:color="auto"/>
        <w:bottom w:val="none" w:sz="0" w:space="0" w:color="auto"/>
        <w:right w:val="none" w:sz="0" w:space="0" w:color="auto"/>
      </w:divBdr>
    </w:div>
    <w:div w:id="152382486">
      <w:bodyDiv w:val="1"/>
      <w:marLeft w:val="0"/>
      <w:marRight w:val="0"/>
      <w:marTop w:val="0"/>
      <w:marBottom w:val="0"/>
      <w:divBdr>
        <w:top w:val="none" w:sz="0" w:space="0" w:color="auto"/>
        <w:left w:val="none" w:sz="0" w:space="0" w:color="auto"/>
        <w:bottom w:val="none" w:sz="0" w:space="0" w:color="auto"/>
        <w:right w:val="none" w:sz="0" w:space="0" w:color="auto"/>
      </w:divBdr>
    </w:div>
    <w:div w:id="170489252">
      <w:bodyDiv w:val="1"/>
      <w:marLeft w:val="0"/>
      <w:marRight w:val="0"/>
      <w:marTop w:val="0"/>
      <w:marBottom w:val="0"/>
      <w:divBdr>
        <w:top w:val="none" w:sz="0" w:space="0" w:color="auto"/>
        <w:left w:val="none" w:sz="0" w:space="0" w:color="auto"/>
        <w:bottom w:val="none" w:sz="0" w:space="0" w:color="auto"/>
        <w:right w:val="none" w:sz="0" w:space="0" w:color="auto"/>
      </w:divBdr>
      <w:divsChild>
        <w:div w:id="249973289">
          <w:marLeft w:val="0"/>
          <w:marRight w:val="0"/>
          <w:marTop w:val="0"/>
          <w:marBottom w:val="0"/>
          <w:divBdr>
            <w:top w:val="none" w:sz="0" w:space="0" w:color="auto"/>
            <w:left w:val="none" w:sz="0" w:space="0" w:color="auto"/>
            <w:bottom w:val="none" w:sz="0" w:space="0" w:color="auto"/>
            <w:right w:val="none" w:sz="0" w:space="0" w:color="auto"/>
          </w:divBdr>
        </w:div>
        <w:div w:id="684677213">
          <w:marLeft w:val="0"/>
          <w:marRight w:val="0"/>
          <w:marTop w:val="0"/>
          <w:marBottom w:val="0"/>
          <w:divBdr>
            <w:top w:val="none" w:sz="0" w:space="0" w:color="auto"/>
            <w:left w:val="none" w:sz="0" w:space="0" w:color="auto"/>
            <w:bottom w:val="none" w:sz="0" w:space="0" w:color="auto"/>
            <w:right w:val="none" w:sz="0" w:space="0" w:color="auto"/>
          </w:divBdr>
        </w:div>
        <w:div w:id="2033794975">
          <w:marLeft w:val="0"/>
          <w:marRight w:val="0"/>
          <w:marTop w:val="0"/>
          <w:marBottom w:val="0"/>
          <w:divBdr>
            <w:top w:val="none" w:sz="0" w:space="0" w:color="auto"/>
            <w:left w:val="none" w:sz="0" w:space="0" w:color="auto"/>
            <w:bottom w:val="none" w:sz="0" w:space="0" w:color="auto"/>
            <w:right w:val="none" w:sz="0" w:space="0" w:color="auto"/>
          </w:divBdr>
        </w:div>
        <w:div w:id="1535852555">
          <w:marLeft w:val="0"/>
          <w:marRight w:val="0"/>
          <w:marTop w:val="0"/>
          <w:marBottom w:val="0"/>
          <w:divBdr>
            <w:top w:val="none" w:sz="0" w:space="0" w:color="auto"/>
            <w:left w:val="none" w:sz="0" w:space="0" w:color="auto"/>
            <w:bottom w:val="none" w:sz="0" w:space="0" w:color="auto"/>
            <w:right w:val="none" w:sz="0" w:space="0" w:color="auto"/>
          </w:divBdr>
        </w:div>
        <w:div w:id="314727195">
          <w:marLeft w:val="0"/>
          <w:marRight w:val="0"/>
          <w:marTop w:val="0"/>
          <w:marBottom w:val="0"/>
          <w:divBdr>
            <w:top w:val="none" w:sz="0" w:space="0" w:color="auto"/>
            <w:left w:val="none" w:sz="0" w:space="0" w:color="auto"/>
            <w:bottom w:val="none" w:sz="0" w:space="0" w:color="auto"/>
            <w:right w:val="none" w:sz="0" w:space="0" w:color="auto"/>
          </w:divBdr>
        </w:div>
        <w:div w:id="1128400571">
          <w:marLeft w:val="0"/>
          <w:marRight w:val="0"/>
          <w:marTop w:val="0"/>
          <w:marBottom w:val="0"/>
          <w:divBdr>
            <w:top w:val="none" w:sz="0" w:space="0" w:color="auto"/>
            <w:left w:val="none" w:sz="0" w:space="0" w:color="auto"/>
            <w:bottom w:val="none" w:sz="0" w:space="0" w:color="auto"/>
            <w:right w:val="none" w:sz="0" w:space="0" w:color="auto"/>
          </w:divBdr>
        </w:div>
        <w:div w:id="1330061919">
          <w:marLeft w:val="0"/>
          <w:marRight w:val="0"/>
          <w:marTop w:val="0"/>
          <w:marBottom w:val="0"/>
          <w:divBdr>
            <w:top w:val="none" w:sz="0" w:space="0" w:color="auto"/>
            <w:left w:val="none" w:sz="0" w:space="0" w:color="auto"/>
            <w:bottom w:val="none" w:sz="0" w:space="0" w:color="auto"/>
            <w:right w:val="none" w:sz="0" w:space="0" w:color="auto"/>
          </w:divBdr>
        </w:div>
        <w:div w:id="496845294">
          <w:marLeft w:val="0"/>
          <w:marRight w:val="0"/>
          <w:marTop w:val="0"/>
          <w:marBottom w:val="0"/>
          <w:divBdr>
            <w:top w:val="none" w:sz="0" w:space="0" w:color="auto"/>
            <w:left w:val="none" w:sz="0" w:space="0" w:color="auto"/>
            <w:bottom w:val="none" w:sz="0" w:space="0" w:color="auto"/>
            <w:right w:val="none" w:sz="0" w:space="0" w:color="auto"/>
          </w:divBdr>
        </w:div>
        <w:div w:id="1970084002">
          <w:marLeft w:val="0"/>
          <w:marRight w:val="0"/>
          <w:marTop w:val="0"/>
          <w:marBottom w:val="0"/>
          <w:divBdr>
            <w:top w:val="none" w:sz="0" w:space="0" w:color="auto"/>
            <w:left w:val="none" w:sz="0" w:space="0" w:color="auto"/>
            <w:bottom w:val="none" w:sz="0" w:space="0" w:color="auto"/>
            <w:right w:val="none" w:sz="0" w:space="0" w:color="auto"/>
          </w:divBdr>
        </w:div>
      </w:divsChild>
    </w:div>
    <w:div w:id="176043733">
      <w:bodyDiv w:val="1"/>
      <w:marLeft w:val="0"/>
      <w:marRight w:val="0"/>
      <w:marTop w:val="0"/>
      <w:marBottom w:val="0"/>
      <w:divBdr>
        <w:top w:val="none" w:sz="0" w:space="0" w:color="auto"/>
        <w:left w:val="none" w:sz="0" w:space="0" w:color="auto"/>
        <w:bottom w:val="none" w:sz="0" w:space="0" w:color="auto"/>
        <w:right w:val="none" w:sz="0" w:space="0" w:color="auto"/>
      </w:divBdr>
    </w:div>
    <w:div w:id="222453620">
      <w:bodyDiv w:val="1"/>
      <w:marLeft w:val="0"/>
      <w:marRight w:val="0"/>
      <w:marTop w:val="0"/>
      <w:marBottom w:val="0"/>
      <w:divBdr>
        <w:top w:val="none" w:sz="0" w:space="0" w:color="auto"/>
        <w:left w:val="none" w:sz="0" w:space="0" w:color="auto"/>
        <w:bottom w:val="none" w:sz="0" w:space="0" w:color="auto"/>
        <w:right w:val="none" w:sz="0" w:space="0" w:color="auto"/>
      </w:divBdr>
    </w:div>
    <w:div w:id="236985678">
      <w:bodyDiv w:val="1"/>
      <w:marLeft w:val="0"/>
      <w:marRight w:val="0"/>
      <w:marTop w:val="0"/>
      <w:marBottom w:val="0"/>
      <w:divBdr>
        <w:top w:val="none" w:sz="0" w:space="0" w:color="auto"/>
        <w:left w:val="none" w:sz="0" w:space="0" w:color="auto"/>
        <w:bottom w:val="none" w:sz="0" w:space="0" w:color="auto"/>
        <w:right w:val="none" w:sz="0" w:space="0" w:color="auto"/>
      </w:divBdr>
    </w:div>
    <w:div w:id="365375293">
      <w:bodyDiv w:val="1"/>
      <w:marLeft w:val="0"/>
      <w:marRight w:val="0"/>
      <w:marTop w:val="0"/>
      <w:marBottom w:val="0"/>
      <w:divBdr>
        <w:top w:val="none" w:sz="0" w:space="0" w:color="auto"/>
        <w:left w:val="none" w:sz="0" w:space="0" w:color="auto"/>
        <w:bottom w:val="none" w:sz="0" w:space="0" w:color="auto"/>
        <w:right w:val="none" w:sz="0" w:space="0" w:color="auto"/>
      </w:divBdr>
    </w:div>
    <w:div w:id="371226267">
      <w:bodyDiv w:val="1"/>
      <w:marLeft w:val="0"/>
      <w:marRight w:val="0"/>
      <w:marTop w:val="0"/>
      <w:marBottom w:val="0"/>
      <w:divBdr>
        <w:top w:val="none" w:sz="0" w:space="0" w:color="auto"/>
        <w:left w:val="none" w:sz="0" w:space="0" w:color="auto"/>
        <w:bottom w:val="none" w:sz="0" w:space="0" w:color="auto"/>
        <w:right w:val="none" w:sz="0" w:space="0" w:color="auto"/>
      </w:divBdr>
    </w:div>
    <w:div w:id="457532930">
      <w:bodyDiv w:val="1"/>
      <w:marLeft w:val="0"/>
      <w:marRight w:val="0"/>
      <w:marTop w:val="0"/>
      <w:marBottom w:val="0"/>
      <w:divBdr>
        <w:top w:val="none" w:sz="0" w:space="0" w:color="auto"/>
        <w:left w:val="none" w:sz="0" w:space="0" w:color="auto"/>
        <w:bottom w:val="none" w:sz="0" w:space="0" w:color="auto"/>
        <w:right w:val="none" w:sz="0" w:space="0" w:color="auto"/>
      </w:divBdr>
    </w:div>
    <w:div w:id="492721602">
      <w:bodyDiv w:val="1"/>
      <w:marLeft w:val="0"/>
      <w:marRight w:val="0"/>
      <w:marTop w:val="0"/>
      <w:marBottom w:val="0"/>
      <w:divBdr>
        <w:top w:val="none" w:sz="0" w:space="0" w:color="auto"/>
        <w:left w:val="none" w:sz="0" w:space="0" w:color="auto"/>
        <w:bottom w:val="none" w:sz="0" w:space="0" w:color="auto"/>
        <w:right w:val="none" w:sz="0" w:space="0" w:color="auto"/>
      </w:divBdr>
    </w:div>
    <w:div w:id="506948766">
      <w:bodyDiv w:val="1"/>
      <w:marLeft w:val="0"/>
      <w:marRight w:val="0"/>
      <w:marTop w:val="0"/>
      <w:marBottom w:val="0"/>
      <w:divBdr>
        <w:top w:val="none" w:sz="0" w:space="0" w:color="auto"/>
        <w:left w:val="none" w:sz="0" w:space="0" w:color="auto"/>
        <w:bottom w:val="none" w:sz="0" w:space="0" w:color="auto"/>
        <w:right w:val="none" w:sz="0" w:space="0" w:color="auto"/>
      </w:divBdr>
    </w:div>
    <w:div w:id="529605464">
      <w:bodyDiv w:val="1"/>
      <w:marLeft w:val="0"/>
      <w:marRight w:val="0"/>
      <w:marTop w:val="0"/>
      <w:marBottom w:val="0"/>
      <w:divBdr>
        <w:top w:val="none" w:sz="0" w:space="0" w:color="auto"/>
        <w:left w:val="none" w:sz="0" w:space="0" w:color="auto"/>
        <w:bottom w:val="none" w:sz="0" w:space="0" w:color="auto"/>
        <w:right w:val="none" w:sz="0" w:space="0" w:color="auto"/>
      </w:divBdr>
    </w:div>
    <w:div w:id="659694332">
      <w:bodyDiv w:val="1"/>
      <w:marLeft w:val="0"/>
      <w:marRight w:val="0"/>
      <w:marTop w:val="0"/>
      <w:marBottom w:val="0"/>
      <w:divBdr>
        <w:top w:val="none" w:sz="0" w:space="0" w:color="auto"/>
        <w:left w:val="none" w:sz="0" w:space="0" w:color="auto"/>
        <w:bottom w:val="none" w:sz="0" w:space="0" w:color="auto"/>
        <w:right w:val="none" w:sz="0" w:space="0" w:color="auto"/>
      </w:divBdr>
    </w:div>
    <w:div w:id="678310809">
      <w:bodyDiv w:val="1"/>
      <w:marLeft w:val="0"/>
      <w:marRight w:val="0"/>
      <w:marTop w:val="0"/>
      <w:marBottom w:val="0"/>
      <w:divBdr>
        <w:top w:val="none" w:sz="0" w:space="0" w:color="auto"/>
        <w:left w:val="none" w:sz="0" w:space="0" w:color="auto"/>
        <w:bottom w:val="none" w:sz="0" w:space="0" w:color="auto"/>
        <w:right w:val="none" w:sz="0" w:space="0" w:color="auto"/>
      </w:divBdr>
    </w:div>
    <w:div w:id="850753617">
      <w:bodyDiv w:val="1"/>
      <w:marLeft w:val="0"/>
      <w:marRight w:val="0"/>
      <w:marTop w:val="0"/>
      <w:marBottom w:val="0"/>
      <w:divBdr>
        <w:top w:val="none" w:sz="0" w:space="0" w:color="auto"/>
        <w:left w:val="none" w:sz="0" w:space="0" w:color="auto"/>
        <w:bottom w:val="none" w:sz="0" w:space="0" w:color="auto"/>
        <w:right w:val="none" w:sz="0" w:space="0" w:color="auto"/>
      </w:divBdr>
    </w:div>
    <w:div w:id="853612964">
      <w:bodyDiv w:val="1"/>
      <w:marLeft w:val="0"/>
      <w:marRight w:val="0"/>
      <w:marTop w:val="0"/>
      <w:marBottom w:val="0"/>
      <w:divBdr>
        <w:top w:val="none" w:sz="0" w:space="0" w:color="auto"/>
        <w:left w:val="none" w:sz="0" w:space="0" w:color="auto"/>
        <w:bottom w:val="none" w:sz="0" w:space="0" w:color="auto"/>
        <w:right w:val="none" w:sz="0" w:space="0" w:color="auto"/>
      </w:divBdr>
    </w:div>
    <w:div w:id="867790022">
      <w:bodyDiv w:val="1"/>
      <w:marLeft w:val="0"/>
      <w:marRight w:val="0"/>
      <w:marTop w:val="0"/>
      <w:marBottom w:val="0"/>
      <w:divBdr>
        <w:top w:val="none" w:sz="0" w:space="0" w:color="auto"/>
        <w:left w:val="none" w:sz="0" w:space="0" w:color="auto"/>
        <w:bottom w:val="none" w:sz="0" w:space="0" w:color="auto"/>
        <w:right w:val="none" w:sz="0" w:space="0" w:color="auto"/>
      </w:divBdr>
    </w:div>
    <w:div w:id="903368309">
      <w:bodyDiv w:val="1"/>
      <w:marLeft w:val="0"/>
      <w:marRight w:val="0"/>
      <w:marTop w:val="0"/>
      <w:marBottom w:val="0"/>
      <w:divBdr>
        <w:top w:val="none" w:sz="0" w:space="0" w:color="auto"/>
        <w:left w:val="none" w:sz="0" w:space="0" w:color="auto"/>
        <w:bottom w:val="none" w:sz="0" w:space="0" w:color="auto"/>
        <w:right w:val="none" w:sz="0" w:space="0" w:color="auto"/>
      </w:divBdr>
    </w:div>
    <w:div w:id="903836305">
      <w:bodyDiv w:val="1"/>
      <w:marLeft w:val="0"/>
      <w:marRight w:val="0"/>
      <w:marTop w:val="0"/>
      <w:marBottom w:val="0"/>
      <w:divBdr>
        <w:top w:val="none" w:sz="0" w:space="0" w:color="auto"/>
        <w:left w:val="none" w:sz="0" w:space="0" w:color="auto"/>
        <w:bottom w:val="none" w:sz="0" w:space="0" w:color="auto"/>
        <w:right w:val="none" w:sz="0" w:space="0" w:color="auto"/>
      </w:divBdr>
    </w:div>
    <w:div w:id="907300638">
      <w:bodyDiv w:val="1"/>
      <w:marLeft w:val="0"/>
      <w:marRight w:val="0"/>
      <w:marTop w:val="0"/>
      <w:marBottom w:val="0"/>
      <w:divBdr>
        <w:top w:val="none" w:sz="0" w:space="0" w:color="auto"/>
        <w:left w:val="none" w:sz="0" w:space="0" w:color="auto"/>
        <w:bottom w:val="none" w:sz="0" w:space="0" w:color="auto"/>
        <w:right w:val="none" w:sz="0" w:space="0" w:color="auto"/>
      </w:divBdr>
    </w:div>
    <w:div w:id="968360908">
      <w:bodyDiv w:val="1"/>
      <w:marLeft w:val="0"/>
      <w:marRight w:val="0"/>
      <w:marTop w:val="0"/>
      <w:marBottom w:val="0"/>
      <w:divBdr>
        <w:top w:val="none" w:sz="0" w:space="0" w:color="auto"/>
        <w:left w:val="none" w:sz="0" w:space="0" w:color="auto"/>
        <w:bottom w:val="none" w:sz="0" w:space="0" w:color="auto"/>
        <w:right w:val="none" w:sz="0" w:space="0" w:color="auto"/>
      </w:divBdr>
    </w:div>
    <w:div w:id="1073703005">
      <w:bodyDiv w:val="1"/>
      <w:marLeft w:val="0"/>
      <w:marRight w:val="0"/>
      <w:marTop w:val="0"/>
      <w:marBottom w:val="0"/>
      <w:divBdr>
        <w:top w:val="none" w:sz="0" w:space="0" w:color="auto"/>
        <w:left w:val="none" w:sz="0" w:space="0" w:color="auto"/>
        <w:bottom w:val="none" w:sz="0" w:space="0" w:color="auto"/>
        <w:right w:val="none" w:sz="0" w:space="0" w:color="auto"/>
      </w:divBdr>
    </w:div>
    <w:div w:id="1162770943">
      <w:bodyDiv w:val="1"/>
      <w:marLeft w:val="0"/>
      <w:marRight w:val="0"/>
      <w:marTop w:val="0"/>
      <w:marBottom w:val="0"/>
      <w:divBdr>
        <w:top w:val="none" w:sz="0" w:space="0" w:color="auto"/>
        <w:left w:val="none" w:sz="0" w:space="0" w:color="auto"/>
        <w:bottom w:val="none" w:sz="0" w:space="0" w:color="auto"/>
        <w:right w:val="none" w:sz="0" w:space="0" w:color="auto"/>
      </w:divBdr>
    </w:div>
    <w:div w:id="1162937525">
      <w:bodyDiv w:val="1"/>
      <w:marLeft w:val="0"/>
      <w:marRight w:val="0"/>
      <w:marTop w:val="0"/>
      <w:marBottom w:val="0"/>
      <w:divBdr>
        <w:top w:val="none" w:sz="0" w:space="0" w:color="auto"/>
        <w:left w:val="none" w:sz="0" w:space="0" w:color="auto"/>
        <w:bottom w:val="none" w:sz="0" w:space="0" w:color="auto"/>
        <w:right w:val="none" w:sz="0" w:space="0" w:color="auto"/>
      </w:divBdr>
    </w:div>
    <w:div w:id="1188331396">
      <w:bodyDiv w:val="1"/>
      <w:marLeft w:val="0"/>
      <w:marRight w:val="0"/>
      <w:marTop w:val="0"/>
      <w:marBottom w:val="0"/>
      <w:divBdr>
        <w:top w:val="none" w:sz="0" w:space="0" w:color="auto"/>
        <w:left w:val="none" w:sz="0" w:space="0" w:color="auto"/>
        <w:bottom w:val="none" w:sz="0" w:space="0" w:color="auto"/>
        <w:right w:val="none" w:sz="0" w:space="0" w:color="auto"/>
      </w:divBdr>
    </w:div>
    <w:div w:id="1244410987">
      <w:bodyDiv w:val="1"/>
      <w:marLeft w:val="0"/>
      <w:marRight w:val="0"/>
      <w:marTop w:val="0"/>
      <w:marBottom w:val="0"/>
      <w:divBdr>
        <w:top w:val="none" w:sz="0" w:space="0" w:color="auto"/>
        <w:left w:val="none" w:sz="0" w:space="0" w:color="auto"/>
        <w:bottom w:val="none" w:sz="0" w:space="0" w:color="auto"/>
        <w:right w:val="none" w:sz="0" w:space="0" w:color="auto"/>
      </w:divBdr>
    </w:div>
    <w:div w:id="1284772335">
      <w:bodyDiv w:val="1"/>
      <w:marLeft w:val="0"/>
      <w:marRight w:val="0"/>
      <w:marTop w:val="0"/>
      <w:marBottom w:val="0"/>
      <w:divBdr>
        <w:top w:val="none" w:sz="0" w:space="0" w:color="auto"/>
        <w:left w:val="none" w:sz="0" w:space="0" w:color="auto"/>
        <w:bottom w:val="none" w:sz="0" w:space="0" w:color="auto"/>
        <w:right w:val="none" w:sz="0" w:space="0" w:color="auto"/>
      </w:divBdr>
    </w:div>
    <w:div w:id="1349136102">
      <w:bodyDiv w:val="1"/>
      <w:marLeft w:val="0"/>
      <w:marRight w:val="0"/>
      <w:marTop w:val="0"/>
      <w:marBottom w:val="0"/>
      <w:divBdr>
        <w:top w:val="none" w:sz="0" w:space="0" w:color="auto"/>
        <w:left w:val="none" w:sz="0" w:space="0" w:color="auto"/>
        <w:bottom w:val="none" w:sz="0" w:space="0" w:color="auto"/>
        <w:right w:val="none" w:sz="0" w:space="0" w:color="auto"/>
      </w:divBdr>
    </w:div>
    <w:div w:id="1379476639">
      <w:bodyDiv w:val="1"/>
      <w:marLeft w:val="0"/>
      <w:marRight w:val="0"/>
      <w:marTop w:val="0"/>
      <w:marBottom w:val="0"/>
      <w:divBdr>
        <w:top w:val="none" w:sz="0" w:space="0" w:color="auto"/>
        <w:left w:val="none" w:sz="0" w:space="0" w:color="auto"/>
        <w:bottom w:val="none" w:sz="0" w:space="0" w:color="auto"/>
        <w:right w:val="none" w:sz="0" w:space="0" w:color="auto"/>
      </w:divBdr>
    </w:div>
    <w:div w:id="1395348643">
      <w:bodyDiv w:val="1"/>
      <w:marLeft w:val="0"/>
      <w:marRight w:val="0"/>
      <w:marTop w:val="0"/>
      <w:marBottom w:val="0"/>
      <w:divBdr>
        <w:top w:val="none" w:sz="0" w:space="0" w:color="auto"/>
        <w:left w:val="none" w:sz="0" w:space="0" w:color="auto"/>
        <w:bottom w:val="none" w:sz="0" w:space="0" w:color="auto"/>
        <w:right w:val="none" w:sz="0" w:space="0" w:color="auto"/>
      </w:divBdr>
    </w:div>
    <w:div w:id="1475100329">
      <w:bodyDiv w:val="1"/>
      <w:marLeft w:val="0"/>
      <w:marRight w:val="0"/>
      <w:marTop w:val="0"/>
      <w:marBottom w:val="0"/>
      <w:divBdr>
        <w:top w:val="none" w:sz="0" w:space="0" w:color="auto"/>
        <w:left w:val="none" w:sz="0" w:space="0" w:color="auto"/>
        <w:bottom w:val="none" w:sz="0" w:space="0" w:color="auto"/>
        <w:right w:val="none" w:sz="0" w:space="0" w:color="auto"/>
      </w:divBdr>
    </w:div>
    <w:div w:id="1542743145">
      <w:bodyDiv w:val="1"/>
      <w:marLeft w:val="0"/>
      <w:marRight w:val="0"/>
      <w:marTop w:val="0"/>
      <w:marBottom w:val="0"/>
      <w:divBdr>
        <w:top w:val="none" w:sz="0" w:space="0" w:color="auto"/>
        <w:left w:val="none" w:sz="0" w:space="0" w:color="auto"/>
        <w:bottom w:val="none" w:sz="0" w:space="0" w:color="auto"/>
        <w:right w:val="none" w:sz="0" w:space="0" w:color="auto"/>
      </w:divBdr>
    </w:div>
    <w:div w:id="1685014028">
      <w:bodyDiv w:val="1"/>
      <w:marLeft w:val="0"/>
      <w:marRight w:val="0"/>
      <w:marTop w:val="0"/>
      <w:marBottom w:val="0"/>
      <w:divBdr>
        <w:top w:val="none" w:sz="0" w:space="0" w:color="auto"/>
        <w:left w:val="none" w:sz="0" w:space="0" w:color="auto"/>
        <w:bottom w:val="none" w:sz="0" w:space="0" w:color="auto"/>
        <w:right w:val="none" w:sz="0" w:space="0" w:color="auto"/>
      </w:divBdr>
    </w:div>
    <w:div w:id="1699160106">
      <w:bodyDiv w:val="1"/>
      <w:marLeft w:val="0"/>
      <w:marRight w:val="0"/>
      <w:marTop w:val="0"/>
      <w:marBottom w:val="0"/>
      <w:divBdr>
        <w:top w:val="none" w:sz="0" w:space="0" w:color="auto"/>
        <w:left w:val="none" w:sz="0" w:space="0" w:color="auto"/>
        <w:bottom w:val="none" w:sz="0" w:space="0" w:color="auto"/>
        <w:right w:val="none" w:sz="0" w:space="0" w:color="auto"/>
      </w:divBdr>
    </w:div>
    <w:div w:id="1713965797">
      <w:bodyDiv w:val="1"/>
      <w:marLeft w:val="0"/>
      <w:marRight w:val="0"/>
      <w:marTop w:val="0"/>
      <w:marBottom w:val="0"/>
      <w:divBdr>
        <w:top w:val="none" w:sz="0" w:space="0" w:color="auto"/>
        <w:left w:val="none" w:sz="0" w:space="0" w:color="auto"/>
        <w:bottom w:val="none" w:sz="0" w:space="0" w:color="auto"/>
        <w:right w:val="none" w:sz="0" w:space="0" w:color="auto"/>
      </w:divBdr>
    </w:div>
    <w:div w:id="1722050514">
      <w:bodyDiv w:val="1"/>
      <w:marLeft w:val="0"/>
      <w:marRight w:val="0"/>
      <w:marTop w:val="0"/>
      <w:marBottom w:val="0"/>
      <w:divBdr>
        <w:top w:val="none" w:sz="0" w:space="0" w:color="auto"/>
        <w:left w:val="none" w:sz="0" w:space="0" w:color="auto"/>
        <w:bottom w:val="none" w:sz="0" w:space="0" w:color="auto"/>
        <w:right w:val="none" w:sz="0" w:space="0" w:color="auto"/>
      </w:divBdr>
    </w:div>
    <w:div w:id="1794397468">
      <w:bodyDiv w:val="1"/>
      <w:marLeft w:val="0"/>
      <w:marRight w:val="0"/>
      <w:marTop w:val="0"/>
      <w:marBottom w:val="0"/>
      <w:divBdr>
        <w:top w:val="none" w:sz="0" w:space="0" w:color="auto"/>
        <w:left w:val="none" w:sz="0" w:space="0" w:color="auto"/>
        <w:bottom w:val="none" w:sz="0" w:space="0" w:color="auto"/>
        <w:right w:val="none" w:sz="0" w:space="0" w:color="auto"/>
      </w:divBdr>
    </w:div>
    <w:div w:id="1801803285">
      <w:bodyDiv w:val="1"/>
      <w:marLeft w:val="0"/>
      <w:marRight w:val="0"/>
      <w:marTop w:val="0"/>
      <w:marBottom w:val="0"/>
      <w:divBdr>
        <w:top w:val="none" w:sz="0" w:space="0" w:color="auto"/>
        <w:left w:val="none" w:sz="0" w:space="0" w:color="auto"/>
        <w:bottom w:val="none" w:sz="0" w:space="0" w:color="auto"/>
        <w:right w:val="none" w:sz="0" w:space="0" w:color="auto"/>
      </w:divBdr>
    </w:div>
    <w:div w:id="1871723495">
      <w:bodyDiv w:val="1"/>
      <w:marLeft w:val="0"/>
      <w:marRight w:val="0"/>
      <w:marTop w:val="0"/>
      <w:marBottom w:val="0"/>
      <w:divBdr>
        <w:top w:val="none" w:sz="0" w:space="0" w:color="auto"/>
        <w:left w:val="none" w:sz="0" w:space="0" w:color="auto"/>
        <w:bottom w:val="none" w:sz="0" w:space="0" w:color="auto"/>
        <w:right w:val="none" w:sz="0" w:space="0" w:color="auto"/>
      </w:divBdr>
    </w:div>
    <w:div w:id="1940481410">
      <w:bodyDiv w:val="1"/>
      <w:marLeft w:val="0"/>
      <w:marRight w:val="0"/>
      <w:marTop w:val="0"/>
      <w:marBottom w:val="0"/>
      <w:divBdr>
        <w:top w:val="none" w:sz="0" w:space="0" w:color="auto"/>
        <w:left w:val="none" w:sz="0" w:space="0" w:color="auto"/>
        <w:bottom w:val="none" w:sz="0" w:space="0" w:color="auto"/>
        <w:right w:val="none" w:sz="0" w:space="0" w:color="auto"/>
      </w:divBdr>
    </w:div>
    <w:div w:id="2008168421">
      <w:bodyDiv w:val="1"/>
      <w:marLeft w:val="0"/>
      <w:marRight w:val="0"/>
      <w:marTop w:val="0"/>
      <w:marBottom w:val="0"/>
      <w:divBdr>
        <w:top w:val="none" w:sz="0" w:space="0" w:color="auto"/>
        <w:left w:val="none" w:sz="0" w:space="0" w:color="auto"/>
        <w:bottom w:val="none" w:sz="0" w:space="0" w:color="auto"/>
        <w:right w:val="none" w:sz="0" w:space="0" w:color="auto"/>
      </w:divBdr>
    </w:div>
    <w:div w:id="2038651879">
      <w:bodyDiv w:val="1"/>
      <w:marLeft w:val="0"/>
      <w:marRight w:val="0"/>
      <w:marTop w:val="0"/>
      <w:marBottom w:val="0"/>
      <w:divBdr>
        <w:top w:val="none" w:sz="0" w:space="0" w:color="auto"/>
        <w:left w:val="none" w:sz="0" w:space="0" w:color="auto"/>
        <w:bottom w:val="none" w:sz="0" w:space="0" w:color="auto"/>
        <w:right w:val="none" w:sz="0" w:space="0" w:color="auto"/>
      </w:divBdr>
    </w:div>
    <w:div w:id="2053535965">
      <w:bodyDiv w:val="1"/>
      <w:marLeft w:val="0"/>
      <w:marRight w:val="0"/>
      <w:marTop w:val="0"/>
      <w:marBottom w:val="0"/>
      <w:divBdr>
        <w:top w:val="none" w:sz="0" w:space="0" w:color="auto"/>
        <w:left w:val="none" w:sz="0" w:space="0" w:color="auto"/>
        <w:bottom w:val="none" w:sz="0" w:space="0" w:color="auto"/>
        <w:right w:val="none" w:sz="0" w:space="0" w:color="auto"/>
      </w:divBdr>
    </w:div>
    <w:div w:id="21461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oravkova5238\Desktop\ANALYZA%20ZPUSOB%20BYDLEN&#205;\TABULKY%20PRILOHA\bezdom_MS_TP_kraj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ravkova5238\Desktop\ANALYZA%20ZPUSOB%20BYDLEN&#205;\bezdomovci\grafy%20bez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ravkova5238\Desktop\ANALYZA%20ZPUSOB%20BYDLEN&#205;\bezdomovci\grafy%20bez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ravkova5238\Desktop\ANALYZA%20ZPUSOB%20BYDLEN&#205;\TABULKY%20PRILOHA\NARODNOST_MATERJAZ.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ravkova5238\Desktop\ANALYZA%20ZPUSOB%20BYDLEN&#205;\TABULKY%20PRILOHA\NARODNOST_MATERJA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2"/>
  <c:chart>
    <c:autoTitleDeleted val="1"/>
    <c:plotArea>
      <c:layout>
        <c:manualLayout>
          <c:layoutTarget val="inner"/>
          <c:xMode val="edge"/>
          <c:yMode val="edge"/>
          <c:x val="0.26134566477085397"/>
          <c:y val="4.2202186840590919E-2"/>
          <c:w val="0.59857989790400168"/>
          <c:h val="0.86168558011391871"/>
        </c:manualLayout>
      </c:layout>
      <c:barChart>
        <c:barDir val="bar"/>
        <c:grouping val="percentStacked"/>
        <c:ser>
          <c:idx val="0"/>
          <c:order val="0"/>
          <c:tx>
            <c:strRef>
              <c:f>List1!$AK$7</c:f>
              <c:strCache>
                <c:ptCount val="1"/>
                <c:pt idx="0">
                  <c:v>shoda</c:v>
                </c:pt>
              </c:strCache>
            </c:strRef>
          </c:tx>
          <c:cat>
            <c:strRef>
              <c:f>List1!$AJ$8:$AJ$21</c:f>
              <c:strCache>
                <c:ptCount val="14"/>
                <c:pt idx="0">
                  <c:v>Moravskoslezský kraj</c:v>
                </c:pt>
                <c:pt idx="1">
                  <c:v>Zlínský kraj</c:v>
                </c:pt>
                <c:pt idx="2">
                  <c:v>Olomoucký kraj</c:v>
                </c:pt>
                <c:pt idx="3">
                  <c:v>Jihomoravský kraj</c:v>
                </c:pt>
                <c:pt idx="4">
                  <c:v>Kraj Vysočina</c:v>
                </c:pt>
                <c:pt idx="5">
                  <c:v>Pardubický kraj</c:v>
                </c:pt>
                <c:pt idx="6">
                  <c:v>Královéhradecký kraj</c:v>
                </c:pt>
                <c:pt idx="7">
                  <c:v>Liberecký kraj</c:v>
                </c:pt>
                <c:pt idx="8">
                  <c:v>Ústecký kraj</c:v>
                </c:pt>
                <c:pt idx="9">
                  <c:v>Karlovarský kraj</c:v>
                </c:pt>
                <c:pt idx="10">
                  <c:v>Plzeňský kraj</c:v>
                </c:pt>
                <c:pt idx="11">
                  <c:v>Jihočeský kraj</c:v>
                </c:pt>
                <c:pt idx="12">
                  <c:v>Středočeský kraj</c:v>
                </c:pt>
                <c:pt idx="13">
                  <c:v>Hl. město Praha</c:v>
                </c:pt>
              </c:strCache>
            </c:strRef>
          </c:cat>
          <c:val>
            <c:numRef>
              <c:f>List1!$AK$8:$AK$21</c:f>
              <c:numCache>
                <c:formatCode>0.0</c:formatCode>
                <c:ptCount val="14"/>
                <c:pt idx="0">
                  <c:v>95.571095571095569</c:v>
                </c:pt>
                <c:pt idx="1">
                  <c:v>90.356671070013178</c:v>
                </c:pt>
                <c:pt idx="2">
                  <c:v>92.449177153920559</c:v>
                </c:pt>
                <c:pt idx="3">
                  <c:v>92.214532871972324</c:v>
                </c:pt>
                <c:pt idx="4">
                  <c:v>85.558583106267008</c:v>
                </c:pt>
                <c:pt idx="5">
                  <c:v>92.364990689013268</c:v>
                </c:pt>
                <c:pt idx="6">
                  <c:v>85.438972162740725</c:v>
                </c:pt>
                <c:pt idx="7">
                  <c:v>87.022900763358749</c:v>
                </c:pt>
                <c:pt idx="8">
                  <c:v>89.405940594059388</c:v>
                </c:pt>
                <c:pt idx="9">
                  <c:v>91.406250000000128</c:v>
                </c:pt>
                <c:pt idx="10">
                  <c:v>78.529411764705884</c:v>
                </c:pt>
                <c:pt idx="11">
                  <c:v>94.328922495274099</c:v>
                </c:pt>
                <c:pt idx="12">
                  <c:v>88.364779874213838</c:v>
                </c:pt>
                <c:pt idx="13">
                  <c:v>62.679425837320579</c:v>
                </c:pt>
              </c:numCache>
            </c:numRef>
          </c:val>
        </c:ser>
        <c:ser>
          <c:idx val="1"/>
          <c:order val="1"/>
          <c:tx>
            <c:strRef>
              <c:f>List1!$AL$7</c:f>
              <c:strCache>
                <c:ptCount val="1"/>
                <c:pt idx="0">
                  <c:v>neshoda</c:v>
                </c:pt>
              </c:strCache>
            </c:strRef>
          </c:tx>
          <c:cat>
            <c:strRef>
              <c:f>List1!$AJ$8:$AJ$21</c:f>
              <c:strCache>
                <c:ptCount val="14"/>
                <c:pt idx="0">
                  <c:v>Moravskoslezský kraj</c:v>
                </c:pt>
                <c:pt idx="1">
                  <c:v>Zlínský kraj</c:v>
                </c:pt>
                <c:pt idx="2">
                  <c:v>Olomoucký kraj</c:v>
                </c:pt>
                <c:pt idx="3">
                  <c:v>Jihomoravský kraj</c:v>
                </c:pt>
                <c:pt idx="4">
                  <c:v>Kraj Vysočina</c:v>
                </c:pt>
                <c:pt idx="5">
                  <c:v>Pardubický kraj</c:v>
                </c:pt>
                <c:pt idx="6">
                  <c:v>Královéhradecký kraj</c:v>
                </c:pt>
                <c:pt idx="7">
                  <c:v>Liberecký kraj</c:v>
                </c:pt>
                <c:pt idx="8">
                  <c:v>Ústecký kraj</c:v>
                </c:pt>
                <c:pt idx="9">
                  <c:v>Karlovarský kraj</c:v>
                </c:pt>
                <c:pt idx="10">
                  <c:v>Plzeňský kraj</c:v>
                </c:pt>
                <c:pt idx="11">
                  <c:v>Jihočeský kraj</c:v>
                </c:pt>
                <c:pt idx="12">
                  <c:v>Středočeský kraj</c:v>
                </c:pt>
                <c:pt idx="13">
                  <c:v>Hl. město Praha</c:v>
                </c:pt>
              </c:strCache>
            </c:strRef>
          </c:cat>
          <c:val>
            <c:numRef>
              <c:f>List1!$AL$8:$AL$21</c:f>
              <c:numCache>
                <c:formatCode>0.0</c:formatCode>
                <c:ptCount val="14"/>
                <c:pt idx="0">
                  <c:v>4.4289044289044295</c:v>
                </c:pt>
                <c:pt idx="1">
                  <c:v>9.6433289299867919</c:v>
                </c:pt>
                <c:pt idx="2">
                  <c:v>7.5508228460793845</c:v>
                </c:pt>
                <c:pt idx="3">
                  <c:v>7.7854671280276824</c:v>
                </c:pt>
                <c:pt idx="4">
                  <c:v>14.441416893732979</c:v>
                </c:pt>
                <c:pt idx="5">
                  <c:v>7.6350093109869555</c:v>
                </c:pt>
                <c:pt idx="6">
                  <c:v>14.561027837259104</c:v>
                </c:pt>
                <c:pt idx="7">
                  <c:v>12.977099236641257</c:v>
                </c:pt>
                <c:pt idx="8">
                  <c:v>10.594059405940598</c:v>
                </c:pt>
                <c:pt idx="9">
                  <c:v>8.59375</c:v>
                </c:pt>
                <c:pt idx="10">
                  <c:v>21.470588235294116</c:v>
                </c:pt>
                <c:pt idx="11">
                  <c:v>5.6710775047259006</c:v>
                </c:pt>
                <c:pt idx="12">
                  <c:v>11.635220125786148</c:v>
                </c:pt>
                <c:pt idx="13">
                  <c:v>37.320574162679421</c:v>
                </c:pt>
              </c:numCache>
            </c:numRef>
          </c:val>
        </c:ser>
        <c:gapWidth val="50"/>
        <c:overlap val="100"/>
        <c:axId val="94951680"/>
        <c:axId val="95614080"/>
      </c:barChart>
      <c:catAx>
        <c:axId val="94951680"/>
        <c:scaling>
          <c:orientation val="minMax"/>
        </c:scaling>
        <c:axPos val="l"/>
        <c:title>
          <c:tx>
            <c:rich>
              <a:bodyPr rot="-5400000" vert="horz"/>
              <a:lstStyle/>
              <a:p>
                <a:pPr>
                  <a:defRPr/>
                </a:pPr>
                <a:r>
                  <a:rPr lang="en-US" b="0"/>
                  <a:t>Kraj obvyklého</a:t>
                </a:r>
                <a:r>
                  <a:rPr lang="cs-CZ" b="0"/>
                  <a:t> a</a:t>
                </a:r>
                <a:r>
                  <a:rPr lang="en-US" b="0"/>
                  <a:t> trvalého pobytu</a:t>
                </a:r>
              </a:p>
            </c:rich>
          </c:tx>
        </c:title>
        <c:tickLblPos val="nextTo"/>
        <c:crossAx val="95614080"/>
        <c:crosses val="autoZero"/>
        <c:auto val="1"/>
        <c:lblAlgn val="ctr"/>
        <c:lblOffset val="100"/>
      </c:catAx>
      <c:valAx>
        <c:axId val="95614080"/>
        <c:scaling>
          <c:orientation val="minMax"/>
        </c:scaling>
        <c:axPos val="b"/>
        <c:majorGridlines/>
        <c:numFmt formatCode="0%" sourceLinked="1"/>
        <c:tickLblPos val="nextTo"/>
        <c:crossAx val="949516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9.2328587866344639E-2"/>
          <c:y val="9.4235688893318709E-2"/>
          <c:w val="0.61014095460289997"/>
          <c:h val="0.85801071741032375"/>
        </c:manualLayout>
      </c:layout>
      <c:pieChart>
        <c:varyColors val="1"/>
        <c:ser>
          <c:idx val="0"/>
          <c:order val="0"/>
          <c:dPt>
            <c:idx val="0"/>
            <c:explosion val="6"/>
          </c:dPt>
          <c:dPt>
            <c:idx val="1"/>
            <c:spPr>
              <a:solidFill>
                <a:schemeClr val="tx2">
                  <a:lumMod val="20000"/>
                  <a:lumOff val="80000"/>
                </a:schemeClr>
              </a:solidFill>
            </c:spPr>
          </c:dPt>
          <c:dPt>
            <c:idx val="2"/>
            <c:explosion val="3"/>
          </c:dPt>
          <c:dPt>
            <c:idx val="3"/>
            <c:spPr>
              <a:solidFill>
                <a:schemeClr val="accent3">
                  <a:lumMod val="40000"/>
                  <a:lumOff val="60000"/>
                </a:schemeClr>
              </a:solidFill>
            </c:spPr>
          </c:dPt>
          <c:dPt>
            <c:idx val="4"/>
            <c:explosion val="3"/>
            <c:spPr>
              <a:solidFill>
                <a:schemeClr val="accent2">
                  <a:lumMod val="75000"/>
                </a:schemeClr>
              </a:solidFill>
            </c:spPr>
          </c:dPt>
          <c:dPt>
            <c:idx val="5"/>
            <c:explosion val="13"/>
            <c:spPr>
              <a:solidFill>
                <a:schemeClr val="accent2">
                  <a:lumMod val="40000"/>
                  <a:lumOff val="60000"/>
                </a:schemeClr>
              </a:solidFill>
            </c:spPr>
          </c:dPt>
          <c:dLbls>
            <c:dLbl>
              <c:idx val="0"/>
              <c:layout>
                <c:manualLayout>
                  <c:x val="4.9037896050959401E-2"/>
                  <c:y val="1.1575135386557745E-3"/>
                </c:manualLayout>
              </c:layout>
              <c:showPercent val="1"/>
            </c:dLbl>
            <c:dLbl>
              <c:idx val="1"/>
              <c:layout>
                <c:manualLayout>
                  <c:x val="-1.9217782962314897E-2"/>
                  <c:y val="3.2170457859434239E-2"/>
                </c:manualLayout>
              </c:layout>
              <c:showPercent val="1"/>
            </c:dLbl>
            <c:dLbl>
              <c:idx val="2"/>
              <c:layout>
                <c:manualLayout>
                  <c:x val="-3.7514273678753297E-2"/>
                  <c:y val="2.4924905220180808E-2"/>
                </c:manualLayout>
              </c:layout>
              <c:showPercent val="1"/>
            </c:dLbl>
            <c:dLbl>
              <c:idx val="3"/>
              <c:layout>
                <c:manualLayout>
                  <c:x val="4.6419753086419753E-3"/>
                  <c:y val="-2.2287109944590291E-2"/>
                </c:manualLayout>
              </c:layout>
              <c:showPercent val="1"/>
            </c:dLbl>
            <c:dLbl>
              <c:idx val="4"/>
              <c:layout>
                <c:manualLayout>
                  <c:x val="2.9908039272868669E-2"/>
                  <c:y val="-2.5300379119276812E-2"/>
                </c:manualLayout>
              </c:layout>
              <c:showPercent val="1"/>
            </c:dLbl>
            <c:dLbl>
              <c:idx val="5"/>
              <c:layout>
                <c:manualLayout>
                  <c:x val="-4.8445481351868103E-2"/>
                  <c:y val="4.6296296296296502E-3"/>
                </c:manualLayout>
              </c:layout>
              <c:showPercent val="1"/>
            </c:dLbl>
            <c:showPercent val="1"/>
            <c:showLeaderLines val="1"/>
          </c:dLbls>
          <c:cat>
            <c:strRef>
              <c:f>věk!$G$3:$G$8</c:f>
              <c:strCache>
                <c:ptCount val="6"/>
                <c:pt idx="0">
                  <c:v>0-14</c:v>
                </c:pt>
                <c:pt idx="1">
                  <c:v>15-29</c:v>
                </c:pt>
                <c:pt idx="2">
                  <c:v>30-39</c:v>
                </c:pt>
                <c:pt idx="3">
                  <c:v>40-49</c:v>
                </c:pt>
                <c:pt idx="4">
                  <c:v>50-64</c:v>
                </c:pt>
                <c:pt idx="5">
                  <c:v>65 a více</c:v>
                </c:pt>
              </c:strCache>
            </c:strRef>
          </c:cat>
          <c:val>
            <c:numRef>
              <c:f>věk!$H$3:$H$8</c:f>
              <c:numCache>
                <c:formatCode>General</c:formatCode>
                <c:ptCount val="6"/>
                <c:pt idx="0">
                  <c:v>397</c:v>
                </c:pt>
                <c:pt idx="1">
                  <c:v>2428</c:v>
                </c:pt>
                <c:pt idx="2">
                  <c:v>2500</c:v>
                </c:pt>
                <c:pt idx="3">
                  <c:v>2558</c:v>
                </c:pt>
                <c:pt idx="4">
                  <c:v>3111</c:v>
                </c:pt>
                <c:pt idx="5">
                  <c:v>502</c:v>
                </c:pt>
              </c:numCache>
            </c:numRef>
          </c:val>
        </c:ser>
        <c:firstSliceAng val="0"/>
      </c:pieChart>
    </c:plotArea>
    <c:legend>
      <c:legendPos val="r"/>
      <c:layout>
        <c:manualLayout>
          <c:xMode val="edge"/>
          <c:yMode val="edge"/>
          <c:x val="0.79664871520689795"/>
          <c:y val="0.16082704851766946"/>
          <c:w val="0.17267334175820614"/>
          <c:h val="0.73296432882598539"/>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3.2000699912510942E-2"/>
          <c:y val="0.10212962962962972"/>
          <c:w val="0.54204444444444622"/>
          <c:h val="0.84694444444444683"/>
        </c:manualLayout>
      </c:layout>
      <c:pieChart>
        <c:varyColors val="1"/>
        <c:ser>
          <c:idx val="0"/>
          <c:order val="0"/>
          <c:dPt>
            <c:idx val="2"/>
            <c:explosion val="8"/>
          </c:dPt>
          <c:dPt>
            <c:idx val="3"/>
            <c:explosion val="8"/>
          </c:dPt>
          <c:dLbls>
            <c:dLbl>
              <c:idx val="0"/>
              <c:layout>
                <c:manualLayout>
                  <c:x val="-1.9897177801228464E-2"/>
                  <c:y val="-5.5824515148276153E-2"/>
                </c:manualLayout>
              </c:layout>
              <c:showPercent val="1"/>
            </c:dLbl>
            <c:dLbl>
              <c:idx val="1"/>
              <c:layout>
                <c:manualLayout>
                  <c:x val="-2.2846280812836552E-2"/>
                  <c:y val="-4.2540112350209616E-2"/>
                </c:manualLayout>
              </c:layout>
              <c:showPercent val="1"/>
            </c:dLbl>
            <c:dLbl>
              <c:idx val="2"/>
              <c:layout>
                <c:manualLayout>
                  <c:x val="2.7567220764071272E-3"/>
                  <c:y val="2.444225721784779E-2"/>
                </c:manualLayout>
              </c:layout>
              <c:showPercent val="1"/>
            </c:dLbl>
            <c:dLbl>
              <c:idx val="3"/>
              <c:layout>
                <c:manualLayout>
                  <c:x val="-5.98154612116785E-3"/>
                  <c:y val="2.0907115117397672E-3"/>
                </c:manualLayout>
              </c:layout>
              <c:showPercent val="1"/>
            </c:dLbl>
            <c:showPercent val="1"/>
            <c:showLeaderLines val="1"/>
          </c:dLbls>
          <c:cat>
            <c:strRef>
              <c:f>List1!$F$26:$F$29</c:f>
              <c:strCache>
                <c:ptCount val="4"/>
                <c:pt idx="0">
                  <c:v>zákl., neukonč. a bez vzd.</c:v>
                </c:pt>
                <c:pt idx="1">
                  <c:v>střední</c:v>
                </c:pt>
                <c:pt idx="2">
                  <c:v>úplné střední</c:v>
                </c:pt>
                <c:pt idx="3">
                  <c:v>vysokoškolské</c:v>
                </c:pt>
              </c:strCache>
            </c:strRef>
          </c:cat>
          <c:val>
            <c:numRef>
              <c:f>List1!$G$26:$G$29</c:f>
              <c:numCache>
                <c:formatCode>#,##0</c:formatCode>
                <c:ptCount val="4"/>
                <c:pt idx="0">
                  <c:v>3412</c:v>
                </c:pt>
                <c:pt idx="1">
                  <c:v>5239</c:v>
                </c:pt>
                <c:pt idx="2">
                  <c:v>1781</c:v>
                </c:pt>
                <c:pt idx="3" formatCode="General">
                  <c:v>287</c:v>
                </c:pt>
              </c:numCache>
            </c:numRef>
          </c:val>
        </c:ser>
        <c:firstSliceAng val="0"/>
      </c:pieChart>
    </c:plotArea>
    <c:legend>
      <c:legendPos val="r"/>
      <c:layout>
        <c:manualLayout>
          <c:xMode val="edge"/>
          <c:yMode val="edge"/>
          <c:x val="0.61493473315835723"/>
          <c:y val="0.22068678915135609"/>
          <c:w val="0.38210230387868344"/>
          <c:h val="0.6001672189166394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600"/>
              <a:t>Mateřský jazyk</a:t>
            </a:r>
          </a:p>
        </c:rich>
      </c:tx>
      <c:layout>
        <c:manualLayout>
          <c:xMode val="edge"/>
          <c:yMode val="edge"/>
          <c:x val="0.52369907032649154"/>
          <c:y val="8.3799479816154218E-4"/>
        </c:manualLayout>
      </c:layout>
    </c:title>
    <c:plotArea>
      <c:layout>
        <c:manualLayout>
          <c:layoutTarget val="inner"/>
          <c:xMode val="edge"/>
          <c:yMode val="edge"/>
          <c:x val="4.939509426993291E-2"/>
          <c:y val="5.800925925925926E-2"/>
          <c:w val="0.56591105216325721"/>
          <c:h val="0.92157042869641292"/>
        </c:manualLayout>
      </c:layout>
      <c:pieChart>
        <c:varyColors val="1"/>
        <c:ser>
          <c:idx val="0"/>
          <c:order val="0"/>
          <c:explosion val="25"/>
          <c:dPt>
            <c:idx val="0"/>
            <c:explosion val="16"/>
          </c:dPt>
          <c:dPt>
            <c:idx val="1"/>
            <c:explosion val="2"/>
          </c:dPt>
          <c:dPt>
            <c:idx val="2"/>
            <c:explosion val="16"/>
            <c:spPr>
              <a:solidFill>
                <a:srgbClr val="92D050"/>
              </a:solidFill>
            </c:spPr>
          </c:dPt>
          <c:dPt>
            <c:idx val="3"/>
            <c:spPr>
              <a:solidFill>
                <a:srgbClr val="7030A0"/>
              </a:solidFill>
            </c:spPr>
          </c:dPt>
          <c:dPt>
            <c:idx val="4"/>
            <c:explosion val="36"/>
            <c:spPr>
              <a:solidFill>
                <a:schemeClr val="accent6">
                  <a:lumMod val="75000"/>
                </a:schemeClr>
              </a:solidFill>
            </c:spPr>
          </c:dPt>
          <c:dLbls>
            <c:dLbl>
              <c:idx val="0"/>
              <c:layout>
                <c:manualLayout>
                  <c:x val="-1.5538057742782194E-2"/>
                  <c:y val="-1.2835374744823598E-3"/>
                </c:manualLayout>
              </c:layout>
              <c:showPercent val="1"/>
            </c:dLbl>
            <c:dLbl>
              <c:idx val="2"/>
              <c:layout>
                <c:manualLayout>
                  <c:x val="-5.6537335818097499E-3"/>
                  <c:y val="-6.634587343248761E-4"/>
                </c:manualLayout>
              </c:layout>
              <c:showPercent val="1"/>
            </c:dLbl>
            <c:dLbl>
              <c:idx val="3"/>
              <c:layout>
                <c:manualLayout>
                  <c:x val="1.4794867059528007E-2"/>
                  <c:y val="1.2262321376494604E-2"/>
                </c:manualLayout>
              </c:layout>
              <c:showPercent val="1"/>
            </c:dLbl>
            <c:dLbl>
              <c:idx val="4"/>
              <c:layout>
                <c:manualLayout>
                  <c:x val="-3.3945010605017745E-3"/>
                  <c:y val="4.3910032079323424E-2"/>
                </c:manualLayout>
              </c:layout>
              <c:showPercent val="1"/>
            </c:dLbl>
            <c:showPercent val="1"/>
            <c:showLeaderLines val="1"/>
          </c:dLbls>
          <c:cat>
            <c:strRef>
              <c:f>'MATER JAZ'!$E$21:$E$25</c:f>
              <c:strCache>
                <c:ptCount val="5"/>
                <c:pt idx="0">
                  <c:v>ČESKÝ</c:v>
                </c:pt>
                <c:pt idx="1">
                  <c:v>SLOVENSKÝ</c:v>
                </c:pt>
                <c:pt idx="2">
                  <c:v>JINÝ</c:v>
                </c:pt>
                <c:pt idx="3">
                  <c:v>DVOJÍ CELKEM</c:v>
                </c:pt>
                <c:pt idx="4">
                  <c:v>NEZJIŠTĚNO</c:v>
                </c:pt>
              </c:strCache>
            </c:strRef>
          </c:cat>
          <c:val>
            <c:numRef>
              <c:f>'MATER JAZ'!$F$21:$F$25</c:f>
              <c:numCache>
                <c:formatCode>General</c:formatCode>
                <c:ptCount val="5"/>
                <c:pt idx="0">
                  <c:v>10264</c:v>
                </c:pt>
                <c:pt idx="1">
                  <c:v>299</c:v>
                </c:pt>
                <c:pt idx="2">
                  <c:v>189</c:v>
                </c:pt>
                <c:pt idx="3">
                  <c:v>503</c:v>
                </c:pt>
                <c:pt idx="4">
                  <c:v>241</c:v>
                </c:pt>
              </c:numCache>
            </c:numRef>
          </c:val>
        </c:ser>
        <c:firstSliceAng val="320"/>
      </c:pieChart>
    </c:plotArea>
    <c:legend>
      <c:legendPos val="r"/>
      <c:layout>
        <c:manualLayout>
          <c:xMode val="edge"/>
          <c:yMode val="edge"/>
          <c:x val="0.67406104849138893"/>
          <c:y val="0.31200247027945183"/>
          <c:w val="0.32365146307176063"/>
          <c:h val="0.49400078383867291"/>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600" baseline="0"/>
              <a:t>Národnost</a:t>
            </a:r>
            <a:endParaRPr lang="cs-CZ" sz="1600"/>
          </a:p>
        </c:rich>
      </c:tx>
      <c:layout>
        <c:manualLayout>
          <c:xMode val="edge"/>
          <c:yMode val="edge"/>
          <c:x val="0.59928895251729908"/>
          <c:y val="5.4673934988895834E-3"/>
        </c:manualLayout>
      </c:layout>
    </c:title>
    <c:plotArea>
      <c:layout>
        <c:manualLayout>
          <c:layoutTarget val="inner"/>
          <c:xMode val="edge"/>
          <c:yMode val="edge"/>
          <c:x val="0.10693846871912356"/>
          <c:y val="0.13208333333333341"/>
          <c:w val="0.57219351045322564"/>
          <c:h val="0.86027704870224397"/>
        </c:manualLayout>
      </c:layout>
      <c:pieChart>
        <c:varyColors val="1"/>
        <c:ser>
          <c:idx val="0"/>
          <c:order val="0"/>
          <c:explosion val="22"/>
          <c:dPt>
            <c:idx val="0"/>
            <c:explosion val="9"/>
          </c:dPt>
          <c:dPt>
            <c:idx val="1"/>
            <c:explosion val="10"/>
            <c:spPr>
              <a:solidFill>
                <a:schemeClr val="accent5">
                  <a:lumMod val="60000"/>
                  <a:lumOff val="40000"/>
                </a:schemeClr>
              </a:solidFill>
            </c:spPr>
          </c:dPt>
          <c:dPt>
            <c:idx val="2"/>
            <c:spPr>
              <a:solidFill>
                <a:schemeClr val="accent2">
                  <a:lumMod val="75000"/>
                </a:schemeClr>
              </a:solidFill>
            </c:spPr>
          </c:dPt>
          <c:dPt>
            <c:idx val="3"/>
            <c:explosion val="34"/>
            <c:spPr>
              <a:solidFill>
                <a:srgbClr val="92D050"/>
              </a:solidFill>
            </c:spPr>
          </c:dPt>
          <c:dPt>
            <c:idx val="4"/>
            <c:explosion val="49"/>
            <c:spPr>
              <a:solidFill>
                <a:srgbClr val="7030A0"/>
              </a:solidFill>
            </c:spPr>
          </c:dPt>
          <c:dPt>
            <c:idx val="5"/>
            <c:explosion val="7"/>
            <c:spPr>
              <a:solidFill>
                <a:schemeClr val="accent6">
                  <a:lumMod val="75000"/>
                </a:schemeClr>
              </a:solidFill>
            </c:spPr>
          </c:dPt>
          <c:dLbls>
            <c:dLbl>
              <c:idx val="0"/>
              <c:layout>
                <c:manualLayout>
                  <c:x val="-2.1778594072969552E-2"/>
                  <c:y val="4.8567366579177606E-3"/>
                </c:manualLayout>
              </c:layout>
              <c:showPercent val="1"/>
            </c:dLbl>
            <c:dLbl>
              <c:idx val="1"/>
              <c:layout>
                <c:manualLayout>
                  <c:x val="1.203481781867336E-2"/>
                  <c:y val="1.7834645669291337E-2"/>
                </c:manualLayout>
              </c:layout>
              <c:showPercent val="1"/>
            </c:dLbl>
            <c:dLbl>
              <c:idx val="3"/>
              <c:layout>
                <c:manualLayout>
                  <c:x val="-1.6006013105174782E-2"/>
                  <c:y val="-5.5023330417031478E-3"/>
                </c:manualLayout>
              </c:layout>
              <c:showPercent val="1"/>
            </c:dLbl>
            <c:dLbl>
              <c:idx val="5"/>
              <c:layout>
                <c:manualLayout>
                  <c:x val="1.7291314336285342E-2"/>
                  <c:y val="1.7790901137357831E-2"/>
                </c:manualLayout>
              </c:layout>
              <c:showPercent val="1"/>
            </c:dLbl>
            <c:showPercent val="1"/>
            <c:showLeaderLines val="1"/>
          </c:dLbls>
          <c:cat>
            <c:strRef>
              <c:f>NARODNOST!$E$21:$E$26</c:f>
              <c:strCache>
                <c:ptCount val="6"/>
                <c:pt idx="0">
                  <c:v>ČESKÁ</c:v>
                </c:pt>
                <c:pt idx="1">
                  <c:v>MORAVSKÁ</c:v>
                </c:pt>
                <c:pt idx="2">
                  <c:v>SLOVENSKÁ</c:v>
                </c:pt>
                <c:pt idx="3">
                  <c:v>JINÁ</c:v>
                </c:pt>
                <c:pt idx="4">
                  <c:v>DVOJÍ</c:v>
                </c:pt>
                <c:pt idx="5">
                  <c:v>NEUVEDENO</c:v>
                </c:pt>
              </c:strCache>
            </c:strRef>
          </c:cat>
          <c:val>
            <c:numRef>
              <c:f>NARODNOST!$F$21:$F$26</c:f>
              <c:numCache>
                <c:formatCode>General</c:formatCode>
                <c:ptCount val="6"/>
                <c:pt idx="0">
                  <c:v>7685</c:v>
                </c:pt>
                <c:pt idx="1">
                  <c:v>397</c:v>
                </c:pt>
                <c:pt idx="2">
                  <c:v>364</c:v>
                </c:pt>
                <c:pt idx="3">
                  <c:v>215</c:v>
                </c:pt>
                <c:pt idx="4">
                  <c:v>198</c:v>
                </c:pt>
                <c:pt idx="5">
                  <c:v>2637</c:v>
                </c:pt>
              </c:numCache>
            </c:numRef>
          </c:val>
        </c:ser>
        <c:firstSliceAng val="24"/>
      </c:pieChart>
    </c:plotArea>
    <c:legend>
      <c:legendPos val="r"/>
      <c:layout>
        <c:manualLayout>
          <c:xMode val="edge"/>
          <c:yMode val="edge"/>
          <c:x val="0.70812551912023669"/>
          <c:y val="0.28472393439507848"/>
          <c:w val="0.28529917937473032"/>
          <c:h val="0.50230314960629707"/>
        </c:manualLayout>
      </c:layout>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3B5D-FDFB-40C4-975B-7F626E97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1784</Words>
  <Characters>10529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dc:creator>
  <cp:lastModifiedBy>Štěpánka Morávková</cp:lastModifiedBy>
  <cp:revision>5</cp:revision>
  <cp:lastPrinted>2014-04-11T09:15:00Z</cp:lastPrinted>
  <dcterms:created xsi:type="dcterms:W3CDTF">2014-04-15T13:31:00Z</dcterms:created>
  <dcterms:modified xsi:type="dcterms:W3CDTF">2014-04-15T13:33:00Z</dcterms:modified>
</cp:coreProperties>
</file>