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7232B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7232B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Default="00120C80" w:rsidP="00B8014C">
      <w:pPr>
        <w:spacing w:after="12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538EA" w:rsidRPr="007232B9" w:rsidRDefault="001538EA" w:rsidP="00120C80">
      <w:pPr>
        <w:pStyle w:val="poznmky"/>
        <w:spacing w:before="0" w:beforeAutospacing="0" w:after="120" w:afterAutospacing="0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Český statistický úřad </w:t>
      </w:r>
      <w:r w:rsidR="000D25EB">
        <w:rPr>
          <w:rFonts w:ascii="Arial" w:hAnsi="Arial" w:cs="Arial"/>
          <w:bCs/>
          <w:spacing w:val="-2"/>
          <w:sz w:val="18"/>
          <w:szCs w:val="18"/>
        </w:rPr>
        <w:t>změnil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od roku 2020 doposud používanou terminologii a způsob prezentování údajů. </w:t>
      </w:r>
      <w:r w:rsidRPr="007232B9">
        <w:rPr>
          <w:rFonts w:ascii="Arial" w:hAnsi="Arial" w:cs="Arial"/>
          <w:b/>
          <w:bCs/>
          <w:spacing w:val="-2"/>
          <w:sz w:val="18"/>
          <w:szCs w:val="18"/>
        </w:rPr>
        <w:t>Pod pojmem zahraniční obchod České republiky jsou prezentovány již jen údaje, které jsou založeny na změně vlastnictví mezi rezidenty a nerezidenty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(dříve tzv. národní pojetí zahraničního obchodu). Přeshraniční</w:t>
      </w:r>
      <w:r w:rsidR="00D75293">
        <w:rPr>
          <w:rFonts w:ascii="Arial" w:hAnsi="Arial" w:cs="Arial"/>
          <w:bCs/>
          <w:spacing w:val="-2"/>
          <w:sz w:val="18"/>
          <w:szCs w:val="18"/>
        </w:rPr>
        <w:t xml:space="preserve"> pojetí zahraničního obchodu je </w:t>
      </w:r>
      <w:r w:rsidRPr="007232B9">
        <w:rPr>
          <w:rFonts w:ascii="Arial" w:hAnsi="Arial" w:cs="Arial"/>
          <w:bCs/>
          <w:spacing w:val="-2"/>
          <w:sz w:val="18"/>
          <w:szCs w:val="18"/>
        </w:rPr>
        <w:t>prezentováno pod pojmem pohyb zboží přes hranice.</w:t>
      </w:r>
    </w:p>
    <w:p w:rsidR="005C57DB" w:rsidRPr="007232B9" w:rsidRDefault="005C57DB" w:rsidP="005C57DB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i/>
          <w:iCs/>
          <w:sz w:val="18"/>
          <w:szCs w:val="18"/>
          <w:lang w:val="cs-CZ"/>
        </w:rPr>
        <w:t xml:space="preserve">Bližší informace: </w:t>
      </w:r>
      <w:hyperlink r:id="rId8" w:history="1">
        <w:r w:rsidRPr="007232B9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https://www.czso.cz/csu/czso/zmeny-ve-statistice-zahranicniho-obchodu</w:t>
        </w:r>
      </w:hyperlink>
    </w:p>
    <w:p w:rsidR="005C57DB" w:rsidRDefault="005C57DB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FD6AA3">
        <w:rPr>
          <w:rFonts w:ascii="Arial" w:hAnsi="Arial" w:cs="Arial"/>
          <w:b/>
          <w:sz w:val="18"/>
          <w:szCs w:val="18"/>
          <w:lang w:val="cs-CZ"/>
        </w:rPr>
        <w:t>Zahraniční obchod se zbožím</w:t>
      </w:r>
      <w:r w:rsidRPr="00FD6AA3">
        <w:rPr>
          <w:rFonts w:ascii="Arial" w:hAnsi="Arial" w:cs="Arial"/>
          <w:sz w:val="18"/>
          <w:szCs w:val="18"/>
          <w:lang w:val="cs-CZ"/>
        </w:rPr>
        <w:t xml:space="preserve"> vypovídá o vývozní a dovozní výkonnosti české ekonomiky, tedy i o obchodní bilanci zahraničního obchodu české ekonomiky. Sleduje skutečný obchod se zbožím realizovaný mezi českými a zahraničními subjekty, tj. změnu vlastnictví mezi rezidenty a nerezidenty. Díky tomu vypovídá o obchodní bilanci zahraničního obchodu české ekonomiky lépe než statistika pohybu zboží přes hranice.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V České republice jsou základním </w:t>
      </w:r>
      <w:r w:rsidRPr="007232B9">
        <w:rPr>
          <w:rFonts w:ascii="Arial" w:hAnsi="Arial" w:cs="Arial"/>
          <w:b/>
          <w:sz w:val="18"/>
          <w:szCs w:val="18"/>
          <w:lang w:val="cs-CZ"/>
        </w:rPr>
        <w:t>zdrojem statistiky zahraničního obchodu se zbožím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7232B9">
        <w:rPr>
          <w:rFonts w:ascii="Arial" w:hAnsi="Arial" w:cs="Arial"/>
          <w:sz w:val="18"/>
          <w:szCs w:val="18"/>
          <w:lang w:val="cs-CZ"/>
        </w:rPr>
        <w:t>údaje ze statistiky pohybu zboží přes hranice, tj. o vývozu a dovozu prováděném přímo rezidentskými subjekty (</w:t>
      </w:r>
      <w:r>
        <w:rPr>
          <w:rFonts w:ascii="Arial" w:hAnsi="Arial" w:cs="Arial"/>
          <w:sz w:val="18"/>
          <w:szCs w:val="18"/>
          <w:lang w:val="cs-CZ"/>
        </w:rPr>
        <w:t>se sídlem v ČR), a dále údaje o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nákupech a prodejích z daňových přiznání k DPH nerezidentských subjektů (se sídlem </w:t>
      </w:r>
      <w:r>
        <w:rPr>
          <w:rFonts w:ascii="Arial" w:hAnsi="Arial" w:cs="Arial"/>
          <w:sz w:val="18"/>
          <w:szCs w:val="18"/>
          <w:lang w:val="cs-CZ"/>
        </w:rPr>
        <w:t>v zahraničí), které obchodují s </w:t>
      </w:r>
      <w:r w:rsidRPr="007232B9">
        <w:rPr>
          <w:rFonts w:ascii="Arial" w:hAnsi="Arial" w:cs="Arial"/>
          <w:sz w:val="18"/>
          <w:szCs w:val="18"/>
          <w:lang w:val="cs-CZ"/>
        </w:rPr>
        <w:t>rezidentskými subjekty přímo na území ČR. Vzhledem k tomu, že údaje v daňových přiznáních k DPH neobsahují informace o komoditní struktuře nákupů a prodejů, je tato struktura odvozována z komoditní struktury pohybu</w:t>
      </w:r>
      <w:r>
        <w:rPr>
          <w:rFonts w:ascii="Arial" w:hAnsi="Arial" w:cs="Arial"/>
          <w:sz w:val="18"/>
          <w:szCs w:val="18"/>
          <w:lang w:val="cs-CZ"/>
        </w:rPr>
        <w:t xml:space="preserve"> zboží přes </w:t>
      </w:r>
      <w:r w:rsidRPr="007232B9">
        <w:rPr>
          <w:rFonts w:ascii="Arial" w:hAnsi="Arial" w:cs="Arial"/>
          <w:sz w:val="18"/>
          <w:szCs w:val="18"/>
          <w:lang w:val="cs-CZ"/>
        </w:rPr>
        <w:t>hranice nerezidentů a z údajů průmyslové statistiky (subjektů, které svou produk</w:t>
      </w:r>
      <w:r>
        <w:rPr>
          <w:rFonts w:ascii="Arial" w:hAnsi="Arial" w:cs="Arial"/>
          <w:sz w:val="18"/>
          <w:szCs w:val="18"/>
          <w:lang w:val="cs-CZ"/>
        </w:rPr>
        <w:t>ci prodávají nerezidentům už na </w:t>
      </w:r>
      <w:r w:rsidRPr="007232B9">
        <w:rPr>
          <w:rFonts w:ascii="Arial" w:hAnsi="Arial" w:cs="Arial"/>
          <w:sz w:val="18"/>
          <w:szCs w:val="18"/>
          <w:lang w:val="cs-CZ"/>
        </w:rPr>
        <w:t>území ČR).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Data o zahraničním obchodě </w:t>
      </w:r>
      <w:r>
        <w:rPr>
          <w:rFonts w:ascii="Arial" w:hAnsi="Arial" w:cs="Arial"/>
          <w:sz w:val="18"/>
          <w:szCs w:val="18"/>
          <w:lang w:val="cs-CZ"/>
        </w:rPr>
        <w:t>se zbožím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jsou </w:t>
      </w:r>
      <w:r w:rsidRPr="00054302">
        <w:rPr>
          <w:rFonts w:ascii="Arial" w:hAnsi="Arial" w:cs="Arial"/>
          <w:b/>
          <w:sz w:val="18"/>
          <w:szCs w:val="18"/>
          <w:lang w:val="cs-CZ"/>
        </w:rPr>
        <w:t>základním zdrojovým údajem pro sestavování HDP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podle výdajové metody a rovněž běžného účtu platební bilance. Kromě těchto dat jsou zahrnuty ve zmíněných makroekonomických statistikách i další položky, jako je např. individuální dovoz zboží, pašování apod. Rozdílné je i ocenění, kdy je dovoz </w:t>
      </w:r>
      <w:r>
        <w:rPr>
          <w:rFonts w:ascii="Arial" w:hAnsi="Arial" w:cs="Arial"/>
          <w:sz w:val="18"/>
          <w:szCs w:val="18"/>
          <w:lang w:val="cs-CZ"/>
        </w:rPr>
        <w:t>ve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statistice zahraničního obchodu </w:t>
      </w:r>
      <w:r>
        <w:rPr>
          <w:rFonts w:ascii="Arial" w:hAnsi="Arial" w:cs="Arial"/>
          <w:sz w:val="18"/>
          <w:szCs w:val="18"/>
          <w:lang w:val="cs-CZ"/>
        </w:rPr>
        <w:t xml:space="preserve">se zbožím </w:t>
      </w:r>
      <w:r w:rsidRPr="007232B9">
        <w:rPr>
          <w:rFonts w:ascii="Arial" w:hAnsi="Arial" w:cs="Arial"/>
          <w:sz w:val="18"/>
          <w:szCs w:val="18"/>
          <w:lang w:val="cs-CZ"/>
        </w:rPr>
        <w:t>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</w:p>
    <w:p w:rsidR="0023338E" w:rsidRPr="007232B9" w:rsidRDefault="0023338E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Pohyb zboží přes hranice 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vypovídá výhradně o fyzickém pohybu zboží přes hranice ČR, bez ohledu na to, zda dochází k obchodu mezi českými a zahraničními subjekty. Toto pojetí je v souladu s požadavky poskytování dat o pohybu zboží pro potřeby </w:t>
      </w:r>
      <w:r w:rsidRPr="007232B9">
        <w:rPr>
          <w:rStyle w:val="spelle"/>
          <w:rFonts w:ascii="Arial" w:hAnsi="Arial" w:cs="Arial"/>
          <w:sz w:val="18"/>
          <w:szCs w:val="18"/>
          <w:lang w:val="cs-CZ"/>
        </w:rPr>
        <w:t>Eurostatu</w:t>
      </w:r>
      <w:r w:rsidRPr="007232B9">
        <w:rPr>
          <w:rFonts w:ascii="Arial" w:hAnsi="Arial" w:cs="Arial"/>
          <w:sz w:val="18"/>
          <w:szCs w:val="18"/>
          <w:lang w:val="cs-CZ"/>
        </w:rPr>
        <w:t>. Vzhledem k tomu, že jsou údaje o vývozu a dovozu v tomto pojetí založeny na fyzickém přesunu zboží z a na území ČR, jsou údaje mezinárodně srovnatelné.</w:t>
      </w:r>
    </w:p>
    <w:p w:rsidR="0023338E" w:rsidRPr="007232B9" w:rsidRDefault="0023338E" w:rsidP="007232B9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Statistika pohybu zboží přes hranice </w:t>
      </w:r>
      <w:r w:rsidRPr="007232B9">
        <w:rPr>
          <w:rFonts w:ascii="Arial" w:hAnsi="Arial" w:cs="Arial"/>
          <w:bCs/>
          <w:sz w:val="18"/>
          <w:szCs w:val="18"/>
          <w:lang w:val="cs-CZ"/>
        </w:rPr>
        <w:t xml:space="preserve">je založena na dvou systémech, a to na sběru dat systémem Intrastat, který sleduje pohyb zboží uvnitř Evropské unie, a na využití některých údajů z Jednotných správních dokumentů pro Extrastat, který zaznamenává vývoz a dovoz zboží s nečlenskými státy EU. </w:t>
      </w:r>
      <w:r w:rsidRPr="007232B9">
        <w:rPr>
          <w:rFonts w:ascii="Arial" w:hAnsi="Arial" w:cs="Arial"/>
          <w:sz w:val="18"/>
          <w:szCs w:val="18"/>
          <w:lang w:val="cs-CZ"/>
        </w:rPr>
        <w:t>Součástí zpr</w:t>
      </w:r>
      <w:r w:rsidR="00D75293">
        <w:rPr>
          <w:rFonts w:ascii="Arial" w:hAnsi="Arial" w:cs="Arial"/>
          <w:sz w:val="18"/>
          <w:szCs w:val="18"/>
          <w:lang w:val="cs-CZ"/>
        </w:rPr>
        <w:t>acování dat za Intrastat jsou i </w:t>
      </w:r>
      <w:r w:rsidRPr="007232B9">
        <w:rPr>
          <w:rFonts w:ascii="Arial" w:hAnsi="Arial" w:cs="Arial"/>
          <w:sz w:val="18"/>
          <w:szCs w:val="18"/>
          <w:lang w:val="cs-CZ"/>
        </w:rPr>
        <w:t>matematicko-statistické dopočty, kterými se kompenzuje ztráta informací v důsledku non-response a zavedení statistických prahů.</w:t>
      </w:r>
    </w:p>
    <w:p w:rsidR="007D79B6" w:rsidRDefault="007D79B6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0A1562" w:rsidRDefault="000A1562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920D3C" w:rsidRDefault="00920D3C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920D3C" w:rsidRDefault="00920D3C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920D3C" w:rsidRDefault="00920D3C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bookmarkStart w:id="0" w:name="_GoBack"/>
      <w:bookmarkEnd w:id="0"/>
    </w:p>
    <w:p w:rsidR="00920D3C" w:rsidRDefault="00920D3C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4334D5" w:rsidRPr="007232B9" w:rsidRDefault="004334D5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095E0F" w:rsidRPr="007232B9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60881" w:rsidRPr="007232B9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>__________________________________</w:t>
      </w:r>
    </w:p>
    <w:p w:rsidR="00960881" w:rsidRPr="007232B9" w:rsidRDefault="00960881">
      <w:pPr>
        <w:ind w:firstLine="708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E22D8C" w:rsidRPr="000A1562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0A1562">
        <w:rPr>
          <w:rFonts w:ascii="Arial" w:hAnsi="Arial" w:cs="Arial"/>
          <w:b/>
          <w:bCs/>
          <w:sz w:val="17"/>
          <w:szCs w:val="17"/>
          <w:lang w:val="cs-CZ"/>
        </w:rPr>
        <w:t>Údaje za jednotliv</w:t>
      </w:r>
      <w:r w:rsidR="00D96A7C">
        <w:rPr>
          <w:rFonts w:ascii="Arial" w:hAnsi="Arial" w:cs="Arial"/>
          <w:b/>
          <w:bCs/>
          <w:sz w:val="17"/>
          <w:szCs w:val="17"/>
          <w:lang w:val="cs-CZ"/>
        </w:rPr>
        <w:t>á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="007105EA">
        <w:rPr>
          <w:rFonts w:ascii="Arial" w:hAnsi="Arial" w:cs="Arial"/>
          <w:b/>
          <w:bCs/>
          <w:sz w:val="17"/>
          <w:szCs w:val="17"/>
          <w:lang w:val="cs-CZ"/>
        </w:rPr>
        <w:t>čtvrtletí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roku 20</w:t>
      </w:r>
      <w:r w:rsidR="008539A4">
        <w:rPr>
          <w:rFonts w:ascii="Arial" w:hAnsi="Arial" w:cs="Arial"/>
          <w:b/>
          <w:bCs/>
          <w:sz w:val="17"/>
          <w:szCs w:val="17"/>
          <w:lang w:val="cs-CZ"/>
        </w:rPr>
        <w:t>20</w:t>
      </w:r>
      <w:r w:rsidR="00437790"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>jsou definitivní. Údaje za jednotliv</w:t>
      </w:r>
      <w:r w:rsidR="00D96A7C">
        <w:rPr>
          <w:rFonts w:ascii="Arial" w:hAnsi="Arial" w:cs="Arial"/>
          <w:b/>
          <w:bCs/>
          <w:sz w:val="17"/>
          <w:szCs w:val="17"/>
          <w:lang w:val="cs-CZ"/>
        </w:rPr>
        <w:t>á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="007105EA">
        <w:rPr>
          <w:rFonts w:ascii="Arial" w:hAnsi="Arial" w:cs="Arial"/>
          <w:b/>
          <w:bCs/>
          <w:sz w:val="17"/>
          <w:szCs w:val="17"/>
          <w:lang w:val="cs-CZ"/>
        </w:rPr>
        <w:t>čtvrtletí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roku </w:t>
      </w:r>
      <w:r w:rsidR="00920D3C">
        <w:rPr>
          <w:rFonts w:ascii="Arial" w:hAnsi="Arial" w:cs="Arial"/>
          <w:b/>
          <w:bCs/>
          <w:sz w:val="17"/>
          <w:szCs w:val="17"/>
          <w:lang w:val="cs-CZ"/>
        </w:rPr>
        <w:t xml:space="preserve">2021 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jsou předběžné. </w:t>
      </w:r>
    </w:p>
    <w:p w:rsidR="00E22D8C" w:rsidRPr="000A1562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0A1562">
        <w:rPr>
          <w:rFonts w:ascii="Arial" w:hAnsi="Arial" w:cs="Arial"/>
          <w:bCs/>
          <w:sz w:val="17"/>
          <w:szCs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0A1562" w:rsidRDefault="00E22D8C" w:rsidP="00E22D8C">
      <w:pPr>
        <w:rPr>
          <w:rFonts w:ascii="Arial" w:hAnsi="Arial" w:cs="Arial"/>
          <w:bCs/>
          <w:sz w:val="17"/>
          <w:szCs w:val="17"/>
          <w:lang w:val="cs-CZ"/>
        </w:rPr>
      </w:pPr>
      <w:r w:rsidRPr="000A1562">
        <w:rPr>
          <w:rFonts w:ascii="Arial" w:hAnsi="Arial" w:cs="Arial"/>
          <w:bCs/>
          <w:sz w:val="17"/>
          <w:szCs w:val="17"/>
          <w:lang w:val="cs-CZ"/>
        </w:rPr>
        <w:t>EU2</w:t>
      </w:r>
      <w:r w:rsidR="005C57DB" w:rsidRPr="000A1562">
        <w:rPr>
          <w:rFonts w:ascii="Arial" w:hAnsi="Arial" w:cs="Arial"/>
          <w:bCs/>
          <w:sz w:val="17"/>
          <w:szCs w:val="17"/>
          <w:lang w:val="cs-CZ"/>
        </w:rPr>
        <w:t>7</w:t>
      </w:r>
      <w:r w:rsidR="00F03108">
        <w:rPr>
          <w:rFonts w:ascii="Arial" w:hAnsi="Arial" w:cs="Arial"/>
          <w:bCs/>
          <w:sz w:val="17"/>
          <w:szCs w:val="17"/>
          <w:lang w:val="cs-CZ"/>
        </w:rPr>
        <w:t>_</w:t>
      </w:r>
      <w:r w:rsidR="005C57DB" w:rsidRPr="000A1562">
        <w:rPr>
          <w:rFonts w:ascii="Arial" w:hAnsi="Arial" w:cs="Arial"/>
          <w:bCs/>
          <w:sz w:val="17"/>
          <w:szCs w:val="17"/>
          <w:lang w:val="cs-CZ"/>
        </w:rPr>
        <w:t>2020</w:t>
      </w:r>
      <w:r w:rsidRPr="000A1562">
        <w:rPr>
          <w:rFonts w:ascii="Arial" w:hAnsi="Arial" w:cs="Arial"/>
          <w:bCs/>
          <w:sz w:val="17"/>
          <w:szCs w:val="17"/>
          <w:lang w:val="cs-CZ"/>
        </w:rPr>
        <w:t xml:space="preserve"> (Evropská unie) - 2</w:t>
      </w:r>
      <w:r w:rsidR="003A41F0">
        <w:rPr>
          <w:rFonts w:ascii="Arial" w:hAnsi="Arial" w:cs="Arial"/>
          <w:bCs/>
          <w:sz w:val="17"/>
          <w:szCs w:val="17"/>
          <w:lang w:val="cs-CZ"/>
        </w:rPr>
        <w:t>7</w:t>
      </w:r>
      <w:r w:rsidRPr="000A1562">
        <w:rPr>
          <w:rFonts w:ascii="Arial" w:hAnsi="Arial" w:cs="Arial"/>
          <w:bCs/>
          <w:sz w:val="17"/>
          <w:szCs w:val="17"/>
          <w:lang w:val="cs-CZ"/>
        </w:rPr>
        <w:t xml:space="preserve"> členských států: </w:t>
      </w:r>
    </w:p>
    <w:p w:rsidR="00E22D8C" w:rsidRPr="00C1763B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0A1562">
        <w:rPr>
          <w:rFonts w:ascii="Arial" w:hAnsi="Arial" w:cs="Arial"/>
          <w:bCs/>
          <w:sz w:val="17"/>
          <w:szCs w:val="17"/>
          <w:lang w:val="cs-CZ"/>
        </w:rPr>
        <w:t xml:space="preserve">Belgie, Bulharsko, Česká republika, Dánsko, Estonsko, Finsko, Francie, Chorvatsko, Irsko, Itálie, Kypr, Litva, Lotyšsko, Lucembursko, Maďarsko, Malta, Německo, Nizozemsko, Polsko, Portugalsko, Rakousko, Rumunsko, Řecko, Slovensko, Slovinsko, Španělsko, </w:t>
      </w:r>
      <w:r w:rsidRPr="00C1763B">
        <w:rPr>
          <w:rFonts w:ascii="Arial" w:hAnsi="Arial" w:cs="Arial"/>
          <w:bCs/>
          <w:sz w:val="17"/>
          <w:szCs w:val="17"/>
          <w:lang w:val="cs-CZ"/>
        </w:rPr>
        <w:t>Švédsko</w:t>
      </w:r>
      <w:r w:rsidR="00C1763B" w:rsidRPr="00C1763B">
        <w:rPr>
          <w:rFonts w:ascii="Arial" w:hAnsi="Arial" w:cs="Arial"/>
          <w:bCs/>
          <w:sz w:val="17"/>
          <w:szCs w:val="17"/>
          <w:lang w:val="cs-CZ"/>
        </w:rPr>
        <w:t xml:space="preserve">. </w:t>
      </w:r>
      <w:r w:rsidR="00C1763B" w:rsidRPr="00C1763B">
        <w:rPr>
          <w:rFonts w:ascii="Arial" w:hAnsi="Arial" w:cs="Arial"/>
          <w:bCs/>
          <w:sz w:val="17"/>
          <w:lang w:val="cs-CZ"/>
        </w:rPr>
        <w:t xml:space="preserve">Spojené království opustilo Evropskou unii </w:t>
      </w:r>
      <w:hyperlink r:id="rId9" w:tooltip="31. leden" w:history="1">
        <w:r w:rsidR="00C1763B" w:rsidRPr="00C1763B">
          <w:rPr>
            <w:rFonts w:ascii="Arial" w:hAnsi="Arial" w:cs="Arial"/>
            <w:bCs/>
            <w:sz w:val="17"/>
            <w:lang w:val="cs-CZ"/>
          </w:rPr>
          <w:t>31. ledna</w:t>
        </w:r>
      </w:hyperlink>
      <w:r w:rsidR="00C1763B" w:rsidRPr="00C1763B">
        <w:rPr>
          <w:rFonts w:ascii="Arial" w:hAnsi="Arial" w:cs="Arial"/>
          <w:bCs/>
          <w:sz w:val="17"/>
          <w:lang w:val="cs-CZ"/>
        </w:rPr>
        <w:t xml:space="preserve"> </w:t>
      </w:r>
      <w:hyperlink r:id="rId10" w:tooltip="2020" w:history="1">
        <w:r w:rsidR="00C1763B" w:rsidRPr="00C1763B">
          <w:rPr>
            <w:rFonts w:ascii="Arial" w:hAnsi="Arial" w:cs="Arial"/>
            <w:bCs/>
            <w:sz w:val="17"/>
            <w:lang w:val="cs-CZ"/>
          </w:rPr>
          <w:t>2020</w:t>
        </w:r>
      </w:hyperlink>
      <w:r w:rsidR="00C1763B" w:rsidRPr="00C1763B">
        <w:rPr>
          <w:rFonts w:ascii="Arial" w:hAnsi="Arial" w:cs="Arial"/>
          <w:bCs/>
          <w:sz w:val="17"/>
          <w:lang w:val="cs-CZ"/>
        </w:rPr>
        <w:t>.</w:t>
      </w:r>
    </w:p>
    <w:p w:rsidR="000505F4" w:rsidRPr="000A1562" w:rsidRDefault="000505F4" w:rsidP="000505F4">
      <w:pPr>
        <w:pStyle w:val="Zkladntext3"/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 xml:space="preserve">Eurozóna19: </w:t>
      </w:r>
    </w:p>
    <w:p w:rsidR="005D5697" w:rsidRPr="000A1562" w:rsidRDefault="000505F4" w:rsidP="000505F4">
      <w:pPr>
        <w:pStyle w:val="Zkladntext3"/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>Belgie, Estonsko, Finsko, Francie, Irsko, Itálie, Kypr, Litva, Lotyšsko, Lucembursko, Malta, Německo, Nizozemsko, Portugalsko, Rakousko, Řecko, Slovensko, Slovinsko, Španělsko</w:t>
      </w:r>
      <w:r w:rsidR="00C1763B">
        <w:rPr>
          <w:bCs/>
          <w:sz w:val="17"/>
          <w:szCs w:val="17"/>
        </w:rPr>
        <w:t>.</w:t>
      </w:r>
    </w:p>
    <w:p w:rsidR="00DF4E2C" w:rsidRDefault="00DF4E2C" w:rsidP="004334D5">
      <w:pPr>
        <w:pStyle w:val="poznmky0"/>
        <w:spacing w:before="0" w:beforeAutospacing="0" w:after="0" w:afterAutospacing="0"/>
        <w:jc w:val="both"/>
        <w:rPr>
          <w:rFonts w:ascii="Arial" w:hAnsi="Arial" w:cs="Arial"/>
          <w:bCs/>
          <w:spacing w:val="-2"/>
          <w:sz w:val="17"/>
          <w:szCs w:val="17"/>
        </w:rPr>
      </w:pPr>
    </w:p>
    <w:sectPr w:rsidR="00DF4E2C" w:rsidSect="00C34D1F">
      <w:headerReference w:type="even" r:id="rId11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AD" w:rsidRDefault="00C239AD">
      <w:r>
        <w:separator/>
      </w:r>
    </w:p>
  </w:endnote>
  <w:endnote w:type="continuationSeparator" w:id="0">
    <w:p w:rsidR="00C239AD" w:rsidRDefault="00C2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AD" w:rsidRDefault="00C239AD">
      <w:r>
        <w:separator/>
      </w:r>
    </w:p>
  </w:footnote>
  <w:footnote w:type="continuationSeparator" w:id="0">
    <w:p w:rsidR="00C239AD" w:rsidRDefault="00C2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1342B"/>
    <w:rsid w:val="000505F4"/>
    <w:rsid w:val="00054302"/>
    <w:rsid w:val="000812B7"/>
    <w:rsid w:val="00094030"/>
    <w:rsid w:val="00095E0F"/>
    <w:rsid w:val="000A1562"/>
    <w:rsid w:val="000B45E1"/>
    <w:rsid w:val="000C215A"/>
    <w:rsid w:val="000D25EB"/>
    <w:rsid w:val="000D5334"/>
    <w:rsid w:val="000E6176"/>
    <w:rsid w:val="00101CF6"/>
    <w:rsid w:val="00120C80"/>
    <w:rsid w:val="00121569"/>
    <w:rsid w:val="00146E27"/>
    <w:rsid w:val="001538EA"/>
    <w:rsid w:val="00212CED"/>
    <w:rsid w:val="00222FFE"/>
    <w:rsid w:val="0023338E"/>
    <w:rsid w:val="00273E88"/>
    <w:rsid w:val="0027419A"/>
    <w:rsid w:val="002A2D37"/>
    <w:rsid w:val="002A7722"/>
    <w:rsid w:val="002E4ED0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706D4"/>
    <w:rsid w:val="004940D5"/>
    <w:rsid w:val="004C207D"/>
    <w:rsid w:val="004E23C8"/>
    <w:rsid w:val="004F6AEC"/>
    <w:rsid w:val="00510180"/>
    <w:rsid w:val="00511255"/>
    <w:rsid w:val="00545904"/>
    <w:rsid w:val="00545EB7"/>
    <w:rsid w:val="005C57DB"/>
    <w:rsid w:val="005D32E3"/>
    <w:rsid w:val="005D5697"/>
    <w:rsid w:val="00615280"/>
    <w:rsid w:val="00663897"/>
    <w:rsid w:val="00682553"/>
    <w:rsid w:val="0068585A"/>
    <w:rsid w:val="006A63EA"/>
    <w:rsid w:val="0070684C"/>
    <w:rsid w:val="007105EA"/>
    <w:rsid w:val="00711021"/>
    <w:rsid w:val="007232B9"/>
    <w:rsid w:val="007269D1"/>
    <w:rsid w:val="007419C0"/>
    <w:rsid w:val="00746968"/>
    <w:rsid w:val="00782827"/>
    <w:rsid w:val="007D79B6"/>
    <w:rsid w:val="007E4917"/>
    <w:rsid w:val="008539A4"/>
    <w:rsid w:val="00885940"/>
    <w:rsid w:val="00887A9D"/>
    <w:rsid w:val="008B3183"/>
    <w:rsid w:val="008C6510"/>
    <w:rsid w:val="008D59E3"/>
    <w:rsid w:val="008E6732"/>
    <w:rsid w:val="008F457B"/>
    <w:rsid w:val="009145E2"/>
    <w:rsid w:val="00920D3C"/>
    <w:rsid w:val="00922532"/>
    <w:rsid w:val="00952378"/>
    <w:rsid w:val="00960881"/>
    <w:rsid w:val="00974980"/>
    <w:rsid w:val="00976496"/>
    <w:rsid w:val="009831D6"/>
    <w:rsid w:val="009D38F9"/>
    <w:rsid w:val="00A450E8"/>
    <w:rsid w:val="00A96498"/>
    <w:rsid w:val="00A96971"/>
    <w:rsid w:val="00AA2C41"/>
    <w:rsid w:val="00AF40F1"/>
    <w:rsid w:val="00B8014C"/>
    <w:rsid w:val="00B932EB"/>
    <w:rsid w:val="00BB7227"/>
    <w:rsid w:val="00BC46B4"/>
    <w:rsid w:val="00C1763B"/>
    <w:rsid w:val="00C239AD"/>
    <w:rsid w:val="00C24078"/>
    <w:rsid w:val="00C34D1F"/>
    <w:rsid w:val="00C80F3F"/>
    <w:rsid w:val="00CF2401"/>
    <w:rsid w:val="00D40801"/>
    <w:rsid w:val="00D63784"/>
    <w:rsid w:val="00D708C6"/>
    <w:rsid w:val="00D75293"/>
    <w:rsid w:val="00D96A7C"/>
    <w:rsid w:val="00DA218D"/>
    <w:rsid w:val="00DC429F"/>
    <w:rsid w:val="00DE7DF6"/>
    <w:rsid w:val="00DF4E2C"/>
    <w:rsid w:val="00E0211A"/>
    <w:rsid w:val="00E11897"/>
    <w:rsid w:val="00E2263F"/>
    <w:rsid w:val="00E22D8C"/>
    <w:rsid w:val="00E320FE"/>
    <w:rsid w:val="00E37A0B"/>
    <w:rsid w:val="00E87DDB"/>
    <w:rsid w:val="00EA65E9"/>
    <w:rsid w:val="00EF1958"/>
    <w:rsid w:val="00EF262E"/>
    <w:rsid w:val="00F03108"/>
    <w:rsid w:val="00F2174D"/>
    <w:rsid w:val="00F43B78"/>
    <w:rsid w:val="00F709AD"/>
    <w:rsid w:val="00F72782"/>
    <w:rsid w:val="00F85750"/>
    <w:rsid w:val="00F8776E"/>
    <w:rsid w:val="00F87B20"/>
    <w:rsid w:val="00F9034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9E5BA"/>
  <w15:docId w15:val="{381B8394-6F97-4661-93E7-FD64E3B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iPriority w:val="99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31._led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2C47-AEF8-4ECD-BFCD-9065DE54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Ing. Monika Bartlová</cp:lastModifiedBy>
  <cp:revision>26</cp:revision>
  <cp:lastPrinted>2017-01-30T08:33:00Z</cp:lastPrinted>
  <dcterms:created xsi:type="dcterms:W3CDTF">2020-04-15T12:35:00Z</dcterms:created>
  <dcterms:modified xsi:type="dcterms:W3CDTF">2022-02-02T13:38:00Z</dcterms:modified>
</cp:coreProperties>
</file>