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2EFC" w14:textId="77777777" w:rsidR="00582A12" w:rsidRDefault="00582A12" w:rsidP="00582A12">
      <w:pPr>
        <w:pStyle w:val="Nadpis11"/>
        <w:spacing w:after="120"/>
      </w:pPr>
      <w:bookmarkStart w:id="0" w:name="_Toc161914426"/>
      <w:bookmarkStart w:id="1" w:name="_Toc153531179"/>
      <w:bookmarkStart w:id="2" w:name="_Toc137233031"/>
      <w:r w:rsidRPr="00B43216">
        <w:t>6. Trh práce</w:t>
      </w:r>
      <w:bookmarkEnd w:id="0"/>
    </w:p>
    <w:tbl>
      <w:tblPr>
        <w:tblW w:w="9674" w:type="dxa"/>
        <w:tblInd w:w="-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220"/>
        <w:gridCol w:w="7700"/>
      </w:tblGrid>
      <w:tr w:rsidR="00582A12" w:rsidRPr="009F0D7F" w14:paraId="2A0294F6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45DE2A1A" w14:textId="77777777" w:rsidR="00582A12" w:rsidRPr="00C14554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 w:rsidRPr="00C14554">
              <w:rPr>
                <w:color w:val="0D0D0D" w:themeColor="text1" w:themeTint="F2"/>
                <w:spacing w:val="-4"/>
              </w:rPr>
              <w:t xml:space="preserve">Na trhu práce </w:t>
            </w:r>
            <w:r>
              <w:rPr>
                <w:color w:val="0D0D0D" w:themeColor="text1" w:themeTint="F2"/>
                <w:spacing w:val="-4"/>
              </w:rPr>
              <w:t xml:space="preserve">postupně </w:t>
            </w:r>
            <w:r w:rsidRPr="00C14554">
              <w:rPr>
                <w:color w:val="0D0D0D" w:themeColor="text1" w:themeTint="F2"/>
                <w:spacing w:val="-4"/>
              </w:rPr>
              <w:t xml:space="preserve">docházelo k částečnému ochlazení, nerovnováha mezi nabídkou </w:t>
            </w:r>
            <w:r>
              <w:rPr>
                <w:color w:val="0D0D0D" w:themeColor="text1" w:themeTint="F2"/>
                <w:spacing w:val="-4"/>
              </w:rPr>
              <w:br/>
            </w:r>
            <w:r w:rsidRPr="00C14554">
              <w:rPr>
                <w:color w:val="0D0D0D" w:themeColor="text1" w:themeTint="F2"/>
                <w:spacing w:val="-4"/>
              </w:rPr>
              <w:t>a poptávkou se zmírnila. Situace na úrovni jednotlivých odvětví či podniků se ale lišila.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7701F5E4" w14:textId="77777777" w:rsidR="00582A12" w:rsidRPr="00D16BA7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214332DA" w14:textId="77777777" w:rsidR="00582A12" w:rsidRPr="00D16BA7" w:rsidRDefault="00582A12" w:rsidP="00BA5125">
            <w:pPr>
              <w:spacing w:after="200"/>
              <w:rPr>
                <w:color w:val="0D0D0D" w:themeColor="text1" w:themeTint="F2"/>
                <w:spacing w:val="-4"/>
                <w:szCs w:val="20"/>
              </w:rPr>
            </w:pPr>
            <w:r>
              <w:rPr>
                <w:color w:val="0D0D0D" w:themeColor="text1" w:themeTint="F2"/>
                <w:spacing w:val="-4"/>
                <w:szCs w:val="20"/>
              </w:rPr>
              <w:t>Přetrvávající stagnace tuzemské ekonomiky se s určitým zpožděním během loňského roku postupně projevovala i na trhu práce. Ve 2. pololetí se zaměstnanost mezikvartálně začala snižovat, s problémy se potýkal zejména průmysl. Nezaměstnanost včetně té dlouhodobé mírně rostla a současně lehce klesala nabídka volných míst, zejména méně kvalifikovaných. Narůstala</w:t>
            </w:r>
            <w:r w:rsidRPr="00D16BA7">
              <w:rPr>
                <w:color w:val="0D0D0D" w:themeColor="text1" w:themeTint="F2"/>
                <w:spacing w:val="-4"/>
                <w:szCs w:val="20"/>
              </w:rPr>
              <w:t xml:space="preserve"> velikost potenciální pracovní rezervy (z řad neaktivních osob), ta ovšem stále zůstávala omezená. Pozitivní impuls pro pracovní trh představovala postupná i</w:t>
            </w:r>
            <w:r>
              <w:rPr>
                <w:color w:val="0D0D0D" w:themeColor="text1" w:themeTint="F2"/>
                <w:spacing w:val="-4"/>
                <w:szCs w:val="20"/>
              </w:rPr>
              <w:t>ntegrace ukrajinských uprchlíků, byť nemálo z nich pracuje na místech, na nichž plně nevyužívají svou kvalifikaci.</w:t>
            </w:r>
            <w:r w:rsidRPr="00D16BA7">
              <w:rPr>
                <w:color w:val="0D0D0D" w:themeColor="text1" w:themeTint="F2"/>
                <w:spacing w:val="-4"/>
                <w:szCs w:val="20"/>
              </w:rPr>
              <w:t xml:space="preserve"> Podniky ve snaze optimalizovat výrobní náklady stále intenzivně poptávaly zahraniční pracovníky i z dalších mimoevropských zemí. Řada odvětví zejména ve službách se stále rozvíjela a vytvářela nová pracovní místa také pro pracovníky s vyšší kvalifikací.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Odlišná situace v jednotlivých odvětvích se projevuje v různorodém růstu mezd. Jeho tempo však celkově během roku mírně sláblo. </w:t>
            </w:r>
            <w:r w:rsidRPr="00D16BA7">
              <w:rPr>
                <w:color w:val="0D0D0D" w:themeColor="text1" w:themeTint="F2"/>
                <w:spacing w:val="-4"/>
                <w:szCs w:val="20"/>
              </w:rPr>
              <w:t xml:space="preserve">Díky znatelné dezinflační tendenci </w:t>
            </w:r>
            <w:r>
              <w:rPr>
                <w:color w:val="0D0D0D" w:themeColor="text1" w:themeTint="F2"/>
                <w:spacing w:val="-4"/>
                <w:szCs w:val="20"/>
              </w:rPr>
              <w:t>v ekonomice se však</w:t>
            </w:r>
            <w:r w:rsidRPr="00D16BA7">
              <w:rPr>
                <w:color w:val="0D0D0D" w:themeColor="text1" w:themeTint="F2"/>
                <w:spacing w:val="-4"/>
                <w:szCs w:val="20"/>
              </w:rPr>
              <w:t xml:space="preserve"> meziroční pokles kupní síly mezd výrazně zmírnil a v několika významných odvětvích byl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ve 4. čtvrtletí </w:t>
            </w:r>
            <w:r w:rsidRPr="00D16BA7">
              <w:rPr>
                <w:color w:val="0D0D0D" w:themeColor="text1" w:themeTint="F2"/>
                <w:spacing w:val="-4"/>
                <w:szCs w:val="20"/>
              </w:rPr>
              <w:t xml:space="preserve">již registrován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meziroční </w:t>
            </w:r>
            <w:r w:rsidRPr="00D16BA7">
              <w:rPr>
                <w:color w:val="0D0D0D" w:themeColor="text1" w:themeTint="F2"/>
                <w:spacing w:val="-4"/>
                <w:szCs w:val="20"/>
              </w:rPr>
              <w:t>růst reálných výdělků.</w:t>
            </w:r>
          </w:p>
        </w:tc>
      </w:tr>
      <w:tr w:rsidR="00582A12" w:rsidRPr="009F0D7F" w14:paraId="107DA8F9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40196AF2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Mezikvartální růst zaměstnanosti se ve druhé polovině loňského roku zastavil. </w:t>
            </w:r>
          </w:p>
          <w:p w14:paraId="2A28ADFE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75A7A836" w14:textId="77777777" w:rsidR="00582A12" w:rsidRPr="009F0D7F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3BED0FA3" w14:textId="531F5BDF" w:rsidR="00582A12" w:rsidRDefault="00582A12" w:rsidP="00582A12">
            <w:r>
              <w:t>V 1. pololetí 2023 se celková zaměstnanost</w:t>
            </w:r>
            <w:r w:rsidRPr="00FE39EE">
              <w:rPr>
                <w:color w:val="0D0D0D" w:themeColor="text1" w:themeTint="F2"/>
                <w:spacing w:val="-4"/>
                <w:vertAlign w:val="superscript"/>
              </w:rPr>
              <w:footnoteReference w:id="1"/>
            </w:r>
            <w:r>
              <w:t xml:space="preserve"> v tuzemské ekonomice mezikvartálně ještě mírně zvyšovala a fyzický počet pracovníků vystoupal na rekordní úroveň (5,51 mil.). Ve zbývající části roku došlo k mírnému útlumu – zaměstnanost postupně klesla v obou </w:t>
            </w:r>
            <w:r w:rsidRPr="00BF7F4C">
              <w:rPr>
                <w:spacing w:val="-4"/>
              </w:rPr>
              <w:t>navazujících kvartálech (o 0,7 %, resp. o 0,1 %)</w:t>
            </w:r>
            <w:r w:rsidRPr="00BF7F4C">
              <w:rPr>
                <w:rStyle w:val="Znakapoznpodarou"/>
                <w:spacing w:val="-4"/>
              </w:rPr>
              <w:footnoteReference w:id="2"/>
            </w:r>
            <w:r w:rsidRPr="00BF7F4C">
              <w:rPr>
                <w:spacing w:val="-4"/>
              </w:rPr>
              <w:t>, ubylo zaměstnanců i</w:t>
            </w:r>
            <w:r>
              <w:rPr>
                <w:spacing w:val="-4"/>
              </w:rPr>
              <w:t> </w:t>
            </w:r>
            <w:r w:rsidRPr="00BF7F4C">
              <w:rPr>
                <w:spacing w:val="-4"/>
              </w:rPr>
              <w:t>sebe</w:t>
            </w:r>
            <w:r>
              <w:rPr>
                <w:spacing w:val="-4"/>
              </w:rPr>
              <w:t>z</w:t>
            </w:r>
            <w:r w:rsidRPr="00BF7F4C">
              <w:rPr>
                <w:spacing w:val="-4"/>
              </w:rPr>
              <w:t>aměstnaných</w:t>
            </w:r>
            <w:r>
              <w:t xml:space="preserve">. Na ochlazení pracovního trhu se podílely zejména průmysl a váhově významná odvětví služeb – obchod a doprava, vedle toho se zastavil růst poptávky po pracovnících ve stavebnictví. Navzdory tomu zůstal celkový počet zaměstnaných zřetelně nad úrovní z konce konjunkturního roku 2019 (+61 tis.), z velké části díky rozvoji veřejných služeb. </w:t>
            </w:r>
          </w:p>
        </w:tc>
      </w:tr>
      <w:tr w:rsidR="00582A12" w:rsidRPr="009F0D7F" w14:paraId="5763827D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3FC81A3F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Za celý rok zaměstnanost mírně vzrostla. Přibylo zaměstnanců i sebezaměstnaných.</w:t>
            </w:r>
          </w:p>
          <w:p w14:paraId="7AA3A8CB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738F5FA4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5E5505FF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7ED3E55E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22135045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Zaměstnanců přibylo nejvíce ve vzdělávání, zdravotní a sociální péči, dařilo se i většině dalších služeb. Naopak ve všech významnějších oborech zpracovatelského průmyslu došlo k poklesu.</w:t>
            </w:r>
          </w:p>
          <w:p w14:paraId="59FB2A20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138BFD45" w14:textId="77777777" w:rsidR="00582A12" w:rsidRPr="009F0D7F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7C800C44" w14:textId="77777777" w:rsidR="00582A12" w:rsidRPr="001171AB" w:rsidRDefault="00582A12" w:rsidP="00582A12">
            <w:pPr>
              <w:rPr>
                <w:color w:val="0D0D0D" w:themeColor="text1" w:themeTint="F2"/>
                <w:spacing w:val="-4"/>
              </w:rPr>
            </w:pPr>
            <w:r>
              <w:t>Za celý loňský rok se zaměstnanost zvýšila o 0,8 %</w:t>
            </w:r>
            <w:r w:rsidRPr="0010316B">
              <w:rPr>
                <w:rStyle w:val="Znakapoznpodarou"/>
                <w:color w:val="0D0D0D" w:themeColor="text1" w:themeTint="F2"/>
              </w:rPr>
              <w:footnoteReference w:id="3"/>
            </w:r>
            <w:r>
              <w:t xml:space="preserve"> (z toho ve 4. čtvrtletí o 0,4 %). Nová pracovní místa vznikala tradičně hlavně v zaměstnaneckých pozicích, zejména v oblastech s vyššími nároky na kvalifikaci pracovníků. Nejvíce jich přibylo ve veřejných službách (+20 tis.)</w:t>
            </w:r>
            <w:r>
              <w:rPr>
                <w:rStyle w:val="Znakapoznpodarou"/>
              </w:rPr>
              <w:footnoteReference w:id="4"/>
            </w:r>
            <w:r>
              <w:t>, které postupně reagovaly na růst poptávky související zejména s dlouhodobějšími změnami ve věkové skladbě populace. Relativně nejvyššího růstu ovšem docílily p</w:t>
            </w:r>
            <w:r w:rsidRPr="00EC32E1">
              <w:t>rofesní</w:t>
            </w:r>
            <w:r>
              <w:t>, vědecké, technické</w:t>
            </w:r>
            <w:r w:rsidRPr="00EC32E1">
              <w:t xml:space="preserve"> a administrativní</w:t>
            </w:r>
            <w:r>
              <w:t xml:space="preserve"> činnosti (2,2 %), proti roku 2022 v nich absolutně přibylo 8 tis. zaměstnanců. V informačních a komunikačních činnostech, které v poslední dekádě patřily mezi nejrychleji rostoucí oblasti služeb, se loni růst počtu zaměstnanců zmírnil na 1,7 % (na konci roku fakticky jen stagnoval). Jen k minimálnímu růstu došlo v uskupení o</w:t>
            </w:r>
            <w:r w:rsidRPr="001F7E30">
              <w:t>bchod, doprava, ubytování a pohostinství</w:t>
            </w:r>
            <w:r>
              <w:t xml:space="preserve"> (+0,3 %), přesto zde stavy zaměstnanců mírně převyšovaly úroveň z roku 2019. Rozvoj digitalizace se odráží v postupném snižování pracovních míst v peněžnictví a pojišťovnictví, stavy zaměstnanců zde tak klesaly čtvrtý rok v řadě. Mimo služby se po většinu loňského roku udržovala relativně vysoká poptávka po pracovnících ve stavebnictví. Zaměstnanců zde loni přibylo o 2,1 %, jejich počet rostl třetí rok v řadě rychleji než v celé ekonomice. Naopak </w:t>
            </w:r>
            <w:r>
              <w:rPr>
                <w:color w:val="0D0D0D" w:themeColor="text1" w:themeTint="F2"/>
                <w:spacing w:val="-4"/>
              </w:rPr>
              <w:t>v</w:t>
            </w:r>
            <w:r w:rsidRPr="00045F54">
              <w:rPr>
                <w:color w:val="0D0D0D" w:themeColor="text1" w:themeTint="F2"/>
                <w:spacing w:val="-4"/>
              </w:rPr>
              <w:t xml:space="preserve">e zpracovatelském průmyslu se vlivem </w:t>
            </w:r>
            <w:r>
              <w:rPr>
                <w:color w:val="0D0D0D" w:themeColor="text1" w:themeTint="F2"/>
                <w:spacing w:val="-4"/>
              </w:rPr>
              <w:t>silných nákladových tlaků i</w:t>
            </w:r>
            <w:r w:rsidRPr="00045F54">
              <w:rPr>
                <w:color w:val="0D0D0D" w:themeColor="text1" w:themeTint="F2"/>
                <w:spacing w:val="-4"/>
              </w:rPr>
              <w:t xml:space="preserve"> váznoucí zahraniční poptávky projevilo postupné zhoršování situace </w:t>
            </w:r>
            <w:r w:rsidRPr="00045F54">
              <w:rPr>
                <w:color w:val="0D0D0D" w:themeColor="text1" w:themeTint="F2"/>
                <w:spacing w:val="-4"/>
              </w:rPr>
              <w:lastRenderedPageBreak/>
              <w:t>zaměstnanců a zejména energeticky náročné obory stále častěji přistupovaly k rušení pracovních míst</w:t>
            </w:r>
            <w:r w:rsidRPr="00045F54">
              <w:rPr>
                <w:rStyle w:val="Znakapoznpodarou"/>
                <w:color w:val="0D0D0D" w:themeColor="text1" w:themeTint="F2"/>
                <w:spacing w:val="-4"/>
              </w:rPr>
              <w:footnoteReference w:id="5"/>
            </w:r>
            <w:r>
              <w:rPr>
                <w:color w:val="0D0D0D" w:themeColor="text1" w:themeTint="F2"/>
                <w:spacing w:val="-4"/>
              </w:rPr>
              <w:t xml:space="preserve"> (v</w:t>
            </w:r>
            <w:r w:rsidRPr="00045F54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>celém odvětví jich tak loni ubylo o 1,1</w:t>
            </w:r>
            <w:r w:rsidRPr="00045F54">
              <w:rPr>
                <w:color w:val="0D0D0D" w:themeColor="text1" w:themeTint="F2"/>
                <w:spacing w:val="-4"/>
              </w:rPr>
              <w:t xml:space="preserve"> %)</w:t>
            </w:r>
            <w:r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582A12" w:rsidRPr="009F0D7F" w14:paraId="3DF6BFD0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1F91E3EF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K oživení drobného podnikání došlo napříč všemi hlavními odvětvími.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3AE1F83B" w14:textId="77777777" w:rsidR="00582A12" w:rsidRPr="009F0D7F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09FCAFF3" w14:textId="77777777" w:rsidR="00582A12" w:rsidRPr="00DE14C8" w:rsidRDefault="00582A12" w:rsidP="00BA5125">
            <w:pPr>
              <w:rPr>
                <w:color w:val="0D0D0D" w:themeColor="text1" w:themeTint="F2"/>
                <w:spacing w:val="-4"/>
              </w:rPr>
            </w:pPr>
            <w:r>
              <w:t>Po delší době se ve vývoji zaměstnanosti příznivě promítlo oživení podnikatelské činnosti. Stavy s</w:t>
            </w:r>
            <w:r>
              <w:rPr>
                <w:color w:val="0D0D0D" w:themeColor="text1" w:themeTint="F2"/>
                <w:spacing w:val="-4"/>
              </w:rPr>
              <w:t>ebezaměstnaných</w:t>
            </w:r>
            <w:r>
              <w:rPr>
                <w:rStyle w:val="Znakapoznpodarou"/>
                <w:spacing w:val="-5"/>
              </w:rPr>
              <w:footnoteReference w:id="6"/>
            </w:r>
            <w:r>
              <w:rPr>
                <w:color w:val="0D0D0D" w:themeColor="text1" w:themeTint="F2"/>
                <w:spacing w:val="-4"/>
              </w:rPr>
              <w:t xml:space="preserve"> loni vzrostly o</w:t>
            </w:r>
            <w:r>
              <w:t> </w:t>
            </w:r>
            <w:r>
              <w:rPr>
                <w:color w:val="0D0D0D" w:themeColor="text1" w:themeTint="F2"/>
                <w:spacing w:val="-4"/>
              </w:rPr>
              <w:t>2,4 % (nejvíce po roce 2010), zejména díky profesním, vědeckým</w:t>
            </w:r>
            <w:r w:rsidRPr="00715226">
              <w:rPr>
                <w:color w:val="0D0D0D" w:themeColor="text1" w:themeTint="F2"/>
                <w:spacing w:val="-4"/>
              </w:rPr>
              <w:t>, tech</w:t>
            </w:r>
            <w:r>
              <w:rPr>
                <w:color w:val="0D0D0D" w:themeColor="text1" w:themeTint="F2"/>
                <w:spacing w:val="-4"/>
              </w:rPr>
              <w:t>nickým a administrativním činnostem (+2 tis.). Relativně nejvíce jich pak přibylo i v informačních a komunikačních činnostech (+8</w:t>
            </w:r>
            <w:r>
              <w:t> </w:t>
            </w:r>
            <w:r>
              <w:rPr>
                <w:color w:val="0D0D0D" w:themeColor="text1" w:themeTint="F2"/>
                <w:spacing w:val="-4"/>
              </w:rPr>
              <w:t xml:space="preserve">%) a finančnictví (+5 %), a to vlivem nižší loňské základny či možným „přechodem“ ze zaměstnaneckého postavení. Aspoň mírný růst počtu drobných podnikatelů však nastal ve všech hlavních odvětvích. I tak </w:t>
            </w:r>
            <w:r>
              <w:rPr>
                <w:color w:val="0D0D0D" w:themeColor="text1" w:themeTint="F2"/>
                <w:spacing w:val="-6"/>
              </w:rPr>
              <w:t>zůstal</w:t>
            </w:r>
            <w:r w:rsidRPr="00856E0C">
              <w:rPr>
                <w:color w:val="0D0D0D" w:themeColor="text1" w:themeTint="F2"/>
                <w:spacing w:val="-6"/>
              </w:rPr>
              <w:t xml:space="preserve"> ve 4. čtvrtletí 2023 jejich počet stále citelně pod úrovní z roku 2019 </w:t>
            </w:r>
            <w:r>
              <w:rPr>
                <w:color w:val="0D0D0D" w:themeColor="text1" w:themeTint="F2"/>
                <w:spacing w:val="-6"/>
              </w:rPr>
              <w:br/>
            </w:r>
            <w:r w:rsidRPr="00856E0C">
              <w:rPr>
                <w:color w:val="0D0D0D" w:themeColor="text1" w:themeTint="F2"/>
                <w:spacing w:val="-6"/>
              </w:rPr>
              <w:t>(</w:t>
            </w:r>
            <w:r>
              <w:rPr>
                <w:color w:val="0D0D0D" w:themeColor="text1" w:themeTint="F2"/>
                <w:spacing w:val="-6"/>
              </w:rPr>
              <w:t>−</w:t>
            </w:r>
            <w:r w:rsidRPr="00856E0C">
              <w:rPr>
                <w:color w:val="0D0D0D" w:themeColor="text1" w:themeTint="F2"/>
                <w:spacing w:val="-6"/>
              </w:rPr>
              <w:t xml:space="preserve">5 %, </w:t>
            </w:r>
            <w:r>
              <w:rPr>
                <w:color w:val="0D0D0D" w:themeColor="text1" w:themeTint="F2"/>
                <w:spacing w:val="-6"/>
              </w:rPr>
              <w:t>−</w:t>
            </w:r>
            <w:r w:rsidRPr="00856E0C">
              <w:rPr>
                <w:color w:val="0D0D0D" w:themeColor="text1" w:themeTint="F2"/>
                <w:spacing w:val="-6"/>
              </w:rPr>
              <w:t>36 tis. osob)</w:t>
            </w:r>
            <w:r w:rsidRPr="00856E0C">
              <w:rPr>
                <w:rStyle w:val="Znakapoznpodarou"/>
                <w:color w:val="0D0D0D" w:themeColor="text1" w:themeTint="F2"/>
                <w:spacing w:val="-6"/>
              </w:rPr>
              <w:footnoteReference w:id="7"/>
            </w:r>
            <w:r w:rsidRPr="00856E0C">
              <w:rPr>
                <w:color w:val="0D0D0D" w:themeColor="text1" w:themeTint="F2"/>
                <w:spacing w:val="-6"/>
              </w:rPr>
              <w:t>.</w:t>
            </w:r>
            <w:r w:rsidRPr="00E2089B">
              <w:rPr>
                <w:color w:val="0D0D0D" w:themeColor="text1" w:themeTint="F2"/>
                <w:spacing w:val="-4"/>
              </w:rPr>
              <w:t xml:space="preserve"> </w:t>
            </w:r>
          </w:p>
        </w:tc>
      </w:tr>
      <w:tr w:rsidR="00582A12" w:rsidRPr="009F0D7F" w14:paraId="3CC15C6F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3E2973CB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Rostl počet specialistů, přibývalo zaměstnaných žen.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574BF56E" w14:textId="77777777" w:rsidR="00582A12" w:rsidRPr="009F0D7F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18137021" w14:textId="77777777" w:rsidR="00582A12" w:rsidRDefault="00582A12" w:rsidP="00BA5125">
            <w:r>
              <w:rPr>
                <w:color w:val="0D0D0D" w:themeColor="text1" w:themeTint="F2"/>
                <w:spacing w:val="-4"/>
              </w:rPr>
              <w:t>V</w:t>
            </w:r>
            <w:r w:rsidRPr="00E2089B">
              <w:rPr>
                <w:color w:val="0D0D0D" w:themeColor="text1" w:themeTint="F2"/>
                <w:spacing w:val="-4"/>
              </w:rPr>
              <w:t>ýše uvedené odvětvové posuny se promítly do změny profesní skladby</w:t>
            </w:r>
            <w:r>
              <w:rPr>
                <w:color w:val="0D0D0D" w:themeColor="text1" w:themeTint="F2"/>
                <w:spacing w:val="-4"/>
              </w:rPr>
              <w:t xml:space="preserve"> všech </w:t>
            </w:r>
            <w:r w:rsidRPr="00E2089B">
              <w:rPr>
                <w:color w:val="0D0D0D" w:themeColor="text1" w:themeTint="F2"/>
                <w:spacing w:val="-4"/>
              </w:rPr>
              <w:t>pracujících.</w:t>
            </w:r>
            <w:r>
              <w:rPr>
                <w:color w:val="0D0D0D" w:themeColor="text1" w:themeTint="F2"/>
                <w:spacing w:val="-4"/>
              </w:rPr>
              <w:t xml:space="preserve"> Dle údajů z VŠPS se </w:t>
            </w:r>
            <w:r w:rsidRPr="00424DE4">
              <w:rPr>
                <w:color w:val="0D0D0D" w:themeColor="text1" w:themeTint="F2"/>
                <w:spacing w:val="-4"/>
              </w:rPr>
              <w:t>loni ve 4. čtvrtletí významněji meziročn</w:t>
            </w:r>
            <w:r>
              <w:rPr>
                <w:color w:val="0D0D0D" w:themeColor="text1" w:themeTint="F2"/>
                <w:spacing w:val="-4"/>
              </w:rPr>
              <w:t>ě zvýšil počet specialistů (+69 </w:t>
            </w:r>
            <w:r w:rsidRPr="00424DE4">
              <w:rPr>
                <w:color w:val="0D0D0D" w:themeColor="text1" w:themeTint="F2"/>
                <w:spacing w:val="-4"/>
              </w:rPr>
              <w:t>tis.), ale i řemeslníků a opravářů (+33 tis.). Ubylo hlavně úřednických pozic (</w:t>
            </w:r>
            <w:r>
              <w:rPr>
                <w:color w:val="0D0D0D" w:themeColor="text1" w:themeTint="F2"/>
                <w:spacing w:val="-4"/>
              </w:rPr>
              <w:t>−</w:t>
            </w:r>
            <w:r w:rsidRPr="00424DE4">
              <w:rPr>
                <w:color w:val="0D0D0D" w:themeColor="text1" w:themeTint="F2"/>
                <w:spacing w:val="-4"/>
              </w:rPr>
              <w:t xml:space="preserve">62 tis.), což může souviset s postupující digitalizací ve finančnictví, obchodu i ve veřejné správě. </w:t>
            </w:r>
            <w:r>
              <w:rPr>
                <w:color w:val="0D0D0D" w:themeColor="text1" w:themeTint="F2"/>
                <w:spacing w:val="-4"/>
              </w:rPr>
              <w:t xml:space="preserve">Měnily se i další strukturální charakteristiky – z rozvoje služeb profitovaly ve větší míře ženy. Jejich míra zaměstnanosti (ve věku 15 až 64 let) meziročně vzrostla o 0,7 p. b. (na 68,8 %), u mužů se naopak snížila o 0,8 p. b. (na 81,5 %). I tak stále patřila zaměstnanost mužů v ČR spolu s Nizozemskem (85,9 %) a Maltou (85,5 %) v rámci zemí EU k nejvyšším. </w:t>
            </w:r>
          </w:p>
        </w:tc>
      </w:tr>
      <w:tr w:rsidR="00582A12" w:rsidRPr="009F0D7F" w14:paraId="7E5C333D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6103DBE0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Počet cizinců v zaměstnaneckém postavení vystoupal na konci roku na 824 tis. Na jeho meziročním přírůstku se z poloviny podíleli Ukrajinci. Zrychlil příliv pracovníků z některých asijských států.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C16FA23" w14:textId="77777777" w:rsidR="00582A12" w:rsidRPr="009F0D7F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488701C8" w14:textId="77777777" w:rsidR="00582A12" w:rsidRPr="00045F54" w:rsidRDefault="00582A12" w:rsidP="00BA5125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6"/>
              </w:rPr>
              <w:t>Dlouhodobě omezený rezervoár</w:t>
            </w:r>
            <w:r w:rsidRPr="00031007">
              <w:rPr>
                <w:color w:val="0D0D0D" w:themeColor="text1" w:themeTint="F2"/>
                <w:spacing w:val="-6"/>
              </w:rPr>
              <w:t xml:space="preserve"> volných </w:t>
            </w:r>
            <w:r>
              <w:rPr>
                <w:color w:val="0D0D0D" w:themeColor="text1" w:themeTint="F2"/>
                <w:spacing w:val="-6"/>
              </w:rPr>
              <w:t>pracovních sil v Česku i sílící tlak firem</w:t>
            </w:r>
            <w:r w:rsidRPr="00031007">
              <w:rPr>
                <w:color w:val="0D0D0D" w:themeColor="text1" w:themeTint="F2"/>
                <w:spacing w:val="-6"/>
              </w:rPr>
              <w:t xml:space="preserve"> na </w:t>
            </w:r>
            <w:r w:rsidRPr="00EC70E1">
              <w:rPr>
                <w:color w:val="0D0D0D" w:themeColor="text1" w:themeTint="F2"/>
                <w:spacing w:val="-6"/>
              </w:rPr>
              <w:t>optimalizac</w:t>
            </w:r>
            <w:r w:rsidRPr="0041310F">
              <w:rPr>
                <w:color w:val="0D0D0D" w:themeColor="text1" w:themeTint="F2"/>
                <w:spacing w:val="-6"/>
              </w:rPr>
              <w:t xml:space="preserve">i výrobních nákladů sytily rostoucí poptávku tuzemských zaměstnavatelů po pracovnících ze zahraničí. </w:t>
            </w:r>
            <w:r>
              <w:rPr>
                <w:color w:val="0D0D0D" w:themeColor="text1" w:themeTint="F2"/>
                <w:spacing w:val="-6"/>
              </w:rPr>
              <w:t>Snadnějšímu zaměstnávání cizinců pomáhají legislativní změny snižující administrativní náročnost v této oblasti. Dlouhodobý růst přílivu zahraničních pracovníků do Česka tak pokračoval i v roce 2023. Na jeho konci bylo na MPSV registrováno 824 tis. cizinců v zaměstnaneckém postavení (meziročně o 31 tis. více), cizích státních příslušníků s živnostenským oprávněním v Česku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8"/>
            </w:r>
            <w:r>
              <w:rPr>
                <w:color w:val="0D0D0D" w:themeColor="text1" w:themeTint="F2"/>
                <w:spacing w:val="-6"/>
              </w:rPr>
              <w:t xml:space="preserve"> evidovalo MPO 118 tis. (+6 tis.). V obou případech sice došlo loni ve srovnání s rokem 2022 k citelnému zpomalení růstu, to však lze z velké části přičíst bezprecedentní uprchlické vlně z Ukrajiny, jež vrcholila právě předloni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9"/>
            </w:r>
            <w:r>
              <w:rPr>
                <w:color w:val="0D0D0D" w:themeColor="text1" w:themeTint="F2"/>
                <w:spacing w:val="-6"/>
              </w:rPr>
              <w:t>. Přesto i za loňský rok přispěli k vyššímu počtu cizinců v roli zaměstnanců celou polovinou Ukrajinci (+15,7 tis., z toho ženy +9,2 tis.), z dalších „třetích zemí“ pak Filipínci (+2,4</w:t>
            </w:r>
            <w:r>
              <w:t> </w:t>
            </w:r>
            <w:r>
              <w:rPr>
                <w:color w:val="0D0D0D" w:themeColor="text1" w:themeTint="F2"/>
                <w:spacing w:val="-6"/>
              </w:rPr>
              <w:t>tis., jejichž počet vzrostl meziročně o polovinu), Indové (+1,2 tis.) a Turci (+1,1 tis.). Ze států EU přibylo významně pouze Slováků (+2,8 tis, relativně ale jen o 1,3 %), naopak občanů Rumunska a Bulharska mírně ubylo druhý rok v řadě.</w:t>
            </w:r>
          </w:p>
        </w:tc>
      </w:tr>
      <w:tr w:rsidR="00582A12" w:rsidRPr="009F0D7F" w14:paraId="437D3ED5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3226A658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Proti rychlejšímu růstu odpracovaných hodin působilo častější využívání zkrácených pracovních úvazků, zejména ve službách.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0FC84920" w14:textId="77777777" w:rsidR="00582A12" w:rsidRPr="009F0D7F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11AA0B39" w14:textId="77777777" w:rsidR="00582A12" w:rsidRPr="00045F54" w:rsidRDefault="00582A12" w:rsidP="00BA5125">
            <w:pPr>
              <w:rPr>
                <w:color w:val="0D0D0D" w:themeColor="text1" w:themeTint="F2"/>
                <w:spacing w:val="-4"/>
              </w:rPr>
            </w:pPr>
            <w:r w:rsidRPr="00045F54">
              <w:rPr>
                <w:color w:val="0D0D0D" w:themeColor="text1" w:themeTint="F2"/>
                <w:spacing w:val="-4"/>
              </w:rPr>
              <w:t xml:space="preserve">Celkový </w:t>
            </w:r>
            <w:r w:rsidRPr="00593B91">
              <w:rPr>
                <w:color w:val="0D0D0D" w:themeColor="text1" w:themeTint="F2"/>
                <w:spacing w:val="-4"/>
              </w:rPr>
              <w:t xml:space="preserve">počet odpracovaných hodin v ekonomice </w:t>
            </w:r>
            <w:r>
              <w:rPr>
                <w:color w:val="0D0D0D" w:themeColor="text1" w:themeTint="F2"/>
                <w:spacing w:val="-4"/>
              </w:rPr>
              <w:t xml:space="preserve">se loni </w:t>
            </w:r>
            <w:r w:rsidRPr="00045F54">
              <w:rPr>
                <w:color w:val="0D0D0D" w:themeColor="text1" w:themeTint="F2"/>
                <w:spacing w:val="-4"/>
              </w:rPr>
              <w:t>téměř vrátil na úroveň z roku 2019.</w:t>
            </w:r>
            <w:r>
              <w:rPr>
                <w:color w:val="0D0D0D" w:themeColor="text1" w:themeTint="F2"/>
                <w:spacing w:val="-4"/>
              </w:rPr>
              <w:t xml:space="preserve"> Meziročně se zvýšil o 0,6 % (</w:t>
            </w:r>
            <w:r w:rsidRPr="00045F54">
              <w:rPr>
                <w:color w:val="0D0D0D" w:themeColor="text1" w:themeTint="F2"/>
                <w:spacing w:val="-4"/>
              </w:rPr>
              <w:t>srovnatelně jako celko</w:t>
            </w:r>
            <w:r>
              <w:rPr>
                <w:color w:val="0D0D0D" w:themeColor="text1" w:themeTint="F2"/>
                <w:spacing w:val="-4"/>
              </w:rPr>
              <w:t xml:space="preserve">vá zaměstnanost, po celý </w:t>
            </w:r>
            <w:r w:rsidRPr="00045F54">
              <w:rPr>
                <w:color w:val="0D0D0D" w:themeColor="text1" w:themeTint="F2"/>
                <w:spacing w:val="-4"/>
              </w:rPr>
              <w:t xml:space="preserve">rok </w:t>
            </w:r>
            <w:r>
              <w:rPr>
                <w:color w:val="0D0D0D" w:themeColor="text1" w:themeTint="F2"/>
                <w:spacing w:val="-4"/>
              </w:rPr>
              <w:t xml:space="preserve">2022 </w:t>
            </w:r>
            <w:r w:rsidRPr="00045F54">
              <w:rPr>
                <w:color w:val="0D0D0D" w:themeColor="text1" w:themeTint="F2"/>
                <w:spacing w:val="-4"/>
              </w:rPr>
              <w:t xml:space="preserve">přitom odpracovaná </w:t>
            </w:r>
            <w:r>
              <w:rPr>
                <w:color w:val="0D0D0D" w:themeColor="text1" w:themeTint="F2"/>
                <w:spacing w:val="-4"/>
              </w:rPr>
              <w:t>doba výrazně předbíhala tempo růstu</w:t>
            </w:r>
            <w:r w:rsidRPr="00045F54">
              <w:rPr>
                <w:color w:val="0D0D0D" w:themeColor="text1" w:themeTint="F2"/>
                <w:spacing w:val="-4"/>
              </w:rPr>
              <w:t xml:space="preserve"> z</w:t>
            </w:r>
            <w:r>
              <w:rPr>
                <w:color w:val="0D0D0D" w:themeColor="text1" w:themeTint="F2"/>
                <w:spacing w:val="-4"/>
              </w:rPr>
              <w:t>aměstnanosti)</w:t>
            </w:r>
            <w:r w:rsidRPr="00045F54">
              <w:rPr>
                <w:color w:val="0D0D0D" w:themeColor="text1" w:themeTint="F2"/>
                <w:spacing w:val="-4"/>
              </w:rPr>
              <w:t>. Proti svižnějš</w:t>
            </w:r>
            <w:r>
              <w:rPr>
                <w:color w:val="0D0D0D" w:themeColor="text1" w:themeTint="F2"/>
                <w:spacing w:val="-4"/>
              </w:rPr>
              <w:t>ímu růstu odpracované doby loni</w:t>
            </w:r>
            <w:r w:rsidRPr="00045F54">
              <w:rPr>
                <w:color w:val="0D0D0D" w:themeColor="text1" w:themeTint="F2"/>
                <w:spacing w:val="-4"/>
              </w:rPr>
              <w:t xml:space="preserve"> působilo rozšiřování zkrácených pracovních úvazků (související s rostoucí zaměstnaností žen podpořenou uprchlickou vlnou i nově zavedeným daňovým </w:t>
            </w:r>
            <w:r w:rsidRPr="00097D45">
              <w:rPr>
                <w:color w:val="0D0D0D" w:themeColor="text1" w:themeTint="F2"/>
                <w:spacing w:val="-6"/>
              </w:rPr>
              <w:t>zvýhodněním zkrácených úvazků)</w:t>
            </w:r>
            <w:r w:rsidRPr="00097D45">
              <w:rPr>
                <w:rStyle w:val="Znakapoznpodarou"/>
                <w:color w:val="0D0D0D" w:themeColor="text1" w:themeTint="F2"/>
                <w:spacing w:val="-6"/>
              </w:rPr>
              <w:footnoteReference w:id="10"/>
            </w:r>
            <w:r w:rsidRPr="00097D45">
              <w:rPr>
                <w:color w:val="0D0D0D" w:themeColor="text1" w:themeTint="F2"/>
                <w:spacing w:val="-6"/>
              </w:rPr>
              <w:t xml:space="preserve">. Růst odpracované doby </w:t>
            </w:r>
            <w:r w:rsidRPr="00097D45">
              <w:rPr>
                <w:color w:val="0D0D0D" w:themeColor="text1" w:themeTint="F2"/>
                <w:spacing w:val="-6"/>
              </w:rPr>
              <w:lastRenderedPageBreak/>
              <w:t>významněji předbíhal dynamiku</w:t>
            </w:r>
            <w:r>
              <w:rPr>
                <w:color w:val="0D0D0D" w:themeColor="text1" w:themeTint="F2"/>
                <w:spacing w:val="-4"/>
              </w:rPr>
              <w:t xml:space="preserve"> </w:t>
            </w:r>
            <w:r w:rsidRPr="006B022E">
              <w:rPr>
                <w:color w:val="0D0D0D" w:themeColor="text1" w:themeTint="F2"/>
                <w:spacing w:val="-6"/>
              </w:rPr>
              <w:t>zaměstnanosti jen ve zpracovatelském průmyslu, ve většině odvětví služeb tomu bylo naopak.</w:t>
            </w:r>
          </w:p>
        </w:tc>
      </w:tr>
      <w:tr w:rsidR="00582A12" w:rsidRPr="009F0D7F" w14:paraId="5463AD30" w14:textId="77777777" w:rsidTr="00BA5125">
        <w:trPr>
          <w:trHeight w:val="15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36E042E7" w14:textId="77777777" w:rsidR="00582A12" w:rsidRDefault="00582A12" w:rsidP="00BA5125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Hodinová produktivita práce se meziročně mírně snížila podruhé v řadě. Ve srovnání s úrovní z roku 2019 ale nezaostávala.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5473635F" w14:textId="77777777" w:rsidR="00582A12" w:rsidRPr="009F0D7F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69B809FA" w14:textId="77777777" w:rsidR="00582A12" w:rsidRPr="00045F54" w:rsidRDefault="00582A12" w:rsidP="00BA5125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5"/>
              </w:rPr>
              <w:t>Hodinová p</w:t>
            </w:r>
            <w:r w:rsidRPr="00303551">
              <w:rPr>
                <w:color w:val="0D0D0D" w:themeColor="text1" w:themeTint="F2"/>
                <w:spacing w:val="-5"/>
              </w:rPr>
              <w:t>roduktivita práce</w:t>
            </w:r>
            <w:r>
              <w:rPr>
                <w:rStyle w:val="Znakapoznpodarou"/>
                <w:color w:val="0D0D0D" w:themeColor="text1" w:themeTint="F2"/>
                <w:spacing w:val="-5"/>
              </w:rPr>
              <w:footnoteReference w:id="11"/>
            </w:r>
            <w:r>
              <w:rPr>
                <w:color w:val="0D0D0D" w:themeColor="text1" w:themeTint="F2"/>
                <w:spacing w:val="-5"/>
              </w:rPr>
              <w:t xml:space="preserve"> v celé ekonomice loni meziročně mírně poklesla (o 1,0</w:t>
            </w:r>
            <w:r w:rsidRPr="00303551">
              <w:rPr>
                <w:color w:val="0D0D0D" w:themeColor="text1" w:themeTint="F2"/>
                <w:spacing w:val="-5"/>
              </w:rPr>
              <w:t xml:space="preserve"> %)</w:t>
            </w:r>
            <w:r>
              <w:rPr>
                <w:color w:val="0D0D0D" w:themeColor="text1" w:themeTint="F2"/>
                <w:spacing w:val="-5"/>
              </w:rPr>
              <w:t xml:space="preserve"> a</w:t>
            </w:r>
            <w:r>
              <w:t> </w:t>
            </w:r>
            <w:r>
              <w:rPr>
                <w:color w:val="0D0D0D" w:themeColor="text1" w:themeTint="F2"/>
                <w:spacing w:val="-5"/>
              </w:rPr>
              <w:t xml:space="preserve">snižovala se druhý rok v řadě. V obou případech stála za nepříznivým vývojem produktivita v těžebním průmyslu a energetice, která jen za loňský rok klesla skoro o pětinu. Mírněji se loni snížila produktivita ve váhově významném uskupení </w:t>
            </w:r>
            <w:r>
              <w:t>o</w:t>
            </w:r>
            <w:r w:rsidRPr="001F7E30">
              <w:t xml:space="preserve">bchod, doprava, ubytování </w:t>
            </w:r>
            <w:r>
              <w:t>a </w:t>
            </w:r>
            <w:r w:rsidRPr="001F7E30">
              <w:t>pohostinství</w:t>
            </w:r>
            <w:r>
              <w:t xml:space="preserve"> (−1,6 %), lehký pokles ale nastal ve většině odvětví služeb. Naopak ve zpracovatelském průmyslu se produktivita zvyšovala třetí rok v řadě (loni o 2,2 %), ještě déle pak trval pozitivní vývoj v informačních a komunikačních činnostech – loňský růst činil 3,8 % a byl nejvyšší ze všech hlavních odvětví. Navzdory nepříznivému vývoji v posledních dvou letech loňská produktivita práce v tuzemské ekonomice prakticky nezaostala za úrovní z konjunkturního roku 2019 (−0,1 %). Růst produktivity ve zpracovatelském průmyslu (+7 %), informačních a komunikačních činnostech (+17 %) a finančnictví (+21 %) v tomto období tak kompenzoval poklesy v celém primárním sektoru ekonomiky, stavebnictví či v oblasti nemovitostí.</w:t>
            </w:r>
          </w:p>
        </w:tc>
      </w:tr>
      <w:tr w:rsidR="00582A12" w:rsidRPr="009F2A8A" w14:paraId="19C0A68A" w14:textId="77777777" w:rsidTr="00BA5125">
        <w:trPr>
          <w:trHeight w:val="155"/>
        </w:trPr>
        <w:tc>
          <w:tcPr>
            <w:tcW w:w="1754" w:type="dxa"/>
            <w:vMerge w:val="restart"/>
            <w:shd w:val="clear" w:color="auto" w:fill="auto"/>
            <w:tcMar>
              <w:left w:w="0" w:type="dxa"/>
            </w:tcMar>
          </w:tcPr>
          <w:p w14:paraId="0EF7DD76" w14:textId="77777777" w:rsidR="00582A12" w:rsidRPr="00B43216" w:rsidRDefault="00582A12" w:rsidP="00BA5125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 w:val="restart"/>
            <w:shd w:val="clear" w:color="auto" w:fill="auto"/>
            <w:tcMar>
              <w:left w:w="0" w:type="dxa"/>
            </w:tcMar>
          </w:tcPr>
          <w:p w14:paraId="55F7B53C" w14:textId="77777777" w:rsidR="00582A12" w:rsidRPr="00B43216" w:rsidRDefault="00582A12" w:rsidP="00BA5125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1AF08F92" w14:textId="77777777" w:rsidR="00582A12" w:rsidRPr="00CA5850" w:rsidRDefault="00582A12" w:rsidP="00BA5125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14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582A12" w:rsidRPr="00B43216" w14:paraId="67A5583A" w14:textId="77777777" w:rsidTr="00BA5125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54" w:type="dxa"/>
            <w:vMerge/>
            <w:shd w:val="clear" w:color="auto" w:fill="auto"/>
          </w:tcPr>
          <w:p w14:paraId="0EC1AF16" w14:textId="77777777" w:rsidR="00582A12" w:rsidRPr="00B43216" w:rsidRDefault="00582A12" w:rsidP="00BA5125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</w:tcPr>
          <w:p w14:paraId="3766A640" w14:textId="77777777" w:rsidR="00582A12" w:rsidRPr="00B43216" w:rsidRDefault="00582A12" w:rsidP="00BA5125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</w:tcPr>
          <w:p w14:paraId="7804B51F" w14:textId="77777777" w:rsidR="00582A12" w:rsidRPr="00B43216" w:rsidRDefault="00582A12" w:rsidP="00BA5125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20C368E5" wp14:editId="039BE2DA">
                  <wp:extent cx="4800764" cy="3659648"/>
                  <wp:effectExtent l="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82A12" w:rsidRPr="00485ED5" w14:paraId="2D0D5F6D" w14:textId="77777777" w:rsidTr="00BA5125">
        <w:trPr>
          <w:trHeight w:val="671"/>
        </w:trPr>
        <w:tc>
          <w:tcPr>
            <w:tcW w:w="1754" w:type="dxa"/>
            <w:vMerge/>
            <w:shd w:val="clear" w:color="auto" w:fill="auto"/>
            <w:tcMar>
              <w:left w:w="0" w:type="dxa"/>
            </w:tcMar>
          </w:tcPr>
          <w:p w14:paraId="4D368D8C" w14:textId="77777777" w:rsidR="00582A12" w:rsidRPr="00B43216" w:rsidRDefault="00582A12" w:rsidP="00BA5125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left w:w="0" w:type="dxa"/>
            </w:tcMar>
          </w:tcPr>
          <w:p w14:paraId="40E123F4" w14:textId="77777777" w:rsidR="00582A12" w:rsidRPr="00B43216" w:rsidRDefault="00582A12" w:rsidP="00BA5125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182D174B" w14:textId="77777777" w:rsidR="00582A12" w:rsidRDefault="00582A12" w:rsidP="00BA5125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14E34EF2" w14:textId="77777777" w:rsidR="00582A12" w:rsidRDefault="00582A12" w:rsidP="00BA5125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6F586451" w14:textId="77777777" w:rsidR="00582A12" w:rsidRPr="00485ED5" w:rsidRDefault="00582A12" w:rsidP="00BA5125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Zdroj: ČSÚ (národní účty), Eurostat (konjunkturální průzkumy).</w:t>
            </w:r>
          </w:p>
        </w:tc>
      </w:tr>
      <w:tr w:rsidR="00582A12" w:rsidRPr="00D82DBD" w14:paraId="2AA25A0F" w14:textId="77777777" w:rsidTr="00BA5125">
        <w:trPr>
          <w:trHeight w:val="145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7512B6EE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Očekávání podniků v oblasti zaměstnanosti se na přelomu let 2023 a 2024 zhoršila. Mírný optimismus si udržovaly obchod a stavebnictví.</w:t>
            </w:r>
          </w:p>
          <w:p w14:paraId="6A00BC99" w14:textId="77777777" w:rsidR="00582A12" w:rsidRPr="008659E6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39502867" w14:textId="77777777" w:rsidR="00582A12" w:rsidRPr="008659E6" w:rsidRDefault="00582A12" w:rsidP="00BA5125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532AC3B2" w14:textId="77777777" w:rsidR="00582A12" w:rsidRPr="008659E6" w:rsidRDefault="00582A12" w:rsidP="00BA5125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7F42CF">
              <w:rPr>
                <w:color w:val="0D0D0D" w:themeColor="text1" w:themeTint="F2"/>
                <w:spacing w:val="-4"/>
              </w:rPr>
              <w:t>Krátkodobá očekávání podniků v </w:t>
            </w:r>
            <w:r w:rsidRPr="00A60C4D">
              <w:rPr>
                <w:color w:val="0D0D0D" w:themeColor="text1" w:themeTint="F2"/>
                <w:spacing w:val="-4"/>
              </w:rPr>
              <w:t>celé ekonomice v oblasti zaměstnanosti</w:t>
            </w:r>
            <w:r>
              <w:rPr>
                <w:color w:val="0D0D0D" w:themeColor="text1" w:themeTint="F2"/>
                <w:spacing w:val="-4"/>
              </w:rPr>
              <w:t xml:space="preserve"> se od loňského února (kdy klesla na dvouleté minimum) dočasně stabilizovala. S blížícím se koncem roku se bohužel opět začala zhoršovat, zejména ve službách i obchodu. V únoru 2024 byla očekávání nejslabší od vrcholu pandemie (březen 2021). Pesimismus převládal zejména ve službách, kde v tříměsíčním horizontu </w:t>
            </w:r>
            <w:r>
              <w:rPr>
                <w:rStyle w:val="eop"/>
                <w:rFonts w:eastAsia="MS Gothic" w:cs="Arial"/>
                <w:szCs w:val="20"/>
              </w:rPr>
              <w:t xml:space="preserve">uvažovalo o propuštění pracovníků 35 % podniků, v obchodě a průmyslu shodně 13 %. </w:t>
            </w:r>
            <w:r>
              <w:rPr>
                <w:color w:val="0D0D0D" w:themeColor="text1" w:themeTint="F2"/>
                <w:spacing w:val="-4"/>
              </w:rPr>
              <w:t xml:space="preserve">Situace na úrovni dílčích odvětví v rámci průmyslu </w:t>
            </w:r>
            <w:r>
              <w:rPr>
                <w:color w:val="0D0D0D" w:themeColor="text1" w:themeTint="F2"/>
                <w:spacing w:val="-4"/>
              </w:rPr>
              <w:lastRenderedPageBreak/>
              <w:t xml:space="preserve">i služeb se </w:t>
            </w:r>
            <w:r w:rsidRPr="007B5F31">
              <w:rPr>
                <w:color w:val="0D0D0D" w:themeColor="text1" w:themeTint="F2"/>
                <w:spacing w:val="-4"/>
              </w:rPr>
              <w:t>odlišovala</w:t>
            </w:r>
            <w:r w:rsidRPr="007B5F31">
              <w:rPr>
                <w:rStyle w:val="Znakapoznpodarou"/>
                <w:color w:val="0D0D0D" w:themeColor="text1" w:themeTint="F2"/>
                <w:spacing w:val="-4"/>
              </w:rPr>
              <w:footnoteReference w:id="12"/>
            </w:r>
            <w:r w:rsidRPr="007B5F31">
              <w:rPr>
                <w:color w:val="0D0D0D" w:themeColor="text1" w:themeTint="F2"/>
                <w:spacing w:val="-4"/>
              </w:rPr>
              <w:t xml:space="preserve">. </w:t>
            </w:r>
            <w:r>
              <w:rPr>
                <w:rStyle w:val="eop"/>
                <w:rFonts w:eastAsia="MS Gothic" w:cs="Arial"/>
                <w:szCs w:val="20"/>
              </w:rPr>
              <w:t xml:space="preserve">Jediné z hlavních odvětví, kde se očekávání meziročně zlepšila, bylo stavebnictví – o propuštění uvažovalo jen 8 % firem (nejméně za poslední 1,5 roku), 12 % podniků oproti tomu plánovalo navyšovat zaměstnanost. </w:t>
            </w:r>
            <w:r w:rsidRPr="007B5F31">
              <w:rPr>
                <w:color w:val="0D0D0D" w:themeColor="text1" w:themeTint="F2"/>
                <w:spacing w:val="-4"/>
              </w:rPr>
              <w:t xml:space="preserve">Vlivem </w:t>
            </w:r>
            <w:r>
              <w:rPr>
                <w:color w:val="0D0D0D" w:themeColor="text1" w:themeTint="F2"/>
                <w:spacing w:val="-4"/>
              </w:rPr>
              <w:t>zhoršování</w:t>
            </w:r>
            <w:r w:rsidRPr="00A60C4D">
              <w:rPr>
                <w:color w:val="0D0D0D" w:themeColor="text1" w:themeTint="F2"/>
                <w:spacing w:val="-4"/>
              </w:rPr>
              <w:t xml:space="preserve"> celkových ekonomických výhledů</w:t>
            </w:r>
            <w:r>
              <w:rPr>
                <w:color w:val="0D0D0D" w:themeColor="text1" w:themeTint="F2"/>
                <w:spacing w:val="-4"/>
              </w:rPr>
              <w:t xml:space="preserve"> i silného přílivu osob z Ukrajiny na tuzemský pracovní trh klesal v některých klíčových odvětvích</w:t>
            </w:r>
            <w:r w:rsidRPr="00A60C4D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podíl</w:t>
            </w:r>
            <w:r w:rsidRPr="00A60C4D">
              <w:rPr>
                <w:color w:val="0D0D0D" w:themeColor="text1" w:themeTint="F2"/>
                <w:spacing w:val="-4"/>
              </w:rPr>
              <w:t xml:space="preserve"> podniků, pro něž představuje nedostatek pracovní síly jednu z </w:t>
            </w:r>
            <w:r>
              <w:rPr>
                <w:color w:val="0D0D0D" w:themeColor="text1" w:themeTint="F2"/>
                <w:spacing w:val="-4"/>
              </w:rPr>
              <w:t>významných růstových bariér – nejvíce v průmyslu. Na druhou stranu ve stavebnictví šlo stále o nejvýznamnější bariéru limitující zde zhruba polovinu firem.</w:t>
            </w:r>
          </w:p>
        </w:tc>
      </w:tr>
      <w:tr w:rsidR="00582A12" w:rsidRPr="00B43216" w14:paraId="1A3AD90B" w14:textId="77777777" w:rsidTr="00BA5125">
        <w:trPr>
          <w:trHeight w:val="155"/>
        </w:trPr>
        <w:tc>
          <w:tcPr>
            <w:tcW w:w="1754" w:type="dxa"/>
            <w:vMerge w:val="restart"/>
            <w:shd w:val="clear" w:color="auto" w:fill="auto"/>
            <w:tcMar>
              <w:left w:w="0" w:type="dxa"/>
            </w:tcMar>
          </w:tcPr>
          <w:p w14:paraId="3165B57C" w14:textId="77777777" w:rsidR="00582A12" w:rsidRPr="00B43216" w:rsidRDefault="00582A12" w:rsidP="00BA5125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 w:val="restart"/>
            <w:shd w:val="clear" w:color="auto" w:fill="auto"/>
            <w:tcMar>
              <w:left w:w="0" w:type="dxa"/>
            </w:tcMar>
          </w:tcPr>
          <w:p w14:paraId="25F02D31" w14:textId="77777777" w:rsidR="00582A12" w:rsidRPr="00B43216" w:rsidRDefault="00582A12" w:rsidP="00BA5125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0A026DCC" w14:textId="77777777" w:rsidR="00582A12" w:rsidRPr="00926D74" w:rsidRDefault="00582A12" w:rsidP="00BA5125">
            <w:pPr>
              <w:spacing w:after="0"/>
              <w:rPr>
                <w:b/>
                <w:spacing w:val="-2"/>
              </w:rPr>
            </w:pPr>
            <w:r w:rsidRPr="00926D74">
              <w:rPr>
                <w:b/>
                <w:spacing w:val="-2"/>
              </w:rPr>
              <w:t>Graf č. 1</w:t>
            </w:r>
            <w:r>
              <w:rPr>
                <w:b/>
                <w:spacing w:val="-2"/>
              </w:rPr>
              <w:t>5</w:t>
            </w:r>
            <w:r w:rsidRPr="00926D74">
              <w:rPr>
                <w:b/>
                <w:spacing w:val="-2"/>
              </w:rPr>
              <w:t xml:space="preserve"> </w:t>
            </w:r>
            <w:r w:rsidRPr="00926D74">
              <w:rPr>
                <w:rFonts w:cs="Arial"/>
                <w:b/>
                <w:spacing w:val="-2"/>
              </w:rPr>
              <w:t xml:space="preserve">Obecná míra nezaměstnanosti </w:t>
            </w:r>
            <w:r w:rsidRPr="00926D74">
              <w:rPr>
                <w:rFonts w:cs="Arial"/>
                <w:bCs/>
                <w:spacing w:val="-2"/>
              </w:rPr>
              <w:t>(v %, věk 15 až 64 let)</w:t>
            </w:r>
            <w:r w:rsidRPr="00926D74">
              <w:rPr>
                <w:rFonts w:cs="Arial"/>
                <w:b/>
                <w:spacing w:val="-2"/>
              </w:rPr>
              <w:t xml:space="preserve">, ekonomicky neaktivní </w:t>
            </w:r>
            <w:r>
              <w:rPr>
                <w:rFonts w:cs="Arial"/>
                <w:b/>
                <w:spacing w:val="-2"/>
              </w:rPr>
              <w:t xml:space="preserve">osoby </w:t>
            </w:r>
            <w:r w:rsidRPr="00926D74">
              <w:rPr>
                <w:rFonts w:cs="Arial"/>
                <w:b/>
                <w:spacing w:val="-2"/>
              </w:rPr>
              <w:t>chtějící pracovat</w:t>
            </w:r>
            <w:r>
              <w:rPr>
                <w:rFonts w:cs="Arial"/>
                <w:b/>
                <w:spacing w:val="-2"/>
              </w:rPr>
              <w:t>*</w:t>
            </w:r>
            <w:r w:rsidRPr="00926D74">
              <w:rPr>
                <w:rFonts w:cs="Arial"/>
                <w:b/>
                <w:spacing w:val="-2"/>
              </w:rPr>
              <w:t xml:space="preserve"> </w:t>
            </w:r>
            <w:r>
              <w:rPr>
                <w:rFonts w:cs="Arial"/>
                <w:bCs/>
                <w:spacing w:val="-2"/>
              </w:rPr>
              <w:t>(v tis.)</w:t>
            </w:r>
            <w:r w:rsidRPr="00926D74">
              <w:rPr>
                <w:rFonts w:cs="Arial"/>
                <w:b/>
                <w:bCs/>
                <w:spacing w:val="-2"/>
              </w:rPr>
              <w:t xml:space="preserve">, volná pracovní místa </w:t>
            </w:r>
            <w:r>
              <w:rPr>
                <w:rFonts w:cs="Arial"/>
                <w:bCs/>
                <w:spacing w:val="-2"/>
              </w:rPr>
              <w:t>(v</w:t>
            </w:r>
            <w:r w:rsidRPr="00926D74">
              <w:rPr>
                <w:rFonts w:cs="Arial"/>
                <w:bCs/>
                <w:spacing w:val="-2"/>
              </w:rPr>
              <w:t xml:space="preserve"> tis.) </w:t>
            </w:r>
            <w:r w:rsidRPr="00926D74">
              <w:rPr>
                <w:rFonts w:cs="Arial"/>
                <w:b/>
                <w:bCs/>
                <w:spacing w:val="-2"/>
              </w:rPr>
              <w:t>a</w:t>
            </w:r>
            <w:r w:rsidRPr="00926D74">
              <w:rPr>
                <w:rFonts w:cs="Arial"/>
                <w:bCs/>
                <w:spacing w:val="-2"/>
              </w:rPr>
              <w:t xml:space="preserve"> </w:t>
            </w:r>
            <w:r w:rsidRPr="00926D74">
              <w:rPr>
                <w:rFonts w:cs="Arial"/>
                <w:b/>
                <w:bCs/>
                <w:spacing w:val="-2"/>
              </w:rPr>
              <w:t xml:space="preserve">očekávání </w:t>
            </w:r>
            <w:r>
              <w:rPr>
                <w:rFonts w:cs="Arial"/>
                <w:b/>
                <w:bCs/>
                <w:spacing w:val="-2"/>
              </w:rPr>
              <w:t xml:space="preserve">vývoje </w:t>
            </w:r>
            <w:r w:rsidRPr="00926D74">
              <w:rPr>
                <w:rFonts w:cs="Arial"/>
                <w:b/>
                <w:bCs/>
                <w:spacing w:val="-2"/>
              </w:rPr>
              <w:t>nezaměst</w:t>
            </w:r>
            <w:r>
              <w:rPr>
                <w:rFonts w:cs="Arial"/>
                <w:b/>
                <w:bCs/>
                <w:spacing w:val="-2"/>
              </w:rPr>
              <w:t>nanosti ze strany</w:t>
            </w:r>
            <w:r w:rsidRPr="00926D74">
              <w:rPr>
                <w:rFonts w:cs="Arial"/>
                <w:b/>
                <w:bCs/>
                <w:spacing w:val="-2"/>
              </w:rPr>
              <w:t> domácností</w:t>
            </w:r>
            <w:r w:rsidRPr="00926D74">
              <w:rPr>
                <w:rFonts w:cs="Arial"/>
                <w:bCs/>
                <w:spacing w:val="-2"/>
              </w:rPr>
              <w:t xml:space="preserve"> (v p. b.)**</w:t>
            </w:r>
          </w:p>
        </w:tc>
      </w:tr>
      <w:tr w:rsidR="00582A12" w:rsidRPr="00B43216" w14:paraId="7D341FDA" w14:textId="77777777" w:rsidTr="00BA5125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54" w:type="dxa"/>
            <w:vMerge/>
            <w:shd w:val="clear" w:color="auto" w:fill="auto"/>
          </w:tcPr>
          <w:p w14:paraId="5EA53BBC" w14:textId="77777777" w:rsidR="00582A12" w:rsidRPr="00B43216" w:rsidRDefault="00582A12" w:rsidP="00BA5125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</w:tcPr>
          <w:p w14:paraId="03F172BE" w14:textId="77777777" w:rsidR="00582A12" w:rsidRPr="00B43216" w:rsidRDefault="00582A12" w:rsidP="00BA5125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</w:tcPr>
          <w:p w14:paraId="60CB9586" w14:textId="77777777" w:rsidR="00582A12" w:rsidRPr="00B43216" w:rsidRDefault="00582A12" w:rsidP="00BA5125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0E5A6784" wp14:editId="3D41EDC6">
                  <wp:extent cx="4726940" cy="3603172"/>
                  <wp:effectExtent l="0" t="0" r="0" b="0"/>
                  <wp:docPr id="29" name="Graf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582A12" w:rsidRPr="00B43216" w14:paraId="2AD8BFA1" w14:textId="77777777" w:rsidTr="00BA5125">
        <w:trPr>
          <w:trHeight w:val="132"/>
        </w:trPr>
        <w:tc>
          <w:tcPr>
            <w:tcW w:w="1754" w:type="dxa"/>
            <w:vMerge/>
            <w:shd w:val="clear" w:color="auto" w:fill="auto"/>
            <w:tcMar>
              <w:left w:w="0" w:type="dxa"/>
            </w:tcMar>
          </w:tcPr>
          <w:p w14:paraId="53B6D6CB" w14:textId="77777777" w:rsidR="00582A12" w:rsidRPr="00B43216" w:rsidRDefault="00582A12" w:rsidP="00BA5125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left w:w="0" w:type="dxa"/>
            </w:tcMar>
          </w:tcPr>
          <w:p w14:paraId="285B1977" w14:textId="77777777" w:rsidR="00582A12" w:rsidRPr="00B43216" w:rsidRDefault="00582A12" w:rsidP="00BA512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49ECBD67" w14:textId="77777777" w:rsidR="00582A12" w:rsidRPr="00D94F3D" w:rsidRDefault="00582A12" w:rsidP="00BA5125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Pozn.: Míry nezaměstnanosti jsou sezónně očištěny</w:t>
            </w:r>
            <w:r w:rsidRPr="00D94F3D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. VPM = volná pracovní místa (stav na konci čtvrtletí)</w:t>
            </w:r>
          </w:p>
          <w:p w14:paraId="1A2AE3B9" w14:textId="77777777" w:rsidR="00582A12" w:rsidRDefault="00582A12" w:rsidP="00BA5125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4E68B1"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Jde o osoby, které nepracují, aktivně práci nehledají,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 ale přitom uvádějí, že by chtěly pracovat.</w:t>
            </w:r>
          </w:p>
          <w:p w14:paraId="7A6EF8BC" w14:textId="77777777" w:rsidR="00582A12" w:rsidRDefault="00582A12" w:rsidP="00BA5125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**Sezónně očištěné saldo očekávání nezaměstnanosti v nejbližších 12 měsících (rozdíl mezi procentuální četností odpovědí domácností, růst a pokles vyjádřený v procentních bodech). Vztahuje se k prostřednímu měsíci daného čtvrtletí.</w:t>
            </w:r>
          </w:p>
          <w:p w14:paraId="0E493DE9" w14:textId="77777777" w:rsidR="00582A12" w:rsidRPr="00485ED5" w:rsidRDefault="00582A12" w:rsidP="00BA5125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průzkum), MPSV (volná pracovní místa registrovaná na úřadech práce v ČR)</w:t>
            </w:r>
          </w:p>
        </w:tc>
      </w:tr>
      <w:tr w:rsidR="00582A12" w:rsidRPr="00016778" w14:paraId="2866EE10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583C4EDD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Obecná míra nezaměstnanosti se mírně zvyšovala. V lednu 2024 dosáhla nejvýše za poslední dva a půl roku.</w:t>
            </w:r>
          </w:p>
          <w:p w14:paraId="1CAA6A26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50B702EE" w14:textId="77777777" w:rsidR="00582A12" w:rsidRPr="00016778" w:rsidRDefault="00582A12" w:rsidP="00BA5125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17F8371C" w14:textId="77777777" w:rsidR="00582A12" w:rsidRPr="005D046D" w:rsidRDefault="00582A12" w:rsidP="00BA5125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733696">
              <w:rPr>
                <w:color w:val="0D0D0D" w:themeColor="text1" w:themeTint="F2"/>
                <w:spacing w:val="-6"/>
              </w:rPr>
              <w:t>Obecná míra nezaměstnanosti</w:t>
            </w:r>
            <w:r w:rsidRPr="00733696">
              <w:rPr>
                <w:rStyle w:val="Znakapoznpodarou"/>
                <w:color w:val="0D0D0D" w:themeColor="text1" w:themeTint="F2"/>
                <w:spacing w:val="-6"/>
              </w:rPr>
              <w:footnoteReference w:id="13"/>
            </w:r>
            <w:r w:rsidRPr="00733696">
              <w:rPr>
                <w:color w:val="0D0D0D" w:themeColor="text1" w:themeTint="F2"/>
                <w:spacing w:val="-6"/>
              </w:rPr>
              <w:t xml:space="preserve">, která </w:t>
            </w:r>
            <w:r>
              <w:rPr>
                <w:color w:val="0D0D0D" w:themeColor="text1" w:themeTint="F2"/>
                <w:spacing w:val="-6"/>
              </w:rPr>
              <w:t xml:space="preserve">po většinu </w:t>
            </w:r>
            <w:r w:rsidRPr="00CA570D">
              <w:rPr>
                <w:color w:val="0D0D0D" w:themeColor="text1" w:themeTint="F2"/>
                <w:spacing w:val="-6"/>
              </w:rPr>
              <w:t xml:space="preserve">roku </w:t>
            </w:r>
            <w:r>
              <w:rPr>
                <w:color w:val="0D0D0D" w:themeColor="text1" w:themeTint="F2"/>
                <w:spacing w:val="-6"/>
              </w:rPr>
              <w:t xml:space="preserve">2022 </w:t>
            </w:r>
            <w:r w:rsidRPr="00CA570D">
              <w:rPr>
                <w:color w:val="0D0D0D" w:themeColor="text1" w:themeTint="F2"/>
                <w:spacing w:val="-6"/>
              </w:rPr>
              <w:t>stagnovala blíz</w:t>
            </w:r>
            <w:r>
              <w:rPr>
                <w:color w:val="0D0D0D" w:themeColor="text1" w:themeTint="F2"/>
                <w:spacing w:val="-6"/>
              </w:rPr>
              <w:t>ko historického minima, se vloni začala mírně</w:t>
            </w:r>
            <w:r w:rsidRPr="00CA570D">
              <w:rPr>
                <w:color w:val="0D0D0D" w:themeColor="text1" w:themeTint="F2"/>
                <w:spacing w:val="-6"/>
              </w:rPr>
              <w:t xml:space="preserve"> zvyšovat. </w:t>
            </w:r>
            <w:r>
              <w:rPr>
                <w:color w:val="0D0D0D" w:themeColor="text1" w:themeTint="F2"/>
                <w:spacing w:val="-6"/>
              </w:rPr>
              <w:t>Tento trend pokračoval i na počátku letošního roku. V únoru</w:t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 xml:space="preserve"> činila nezaměstnanost </w:t>
            </w:r>
            <w:r w:rsidRPr="00CA570D">
              <w:rPr>
                <w:rStyle w:val="normaltextrun"/>
                <w:rFonts w:eastAsia="MS Gothic" w:cs="Arial"/>
                <w:spacing w:val="-6"/>
                <w:szCs w:val="20"/>
              </w:rPr>
              <w:t>rovná 3 %</w:t>
            </w:r>
            <w:r w:rsidRPr="00CA570D">
              <w:rPr>
                <w:rStyle w:val="Znakapoznpodarou"/>
                <w:color w:val="0D0D0D" w:themeColor="text1" w:themeTint="F2"/>
                <w:spacing w:val="-6"/>
              </w:rPr>
              <w:footnoteReference w:id="14"/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 xml:space="preserve"> (nejvíce za poslední dva a půl roku), u </w:t>
            </w:r>
            <w:r>
              <w:rPr>
                <w:rStyle w:val="normaltextrun"/>
                <w:rFonts w:eastAsia="MS Gothic" w:cs="Arial"/>
                <w:szCs w:val="20"/>
              </w:rPr>
              <w:t xml:space="preserve">mužů </w:t>
            </w:r>
            <w:r w:rsidRPr="00E16EF6">
              <w:rPr>
                <w:rStyle w:val="normaltextrun"/>
                <w:rFonts w:eastAsia="MS Gothic" w:cs="Arial"/>
                <w:spacing w:val="-4"/>
                <w:szCs w:val="20"/>
              </w:rPr>
              <w:t>2,5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 </w:t>
            </w:r>
            <w:r w:rsidRPr="00E16EF6">
              <w:rPr>
                <w:rStyle w:val="normaltextrun"/>
                <w:rFonts w:eastAsia="MS Gothic" w:cs="Arial"/>
                <w:spacing w:val="-4"/>
                <w:szCs w:val="20"/>
              </w:rPr>
              <w:t>% a žen 3,6 %. Nezaměstnanost mírně vzrostla meziměsíčně (+0,2 p. b.) i</w:t>
            </w:r>
            <w:r w:rsidRPr="00E16EF6">
              <w:rPr>
                <w:color w:val="0D0D0D" w:themeColor="text1" w:themeTint="F2"/>
                <w:spacing w:val="-4"/>
              </w:rPr>
              <w:t> </w:t>
            </w:r>
            <w:r w:rsidRPr="00E16EF6">
              <w:rPr>
                <w:rStyle w:val="normaltextrun"/>
                <w:rFonts w:eastAsia="MS Gothic" w:cs="Arial"/>
                <w:spacing w:val="-4"/>
                <w:szCs w:val="20"/>
              </w:rPr>
              <w:t>meziročně</w:t>
            </w:r>
            <w:r>
              <w:rPr>
                <w:rStyle w:val="normaltextrun"/>
                <w:rFonts w:eastAsia="MS Gothic" w:cs="Arial"/>
                <w:szCs w:val="20"/>
              </w:rPr>
              <w:t xml:space="preserve"> </w:t>
            </w:r>
            <w:r>
              <w:rPr>
                <w:rStyle w:val="normaltextrun"/>
                <w:rFonts w:eastAsia="MS Gothic" w:cs="Arial"/>
                <w:szCs w:val="20"/>
              </w:rPr>
              <w:lastRenderedPageBreak/>
              <w:t xml:space="preserve">(+0,4 p. b.), srovnatelně u mužů i žen. Rychleji se zvyšoval počet dlouhodobě </w:t>
            </w:r>
            <w:r w:rsidRPr="00E16EF6">
              <w:rPr>
                <w:rStyle w:val="normaltextrun"/>
                <w:rFonts w:eastAsia="MS Gothic" w:cs="Arial"/>
                <w:spacing w:val="-4"/>
                <w:szCs w:val="20"/>
              </w:rPr>
              <w:t>nezaměstnaných (na meziročním přírůstku všech nezaměstnaných osob se ve 4.</w:t>
            </w:r>
            <w:r w:rsidRPr="00E16EF6">
              <w:rPr>
                <w:color w:val="0D0D0D" w:themeColor="text1" w:themeTint="F2"/>
                <w:spacing w:val="-4"/>
              </w:rPr>
              <w:t> </w:t>
            </w:r>
            <w:r w:rsidRPr="00E16EF6">
              <w:rPr>
                <w:rStyle w:val="normaltextrun"/>
                <w:rFonts w:eastAsia="MS Gothic" w:cs="Arial"/>
                <w:spacing w:val="-4"/>
                <w:szCs w:val="20"/>
              </w:rPr>
              <w:t>čtvrtletí</w:t>
            </w:r>
            <w:r>
              <w:rPr>
                <w:rStyle w:val="normaltextrun"/>
                <w:rFonts w:eastAsia="MS Gothic" w:cs="Arial"/>
                <w:szCs w:val="20"/>
              </w:rPr>
              <w:t xml:space="preserve"> 2023 podílel více než polovinou), a to zejména mužů, což může souviset s obtížnou situací v průmyslu. Z celkového počtu nezaměstnaných (133 tis.) však tvořili lidé, kteří byli bez práce déle než rok, stále méně než třetinu (srovnatelně jako v roce 2019).</w:t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 xml:space="preserve"> 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Také údaje o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80765E">
              <w:rPr>
                <w:color w:val="0D0D0D" w:themeColor="text1" w:themeTint="F2"/>
                <w:spacing w:val="-4"/>
              </w:rPr>
              <w:t>uchazečích</w:t>
            </w:r>
            <w:r>
              <w:rPr>
                <w:color w:val="0D0D0D" w:themeColor="text1" w:themeTint="F2"/>
                <w:spacing w:val="-4"/>
              </w:rPr>
              <w:t xml:space="preserve"> o zaměstnání registrovaných na úřadech práce (ÚP) naznačují mírné ochlazení na pracovním trhu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5"/>
            </w:r>
            <w:r>
              <w:rPr>
                <w:color w:val="0D0D0D" w:themeColor="text1" w:themeTint="F2"/>
                <w:spacing w:val="-4"/>
              </w:rPr>
              <w:t>. To podtrhuje i fakt, že po celý loňský rok meziročně narůstala velikost potenciální pracovní</w:t>
            </w:r>
            <w:r w:rsidRPr="004B20D0">
              <w:rPr>
                <w:color w:val="0D0D0D" w:themeColor="text1" w:themeTint="F2"/>
                <w:spacing w:val="-4"/>
              </w:rPr>
              <w:t xml:space="preserve"> rezerv</w:t>
            </w:r>
            <w:r>
              <w:rPr>
                <w:color w:val="0D0D0D" w:themeColor="text1" w:themeTint="F2"/>
                <w:spacing w:val="-4"/>
              </w:rPr>
              <w:t>y</w:t>
            </w:r>
            <w:r w:rsidRPr="004B20D0">
              <w:rPr>
                <w:color w:val="0D0D0D" w:themeColor="text1" w:themeTint="F2"/>
                <w:spacing w:val="-4"/>
              </w:rPr>
              <w:t xml:space="preserve"> – počet ekonomicky neaktivních práci nehledaj</w:t>
            </w:r>
            <w:r>
              <w:rPr>
                <w:color w:val="0D0D0D" w:themeColor="text1" w:themeTint="F2"/>
                <w:spacing w:val="-4"/>
              </w:rPr>
              <w:t>ících, ale chtějících pracovat přesáhl ve 4. čtvrtletí 80 tisíc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6"/>
            </w:r>
            <w:r>
              <w:rPr>
                <w:color w:val="0D0D0D" w:themeColor="text1" w:themeTint="F2"/>
                <w:spacing w:val="-4"/>
              </w:rPr>
              <w:t xml:space="preserve">. </w:t>
            </w:r>
          </w:p>
        </w:tc>
      </w:tr>
      <w:tr w:rsidR="00582A12" w:rsidRPr="00016778" w14:paraId="069EFD2E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0FC79AD5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lastRenderedPageBreak/>
              <w:t xml:space="preserve">Počet volných pracovních míst v ekonomice se mírně snižoval. </w:t>
            </w:r>
          </w:p>
          <w:p w14:paraId="778B87A3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3EDF6323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1AEB1759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47EB7ECF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306C9DFF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51F60E76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5"/>
              </w:rPr>
              <w:t>Obavy lidí z vývoje nezaměstnanosti po většinu loňského roku slábly.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795A200" w14:textId="77777777" w:rsidR="00582A12" w:rsidRPr="00016778" w:rsidRDefault="00582A12" w:rsidP="00BA5125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7274D1BC" w14:textId="77777777" w:rsidR="00582A12" w:rsidRPr="005D046D" w:rsidRDefault="00582A12" w:rsidP="00BA5125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4B20D0">
              <w:rPr>
                <w:color w:val="0D0D0D" w:themeColor="text1" w:themeTint="F2"/>
                <w:spacing w:val="-4"/>
              </w:rPr>
              <w:t xml:space="preserve">Počet volných pracovních míst v nabídce ÚP </w:t>
            </w:r>
            <w:r>
              <w:rPr>
                <w:color w:val="0D0D0D" w:themeColor="text1" w:themeTint="F2"/>
                <w:spacing w:val="-4"/>
              </w:rPr>
              <w:t>meziročně klesá již více než 1,5 roku. Na konci ledna</w:t>
            </w:r>
            <w:r w:rsidRPr="004B20D0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bylo evidováno 267 tis. míst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7"/>
            </w:r>
            <w:r>
              <w:rPr>
                <w:color w:val="0D0D0D" w:themeColor="text1" w:themeTint="F2"/>
                <w:spacing w:val="-4"/>
              </w:rPr>
              <w:t xml:space="preserve">, meziročně o 5 % méně (nabídka míst druhý měsíc v řadě převýšila počet </w:t>
            </w:r>
            <w:r w:rsidRPr="004B20D0">
              <w:rPr>
                <w:color w:val="0D0D0D" w:themeColor="text1" w:themeTint="F2"/>
                <w:spacing w:val="-4"/>
              </w:rPr>
              <w:t>registrovaných uchazečů</w:t>
            </w:r>
            <w:r>
              <w:rPr>
                <w:color w:val="0D0D0D" w:themeColor="text1" w:themeTint="F2"/>
                <w:spacing w:val="-4"/>
              </w:rPr>
              <w:t xml:space="preserve"> o práci). Za poklesem stály hlavně nízkokvalifikované pozice, relativně nejvíce ovšem ubylo míst pro středoškoláky – bez maturity (o 13,4 %) i s maturitou (o 11,7 %). Naopak počet míst pro uchazeče s terciárním vzděláním meziročně stagnoval (na 14,9 tis.). Z pohledu kvalifikačních tříd zaměstnání měl pokles volných míst spíše</w:t>
            </w:r>
            <w:r w:rsidRPr="001359C0">
              <w:rPr>
                <w:color w:val="0D0D0D" w:themeColor="text1" w:themeTint="F2"/>
                <w:spacing w:val="-4"/>
              </w:rPr>
              <w:t xml:space="preserve"> plošný charakter.</w:t>
            </w:r>
            <w:r>
              <w:rPr>
                <w:b/>
                <w:color w:val="0D0D0D" w:themeColor="text1" w:themeTint="F2"/>
                <w:spacing w:val="-4"/>
              </w:rPr>
              <w:t xml:space="preserve"> </w:t>
            </w:r>
            <w:r w:rsidRPr="001359C0">
              <w:rPr>
                <w:color w:val="0D0D0D" w:themeColor="text1" w:themeTint="F2"/>
                <w:spacing w:val="-4"/>
              </w:rPr>
              <w:t xml:space="preserve">Obavy lidí z růstu nezaměstnanosti (vyjádřené v rámci konjunkturálních šetření) se navzdory slabému výkonu ekonomiky od počátku loňského roku snižovaly. Teprve na přelomu let 2023 a 2024 se mírně zvýšily, zůstaly však zhruba na úrovni dlouhodobého průměru. </w:t>
            </w:r>
          </w:p>
        </w:tc>
      </w:tr>
      <w:tr w:rsidR="00582A12" w:rsidRPr="00016778" w14:paraId="3548EEEC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1C638622" w14:textId="77777777" w:rsidR="00582A12" w:rsidRPr="00735561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Růst průměrných mezd během roku zvolňoval, což souviselo s přetrvávajícím slabým výkonem ekonomiky. 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311D9793" w14:textId="77777777" w:rsidR="00582A12" w:rsidRPr="00016778" w:rsidRDefault="00582A12" w:rsidP="00BA5125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574CB858" w14:textId="77777777" w:rsidR="00582A12" w:rsidRPr="00735561" w:rsidRDefault="00582A12" w:rsidP="00BA5125">
            <w:pPr>
              <w:spacing w:after="200"/>
              <w:rPr>
                <w:rFonts w:cs="Arial"/>
                <w:color w:val="0D0D0D" w:themeColor="text1" w:themeTint="F2"/>
                <w:spacing w:val="-4"/>
                <w:szCs w:val="20"/>
              </w:rPr>
            </w:pPr>
            <w:r w:rsidRPr="005D046D">
              <w:rPr>
                <w:color w:val="0D0D0D" w:themeColor="text1" w:themeTint="F2"/>
                <w:spacing w:val="-4"/>
              </w:rPr>
              <w:t xml:space="preserve">Průměrná hrubá </w:t>
            </w:r>
            <w:r>
              <w:rPr>
                <w:color w:val="0D0D0D" w:themeColor="text1" w:themeTint="F2"/>
                <w:spacing w:val="-4"/>
              </w:rPr>
              <w:t xml:space="preserve">nominální </w:t>
            </w:r>
            <w:r w:rsidRPr="005D046D">
              <w:rPr>
                <w:color w:val="0D0D0D" w:themeColor="text1" w:themeTint="F2"/>
                <w:spacing w:val="-4"/>
              </w:rPr>
              <w:t>mzda (na zaměstnance, při zohlednění délky úvazku) vystoupala loni ve 4. čtvrtletí na 46,0 tis. korun</w:t>
            </w:r>
            <w:r w:rsidRPr="005D046D">
              <w:rPr>
                <w:rFonts w:cs="Arial"/>
                <w:color w:val="0D0D0D" w:themeColor="text1" w:themeTint="F2"/>
                <w:spacing w:val="-4"/>
                <w:szCs w:val="20"/>
              </w:rPr>
              <w:t>. Meziročně vzrostla o 6,3 %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,</w:t>
            </w:r>
            <w:r w:rsidRPr="005D046D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mzdové tempo během loňského roku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plynule </w:t>
            </w:r>
            <w:r w:rsidRPr="005D046D">
              <w:rPr>
                <w:rFonts w:cs="Arial"/>
                <w:color w:val="0D0D0D" w:themeColor="text1" w:themeTint="F2"/>
                <w:spacing w:val="-4"/>
                <w:szCs w:val="20"/>
              </w:rPr>
              <w:t>mírně ochabovalo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(v 1. čtvrtletí činilo 8,8 %)</w:t>
            </w:r>
            <w:r w:rsidRPr="005D046D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.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Sezónně o</w:t>
            </w:r>
            <w:r w:rsidRPr="005D046D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čištěná mzda </w:t>
            </w:r>
            <w:r w:rsidRPr="00E16EF6">
              <w:rPr>
                <w:rFonts w:cs="Arial"/>
                <w:color w:val="0D0D0D" w:themeColor="text1" w:themeTint="F2"/>
                <w:spacing w:val="-5"/>
                <w:szCs w:val="20"/>
              </w:rPr>
              <w:t xml:space="preserve">byla mezikvartálně vyšší o 1,5 %, i zde je během loňska patrné lehké zpomalování související s přetrvávajícím slabým výkonem ekonomiky doprovázeným nárůstem nezaměstnanosti. </w:t>
            </w:r>
            <w:r>
              <w:t xml:space="preserve">Mzdový růst v </w:t>
            </w:r>
            <w:r w:rsidRPr="00E2395C">
              <w:rPr>
                <w:color w:val="0D0D0D" w:themeColor="text1" w:themeTint="F2"/>
              </w:rPr>
              <w:t xml:space="preserve">ekonomice tlumila i sílící </w:t>
            </w:r>
            <w:r>
              <w:t>potřeba úspor v rozpočtové sféře</w:t>
            </w:r>
            <w:r>
              <w:rPr>
                <w:rStyle w:val="Znakapoznpodarou"/>
                <w:spacing w:val="-5"/>
              </w:rPr>
              <w:footnoteReference w:id="18"/>
            </w:r>
            <w:r>
              <w:t>, střídmější navyšování minimálních mezd</w:t>
            </w:r>
            <w:r>
              <w:rPr>
                <w:rStyle w:val="Znakapoznpodarou"/>
                <w:spacing w:val="-5"/>
              </w:rPr>
              <w:footnoteReference w:id="19"/>
            </w:r>
            <w:r>
              <w:t xml:space="preserve"> i rostoucí počet zahraničních pracovníků ze „třetích zemí“. Ti nezřídka pracují na nízkokvalifikovaných pozicích a jejich výdělky tudíž </w:t>
            </w:r>
            <w:r w:rsidRPr="00DA5C07">
              <w:rPr>
                <w:spacing w:val="-2"/>
              </w:rPr>
              <w:t xml:space="preserve">zpravidla nedosahují úrovně občanů ČR. Naopak ve směru růstu nominální mzdy stále působila dosud relativně vysoká poptávka podniků po pracovní síle v některých odvětvích </w:t>
            </w:r>
            <w:r>
              <w:rPr>
                <w:spacing w:val="-2"/>
              </w:rPr>
              <w:t>č</w:t>
            </w:r>
            <w:r w:rsidRPr="00DA5C07">
              <w:rPr>
                <w:spacing w:val="-2"/>
              </w:rPr>
              <w:t xml:space="preserve">i zvýšený tlak zaměstnanců (pramenící </w:t>
            </w:r>
            <w:r>
              <w:rPr>
                <w:spacing w:val="-2"/>
              </w:rPr>
              <w:t>také</w:t>
            </w:r>
            <w:r w:rsidRPr="00DA5C07">
              <w:rPr>
                <w:spacing w:val="-2"/>
              </w:rPr>
              <w:t xml:space="preserve"> z napjatých rodinných rozpočtů vlivem doznívajícího vysokého růstu cen některých základních položek spotřebního koše).</w:t>
            </w:r>
          </w:p>
        </w:tc>
      </w:tr>
      <w:tr w:rsidR="00582A12" w:rsidRPr="001E4B77" w14:paraId="3F42C245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4A029D3D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Pokles reálné mzdy byl svou hloubkou i délkou unikátní. Aktuální výše mzdy odpovídala reálně úrovni z 1. čtvrtletí 2018.</w:t>
            </w:r>
          </w:p>
          <w:p w14:paraId="61570E44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3CB3020" w14:textId="77777777" w:rsidR="00582A12" w:rsidRPr="001E4B77" w:rsidRDefault="00582A12" w:rsidP="00BA5125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05022B46" w14:textId="77777777" w:rsidR="00582A12" w:rsidRPr="00173DE0" w:rsidRDefault="00582A12" w:rsidP="00BA5125">
            <w:pPr>
              <w:pStyle w:val="paragraph"/>
              <w:spacing w:before="0" w:beforeAutospacing="0" w:after="200" w:afterAutospacing="0" w:line="276" w:lineRule="auto"/>
              <w:jc w:val="both"/>
              <w:textAlignment w:val="baseline"/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</w:pPr>
            <w:r w:rsidRPr="00E2395C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S ohledem na dezinflační tendence v ekonomice se meziroční pokles kupní síly průměrné mzdy během loňského roku mírnil, když ve 4. čtvrtletí činil pouze 1,2 %. Kupní síla výdělků ovšem meziročně klesla již devátý kvartál v řadě. Bezprecedentní je kromě délky i celková hloubka poklesu za toto období (blížila se 10 %). V mezičtvrtletním pohledu však po většinu loňského roku již docházelo k růstu kupní síly mezd, neboť cenová hladina se v tomto pohledu již stabilizovala. I tak výše reálné mzdy (po sezónním oči</w:t>
            </w:r>
            <w:r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 xml:space="preserve">štění) ve 4. čtvrtletí 2023 </w:t>
            </w:r>
            <w:r w:rsidRPr="00E2395C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odpovídala pouze úrovni z 1. čtvrtletí 2018, podobné lze ovšem říct také u analogického srovnání reálné produktivity práce (při vyjádření na zaměstnanou osobu)</w:t>
            </w:r>
            <w:r w:rsidRPr="00E2395C">
              <w:rPr>
                <w:rStyle w:val="Znakapoznpodarou"/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footnoteReference w:id="20"/>
            </w:r>
            <w:r w:rsidRPr="00E2395C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.</w:t>
            </w:r>
            <w:r w:rsidRPr="00E2395C">
              <w:rPr>
                <w:rFonts w:ascii="Arial" w:hAnsi="Arial" w:cs="Arial"/>
                <w:spacing w:val="-4"/>
                <w:sz w:val="20"/>
                <w:szCs w:val="20"/>
              </w:rPr>
              <w:t xml:space="preserve"> Mzdový vývoj </w:t>
            </w:r>
            <w:r w:rsidRPr="00F46437">
              <w:rPr>
                <w:rFonts w:ascii="Arial" w:hAnsi="Arial" w:cs="Arial"/>
                <w:spacing w:val="-6"/>
                <w:sz w:val="20"/>
                <w:szCs w:val="20"/>
              </w:rPr>
              <w:t xml:space="preserve">po </w:t>
            </w:r>
            <w:r w:rsidRPr="00F46437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většinu roku 2023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představoval rozhodující</w:t>
            </w:r>
            <w:r w:rsidRPr="00F46437">
              <w:rPr>
                <w:rFonts w:ascii="Arial" w:hAnsi="Arial" w:cs="Arial"/>
                <w:spacing w:val="-5"/>
                <w:sz w:val="20"/>
                <w:szCs w:val="20"/>
              </w:rPr>
              <w:t xml:space="preserve"> faktor snížení celkové kupní síly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tuzemských domácností</w:t>
            </w:r>
            <w:r w:rsidRPr="00F46437">
              <w:rPr>
                <w:rStyle w:val="Znakapoznpodarou"/>
                <w:rFonts w:ascii="Arial" w:hAnsi="Arial" w:cs="Arial"/>
                <w:spacing w:val="-5"/>
                <w:sz w:val="20"/>
                <w:szCs w:val="20"/>
              </w:rPr>
              <w:footnoteReference w:id="21"/>
            </w:r>
            <w:r w:rsidRPr="00F4643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</w:tr>
      <w:tr w:rsidR="00582A12" w:rsidRPr="001E4B77" w14:paraId="50EC88DB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7F23A07D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 xml:space="preserve">Ve 4. čtvrtletí rostly mzdy relativně nejvíce v ubytování, stravování a pohostinství, absolutně nejvíce pak v oblasti IT. </w:t>
            </w:r>
          </w:p>
          <w:p w14:paraId="14D0C9EF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8DF864E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23025D2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C27A7B5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85989FF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E0FBACC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C7E2908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3EF8FABD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70B7EE9D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Mzdová distribuce se po celý loňský rok mírně rozšiřovala.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5B49E196" w14:textId="77777777" w:rsidR="00582A12" w:rsidRPr="001E4B77" w:rsidRDefault="00582A12" w:rsidP="00BA5125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3C602EB4" w14:textId="77777777" w:rsidR="00582A12" w:rsidRPr="0032675C" w:rsidRDefault="00582A12" w:rsidP="00BA5125">
            <w:pPr>
              <w:pStyle w:val="paragraph"/>
              <w:spacing w:before="0" w:beforeAutospacing="0" w:after="200" w:afterAutospacing="0" w:line="276" w:lineRule="auto"/>
              <w:jc w:val="both"/>
              <w:textAlignment w:val="baseline"/>
              <w:rPr>
                <w:rFonts w:ascii="Arial" w:eastAsia="MS Gothic" w:hAnsi="Arial"/>
                <w:spacing w:val="-5"/>
                <w:sz w:val="20"/>
                <w:szCs w:val="20"/>
              </w:rPr>
            </w:pPr>
            <w:r w:rsidRPr="00173DE0"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  <w:t>Relativně nejvíce si v průměru loni ve 4. čtvrtletí polepšili zaměstnanci v odvětví ubytování, stravování a pohostinství (+10,1 % meziročně), v absolutním vyjádření se ale jejich mzdy nominálně zvýšily pomaleji než v celé ekonomice. Svižně, nad úrovní inflace, vzrostly výdělky ještě v informačních a komunikačních činnostech</w:t>
            </w:r>
            <w:r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  <w:t xml:space="preserve"> (+8,7 %), dopravě a skladování </w:t>
            </w:r>
            <w:r w:rsidRPr="00173DE0"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  <w:t xml:space="preserve">(+8,1 %), </w:t>
            </w:r>
            <w:r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  <w:t xml:space="preserve">v </w:t>
            </w:r>
            <w:r w:rsidRPr="00173DE0"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  <w:t xml:space="preserve">některých nezpracovatelských průmyslových </w:t>
            </w:r>
            <w:r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  <w:t>odvětvích – především v těžbě a</w:t>
            </w:r>
            <w:r w:rsidRPr="00E16EF6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 </w:t>
            </w:r>
            <w:r w:rsidRPr="00173DE0">
              <w:rPr>
                <w:rStyle w:val="normaltextrun"/>
                <w:rFonts w:ascii="Arial" w:eastAsia="MS Gothic" w:hAnsi="Arial" w:cs="Arial"/>
                <w:spacing w:val="-4"/>
                <w:sz w:val="20"/>
                <w:szCs w:val="20"/>
              </w:rPr>
              <w:t xml:space="preserve">dobývání (+10,3 %) a v rámci větších zpracovatelských oborů jen ve výrobě elektrických zařízení (+10,7 %). 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Podprůměrně (od 3,9 do 6,1 %) rostly mzdy v odvětvích veřejných služeb, v administrativních a podpůrných činnostech, v oblas</w:t>
            </w:r>
            <w:r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 xml:space="preserve">ti nemovitostí, ve stavebnictví 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 xml:space="preserve">a v primárním sektoru zemědělství a lesnictví. Nejméně (o 0,3 %) </w:t>
            </w:r>
            <w:r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se pak zvýšily průměrné výdělky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 xml:space="preserve"> v malém různorodém odvětví ostatních služeb (zahrnující zejmén</w:t>
            </w:r>
            <w:r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a profesní svazy a odbory, ale také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 xml:space="preserve"> osobní služby pro domácnosti), relativně svižně zde ale rostla zaměstnanost.</w:t>
            </w:r>
            <w:r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69602A">
              <w:rPr>
                <w:rFonts w:ascii="Arial" w:eastAsia="MS Gothic" w:hAnsi="Arial"/>
                <w:spacing w:val="-5"/>
                <w:sz w:val="20"/>
                <w:szCs w:val="20"/>
              </w:rPr>
              <w:t>Medián mezd se ve 4. čtvrtletí zvýšil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o rovných 6 % (na 39,7 tis.</w:t>
            </w:r>
            <w:r w:rsidRPr="0069602A"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 korun měsíčně).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 D</w:t>
            </w:r>
            <w:r w:rsidRPr="0069602A">
              <w:rPr>
                <w:rFonts w:ascii="Arial" w:eastAsia="MS Gothic" w:hAnsi="Arial"/>
                <w:spacing w:val="-5"/>
                <w:sz w:val="20"/>
                <w:szCs w:val="20"/>
              </w:rPr>
              <w:t>olní mzdový decil meziročně narostl o 5,5 %, horní decil o 6,6 %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. </w:t>
            </w:r>
            <w:r w:rsidRPr="0069602A"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Mzdová distribuce se 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tak </w:t>
            </w:r>
            <w:r w:rsidRPr="0069602A"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mírně 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>rozšířila, což platilo rovněž v předchozí části loňského roku.</w:t>
            </w:r>
          </w:p>
        </w:tc>
      </w:tr>
      <w:tr w:rsidR="00582A12" w:rsidRPr="001E4B77" w14:paraId="13F8834B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1D4B0EC1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Absolutně i relativně vzrostla za loňský rok mzda nejvíce v energetice, a to i díky výplatě mimořádných odměn na počátku roku.</w:t>
            </w:r>
          </w:p>
          <w:p w14:paraId="6381C9BE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52570BE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862E006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54390618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Podprůměrný růst mezd nastal v obchodě, stavebnictví i některých </w:t>
            </w:r>
            <w:r w:rsidRPr="0032675C">
              <w:rPr>
                <w:color w:val="0D0D0D" w:themeColor="text1" w:themeTint="F2"/>
                <w:spacing w:val="-6"/>
              </w:rPr>
              <w:t>oborech zpracovatelského</w:t>
            </w:r>
            <w:r>
              <w:rPr>
                <w:color w:val="0D0D0D" w:themeColor="text1" w:themeTint="F2"/>
                <w:spacing w:val="-4"/>
              </w:rPr>
              <w:t xml:space="preserve"> průmyslu.</w:t>
            </w:r>
          </w:p>
          <w:p w14:paraId="2AAB9E3D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14E243A2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47495D8A" w14:textId="77777777" w:rsidR="00582A12" w:rsidRDefault="00582A12" w:rsidP="00BA5125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Velmi nízký mzdový růst ve vzdělávání pokračoval druhý rok v řadě.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496601B" w14:textId="77777777" w:rsidR="00582A12" w:rsidRPr="001E4B77" w:rsidRDefault="00582A12" w:rsidP="00BA5125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77F1D801" w14:textId="77777777" w:rsidR="00582A12" w:rsidRPr="00E228BC" w:rsidRDefault="00582A12" w:rsidP="00BA5125">
            <w:pPr>
              <w:pStyle w:val="paragraph"/>
              <w:spacing w:before="0" w:beforeAutospacing="0" w:after="200" w:afterAutospacing="0" w:line="276" w:lineRule="auto"/>
              <w:jc w:val="both"/>
              <w:textAlignment w:val="baseline"/>
              <w:rPr>
                <w:rFonts w:ascii="Arial" w:eastAsia="MS Gothic" w:hAnsi="Arial"/>
                <w:spacing w:val="-5"/>
                <w:sz w:val="20"/>
                <w:szCs w:val="20"/>
              </w:rPr>
            </w:pP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Za celý rok 2023 dosáhla průměrná měsíční mzda 43,3 tis. korun. Přestože její meziroční růst byl nejvyšší za poslední čtyři roky (+7,5 %), reálně si l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oni zaměstnanci pohoršili o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 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2,9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 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%. Mzdový růst dokázal „porazit“ inflaci jen v malém a na kvalifikační požadavky náročném odvětví energetiky</w:t>
            </w:r>
            <w:r w:rsidRPr="00856E0C">
              <w:rPr>
                <w:rStyle w:val="Znakapoznpodarou"/>
                <w:rFonts w:ascii="Arial" w:hAnsi="Arial" w:cs="Arial"/>
                <w:color w:val="0D0D0D" w:themeColor="text1" w:themeTint="F2"/>
                <w:spacing w:val="-2"/>
                <w:sz w:val="20"/>
                <w:szCs w:val="20"/>
              </w:rPr>
              <w:footnoteReference w:id="22"/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 (nominálně činil 14,1 %</w:t>
            </w:r>
            <w:r w:rsidRPr="00856E0C">
              <w:rPr>
                <w:rStyle w:val="Znakapoznpodarou"/>
                <w:rFonts w:ascii="Arial" w:hAnsi="Arial" w:cs="Arial"/>
                <w:spacing w:val="-2"/>
                <w:sz w:val="20"/>
                <w:szCs w:val="20"/>
              </w:rPr>
              <w:footnoteReference w:id="23"/>
            </w:r>
            <w:r w:rsidRPr="00856E0C">
              <w:rPr>
                <w:rFonts w:ascii="Arial" w:eastAsia="MS Gothic" w:hAnsi="Arial" w:cs="Arial"/>
                <w:spacing w:val="-2"/>
                <w:sz w:val="20"/>
                <w:szCs w:val="20"/>
              </w:rPr>
              <w:t>).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 Dosažená výše mezd zde zároveň převyšovala úroveň celé ekonomiky o 5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7 %. Mírně nad 10 % rostly mzdy 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v automobilovém a</w:t>
            </w:r>
            <w:r w:rsidRPr="00856E0C">
              <w:rPr>
                <w:rFonts w:ascii="Arial" w:hAnsi="Arial" w:cs="Arial"/>
                <w:color w:val="0D0D0D" w:themeColor="text1" w:themeTint="F2"/>
                <w:spacing w:val="-2"/>
                <w:sz w:val="20"/>
                <w:szCs w:val="20"/>
              </w:rPr>
              <w:t> 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elektrotechnickém průmyslu, jen 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nepatrně méně v těžbě a dobývání a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 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 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ubytování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,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 st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r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avování a pohostinství. Více než 8% rů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stu dosáhly výdělky v dopravě a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 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skladování, v oblasti nemovitostí a také v informačních a komunikačních činnostech – ty tak potvrdily v posledních letech obvyklou pozici odvětví s nejvyšší úrovní mezd (77,9 tis. korun). Mírně podprůměrný mzdový růst zaznamenaly stavebnictví (+6,7 %), některé energeticky náročné obory zpracovatelského průmyslu – např. výroba stavebních hmot (+6,1 %), dále obchod (+7,4 %), ale i finančnictví (+6,5 %). Z odvětví s významnou rolí státu</w:t>
            </w:r>
            <w:r w:rsidRPr="00856E0C">
              <w:rPr>
                <w:rStyle w:val="Znakapoznpodarou"/>
                <w:rFonts w:ascii="Arial" w:hAnsi="Arial" w:cs="Arial"/>
                <w:color w:val="0D0D0D" w:themeColor="text1" w:themeTint="F2"/>
                <w:spacing w:val="-2"/>
                <w:sz w:val="20"/>
                <w:szCs w:val="20"/>
              </w:rPr>
              <w:footnoteReference w:id="24"/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 rostly výdělky nejvíce ve veřejné správě a obraně (+7,5 %), nejméně ve vzdělávání (+4,3 %, v roce 2022 zde přitom fakticky stagnovaly). Výše mezd tak v tomto odvětví (43,2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 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tis. korun)</w:t>
            </w:r>
            <w:r w:rsidRPr="00856E0C">
              <w:rPr>
                <w:rStyle w:val="Znakapoznpodarou"/>
                <w:rFonts w:ascii="Arial" w:eastAsia="MS Gothic" w:hAnsi="Arial"/>
                <w:spacing w:val="-2"/>
                <w:sz w:val="20"/>
                <w:szCs w:val="20"/>
              </w:rPr>
              <w:footnoteReference w:id="25"/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 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dosáhla 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pouze 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úrovně národního hospodářství. Nejméně si v průměru polepšili pracovníci v ostatních službách (+3  %), nízké 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mzdové 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tempo lze vysvětlit výrazným oživení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m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 xml:space="preserve"> zaměstnanosti (+6,9 %), k němuž zde loni došlo poprvé od vzplanutí pandemie. Mezi kraji vzrostla loni celková mzda nejméně v Praze (+6,6 %). I tak si udržela nejvyšší hladinu mezi regiony (53,3 tis. korun). Naopak nejvíce se v</w:t>
            </w:r>
            <w:r>
              <w:rPr>
                <w:rFonts w:ascii="Arial" w:eastAsia="MS Gothic" w:hAnsi="Arial"/>
                <w:spacing w:val="-2"/>
                <w:sz w:val="20"/>
                <w:szCs w:val="20"/>
              </w:rPr>
              <w:t>ýdělky zvýšily v Ústeckém kraji (+8,3</w:t>
            </w:r>
            <w:r w:rsidRPr="00173DE0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> </w:t>
            </w:r>
            <w:r w:rsidRPr="00856E0C">
              <w:rPr>
                <w:rFonts w:ascii="Arial" w:eastAsia="MS Gothic" w:hAnsi="Arial"/>
                <w:spacing w:val="-2"/>
                <w:sz w:val="20"/>
                <w:szCs w:val="20"/>
              </w:rPr>
              <w:t>%). Mírně podprůměrně vzrostly v Karlovarském kraji (+7,3 %), jehož mzdová úroveň patří dlouhodobě k nejnižším (loni činila 37,5 tis. korun</w:t>
            </w: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>).</w:t>
            </w:r>
          </w:p>
        </w:tc>
      </w:tr>
      <w:tr w:rsidR="00582A12" w:rsidRPr="00B43216" w14:paraId="3F542FF7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3FD1A17F" w14:textId="77777777" w:rsidR="00582A12" w:rsidRPr="00495960" w:rsidRDefault="00582A12" w:rsidP="00BA5125">
            <w:pPr>
              <w:pStyle w:val="Marginlie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Relativně vyšší růst mediánové mzdy loni nastal u řídících </w:t>
            </w:r>
            <w:r>
              <w:rPr>
                <w:color w:val="0D0D0D" w:themeColor="text1" w:themeTint="F2"/>
              </w:rPr>
              <w:lastRenderedPageBreak/>
              <w:t xml:space="preserve">pracovníků, ale také </w:t>
            </w:r>
            <w:r>
              <w:rPr>
                <w:color w:val="0D0D0D" w:themeColor="text1" w:themeTint="F2"/>
              </w:rPr>
              <w:br/>
              <w:t>u řemeslníků a opravářů.</w:t>
            </w: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82D6963" w14:textId="77777777" w:rsidR="00582A12" w:rsidRPr="00495960" w:rsidRDefault="00582A12" w:rsidP="00BA5125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3130FC84" w14:textId="77777777" w:rsidR="00582A12" w:rsidRPr="008E7AE5" w:rsidRDefault="00582A12" w:rsidP="00BA5125">
            <w:pPr>
              <w:pStyle w:val="paragraph"/>
              <w:spacing w:before="0" w:beforeAutospacing="0" w:after="200" w:afterAutospacing="0" w:line="276" w:lineRule="auto"/>
              <w:jc w:val="both"/>
              <w:textAlignment w:val="baseline"/>
              <w:rPr>
                <w:rFonts w:ascii="Arial" w:eastAsia="MS Gothic" w:hAnsi="Arial"/>
                <w:spacing w:val="-5"/>
                <w:sz w:val="20"/>
                <w:szCs w:val="20"/>
              </w:rPr>
            </w:pP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>Mzdový medián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se dle předběžných údajů za celý loňský rok</w:t>
            </w: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 zvýšil o 6,4 %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(bez významnějších rozdílů mezi muži a ženami</w:t>
            </w:r>
            <w:r>
              <w:rPr>
                <w:rStyle w:val="Znakapoznpodarou"/>
                <w:rFonts w:ascii="Arial" w:hAnsi="Arial"/>
                <w:spacing w:val="-5"/>
                <w:sz w:val="20"/>
                <w:szCs w:val="20"/>
              </w:rPr>
              <w:footnoteReference w:id="26"/>
            </w:r>
            <w:r>
              <w:rPr>
                <w:rFonts w:ascii="Arial" w:hAnsi="Arial"/>
                <w:spacing w:val="-5"/>
                <w:sz w:val="20"/>
                <w:szCs w:val="20"/>
              </w:rPr>
              <w:t>)</w:t>
            </w: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. Více rostl u 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vedoucích a řídících pracovníků </w:t>
            </w: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>(+7,2 %), ale i v kategoriích řemeslníci a opraváři či obsluha strojů a zařízení (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shodně 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lastRenderedPageBreak/>
              <w:t>o</w:t>
            </w:r>
            <w:r w:rsidRPr="00710970">
              <w:rPr>
                <w:rFonts w:ascii="Arial" w:eastAsia="MS Gothic" w:hAnsi="Arial"/>
                <w:spacing w:val="-5"/>
                <w:sz w:val="20"/>
                <w:szCs w:val="20"/>
              </w:rPr>
              <w:t> 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>7,1</w:t>
            </w:r>
            <w:r w:rsidRPr="00710970">
              <w:rPr>
                <w:rFonts w:ascii="Arial" w:eastAsia="MS Gothic" w:hAnsi="Arial"/>
                <w:spacing w:val="-5"/>
                <w:sz w:val="20"/>
                <w:szCs w:val="20"/>
              </w:rPr>
              <w:t> </w:t>
            </w: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>%). Specialistům se mzda zvýšila o 5,2 %, i vlivem podprůměrného růstu v odvětvích s dominancí státu. Mezi početněji zastoupenými skupinami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 cizinců pracujících v Česku</w:t>
            </w: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 měli loni tradičně nejvyšší mediánovou mzdu Slováci (43,9 tis. korun měsíčně), Ukrajinci pobírali jen 30,3 tis. korun, ale jejich mzda vzrostla meziročně více (+8,6 %). Zaměstnanci s českým občanstvím si </w:t>
            </w:r>
            <w:r>
              <w:rPr>
                <w:rFonts w:ascii="Arial" w:eastAsia="MS Gothic" w:hAnsi="Arial"/>
                <w:spacing w:val="-5"/>
                <w:sz w:val="20"/>
                <w:szCs w:val="20"/>
              </w:rPr>
              <w:t xml:space="preserve">pak </w:t>
            </w:r>
            <w:r w:rsidRPr="001A303A">
              <w:rPr>
                <w:rFonts w:ascii="Arial" w:eastAsia="MS Gothic" w:hAnsi="Arial"/>
                <w:spacing w:val="-5"/>
                <w:sz w:val="20"/>
                <w:szCs w:val="20"/>
              </w:rPr>
              <w:t>vydělali 39,8 tis. korun.</w:t>
            </w:r>
          </w:p>
        </w:tc>
      </w:tr>
      <w:tr w:rsidR="00582A12" w:rsidRPr="00716203" w14:paraId="2E7B023A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1BC0F2AC" w14:textId="77777777" w:rsidR="00582A12" w:rsidRPr="00A90A79" w:rsidRDefault="00582A12" w:rsidP="00BA5125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542A5F17" w14:textId="77777777" w:rsidR="00582A12" w:rsidRPr="00B43216" w:rsidRDefault="00582A12" w:rsidP="00BA512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788ECE71" w14:textId="77777777" w:rsidR="00582A12" w:rsidRDefault="00582A12" w:rsidP="00BA5125">
            <w:pPr>
              <w:spacing w:after="0"/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</w:pP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>Graf č. 1</w:t>
            </w:r>
            <w:r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>6</w:t>
            </w: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 xml:space="preserve"> Průměrná nominální i reálná mzda a produktivita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</w:t>
            </w: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>práce</w:t>
            </w:r>
          </w:p>
          <w:p w14:paraId="1992C422" w14:textId="77777777" w:rsidR="00582A12" w:rsidRPr="00282974" w:rsidRDefault="00582A12" w:rsidP="00BA5125">
            <w:pPr>
              <w:spacing w:after="0"/>
              <w:rPr>
                <w:b/>
                <w:spacing w:val="-2"/>
              </w:rPr>
            </w:pP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>(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roční úhrny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,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meziroční změna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v %)</w:t>
            </w:r>
          </w:p>
        </w:tc>
      </w:tr>
      <w:tr w:rsidR="00582A12" w:rsidRPr="003E01D3" w14:paraId="28486296" w14:textId="77777777" w:rsidTr="00BA5125">
        <w:tblPrEx>
          <w:tblCellMar>
            <w:left w:w="70" w:type="dxa"/>
            <w:right w:w="70" w:type="dxa"/>
          </w:tblCellMar>
        </w:tblPrEx>
        <w:trPr>
          <w:trHeight w:val="132"/>
        </w:trPr>
        <w:tc>
          <w:tcPr>
            <w:tcW w:w="1754" w:type="dxa"/>
            <w:shd w:val="clear" w:color="auto" w:fill="auto"/>
          </w:tcPr>
          <w:p w14:paraId="4011358D" w14:textId="77777777" w:rsidR="00582A12" w:rsidRPr="00A90A79" w:rsidRDefault="00582A12" w:rsidP="00BA5125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shd w:val="clear" w:color="auto" w:fill="auto"/>
          </w:tcPr>
          <w:p w14:paraId="6F402AD3" w14:textId="77777777" w:rsidR="00582A12" w:rsidRPr="00B43216" w:rsidRDefault="00582A12" w:rsidP="00BA512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</w:tcPr>
          <w:p w14:paraId="0BB7E13C" w14:textId="77777777" w:rsidR="00582A12" w:rsidRPr="00A90A79" w:rsidRDefault="00582A12" w:rsidP="00BA5125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54B8EF6" wp14:editId="5EB83886">
                  <wp:extent cx="4794389" cy="3752850"/>
                  <wp:effectExtent l="0" t="0" r="6350" b="0"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582A12" w:rsidRPr="00F6560A" w14:paraId="0983E531" w14:textId="77777777" w:rsidTr="00BA5125">
        <w:trPr>
          <w:trHeight w:val="132"/>
        </w:trPr>
        <w:tc>
          <w:tcPr>
            <w:tcW w:w="1754" w:type="dxa"/>
            <w:shd w:val="clear" w:color="auto" w:fill="auto"/>
            <w:tcMar>
              <w:left w:w="0" w:type="dxa"/>
            </w:tcMar>
          </w:tcPr>
          <w:p w14:paraId="7BFAD946" w14:textId="77777777" w:rsidR="00582A12" w:rsidRPr="00A90A79" w:rsidRDefault="00582A12" w:rsidP="00BA5125">
            <w:pPr>
              <w:pStyle w:val="Marginlie"/>
              <w:rPr>
                <w:spacing w:val="-4"/>
              </w:rPr>
            </w:pPr>
          </w:p>
        </w:tc>
        <w:tc>
          <w:tcPr>
            <w:tcW w:w="220" w:type="dxa"/>
            <w:shd w:val="clear" w:color="auto" w:fill="auto"/>
            <w:tcMar>
              <w:left w:w="0" w:type="dxa"/>
            </w:tcMar>
          </w:tcPr>
          <w:p w14:paraId="616E48E4" w14:textId="77777777" w:rsidR="00582A12" w:rsidRPr="00B43216" w:rsidRDefault="00582A12" w:rsidP="00BA512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00" w:type="dxa"/>
            <w:shd w:val="clear" w:color="auto" w:fill="auto"/>
            <w:tcMar>
              <w:left w:w="0" w:type="dxa"/>
            </w:tcMar>
          </w:tcPr>
          <w:p w14:paraId="5EEF3369" w14:textId="77777777" w:rsidR="00582A12" w:rsidRDefault="00582A12" w:rsidP="00BA5125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*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Zahrnuj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e odvětví s významnou rolí vládního sektoru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: Veřejná správa a obrana, povinné sociální zabezpečení; Vzdělávání; Zdravotní a sociální péče; Kulturn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í, zábavní a rekreační činnosti.</w:t>
            </w:r>
          </w:p>
          <w:p w14:paraId="19942228" w14:textId="77777777" w:rsidR="00582A12" w:rsidRDefault="00582A12" w:rsidP="00BA5125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**Vyjadřuje HDP (ve stálých cenách) vztažený na 1 pracovníka (ve fyzických osobách) </w:t>
            </w:r>
          </w:p>
          <w:p w14:paraId="62EF184B" w14:textId="77777777" w:rsidR="00582A12" w:rsidRPr="00A90A79" w:rsidRDefault="00582A12" w:rsidP="00BA5125">
            <w:pPr>
              <w:spacing w:after="20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 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Zdroj: ČSÚ</w:t>
            </w:r>
          </w:p>
        </w:tc>
      </w:tr>
    </w:tbl>
    <w:p w14:paraId="23FC4A84" w14:textId="77777777" w:rsidR="00582A12" w:rsidRPr="00DF0187" w:rsidRDefault="00582A12" w:rsidP="00582A12">
      <w:pPr>
        <w:pStyle w:val="Nadpis11"/>
        <w:spacing w:after="120"/>
        <w:rPr>
          <w:b w:val="0"/>
          <w:sz w:val="2"/>
          <w:szCs w:val="2"/>
        </w:rPr>
      </w:pPr>
    </w:p>
    <w:p w14:paraId="1D8862AB" w14:textId="76466BE8" w:rsidR="00582A12" w:rsidRDefault="00582A12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</w:rPr>
      </w:pPr>
      <w:bookmarkStart w:id="3" w:name="_GoBack"/>
      <w:bookmarkEnd w:id="1"/>
      <w:bookmarkEnd w:id="2"/>
      <w:bookmarkEnd w:id="3"/>
    </w:p>
    <w:sectPr w:rsidR="00582A12" w:rsidSect="00291368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737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F5B6" w14:textId="77777777" w:rsidR="00E25CCA" w:rsidRDefault="00E25CCA" w:rsidP="00E71A58">
      <w:r>
        <w:separator/>
      </w:r>
    </w:p>
  </w:endnote>
  <w:endnote w:type="continuationSeparator" w:id="0">
    <w:p w14:paraId="4C4161C0" w14:textId="77777777" w:rsidR="00E25CCA" w:rsidRDefault="00E25CC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63B425F1" w:rsidR="00BA5125" w:rsidRPr="00932443" w:rsidRDefault="00BA5125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91368">
      <w:rPr>
        <w:szCs w:val="16"/>
      </w:rPr>
      <w:t>38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3F58F8CD" w:rsidR="00BA5125" w:rsidRPr="00932443" w:rsidRDefault="00BA5125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91368">
      <w:rPr>
        <w:rStyle w:val="ZpatChar"/>
        <w:szCs w:val="16"/>
      </w:rPr>
      <w:t>37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10A4" w14:textId="77777777" w:rsidR="00E25CCA" w:rsidRDefault="00E25CCA" w:rsidP="00A21B4D">
      <w:pPr>
        <w:spacing w:after="0"/>
      </w:pPr>
      <w:r>
        <w:separator/>
      </w:r>
    </w:p>
  </w:footnote>
  <w:footnote w:type="continuationSeparator" w:id="0">
    <w:p w14:paraId="1592CFC2" w14:textId="77777777" w:rsidR="00E25CCA" w:rsidRDefault="00E25CCA" w:rsidP="00E71A58">
      <w:r>
        <w:continuationSeparator/>
      </w:r>
    </w:p>
  </w:footnote>
  <w:footnote w:id="1">
    <w:p w14:paraId="5C5D5F9E" w14:textId="77777777" w:rsidR="00BA5125" w:rsidRPr="00F72E52" w:rsidRDefault="00BA5125" w:rsidP="00582A12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F72E52">
        <w:rPr>
          <w:color w:val="0D0D0D" w:themeColor="text1" w:themeTint="F2"/>
          <w:spacing w:val="-2"/>
          <w:sz w:val="16"/>
          <w:szCs w:val="16"/>
        </w:rPr>
        <w:t xml:space="preserve"> Údaje </w:t>
      </w:r>
      <w:r>
        <w:rPr>
          <w:color w:val="0D0D0D" w:themeColor="text1" w:themeTint="F2"/>
          <w:spacing w:val="-2"/>
          <w:sz w:val="16"/>
          <w:szCs w:val="16"/>
        </w:rPr>
        <w:t xml:space="preserve">o zaměstnanosti </w:t>
      </w:r>
      <w:r w:rsidRPr="00F72E52">
        <w:rPr>
          <w:color w:val="0D0D0D" w:themeColor="text1" w:themeTint="F2"/>
          <w:spacing w:val="-2"/>
          <w:sz w:val="16"/>
          <w:szCs w:val="16"/>
        </w:rPr>
        <w:t>vycház</w:t>
      </w:r>
      <w:r>
        <w:rPr>
          <w:color w:val="0D0D0D" w:themeColor="text1" w:themeTint="F2"/>
          <w:spacing w:val="-2"/>
          <w:sz w:val="16"/>
          <w:szCs w:val="16"/>
        </w:rPr>
        <w:t>ej</w:t>
      </w:r>
      <w:r w:rsidRPr="00F72E52">
        <w:rPr>
          <w:color w:val="0D0D0D" w:themeColor="text1" w:themeTint="F2"/>
          <w:spacing w:val="-2"/>
          <w:sz w:val="16"/>
          <w:szCs w:val="16"/>
        </w:rPr>
        <w:t>í z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pojetí národních účtů. Jsou vyjádřeny ve fyzických osobách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očištěny o sezónní vlivy.</w:t>
      </w:r>
      <w:r>
        <w:rPr>
          <w:color w:val="0D0D0D" w:themeColor="text1" w:themeTint="F2"/>
          <w:spacing w:val="-2"/>
          <w:sz w:val="16"/>
          <w:szCs w:val="16"/>
        </w:rPr>
        <w:t xml:space="preserve"> Na rozdíl od údajů z podnikové statistiky či z </w:t>
      </w:r>
      <w:r w:rsidRPr="00946AFA">
        <w:rPr>
          <w:sz w:val="16"/>
          <w:szCs w:val="16"/>
        </w:rPr>
        <w:t xml:space="preserve">výběrového šetření pracovních sil </w:t>
      </w:r>
      <w:r>
        <w:rPr>
          <w:sz w:val="16"/>
          <w:szCs w:val="16"/>
        </w:rPr>
        <w:t>(VŠPS) zahrnují např. i odhad vlivu šedé ekonomiky.</w:t>
      </w:r>
    </w:p>
  </w:footnote>
  <w:footnote w:id="2">
    <w:p w14:paraId="052A22AB" w14:textId="77777777" w:rsidR="00BA5125" w:rsidRPr="00F202F4" w:rsidRDefault="00BA5125" w:rsidP="00582A12">
      <w:pPr>
        <w:pStyle w:val="Textpoznpodarou"/>
        <w:rPr>
          <w:sz w:val="16"/>
          <w:szCs w:val="16"/>
        </w:rPr>
      </w:pPr>
      <w:r w:rsidRPr="00F202F4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 E</w:t>
      </w:r>
      <w:r w:rsidRPr="00F202F4">
        <w:rPr>
          <w:sz w:val="16"/>
          <w:szCs w:val="16"/>
        </w:rPr>
        <w:t xml:space="preserve">U i samotné eurozóně mírný růst celkové zaměstnanosti </w:t>
      </w:r>
      <w:r>
        <w:rPr>
          <w:sz w:val="16"/>
          <w:szCs w:val="16"/>
        </w:rPr>
        <w:t xml:space="preserve">loni </w:t>
      </w:r>
      <w:r w:rsidRPr="00F202F4">
        <w:rPr>
          <w:sz w:val="16"/>
          <w:szCs w:val="16"/>
        </w:rPr>
        <w:t>pokračoval (ve 3. čtvrtletí činil mezikvartálně 0,2 %</w:t>
      </w:r>
      <w:r>
        <w:rPr>
          <w:sz w:val="16"/>
          <w:szCs w:val="16"/>
        </w:rPr>
        <w:t xml:space="preserve">, ve 4. čtvrtletí </w:t>
      </w:r>
      <w:r w:rsidRPr="00B71BED">
        <w:rPr>
          <w:spacing w:val="-2"/>
          <w:sz w:val="16"/>
          <w:szCs w:val="16"/>
        </w:rPr>
        <w:t>0,3</w:t>
      </w:r>
      <w:r w:rsidRPr="00B71BED">
        <w:rPr>
          <w:color w:val="0D0D0D" w:themeColor="text1" w:themeTint="F2"/>
          <w:spacing w:val="-2"/>
          <w:sz w:val="16"/>
          <w:szCs w:val="16"/>
        </w:rPr>
        <w:t> </w:t>
      </w:r>
      <w:r w:rsidRPr="00B71BED">
        <w:rPr>
          <w:spacing w:val="-2"/>
          <w:sz w:val="16"/>
          <w:szCs w:val="16"/>
        </w:rPr>
        <w:t>%). Horší výsledky průmyslu vyvažovaly služby – hlavně informační a komunikační činnosti, finančnictví a podnikové i veřejné služby.</w:t>
      </w:r>
    </w:p>
  </w:footnote>
  <w:footnote w:id="3">
    <w:p w14:paraId="3C80ADAC" w14:textId="77777777" w:rsidR="00BA5125" w:rsidRPr="00431D2B" w:rsidRDefault="00BA5125" w:rsidP="00582A12">
      <w:pPr>
        <w:pStyle w:val="Textpoznpodarou"/>
        <w:rPr>
          <w:sz w:val="16"/>
          <w:szCs w:val="16"/>
        </w:rPr>
      </w:pPr>
      <w:r w:rsidRPr="00431D2B">
        <w:rPr>
          <w:rStyle w:val="Znakapoznpodarou"/>
          <w:sz w:val="16"/>
          <w:szCs w:val="16"/>
        </w:rPr>
        <w:footnoteRef/>
      </w:r>
      <w:r w:rsidRPr="00431D2B">
        <w:rPr>
          <w:sz w:val="16"/>
          <w:szCs w:val="16"/>
        </w:rPr>
        <w:t xml:space="preserve"> </w:t>
      </w:r>
      <w:r w:rsidRPr="00C034B4">
        <w:rPr>
          <w:spacing w:val="-2"/>
          <w:sz w:val="16"/>
          <w:szCs w:val="16"/>
        </w:rPr>
        <w:t xml:space="preserve">Zaměstnanost v ČR tak rostla opět pomaleji než v EU. V celé Unii se loni počet pracovníků meziročně zvýšil o 1,2 %, z jednotlivých států pak nejvíce na Maltě (o 6,5 %), v Irsku (5,4 %), Estonsku a Španělsku (shodně o 3,2 %). Německo vykázalo podobný růst jako ČR (0,7 %). Poměrně slabý růst registrovaly i </w:t>
      </w:r>
      <w:r>
        <w:rPr>
          <w:spacing w:val="-2"/>
          <w:sz w:val="16"/>
          <w:szCs w:val="16"/>
        </w:rPr>
        <w:t xml:space="preserve">další středoevropské ekonomiky </w:t>
      </w:r>
      <w:r w:rsidRPr="00B71BED">
        <w:rPr>
          <w:spacing w:val="-2"/>
          <w:sz w:val="16"/>
          <w:szCs w:val="16"/>
        </w:rPr>
        <w:t>–</w:t>
      </w:r>
      <w:r w:rsidRPr="00C034B4">
        <w:rPr>
          <w:spacing w:val="-2"/>
          <w:sz w:val="16"/>
          <w:szCs w:val="16"/>
        </w:rPr>
        <w:t xml:space="preserve"> Slovensko (0,3 %),</w:t>
      </w:r>
      <w:r>
        <w:rPr>
          <w:spacing w:val="-2"/>
          <w:sz w:val="16"/>
          <w:szCs w:val="16"/>
        </w:rPr>
        <w:t xml:space="preserve"> Maďarsko</w:t>
      </w:r>
      <w:r w:rsidRPr="00C034B4">
        <w:rPr>
          <w:spacing w:val="-2"/>
          <w:sz w:val="16"/>
          <w:szCs w:val="16"/>
        </w:rPr>
        <w:t xml:space="preserve"> (0,2 %) a </w:t>
      </w:r>
      <w:r>
        <w:rPr>
          <w:spacing w:val="-2"/>
          <w:sz w:val="16"/>
          <w:szCs w:val="16"/>
        </w:rPr>
        <w:t>rovněž</w:t>
      </w:r>
      <w:r w:rsidRPr="00C034B4">
        <w:rPr>
          <w:spacing w:val="-2"/>
          <w:sz w:val="16"/>
          <w:szCs w:val="16"/>
        </w:rPr>
        <w:t xml:space="preserve"> Polsko (+0,1 %), kde ovšem počet pracovníků svižně rostl v roce 2022</w:t>
      </w:r>
      <w:r>
        <w:rPr>
          <w:spacing w:val="-2"/>
          <w:sz w:val="16"/>
          <w:szCs w:val="16"/>
        </w:rPr>
        <w:t xml:space="preserve"> (+3,9 %)</w:t>
      </w:r>
      <w:r w:rsidRPr="00C034B4">
        <w:rPr>
          <w:spacing w:val="-2"/>
          <w:sz w:val="16"/>
          <w:szCs w:val="16"/>
        </w:rPr>
        <w:t>. V Rumunsku, jako v jediné členské zemi, se loni zaměstnanost snížila (o 0,9 %).</w:t>
      </w:r>
    </w:p>
  </w:footnote>
  <w:footnote w:id="4">
    <w:p w14:paraId="2F937820" w14:textId="77777777" w:rsidR="00BA5125" w:rsidRDefault="00BA5125" w:rsidP="00582A12">
      <w:pPr>
        <w:pStyle w:val="Textpoznpodarou"/>
      </w:pPr>
      <w:r w:rsidRPr="00442EDD">
        <w:rPr>
          <w:rStyle w:val="Znakapoznpodarou"/>
          <w:sz w:val="16"/>
          <w:szCs w:val="16"/>
        </w:rPr>
        <w:footnoteRef/>
      </w:r>
      <w:r w:rsidRPr="00442EDD">
        <w:rPr>
          <w:sz w:val="16"/>
          <w:szCs w:val="16"/>
        </w:rPr>
        <w:t xml:space="preserve"> </w:t>
      </w:r>
      <w:r w:rsidRPr="00442EDD">
        <w:rPr>
          <w:spacing w:val="-2"/>
          <w:sz w:val="16"/>
          <w:szCs w:val="16"/>
        </w:rPr>
        <w:t>Zahrnují odvětví Veřejná správa a obrana, vzdělávání, zdravotní a sociální péče.</w:t>
      </w:r>
    </w:p>
  </w:footnote>
  <w:footnote w:id="5">
    <w:p w14:paraId="477438E5" w14:textId="77777777" w:rsidR="00BA5125" w:rsidRPr="00A85055" w:rsidRDefault="00BA5125" w:rsidP="00582A12">
      <w:pPr>
        <w:pStyle w:val="Textpoznpodarou"/>
        <w:rPr>
          <w:spacing w:val="-4"/>
          <w:sz w:val="16"/>
          <w:szCs w:val="16"/>
        </w:rPr>
      </w:pPr>
      <w:r w:rsidRPr="00A85055">
        <w:rPr>
          <w:rStyle w:val="Znakapoznpodarou"/>
          <w:spacing w:val="-6"/>
          <w:sz w:val="16"/>
          <w:szCs w:val="16"/>
        </w:rPr>
        <w:footnoteRef/>
      </w:r>
      <w:r w:rsidRPr="00A85055">
        <w:rPr>
          <w:spacing w:val="-6"/>
          <w:sz w:val="16"/>
          <w:szCs w:val="16"/>
        </w:rPr>
        <w:t xml:space="preserve"> Z podnikových statistik plyne, že ve výrobě ostatních nekovových minerálních výrobků se evidenční počet zaměstnanců meziročně snížil o 3,4</w:t>
      </w:r>
      <w:r w:rsidRPr="00A85055">
        <w:rPr>
          <w:color w:val="0D0D0D" w:themeColor="text1" w:themeTint="F2"/>
          <w:spacing w:val="-6"/>
          <w:sz w:val="16"/>
          <w:szCs w:val="16"/>
        </w:rPr>
        <w:t> </w:t>
      </w:r>
      <w:r w:rsidRPr="00A85055">
        <w:rPr>
          <w:spacing w:val="-6"/>
          <w:sz w:val="16"/>
          <w:szCs w:val="16"/>
        </w:rPr>
        <w:t>%.</w:t>
      </w:r>
      <w:r w:rsidRPr="00A85055">
        <w:rPr>
          <w:spacing w:val="-4"/>
          <w:sz w:val="16"/>
          <w:szCs w:val="16"/>
        </w:rPr>
        <w:t xml:space="preserve"> Mírnější pokles nastal i ve všech ostatních váhově významnějších průmyslových oborech, včetně výroby motorových vozidel (–0,4 %).</w:t>
      </w:r>
    </w:p>
  </w:footnote>
  <w:footnote w:id="6">
    <w:p w14:paraId="50B777CA" w14:textId="77777777" w:rsidR="00BA5125" w:rsidRPr="00946AFA" w:rsidRDefault="00BA5125" w:rsidP="00582A12">
      <w:pPr>
        <w:pStyle w:val="Textpoznpodarou"/>
        <w:rPr>
          <w:sz w:val="16"/>
          <w:szCs w:val="16"/>
        </w:rPr>
      </w:pPr>
      <w:r w:rsidRPr="00946AFA">
        <w:rPr>
          <w:rStyle w:val="Znakapoznpodarou"/>
          <w:sz w:val="16"/>
          <w:szCs w:val="16"/>
        </w:rPr>
        <w:footnoteRef/>
      </w:r>
      <w:r w:rsidRPr="00946AFA">
        <w:rPr>
          <w:sz w:val="16"/>
          <w:szCs w:val="16"/>
        </w:rPr>
        <w:t xml:space="preserve"> Z detailnějších </w:t>
      </w:r>
      <w:r>
        <w:rPr>
          <w:sz w:val="16"/>
          <w:szCs w:val="16"/>
        </w:rPr>
        <w:t xml:space="preserve">údajů z VŠPS </w:t>
      </w:r>
      <w:r w:rsidRPr="00946AFA">
        <w:rPr>
          <w:sz w:val="16"/>
          <w:szCs w:val="16"/>
        </w:rPr>
        <w:t>plyne, že počet zaměstnavatel</w:t>
      </w:r>
      <w:r>
        <w:rPr>
          <w:sz w:val="16"/>
          <w:szCs w:val="16"/>
        </w:rPr>
        <w:t>ů (podnikatelů se zaměstnanci) se loni meziročně nepatrně snížil (a</w:t>
      </w:r>
      <w:r w:rsidRPr="00B6005F">
        <w:rPr>
          <w:spacing w:val="-3"/>
          <w:sz w:val="16"/>
          <w:szCs w:val="16"/>
        </w:rPr>
        <w:t> </w:t>
      </w:r>
      <w:r>
        <w:rPr>
          <w:sz w:val="16"/>
          <w:szCs w:val="16"/>
        </w:rPr>
        <w:t>pokračoval tak v nepříznivém trendu trvajícím od roku 2019). Tato početně méně významná skupina podnikatelů je v metodice národních účtů řazena do kategorie zaměstnanců.</w:t>
      </w:r>
    </w:p>
  </w:footnote>
  <w:footnote w:id="7">
    <w:p w14:paraId="297B6EFB" w14:textId="77777777" w:rsidR="00BA5125" w:rsidRPr="00650B9F" w:rsidRDefault="00BA5125" w:rsidP="00582A12">
      <w:pPr>
        <w:pStyle w:val="Textpoznpodarou"/>
        <w:rPr>
          <w:sz w:val="16"/>
          <w:szCs w:val="16"/>
        </w:rPr>
      </w:pPr>
      <w:r w:rsidRPr="00650B9F">
        <w:rPr>
          <w:rStyle w:val="Znakapoznpodarou"/>
          <w:sz w:val="16"/>
          <w:szCs w:val="16"/>
        </w:rPr>
        <w:footnoteRef/>
      </w:r>
      <w:r w:rsidRPr="00650B9F">
        <w:rPr>
          <w:sz w:val="16"/>
          <w:szCs w:val="16"/>
        </w:rPr>
        <w:t xml:space="preserve"> </w:t>
      </w:r>
      <w:r>
        <w:rPr>
          <w:color w:val="0D0D0D" w:themeColor="text1" w:themeTint="F2"/>
          <w:spacing w:val="-4"/>
          <w:sz w:val="16"/>
          <w:szCs w:val="16"/>
        </w:rPr>
        <w:t>Ve zpracovatelském průmyslu a také v odvětví o</w:t>
      </w:r>
      <w:r w:rsidRPr="00715226">
        <w:rPr>
          <w:color w:val="0D0D0D" w:themeColor="text1" w:themeTint="F2"/>
          <w:spacing w:val="-4"/>
          <w:sz w:val="16"/>
          <w:szCs w:val="16"/>
        </w:rPr>
        <w:t>bchod, doprava, ubytování a pohostinství</w:t>
      </w:r>
      <w:r>
        <w:rPr>
          <w:color w:val="0D0D0D" w:themeColor="text1" w:themeTint="F2"/>
          <w:spacing w:val="-4"/>
          <w:sz w:val="16"/>
          <w:szCs w:val="16"/>
        </w:rPr>
        <w:t xml:space="preserve"> jich za poslední čtyři roky ubyla bezmála desetina. Naopak znatelně nad svou předkrizovou úrovní se nacházely počty sebezaměstnaných pouze v informačních a komunikačních činnostech (+10</w:t>
      </w:r>
      <w:r w:rsidRPr="00B6005F">
        <w:rPr>
          <w:spacing w:val="-3"/>
          <w:sz w:val="16"/>
          <w:szCs w:val="16"/>
        </w:rPr>
        <w:t> </w:t>
      </w:r>
      <w:r>
        <w:rPr>
          <w:color w:val="0D0D0D" w:themeColor="text1" w:themeTint="F2"/>
          <w:spacing w:val="-4"/>
          <w:sz w:val="16"/>
          <w:szCs w:val="16"/>
        </w:rPr>
        <w:t>%), mírně (do 2 %) potom ve stavebnictví a v oblasti nemovitostí.</w:t>
      </w:r>
    </w:p>
  </w:footnote>
  <w:footnote w:id="8">
    <w:p w14:paraId="7F5D4A8D" w14:textId="77777777" w:rsidR="00BA5125" w:rsidRPr="00536DA1" w:rsidRDefault="00BA5125" w:rsidP="00582A12">
      <w:pPr>
        <w:pStyle w:val="Textpoznpodarou"/>
        <w:rPr>
          <w:sz w:val="16"/>
          <w:szCs w:val="16"/>
        </w:rPr>
      </w:pPr>
      <w:r w:rsidRPr="00536DA1">
        <w:rPr>
          <w:rStyle w:val="Znakapoznpodarou"/>
          <w:sz w:val="16"/>
          <w:szCs w:val="16"/>
        </w:rPr>
        <w:footnoteRef/>
      </w:r>
      <w:r w:rsidRPr="00536DA1">
        <w:rPr>
          <w:sz w:val="16"/>
          <w:szCs w:val="16"/>
        </w:rPr>
        <w:t xml:space="preserve"> Mezi nimi se ve srovnání s cizinci v zaměstnaneckém postavení častěji vyskytují lidé v Česku dlouhodobě usazení</w:t>
      </w:r>
      <w:r>
        <w:rPr>
          <w:sz w:val="16"/>
          <w:szCs w:val="16"/>
        </w:rPr>
        <w:t xml:space="preserve"> (např. Vietnamci).</w:t>
      </w:r>
    </w:p>
  </w:footnote>
  <w:footnote w:id="9">
    <w:p w14:paraId="39020C58" w14:textId="77777777" w:rsidR="00BA5125" w:rsidRPr="00096AE5" w:rsidRDefault="00BA5125" w:rsidP="00582A12">
      <w:pPr>
        <w:pStyle w:val="Textpoznpodarou"/>
        <w:rPr>
          <w:sz w:val="16"/>
          <w:szCs w:val="16"/>
        </w:rPr>
      </w:pPr>
      <w:r w:rsidRPr="00096AE5">
        <w:rPr>
          <w:rStyle w:val="Znakapoznpodarou"/>
          <w:sz w:val="16"/>
          <w:szCs w:val="16"/>
        </w:rPr>
        <w:footnoteRef/>
      </w:r>
      <w:r w:rsidRPr="00096AE5">
        <w:rPr>
          <w:sz w:val="16"/>
          <w:szCs w:val="16"/>
        </w:rPr>
        <w:t xml:space="preserve"> Po odečtení všech ukrajinských občanů se </w:t>
      </w:r>
      <w:r>
        <w:rPr>
          <w:sz w:val="16"/>
          <w:szCs w:val="16"/>
        </w:rPr>
        <w:t xml:space="preserve">za </w:t>
      </w:r>
      <w:r w:rsidRPr="00096AE5">
        <w:rPr>
          <w:sz w:val="16"/>
          <w:szCs w:val="16"/>
        </w:rPr>
        <w:t>loňský rok zvýšil počet cizinců v postavení zaměstnan</w:t>
      </w:r>
      <w:r>
        <w:rPr>
          <w:sz w:val="16"/>
          <w:szCs w:val="16"/>
        </w:rPr>
        <w:t>ců o 15,0 tis. (v letech 2022 a</w:t>
      </w:r>
      <w:r w:rsidRPr="00B6005F">
        <w:rPr>
          <w:spacing w:val="-3"/>
          <w:sz w:val="16"/>
          <w:szCs w:val="16"/>
        </w:rPr>
        <w:t> </w:t>
      </w:r>
      <w:r w:rsidRPr="00096AE5">
        <w:rPr>
          <w:sz w:val="16"/>
          <w:szCs w:val="16"/>
        </w:rPr>
        <w:t>2021 pak o 16,7 tis., resp. 22,0 tis.).</w:t>
      </w:r>
      <w:r>
        <w:rPr>
          <w:sz w:val="16"/>
          <w:szCs w:val="16"/>
        </w:rPr>
        <w:t xml:space="preserve"> Růst u živnostníků činil za rok 2023 analogicky 3,2 tis. a rovněž v předchozích dvou letech se pohyboval mezi 3 a 4 tisíci.</w:t>
      </w:r>
    </w:p>
  </w:footnote>
  <w:footnote w:id="10">
    <w:p w14:paraId="1EA04F08" w14:textId="77777777" w:rsidR="00BA5125" w:rsidRPr="004F321F" w:rsidRDefault="00BA5125" w:rsidP="00582A12">
      <w:pPr>
        <w:pStyle w:val="Textpoznpodarou"/>
        <w:rPr>
          <w:sz w:val="16"/>
          <w:szCs w:val="16"/>
        </w:rPr>
      </w:pPr>
      <w:r w:rsidRPr="004F321F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D</w:t>
      </w:r>
      <w:r w:rsidRPr="004F321F">
        <w:rPr>
          <w:sz w:val="16"/>
          <w:szCs w:val="16"/>
        </w:rPr>
        <w:t>le údajů</w:t>
      </w:r>
      <w:r w:rsidRPr="00B04E9B">
        <w:rPr>
          <w:sz w:val="16"/>
          <w:szCs w:val="16"/>
        </w:rPr>
        <w:t xml:space="preserve"> z</w:t>
      </w:r>
      <w:r>
        <w:rPr>
          <w:sz w:val="16"/>
          <w:szCs w:val="16"/>
        </w:rPr>
        <w:t> VŠPS za 4. čtvrtletí 2023 pracovalo v ČR mezi ženami ve věku 15 a více let na zkrácené úvazky rekordních 13,7 %. To je meziročně o 1,7 p. b. více (spolu se Slovenskem jde o nejvýraznější nárůst v rámci EU). Zastoupení těchto úvazků v ČR je ovšem stále v evropském kontextu nízké. V EU dosahovalo (29,6 %), z toho v eurozóně (34,4 %).</w:t>
      </w:r>
    </w:p>
  </w:footnote>
  <w:footnote w:id="11">
    <w:p w14:paraId="0704AF31" w14:textId="77777777" w:rsidR="00BA5125" w:rsidRPr="002377B1" w:rsidRDefault="00BA5125" w:rsidP="00582A12">
      <w:pPr>
        <w:pStyle w:val="Textpoznpodarou"/>
        <w:rPr>
          <w:sz w:val="16"/>
          <w:szCs w:val="16"/>
        </w:rPr>
      </w:pPr>
      <w:r w:rsidRPr="002377B1">
        <w:rPr>
          <w:rStyle w:val="Znakapoznpodarou"/>
          <w:sz w:val="16"/>
          <w:szCs w:val="16"/>
        </w:rPr>
        <w:footnoteRef/>
      </w:r>
      <w:r w:rsidRPr="002377B1">
        <w:rPr>
          <w:sz w:val="16"/>
          <w:szCs w:val="16"/>
        </w:rPr>
        <w:t xml:space="preserve"> Jde o hrubý domácí produkt (ve stálých cenách roku 2015) na 1 hodinu </w:t>
      </w:r>
      <w:r>
        <w:rPr>
          <w:sz w:val="16"/>
          <w:szCs w:val="16"/>
        </w:rPr>
        <w:t>od</w:t>
      </w:r>
      <w:r w:rsidRPr="002377B1">
        <w:rPr>
          <w:sz w:val="16"/>
          <w:szCs w:val="16"/>
        </w:rPr>
        <w:t>pracovanou zaměstnanými osobami v celé ekonomice. Na úrovn</w:t>
      </w:r>
      <w:r>
        <w:rPr>
          <w:sz w:val="16"/>
          <w:szCs w:val="16"/>
        </w:rPr>
        <w:t>i</w:t>
      </w:r>
      <w:r w:rsidRPr="002377B1">
        <w:rPr>
          <w:sz w:val="16"/>
          <w:szCs w:val="16"/>
        </w:rPr>
        <w:t xml:space="preserve"> hlavních odvětví je místo HDP použita hrubá přidaná hodnota. </w:t>
      </w:r>
    </w:p>
  </w:footnote>
  <w:footnote w:id="12">
    <w:p w14:paraId="59C190A3" w14:textId="77777777" w:rsidR="00BA5125" w:rsidRPr="00A20936" w:rsidRDefault="00BA5125" w:rsidP="00582A12">
      <w:pPr>
        <w:pStyle w:val="Textpoznpodarou"/>
        <w:rPr>
          <w:color w:val="0D0D0D" w:themeColor="text1" w:themeTint="F2"/>
          <w:spacing w:val="-4"/>
          <w:sz w:val="16"/>
          <w:szCs w:val="16"/>
        </w:rPr>
      </w:pPr>
      <w:r w:rsidRPr="00A20936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 xml:space="preserve">Převažující negativní očekávání zaměstnanosti vyjádřily (dle šetření z února 2024) podniky ve dvou třetinách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průmyslových oborů – jak </w:t>
      </w:r>
      <w:r>
        <w:rPr>
          <w:color w:val="0D0D0D" w:themeColor="text1" w:themeTint="F2"/>
          <w:spacing w:val="-2"/>
          <w:sz w:val="16"/>
          <w:szCs w:val="16"/>
        </w:rPr>
        <w:t>v</w:t>
      </w:r>
      <w:r w:rsidRPr="002377B1">
        <w:rPr>
          <w:sz w:val="16"/>
          <w:szCs w:val="16"/>
        </w:rPr>
        <w:t> </w:t>
      </w:r>
      <w:r w:rsidRPr="00A20936">
        <w:rPr>
          <w:color w:val="0D0D0D" w:themeColor="text1" w:themeTint="F2"/>
          <w:spacing w:val="-2"/>
          <w:sz w:val="16"/>
          <w:szCs w:val="16"/>
        </w:rPr>
        <w:t>energeticky ná</w:t>
      </w:r>
      <w:r>
        <w:rPr>
          <w:color w:val="0D0D0D" w:themeColor="text1" w:themeTint="F2"/>
          <w:spacing w:val="-2"/>
          <w:sz w:val="16"/>
          <w:szCs w:val="16"/>
        </w:rPr>
        <w:t xml:space="preserve">ročných (hutnictví,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výroba stavebních materiálů, </w:t>
      </w:r>
      <w:r>
        <w:rPr>
          <w:color w:val="0D0D0D" w:themeColor="text1" w:themeTint="F2"/>
          <w:spacing w:val="-2"/>
          <w:sz w:val="16"/>
          <w:szCs w:val="16"/>
        </w:rPr>
        <w:t xml:space="preserve">kovodělný, </w:t>
      </w:r>
      <w:r w:rsidRPr="00A20936">
        <w:rPr>
          <w:color w:val="0D0D0D" w:themeColor="text1" w:themeTint="F2"/>
          <w:spacing w:val="-2"/>
          <w:sz w:val="16"/>
          <w:szCs w:val="16"/>
        </w:rPr>
        <w:t>ch</w:t>
      </w:r>
      <w:r>
        <w:rPr>
          <w:color w:val="0D0D0D" w:themeColor="text1" w:themeTint="F2"/>
          <w:spacing w:val="-2"/>
          <w:sz w:val="16"/>
          <w:szCs w:val="16"/>
        </w:rPr>
        <w:t xml:space="preserve">emický a papírenský průmysl), tak ve strojírenství </w:t>
      </w:r>
      <w:r>
        <w:rPr>
          <w:color w:val="0D0D0D" w:themeColor="text1" w:themeTint="F2"/>
          <w:spacing w:val="-2"/>
          <w:sz w:val="16"/>
          <w:szCs w:val="16"/>
        </w:rPr>
        <w:br/>
        <w:t>a subdodavatelských oborech pro automobilový průmysl (elektrotechnika, gumárenství, plastikářství) či v řadě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 xml:space="preserve">vesměs menších oborů, jejichž odbyt závisí z velké části na spotřebě domácností (nábytkářský, oděvní, nápojový a potravinářský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průmysl). Naopak mírně pozitivní výhledy přetrvávaly ve výrobě dopravních </w:t>
      </w:r>
      <w:r>
        <w:rPr>
          <w:color w:val="0D0D0D" w:themeColor="text1" w:themeTint="F2"/>
          <w:spacing w:val="-4"/>
          <w:sz w:val="16"/>
          <w:szCs w:val="16"/>
        </w:rPr>
        <w:t>prostředků, dále ve farmacii, ostatním průmyslu či opravě a instalaci</w:t>
      </w:r>
      <w:r w:rsidRPr="007B0645">
        <w:rPr>
          <w:color w:val="0D0D0D" w:themeColor="text1" w:themeTint="F2"/>
          <w:spacing w:val="-4"/>
          <w:sz w:val="16"/>
          <w:szCs w:val="16"/>
        </w:rPr>
        <w:t xml:space="preserve"> strojů a zařízení</w:t>
      </w:r>
      <w:r>
        <w:rPr>
          <w:color w:val="0D0D0D" w:themeColor="text1" w:themeTint="F2"/>
          <w:spacing w:val="-4"/>
          <w:sz w:val="16"/>
          <w:szCs w:val="16"/>
        </w:rPr>
        <w:t>.</w:t>
      </w:r>
    </w:p>
    <w:p w14:paraId="71D6B300" w14:textId="77777777" w:rsidR="00BA5125" w:rsidRPr="0046167D" w:rsidRDefault="00BA5125" w:rsidP="00582A12">
      <w:pPr>
        <w:pStyle w:val="Textpoznpodarou"/>
        <w:rPr>
          <w:color w:val="0D0D0D" w:themeColor="text1" w:themeTint="F2"/>
          <w:spacing w:val="-5"/>
          <w:sz w:val="16"/>
          <w:szCs w:val="16"/>
        </w:rPr>
      </w:pPr>
      <w:r w:rsidRPr="0046167D">
        <w:rPr>
          <w:color w:val="0D0D0D" w:themeColor="text1" w:themeTint="F2"/>
          <w:spacing w:val="-5"/>
          <w:sz w:val="16"/>
          <w:szCs w:val="16"/>
        </w:rPr>
        <w:t xml:space="preserve">Ve službách převažovala negativní očekávání v polovině dílčích odvětví. Nejvíce byla patrná v peněžnictví, telekomunikacích a pozemní dopravě, dále ve většině administrativních a podpůrných činností, ve vydavatelských činnostech či v reklamě. Naopak u řady jiných podnikových služeb (právní a účetnické činnosti, architektonické a inženýrské činnosti, </w:t>
      </w:r>
      <w:r>
        <w:rPr>
          <w:color w:val="0D0D0D" w:themeColor="text1" w:themeTint="F2"/>
          <w:spacing w:val="-5"/>
          <w:sz w:val="16"/>
          <w:szCs w:val="16"/>
        </w:rPr>
        <w:t>pracovní</w:t>
      </w:r>
      <w:r w:rsidRPr="0046167D">
        <w:rPr>
          <w:color w:val="0D0D0D" w:themeColor="text1" w:themeTint="F2"/>
          <w:spacing w:val="-5"/>
          <w:sz w:val="16"/>
          <w:szCs w:val="16"/>
        </w:rPr>
        <w:t xml:space="preserve"> agentur</w:t>
      </w:r>
      <w:r>
        <w:rPr>
          <w:color w:val="0D0D0D" w:themeColor="text1" w:themeTint="F2"/>
          <w:spacing w:val="-5"/>
          <w:sz w:val="16"/>
          <w:szCs w:val="16"/>
        </w:rPr>
        <w:t>y</w:t>
      </w:r>
      <w:r w:rsidRPr="0046167D">
        <w:rPr>
          <w:color w:val="0D0D0D" w:themeColor="text1" w:themeTint="F2"/>
          <w:spacing w:val="-5"/>
          <w:sz w:val="16"/>
          <w:szCs w:val="16"/>
        </w:rPr>
        <w:t>) či v oblasti programování, pojišťovnictví a ostatních finančních činnostech, kurýrních činnostech, pohostinství, ubytování, letecké dopravy a sk</w:t>
      </w:r>
      <w:r>
        <w:rPr>
          <w:color w:val="0D0D0D" w:themeColor="text1" w:themeTint="F2"/>
          <w:spacing w:val="-5"/>
          <w:sz w:val="16"/>
          <w:szCs w:val="16"/>
        </w:rPr>
        <w:t>ladování podniky očekávaly</w:t>
      </w:r>
      <w:r w:rsidRPr="0046167D">
        <w:rPr>
          <w:color w:val="0D0D0D" w:themeColor="text1" w:themeTint="F2"/>
          <w:spacing w:val="-5"/>
          <w:sz w:val="16"/>
          <w:szCs w:val="16"/>
        </w:rPr>
        <w:t xml:space="preserve"> spíše vyšší zaměstnanost.</w:t>
      </w:r>
    </w:p>
  </w:footnote>
  <w:footnote w:id="13">
    <w:p w14:paraId="549DF585" w14:textId="77777777" w:rsidR="00BA5125" w:rsidRPr="004E68B1" w:rsidRDefault="00BA5125" w:rsidP="00582A12">
      <w:pPr>
        <w:pStyle w:val="Textpoznpodarou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(dle metodiky ILO) a jsou očištěny o sezónní vlivy.</w:t>
      </w:r>
    </w:p>
  </w:footnote>
  <w:footnote w:id="14">
    <w:p w14:paraId="4AE0C628" w14:textId="77777777" w:rsidR="00BA5125" w:rsidRPr="0046167D" w:rsidRDefault="00BA5125" w:rsidP="00582A1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</w:pP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  <w:vertAlign w:val="superscript"/>
        </w:rPr>
        <w:footnoteRef/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Nižší celkovou míru nezaměstnanost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i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(osob ve věku 15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–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74 let) než v tuzemsku (3,0 %) vykázala v lednu 2024 jen Malta (2,6 %), srovnatelnou Polsko (2,9 %) a Německo (3,1 %). Nezaměstnanost meziročně vzrostla ve dvou třetinách členských států – nejvíce v Estonsku (z 5,2 na 7,0 %), dále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v 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Dánsku, Litvě a Švédsku (shodně zhruba o 1 p. b.). Naopak pokles nastal hlavně v zemích s tradičně vyšší nezaměstnaností –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ve 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Španělsku (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z</w:t>
      </w:r>
      <w:r w:rsidRPr="0046167D">
        <w:rPr>
          <w:color w:val="0D0D0D" w:themeColor="text1" w:themeTint="F2"/>
          <w:spacing w:val="-5"/>
          <w:sz w:val="16"/>
          <w:szCs w:val="16"/>
        </w:rPr>
        <w:t> 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13,0 na 11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,6 %), v Řecku (z 11,3 na 10,4 %) a 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Itálii (z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e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7,9 na 7,2 %), mírněji (o 0,5 p. b.) se snížila v Portugalsku, Chorvatsku a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na 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Slovensku.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Míra nezaměstnanosti mladých (do 25 let) v EU měla loni od jara spíše mírně vzestupný trend, na konci roku pak kolísala. V lednu 2024 čítala v Unii 14,9</w:t>
      </w:r>
      <w:r w:rsidRPr="0046167D">
        <w:rPr>
          <w:color w:val="0D0D0D" w:themeColor="text1" w:themeTint="F2"/>
          <w:spacing w:val="-5"/>
          <w:sz w:val="16"/>
          <w:szCs w:val="16"/>
        </w:rPr>
        <w:t> 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% (meziročně +0,8 p. b.), v Česku 8,1 %, což byla třetí nejnižší hodnota po Německu (5,7 %), Maltě (7,8 %). 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Opačně tomu bylo ve 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Španělsk</w:t>
      </w:r>
      <w:r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>u</w:t>
      </w:r>
      <w:r w:rsidRPr="0046167D">
        <w:rPr>
          <w:rFonts w:ascii="Arial" w:eastAsia="Calibri" w:hAnsi="Arial"/>
          <w:color w:val="0D0D0D" w:themeColor="text1" w:themeTint="F2"/>
          <w:spacing w:val="-5"/>
          <w:sz w:val="16"/>
          <w:szCs w:val="16"/>
        </w:rPr>
        <w:t xml:space="preserve"> (28,6 %), přes 20 % nezaměstnaných mezi mladými hlásily Švédsko, Portugalsko, Řecko, Itálie a Lucembursko. Meziročně se situace mírně zlepšila zejména v Řecku (pokles o 4 p. b.), zhoršila pak hlavně v Bulharsku (+7 p. b.), Litvě (+4 p. b.) či Švédsku a Finsku.</w:t>
      </w:r>
    </w:p>
  </w:footnote>
  <w:footnote w:id="15">
    <w:p w14:paraId="2C1EDA61" w14:textId="77777777" w:rsidR="00BA5125" w:rsidRPr="00874CB3" w:rsidRDefault="00BA5125" w:rsidP="00582A12">
      <w:pPr>
        <w:pStyle w:val="Textpoznpodarou"/>
        <w:rPr>
          <w:spacing w:val="-3"/>
          <w:sz w:val="16"/>
          <w:szCs w:val="16"/>
        </w:rPr>
      </w:pPr>
      <w:r w:rsidRPr="00EC5D23">
        <w:rPr>
          <w:rStyle w:val="Znakapoznpodarou"/>
          <w:sz w:val="16"/>
          <w:szCs w:val="16"/>
        </w:rPr>
        <w:footnoteRef/>
      </w:r>
      <w:r w:rsidRPr="00EC5D23">
        <w:rPr>
          <w:sz w:val="16"/>
          <w:szCs w:val="16"/>
        </w:rPr>
        <w:t xml:space="preserve"> </w:t>
      </w:r>
      <w:r w:rsidRPr="00EC5D23">
        <w:rPr>
          <w:spacing w:val="-3"/>
          <w:sz w:val="16"/>
          <w:szCs w:val="16"/>
        </w:rPr>
        <w:t xml:space="preserve">Dle údajů MPSV činil </w:t>
      </w:r>
      <w:r>
        <w:rPr>
          <w:spacing w:val="-3"/>
          <w:sz w:val="16"/>
          <w:szCs w:val="16"/>
        </w:rPr>
        <w:t xml:space="preserve">letos na konci února </w:t>
      </w:r>
      <w:r w:rsidRPr="00EC5D23">
        <w:rPr>
          <w:spacing w:val="-3"/>
          <w:sz w:val="16"/>
          <w:szCs w:val="16"/>
        </w:rPr>
        <w:t>sezonně neočištěný podíl dosažitelných uchazečů o zaměstnání ve věku 15 až 64 let</w:t>
      </w:r>
      <w:r>
        <w:rPr>
          <w:spacing w:val="-3"/>
          <w:sz w:val="16"/>
          <w:szCs w:val="16"/>
        </w:rPr>
        <w:t xml:space="preserve"> na obyvatelstvu stejného věku</w:t>
      </w:r>
      <w:r w:rsidRPr="00CF280D">
        <w:rPr>
          <w:spacing w:val="-3"/>
          <w:sz w:val="16"/>
          <w:szCs w:val="16"/>
        </w:rPr>
        <w:t xml:space="preserve"> 4,0 % (muži 3,7 %, ženy 4,2 %). Lednová nezaměstnanos</w:t>
      </w:r>
      <w:r>
        <w:rPr>
          <w:spacing w:val="-3"/>
          <w:sz w:val="16"/>
          <w:szCs w:val="16"/>
        </w:rPr>
        <w:t>t se sice nachází na tříletém maximu</w:t>
      </w:r>
      <w:r w:rsidRPr="00CF280D">
        <w:rPr>
          <w:spacing w:val="-3"/>
          <w:sz w:val="16"/>
          <w:szCs w:val="16"/>
        </w:rPr>
        <w:t>, nárůst je však jen velmi mírný (v kumulaci +0,4 p. b.).</w:t>
      </w:r>
      <w:r>
        <w:rPr>
          <w:spacing w:val="-3"/>
          <w:sz w:val="16"/>
          <w:szCs w:val="16"/>
        </w:rPr>
        <w:t xml:space="preserve"> Nejvyšší nezaměstnanost sužovala okresy Karviná (8,2 %), vysoká byla též na Bruntálsku (7,9 %) a také Mostecku (7,6 %), kde meziročně vzrostla ze všech okresů nejvíce (+0,7 p. b.).</w:t>
      </w:r>
    </w:p>
  </w:footnote>
  <w:footnote w:id="16">
    <w:p w14:paraId="36AC79A8" w14:textId="77777777" w:rsidR="00BA5125" w:rsidRPr="004A5CB3" w:rsidRDefault="00BA5125" w:rsidP="00582A12">
      <w:pPr>
        <w:pStyle w:val="Textpoznpodarou"/>
        <w:rPr>
          <w:sz w:val="16"/>
          <w:szCs w:val="16"/>
        </w:rPr>
      </w:pPr>
      <w:r w:rsidRPr="004A5CB3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Pouze necelá pětina z tohoto počtu je ovšem schop</w:t>
      </w:r>
      <w:r w:rsidRPr="004A5CB3">
        <w:rPr>
          <w:sz w:val="16"/>
          <w:szCs w:val="16"/>
        </w:rPr>
        <w:t>n</w:t>
      </w:r>
      <w:r>
        <w:rPr>
          <w:sz w:val="16"/>
          <w:szCs w:val="16"/>
        </w:rPr>
        <w:t>a</w:t>
      </w:r>
      <w:r w:rsidRPr="004A5CB3">
        <w:rPr>
          <w:sz w:val="16"/>
          <w:szCs w:val="16"/>
        </w:rPr>
        <w:t xml:space="preserve"> bezprostředně do práce nastoupit. Významnou část pracovních rezerv totiž tvoří studenti a ženy na rodičovské dovolené.</w:t>
      </w:r>
    </w:p>
  </w:footnote>
  <w:footnote w:id="17">
    <w:p w14:paraId="11C3E146" w14:textId="77777777" w:rsidR="00BA5125" w:rsidRPr="00184274" w:rsidRDefault="00BA5125" w:rsidP="00582A12">
      <w:pPr>
        <w:pStyle w:val="Textpoznpodarou"/>
        <w:rPr>
          <w:sz w:val="16"/>
          <w:szCs w:val="16"/>
        </w:rPr>
      </w:pPr>
      <w:r w:rsidRPr="00184274">
        <w:rPr>
          <w:rStyle w:val="Znakapoznpodarou"/>
          <w:sz w:val="16"/>
          <w:szCs w:val="16"/>
        </w:rPr>
        <w:footnoteRef/>
      </w:r>
      <w:r w:rsidRPr="00184274">
        <w:rPr>
          <w:sz w:val="16"/>
          <w:szCs w:val="16"/>
        </w:rPr>
        <w:t xml:space="preserve"> N</w:t>
      </w:r>
      <w:r>
        <w:rPr>
          <w:sz w:val="16"/>
          <w:szCs w:val="16"/>
        </w:rPr>
        <w:t>e všechny</w:t>
      </w:r>
      <w:r w:rsidRPr="00184274">
        <w:rPr>
          <w:sz w:val="16"/>
          <w:szCs w:val="16"/>
        </w:rPr>
        <w:t xml:space="preserve"> nabídky volných pracovních pozic v evidenci ÚP lze ovšem považovat za a</w:t>
      </w:r>
      <w:r>
        <w:rPr>
          <w:sz w:val="16"/>
          <w:szCs w:val="16"/>
        </w:rPr>
        <w:t>ktuální. Pouze 45</w:t>
      </w:r>
      <w:r w:rsidRPr="00184274">
        <w:rPr>
          <w:sz w:val="16"/>
          <w:szCs w:val="16"/>
        </w:rPr>
        <w:t xml:space="preserve"> % z celkového počtu</w:t>
      </w:r>
      <w:r>
        <w:rPr>
          <w:sz w:val="16"/>
          <w:szCs w:val="16"/>
        </w:rPr>
        <w:t xml:space="preserve"> míst (272 tis.) bylo na konci 4</w:t>
      </w:r>
      <w:r w:rsidRPr="00184274">
        <w:rPr>
          <w:sz w:val="16"/>
          <w:szCs w:val="16"/>
        </w:rPr>
        <w:t>.</w:t>
      </w:r>
      <w:r>
        <w:rPr>
          <w:sz w:val="16"/>
          <w:szCs w:val="16"/>
        </w:rPr>
        <w:t xml:space="preserve"> čtvrtletí 2023 inzerováno méně </w:t>
      </w:r>
      <w:r w:rsidRPr="00184274">
        <w:rPr>
          <w:sz w:val="16"/>
          <w:szCs w:val="16"/>
        </w:rPr>
        <w:t>než půl roku.</w:t>
      </w:r>
      <w:r>
        <w:rPr>
          <w:sz w:val="16"/>
          <w:szCs w:val="16"/>
        </w:rPr>
        <w:t xml:space="preserve"> Počet volných pracovních míst (na základě šetření v podnicích) na experimentální bázi zjišťuje od roku 2020 i ČSÚ. Ve 4. čtvrtletí 2023 byl takto odhadnut počet volných míst v ČR na 91,5 tis. Jejich počet se meziročně snížil o 6 %, když klesl třetí kvartál v řadě. Na tomto poklesu se nejvíce podílel zpracovatelský průmysl.</w:t>
      </w:r>
    </w:p>
  </w:footnote>
  <w:footnote w:id="18">
    <w:p w14:paraId="22A5F999" w14:textId="77777777" w:rsidR="00BA5125" w:rsidRPr="00B6005F" w:rsidRDefault="00BA5125" w:rsidP="00582A12">
      <w:pPr>
        <w:pStyle w:val="Textpoznpodarou"/>
        <w:rPr>
          <w:spacing w:val="-3"/>
          <w:sz w:val="16"/>
          <w:szCs w:val="16"/>
        </w:rPr>
      </w:pPr>
      <w:r w:rsidRPr="00B6005F">
        <w:rPr>
          <w:rStyle w:val="Znakapoznpodarou"/>
          <w:spacing w:val="-3"/>
          <w:sz w:val="16"/>
          <w:szCs w:val="16"/>
        </w:rPr>
        <w:footnoteRef/>
      </w:r>
      <w:r w:rsidRPr="00B6005F">
        <w:rPr>
          <w:spacing w:val="-3"/>
          <w:sz w:val="16"/>
          <w:szCs w:val="16"/>
        </w:rPr>
        <w:t xml:space="preserve"> Výjimkou bylo odvětví veřejné správy, obrany a sociálního zabezpečení. Od 1. září 2022 došlo k 10%</w:t>
      </w:r>
      <w:r>
        <w:rPr>
          <w:spacing w:val="-3"/>
          <w:sz w:val="16"/>
          <w:szCs w:val="16"/>
        </w:rPr>
        <w:t xml:space="preserve"> navýšení platových tarifů </w:t>
      </w:r>
      <w:r w:rsidRPr="00477E4D">
        <w:rPr>
          <w:spacing w:val="-4"/>
          <w:sz w:val="16"/>
          <w:szCs w:val="16"/>
        </w:rPr>
        <w:t>u zaměstnanců spadajících po</w:t>
      </w:r>
      <w:r>
        <w:rPr>
          <w:spacing w:val="-4"/>
          <w:sz w:val="16"/>
          <w:szCs w:val="16"/>
        </w:rPr>
        <w:t>d</w:t>
      </w:r>
      <w:r w:rsidRPr="00477E4D">
        <w:rPr>
          <w:spacing w:val="-4"/>
          <w:sz w:val="16"/>
          <w:szCs w:val="16"/>
        </w:rPr>
        <w:t xml:space="preserve"> služební zákon. Od ledna 2023 se zvýšily i platové tarify u vojáků a příslušníků bezpečnostních sborů (o 10 %).</w:t>
      </w:r>
    </w:p>
  </w:footnote>
  <w:footnote w:id="19">
    <w:p w14:paraId="54651AC7" w14:textId="77777777" w:rsidR="00BA5125" w:rsidRPr="00B6005F" w:rsidRDefault="00BA5125" w:rsidP="00582A12">
      <w:pPr>
        <w:pStyle w:val="Textpoznpodarou"/>
        <w:rPr>
          <w:spacing w:val="-3"/>
          <w:sz w:val="16"/>
          <w:szCs w:val="16"/>
        </w:rPr>
      </w:pPr>
      <w:r w:rsidRPr="00B6005F">
        <w:rPr>
          <w:rStyle w:val="Znakapoznpodarou"/>
          <w:spacing w:val="-3"/>
          <w:sz w:val="16"/>
          <w:szCs w:val="16"/>
        </w:rPr>
        <w:footnoteRef/>
      </w:r>
      <w:r w:rsidRPr="00B6005F">
        <w:rPr>
          <w:spacing w:val="-3"/>
          <w:sz w:val="16"/>
          <w:szCs w:val="16"/>
        </w:rPr>
        <w:t xml:space="preserve"> Od ledna 2023 došlo k navýšení minimální mzdy o 6,8 </w:t>
      </w:r>
      <w:r>
        <w:rPr>
          <w:spacing w:val="-3"/>
          <w:sz w:val="16"/>
          <w:szCs w:val="16"/>
        </w:rPr>
        <w:t>% (srovnatelně jako v předchozím roce</w:t>
      </w:r>
      <w:r w:rsidRPr="00B6005F">
        <w:rPr>
          <w:spacing w:val="-3"/>
          <w:sz w:val="16"/>
          <w:szCs w:val="16"/>
        </w:rPr>
        <w:t xml:space="preserve">). Na rozdíl od praxe z minulých let </w:t>
      </w:r>
      <w:r>
        <w:rPr>
          <w:spacing w:val="-3"/>
          <w:sz w:val="16"/>
          <w:szCs w:val="16"/>
        </w:rPr>
        <w:t xml:space="preserve">však </w:t>
      </w:r>
      <w:r w:rsidRPr="00B6005F">
        <w:rPr>
          <w:spacing w:val="-3"/>
          <w:sz w:val="16"/>
          <w:szCs w:val="16"/>
        </w:rPr>
        <w:t>neby</w:t>
      </w:r>
      <w:r>
        <w:rPr>
          <w:spacing w:val="-3"/>
          <w:sz w:val="16"/>
          <w:szCs w:val="16"/>
        </w:rPr>
        <w:t xml:space="preserve">l posun minimální mzdy </w:t>
      </w:r>
      <w:r w:rsidRPr="00B6005F">
        <w:rPr>
          <w:spacing w:val="-3"/>
          <w:sz w:val="16"/>
          <w:szCs w:val="16"/>
        </w:rPr>
        <w:t xml:space="preserve">doprovázen zvýšením hranice </w:t>
      </w:r>
      <w:r>
        <w:rPr>
          <w:spacing w:val="-3"/>
          <w:sz w:val="16"/>
          <w:szCs w:val="16"/>
        </w:rPr>
        <w:t>u tzv. zaručených mezd (ta loni</w:t>
      </w:r>
      <w:r w:rsidRPr="00B6005F">
        <w:rPr>
          <w:spacing w:val="-3"/>
          <w:sz w:val="16"/>
          <w:szCs w:val="16"/>
        </w:rPr>
        <w:t xml:space="preserve"> vzrostla jen v</w:t>
      </w:r>
      <w:r>
        <w:rPr>
          <w:spacing w:val="-3"/>
          <w:sz w:val="16"/>
          <w:szCs w:val="16"/>
        </w:rPr>
        <w:t xml:space="preserve"> osmé, </w:t>
      </w:r>
      <w:r w:rsidRPr="00B6005F">
        <w:rPr>
          <w:spacing w:val="-3"/>
          <w:sz w:val="16"/>
          <w:szCs w:val="16"/>
        </w:rPr>
        <w:t>kvalifi</w:t>
      </w:r>
      <w:r>
        <w:rPr>
          <w:spacing w:val="-3"/>
          <w:sz w:val="16"/>
          <w:szCs w:val="16"/>
        </w:rPr>
        <w:t>kačně nejvyšší kategorii prací, v</w:t>
      </w:r>
      <w:r w:rsidRPr="00B6005F">
        <w:rPr>
          <w:spacing w:val="-3"/>
          <w:sz w:val="16"/>
          <w:szCs w:val="16"/>
        </w:rPr>
        <w:t> níž ale minimální mzdu patrně pobírá jen zlomek zaměstnanců).</w:t>
      </w:r>
    </w:p>
  </w:footnote>
  <w:footnote w:id="20">
    <w:p w14:paraId="45C126F9" w14:textId="77777777" w:rsidR="00BA5125" w:rsidRPr="00663B5E" w:rsidRDefault="00BA5125" w:rsidP="00582A12">
      <w:pPr>
        <w:pStyle w:val="Textpoznpodarou"/>
        <w:rPr>
          <w:spacing w:val="-2"/>
          <w:sz w:val="16"/>
          <w:szCs w:val="16"/>
        </w:rPr>
      </w:pPr>
      <w:r w:rsidRPr="00663B5E">
        <w:rPr>
          <w:rStyle w:val="Znakapoznpodarou"/>
          <w:spacing w:val="-2"/>
          <w:sz w:val="16"/>
          <w:szCs w:val="16"/>
        </w:rPr>
        <w:footnoteRef/>
      </w:r>
      <w:r w:rsidRPr="00663B5E">
        <w:rPr>
          <w:spacing w:val="-2"/>
          <w:sz w:val="16"/>
          <w:szCs w:val="16"/>
        </w:rPr>
        <w:t xml:space="preserve"> Reálná produktivita práce na 1 pracovníka v celé ekonomice byla na konci roku 2023 ve srovnání s 1. čtvrtletím 2018 vyšší jen o 3,3 %.</w:t>
      </w:r>
    </w:p>
  </w:footnote>
  <w:footnote w:id="21">
    <w:p w14:paraId="1E0100C4" w14:textId="77777777" w:rsidR="00BA5125" w:rsidRPr="00B6005F" w:rsidRDefault="00BA5125" w:rsidP="00582A12">
      <w:pPr>
        <w:pStyle w:val="Textpoznpodarou"/>
        <w:rPr>
          <w:spacing w:val="-3"/>
          <w:sz w:val="16"/>
          <w:szCs w:val="16"/>
        </w:rPr>
      </w:pPr>
      <w:r w:rsidRPr="00B6005F">
        <w:rPr>
          <w:rStyle w:val="Znakapoznpodarou"/>
          <w:spacing w:val="-3"/>
          <w:sz w:val="16"/>
          <w:szCs w:val="16"/>
        </w:rPr>
        <w:footnoteRef/>
      </w:r>
      <w:r w:rsidRPr="00B6005F">
        <w:rPr>
          <w:spacing w:val="-3"/>
          <w:sz w:val="16"/>
          <w:szCs w:val="16"/>
        </w:rPr>
        <w:t xml:space="preserve"> Hrubý disponibilní důchod (HDD) domác</w:t>
      </w:r>
      <w:r>
        <w:rPr>
          <w:spacing w:val="-3"/>
          <w:sz w:val="16"/>
          <w:szCs w:val="16"/>
        </w:rPr>
        <w:t>ností v reálném vyjádření se dle aktuálních údajů v 1</w:t>
      </w:r>
      <w:r w:rsidRPr="00B6005F">
        <w:rPr>
          <w:spacing w:val="-3"/>
          <w:sz w:val="16"/>
          <w:szCs w:val="16"/>
        </w:rPr>
        <w:t>. čtvrt</w:t>
      </w:r>
      <w:r>
        <w:rPr>
          <w:spacing w:val="-3"/>
          <w:sz w:val="16"/>
          <w:szCs w:val="16"/>
        </w:rPr>
        <w:t xml:space="preserve">letí 2023 meziročně snížil o 2,8 %, v následujícím čtvrtletí již jen o 0,2 % a ve 3. čtvrtletí o 0,9 %. Z toho </w:t>
      </w:r>
      <w:r w:rsidRPr="00B6005F">
        <w:rPr>
          <w:spacing w:val="-3"/>
          <w:sz w:val="16"/>
          <w:szCs w:val="16"/>
        </w:rPr>
        <w:t>objem mezd a platů</w:t>
      </w:r>
      <w:r>
        <w:rPr>
          <w:spacing w:val="-3"/>
          <w:sz w:val="16"/>
          <w:szCs w:val="16"/>
        </w:rPr>
        <w:t xml:space="preserve"> (v pojetí národních účtů) analogicky reálně klesal o</w:t>
      </w:r>
      <w:r w:rsidRPr="00B6005F">
        <w:rPr>
          <w:spacing w:val="-3"/>
          <w:sz w:val="16"/>
          <w:szCs w:val="16"/>
        </w:rPr>
        <w:t> </w:t>
      </w:r>
      <w:r>
        <w:rPr>
          <w:spacing w:val="-3"/>
          <w:sz w:val="16"/>
          <w:szCs w:val="16"/>
        </w:rPr>
        <w:t>3,7 % a 1,8 %, ve 3. čtvrtletí pak stagnoval. Ve 4. čtvrtletí (dle předběžných údajů) tento objem již nepatrně vzrostl (+0,7 %) š</w:t>
      </w:r>
      <w:r w:rsidRPr="006B7CE8">
        <w:rPr>
          <w:spacing w:val="-3"/>
          <w:sz w:val="16"/>
          <w:szCs w:val="16"/>
        </w:rPr>
        <w:t xml:space="preserve">lo o první </w:t>
      </w:r>
      <w:r>
        <w:rPr>
          <w:spacing w:val="-3"/>
          <w:sz w:val="16"/>
          <w:szCs w:val="16"/>
        </w:rPr>
        <w:t xml:space="preserve">meziroční </w:t>
      </w:r>
      <w:r w:rsidRPr="006B7CE8">
        <w:rPr>
          <w:spacing w:val="-3"/>
          <w:sz w:val="16"/>
          <w:szCs w:val="16"/>
        </w:rPr>
        <w:t>přírů</w:t>
      </w:r>
      <w:r>
        <w:rPr>
          <w:spacing w:val="-3"/>
          <w:sz w:val="16"/>
          <w:szCs w:val="16"/>
        </w:rPr>
        <w:t>stek za posledních sedm čtvrtletí.</w:t>
      </w:r>
      <w:r w:rsidRPr="00B6005F">
        <w:rPr>
          <w:spacing w:val="-3"/>
          <w:sz w:val="16"/>
          <w:szCs w:val="16"/>
        </w:rPr>
        <w:t xml:space="preserve"> Mzdy a platy zohledňují (na rozdíl od podnikové statistiky) i další faktory, např. šedou ekonomiku, možné zvýšení ekonomické aktivity obyvatel, např. formou druhých zaměstnání či dohod o provedení práce. HDD zahrnuje vedle mezd a platů i p</w:t>
      </w:r>
      <w:r>
        <w:rPr>
          <w:spacing w:val="-3"/>
          <w:sz w:val="16"/>
          <w:szCs w:val="16"/>
        </w:rPr>
        <w:t>říjmy plynoucí z podnikání či z</w:t>
      </w:r>
      <w:r w:rsidRPr="001D108A">
        <w:rPr>
          <w:sz w:val="16"/>
          <w:szCs w:val="16"/>
        </w:rPr>
        <w:t> </w:t>
      </w:r>
      <w:r w:rsidRPr="00B6005F">
        <w:rPr>
          <w:spacing w:val="-3"/>
          <w:sz w:val="16"/>
          <w:szCs w:val="16"/>
        </w:rPr>
        <w:t xml:space="preserve">vlastnictví kapitálu a také sociální transfery od státu, vč. donedávna plně valorizovaných starobních důchodů (efekt úpravy valorizačního schématu z důvodu úsporných opatření se poprvé projevil v červnu 2023). </w:t>
      </w:r>
    </w:p>
  </w:footnote>
  <w:footnote w:id="22">
    <w:p w14:paraId="27871EAB" w14:textId="77777777" w:rsidR="00BA5125" w:rsidRPr="00B43E19" w:rsidRDefault="00BA5125" w:rsidP="00582A12">
      <w:pPr>
        <w:pStyle w:val="Textpoznpodarou"/>
        <w:rPr>
          <w:sz w:val="16"/>
          <w:szCs w:val="16"/>
        </w:rPr>
      </w:pPr>
      <w:r w:rsidRPr="00B6005F">
        <w:rPr>
          <w:rStyle w:val="Znakapoznpodarou"/>
          <w:spacing w:val="-3"/>
          <w:sz w:val="16"/>
          <w:szCs w:val="16"/>
        </w:rPr>
        <w:footnoteRef/>
      </w:r>
      <w:r w:rsidRPr="00B6005F">
        <w:rPr>
          <w:spacing w:val="-3"/>
          <w:sz w:val="16"/>
          <w:szCs w:val="16"/>
        </w:rPr>
        <w:t xml:space="preserve"> Zahrnuje výrobu a rozvod elektřiny, plynu, tepla a klimatizovaného vzduchu.</w:t>
      </w:r>
    </w:p>
  </w:footnote>
  <w:footnote w:id="23">
    <w:p w14:paraId="05B05A32" w14:textId="77777777" w:rsidR="00BA5125" w:rsidRPr="00F7747C" w:rsidRDefault="00BA5125" w:rsidP="00582A12">
      <w:pPr>
        <w:pStyle w:val="Textpoznpodarou"/>
        <w:rPr>
          <w:sz w:val="16"/>
          <w:szCs w:val="16"/>
        </w:rPr>
      </w:pPr>
      <w:r w:rsidRPr="00F7747C">
        <w:rPr>
          <w:rStyle w:val="Znakapoznpodarou"/>
          <w:sz w:val="16"/>
          <w:szCs w:val="16"/>
        </w:rPr>
        <w:footnoteRef/>
      </w:r>
      <w:r w:rsidRPr="00F7747C">
        <w:rPr>
          <w:sz w:val="16"/>
          <w:szCs w:val="16"/>
        </w:rPr>
        <w:t xml:space="preserve"> 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 xml:space="preserve">Ve vysokém </w:t>
      </w:r>
      <w:r w:rsidRPr="00F7747C">
        <w:rPr>
          <w:rFonts w:cs="Arial"/>
          <w:color w:val="0D0D0D" w:themeColor="text1" w:themeTint="F2"/>
          <w:spacing w:val="-4"/>
          <w:sz w:val="16"/>
          <w:szCs w:val="16"/>
        </w:rPr>
        <w:t xml:space="preserve">tempu 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 xml:space="preserve">růstu mezd </w:t>
      </w:r>
      <w:r w:rsidRPr="00F7747C">
        <w:rPr>
          <w:rFonts w:cs="Arial"/>
          <w:color w:val="0D0D0D" w:themeColor="text1" w:themeTint="F2"/>
          <w:spacing w:val="-4"/>
          <w:sz w:val="16"/>
          <w:szCs w:val="16"/>
        </w:rPr>
        <w:t>se zde promítly zejména mimořádné odměny vyplacené na počátku roku.</w:t>
      </w:r>
    </w:p>
  </w:footnote>
  <w:footnote w:id="24">
    <w:p w14:paraId="5980DBFF" w14:textId="77777777" w:rsidR="00BA5125" w:rsidRPr="00D16130" w:rsidRDefault="00BA5125" w:rsidP="00582A12">
      <w:pPr>
        <w:pStyle w:val="Textpoznpodarou"/>
        <w:rPr>
          <w:sz w:val="16"/>
          <w:szCs w:val="16"/>
        </w:rPr>
      </w:pPr>
      <w:r w:rsidRPr="00D16130">
        <w:rPr>
          <w:rStyle w:val="Znakapoznpodarou"/>
          <w:sz w:val="16"/>
          <w:szCs w:val="16"/>
        </w:rPr>
        <w:footnoteRef/>
      </w:r>
      <w:r w:rsidRPr="00D16130">
        <w:rPr>
          <w:sz w:val="16"/>
          <w:szCs w:val="16"/>
        </w:rPr>
        <w:t xml:space="preserve"> Pro zjednodušení zahrnuje odvětví </w:t>
      </w:r>
      <w:r w:rsidRPr="00D16130">
        <w:rPr>
          <w:rFonts w:cs="Arial"/>
          <w:color w:val="0D0D0D" w:themeColor="text1" w:themeTint="F2"/>
          <w:spacing w:val="-4"/>
          <w:sz w:val="16"/>
          <w:szCs w:val="16"/>
        </w:rPr>
        <w:t>Veřejná správa a obrana, povinné sociální zabezpečení; Vzdělávání; Zdravotní a sociální péče; Kulturní, zábavní a rekreační činnosti.</w:t>
      </w:r>
    </w:p>
  </w:footnote>
  <w:footnote w:id="25">
    <w:p w14:paraId="3F84A971" w14:textId="77777777" w:rsidR="00BA5125" w:rsidRPr="00E228BC" w:rsidRDefault="00BA5125" w:rsidP="00582A12">
      <w:pPr>
        <w:pStyle w:val="Textpoznpodarou"/>
        <w:rPr>
          <w:sz w:val="16"/>
          <w:szCs w:val="16"/>
        </w:rPr>
      </w:pPr>
      <w:r w:rsidRPr="00E228BC">
        <w:rPr>
          <w:rStyle w:val="Znakapoznpodarou"/>
          <w:sz w:val="16"/>
          <w:szCs w:val="16"/>
        </w:rPr>
        <w:footnoteRef/>
      </w:r>
      <w:r w:rsidRPr="00E228BC">
        <w:rPr>
          <w:sz w:val="16"/>
          <w:szCs w:val="16"/>
        </w:rPr>
        <w:t xml:space="preserve"> </w:t>
      </w:r>
      <w:r>
        <w:rPr>
          <w:sz w:val="16"/>
          <w:szCs w:val="16"/>
        </w:rPr>
        <w:t>Dle údajů MŠMT dosahoval loni v regionálním školství (v zařízeních zřizovaných kraji či obcemi) průměrný měsíční plat učitelů (včetně vedoucích pracovníků) 49,9 tis. korun a meziročně se zvýšil o 3,5 % (v roce 2022 o 0,8 %). Z toho pedagogové (včetně asistentů či školních psychologů) pobírali 46,5 tis. (meziročně +3,0 %), nepedagogičtí pracovníci pak 29,1 tis. korun (+9,7 %).</w:t>
      </w:r>
    </w:p>
  </w:footnote>
  <w:footnote w:id="26">
    <w:p w14:paraId="5F652BCA" w14:textId="77777777" w:rsidR="00BA5125" w:rsidRPr="008E7AE5" w:rsidRDefault="00BA5125" w:rsidP="00582A12">
      <w:pPr>
        <w:pStyle w:val="Textpoznpodarou"/>
        <w:rPr>
          <w:sz w:val="16"/>
          <w:szCs w:val="16"/>
        </w:rPr>
      </w:pPr>
      <w:r w:rsidRPr="008E7AE5">
        <w:rPr>
          <w:rStyle w:val="Znakapoznpodarou"/>
          <w:sz w:val="16"/>
          <w:szCs w:val="16"/>
        </w:rPr>
        <w:footnoteRef/>
      </w:r>
      <w:r w:rsidRPr="008E7AE5">
        <w:rPr>
          <w:sz w:val="16"/>
          <w:szCs w:val="16"/>
        </w:rPr>
        <w:t xml:space="preserve"> </w:t>
      </w:r>
      <w:r w:rsidRPr="008E7AE5">
        <w:rPr>
          <w:rFonts w:cs="Arial"/>
          <w:color w:val="0D0D0D" w:themeColor="text1" w:themeTint="F2"/>
          <w:spacing w:val="-4"/>
          <w:sz w:val="16"/>
          <w:szCs w:val="16"/>
        </w:rPr>
        <w:t xml:space="preserve">Dosažená </w:t>
      </w:r>
      <w:r w:rsidRPr="008E7AE5">
        <w:rPr>
          <w:rStyle w:val="normaltextrun"/>
          <w:rFonts w:eastAsia="MS Gothic" w:cs="Arial"/>
          <w:sz w:val="16"/>
          <w:szCs w:val="16"/>
        </w:rPr>
        <w:t>mediánová výše výdělku žen byla ve 4. čtvrtletí 2023 proti mužům o</w:t>
      </w:r>
      <w:r w:rsidRPr="008E7AE5">
        <w:rPr>
          <w:rFonts w:cs="Arial"/>
          <w:color w:val="0D0D0D" w:themeColor="text1" w:themeTint="F2"/>
          <w:spacing w:val="-4"/>
          <w:sz w:val="16"/>
          <w:szCs w:val="16"/>
        </w:rPr>
        <w:t> </w:t>
      </w:r>
      <w:r w:rsidRPr="008E7AE5">
        <w:rPr>
          <w:rStyle w:val="normaltextrun"/>
          <w:rFonts w:eastAsia="MS Gothic" w:cs="Arial"/>
          <w:sz w:val="16"/>
          <w:szCs w:val="16"/>
        </w:rPr>
        <w:t>13 % (resp. 5,5 tis. korun měsíčně) nižší.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BA5125" w:rsidRDefault="00BA5125" w:rsidP="00937AE2">
    <w:pPr>
      <w:pStyle w:val="Zhlav"/>
    </w:pPr>
    <w:r>
      <w:t>Vývoj ekonomiky České republiky</w:t>
    </w:r>
  </w:p>
  <w:p w14:paraId="3E881AB3" w14:textId="77777777" w:rsidR="00BA5125" w:rsidRPr="006F5416" w:rsidRDefault="00BA5125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BA5125" w:rsidRDefault="00BA5125" w:rsidP="00937AE2">
    <w:pPr>
      <w:pStyle w:val="Zhlav"/>
    </w:pPr>
    <w:r>
      <w:t>Vývoj ekonomiky České republiky</w:t>
    </w:r>
  </w:p>
  <w:p w14:paraId="57266714" w14:textId="77777777" w:rsidR="00BA5125" w:rsidRPr="006F5416" w:rsidRDefault="00BA5125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B2A5724"/>
    <w:multiLevelType w:val="hybridMultilevel"/>
    <w:tmpl w:val="0EA8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C59E0"/>
    <w:multiLevelType w:val="multilevel"/>
    <w:tmpl w:val="74A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AB4B86"/>
    <w:multiLevelType w:val="multilevel"/>
    <w:tmpl w:val="52D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5280B15"/>
    <w:multiLevelType w:val="hybridMultilevel"/>
    <w:tmpl w:val="5156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C06F7"/>
    <w:multiLevelType w:val="multilevel"/>
    <w:tmpl w:val="AF4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841503"/>
    <w:multiLevelType w:val="hybridMultilevel"/>
    <w:tmpl w:val="322E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23EC3"/>
    <w:multiLevelType w:val="hybridMultilevel"/>
    <w:tmpl w:val="B65A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236EE"/>
    <w:multiLevelType w:val="hybridMultilevel"/>
    <w:tmpl w:val="CC2A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3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077D1"/>
    <w:multiLevelType w:val="multilevel"/>
    <w:tmpl w:val="B70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A0FF0"/>
    <w:multiLevelType w:val="hybridMultilevel"/>
    <w:tmpl w:val="3D88D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7F0B9"/>
    <w:multiLevelType w:val="hybridMultilevel"/>
    <w:tmpl w:val="9B0C99B6"/>
    <w:lvl w:ilvl="0" w:tplc="5FC8F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29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8E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8D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62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2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63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C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C6022"/>
    <w:multiLevelType w:val="multilevel"/>
    <w:tmpl w:val="70C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819D0"/>
    <w:multiLevelType w:val="multilevel"/>
    <w:tmpl w:val="DBA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37"/>
  </w:num>
  <w:num w:numId="14">
    <w:abstractNumId w:val="14"/>
  </w:num>
  <w:num w:numId="15">
    <w:abstractNumId w:val="23"/>
  </w:num>
  <w:num w:numId="16">
    <w:abstractNumId w:val="18"/>
  </w:num>
  <w:num w:numId="17">
    <w:abstractNumId w:val="38"/>
  </w:num>
  <w:num w:numId="18">
    <w:abstractNumId w:val="29"/>
  </w:num>
  <w:num w:numId="19">
    <w:abstractNumId w:val="41"/>
  </w:num>
  <w:num w:numId="20">
    <w:abstractNumId w:val="44"/>
  </w:num>
  <w:num w:numId="21">
    <w:abstractNumId w:val="36"/>
  </w:num>
  <w:num w:numId="22">
    <w:abstractNumId w:val="22"/>
  </w:num>
  <w:num w:numId="23">
    <w:abstractNumId w:val="19"/>
  </w:num>
  <w:num w:numId="24">
    <w:abstractNumId w:val="20"/>
  </w:num>
  <w:num w:numId="25">
    <w:abstractNumId w:val="13"/>
  </w:num>
  <w:num w:numId="26">
    <w:abstractNumId w:val="31"/>
  </w:num>
  <w:num w:numId="27">
    <w:abstractNumId w:val="30"/>
  </w:num>
  <w:num w:numId="28">
    <w:abstractNumId w:val="10"/>
  </w:num>
  <w:num w:numId="29">
    <w:abstractNumId w:val="44"/>
  </w:num>
  <w:num w:numId="30">
    <w:abstractNumId w:val="32"/>
  </w:num>
  <w:num w:numId="31">
    <w:abstractNumId w:val="12"/>
  </w:num>
  <w:num w:numId="32">
    <w:abstractNumId w:val="46"/>
  </w:num>
  <w:num w:numId="33">
    <w:abstractNumId w:val="44"/>
  </w:num>
  <w:num w:numId="34">
    <w:abstractNumId w:val="11"/>
  </w:num>
  <w:num w:numId="35">
    <w:abstractNumId w:val="39"/>
  </w:num>
  <w:num w:numId="36">
    <w:abstractNumId w:val="33"/>
  </w:num>
  <w:num w:numId="37">
    <w:abstractNumId w:val="24"/>
  </w:num>
  <w:num w:numId="38">
    <w:abstractNumId w:val="28"/>
  </w:num>
  <w:num w:numId="39">
    <w:abstractNumId w:val="15"/>
  </w:num>
  <w:num w:numId="40">
    <w:abstractNumId w:val="26"/>
  </w:num>
  <w:num w:numId="41">
    <w:abstractNumId w:val="27"/>
  </w:num>
  <w:num w:numId="42">
    <w:abstractNumId w:val="45"/>
  </w:num>
  <w:num w:numId="43">
    <w:abstractNumId w:val="25"/>
  </w:num>
  <w:num w:numId="44">
    <w:abstractNumId w:val="16"/>
  </w:num>
  <w:num w:numId="45">
    <w:abstractNumId w:val="21"/>
  </w:num>
  <w:num w:numId="46">
    <w:abstractNumId w:val="35"/>
  </w:num>
  <w:num w:numId="47">
    <w:abstractNumId w:val="43"/>
  </w:num>
  <w:num w:numId="48">
    <w:abstractNumId w:val="4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2B5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2CA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363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2FC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848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6BCC"/>
    <w:rsid w:val="00107124"/>
    <w:rsid w:val="0011038E"/>
    <w:rsid w:val="0011055D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1F9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37F06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4ED1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368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2FC7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2A12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87319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6B8F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3810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7A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B2B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46FE0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42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1A9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5125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286B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6AA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2F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79B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0D3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2BC7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8B2"/>
    <w:rsid w:val="00CB1BEE"/>
    <w:rsid w:val="00CB2351"/>
    <w:rsid w:val="00CB2BF7"/>
    <w:rsid w:val="00CB3605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842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2B97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5CCA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2AB6"/>
    <w:rsid w:val="00E84E09"/>
    <w:rsid w:val="00E87CE2"/>
    <w:rsid w:val="00E87D5B"/>
    <w:rsid w:val="00E90CA8"/>
    <w:rsid w:val="00E911C6"/>
    <w:rsid w:val="00E920DE"/>
    <w:rsid w:val="00E930A1"/>
    <w:rsid w:val="00E93820"/>
    <w:rsid w:val="00E93FD5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1EBB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1A9B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3\Ceolorok-2023\Trh%20pr&#225;ce\Grafy-Trh%20pr&#225;ce%20celorok-rok-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3\Ceolorok-2023\Trh%20pr&#225;ce\Grafy-Trh%20pr&#225;ce%20celorok-rok-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menicky3604\JKAM%20CSU\PUBLIKACE\PUBLIKACE\2023\Qmakro\Ceolorok-2023\Trh%20pr&#225;ce\Grafy-Trh%20pr&#225;ce%20celorok-rok-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1923E-2"/>
          <c:y val="1.452205106022466E-2"/>
          <c:w val="0.84495121574960952"/>
          <c:h val="0.6755713073945964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1-SNÚ'!$AC$28:$AC$64</c:f>
              <c:numCache>
                <c:formatCode>#\ ##0.0</c:formatCode>
                <c:ptCount val="37"/>
                <c:pt idx="0">
                  <c:v>-5.6828505791380483E-2</c:v>
                </c:pt>
                <c:pt idx="1">
                  <c:v>-5.3414002474862207E-2</c:v>
                </c:pt>
                <c:pt idx="2">
                  <c:v>-6.9742710596297483E-2</c:v>
                </c:pt>
                <c:pt idx="3">
                  <c:v>-0.13971969588082001</c:v>
                </c:pt>
                <c:pt idx="4">
                  <c:v>-0.12487960810120249</c:v>
                </c:pt>
                <c:pt idx="5">
                  <c:v>-3.2190093204688588E-2</c:v>
                </c:pt>
                <c:pt idx="6">
                  <c:v>-4.495117850766725E-2</c:v>
                </c:pt>
                <c:pt idx="7">
                  <c:v>5.8087184963969883E-2</c:v>
                </c:pt>
                <c:pt idx="8">
                  <c:v>9.8469969335167482E-2</c:v>
                </c:pt>
                <c:pt idx="9">
                  <c:v>3.525689638197723E-2</c:v>
                </c:pt>
                <c:pt idx="10">
                  <c:v>1.9943614652896621E-2</c:v>
                </c:pt>
                <c:pt idx="11">
                  <c:v>-9.3018884588644907E-2</c:v>
                </c:pt>
                <c:pt idx="12">
                  <c:v>2.8401707115870724E-2</c:v>
                </c:pt>
                <c:pt idx="13">
                  <c:v>3.0424969757692683E-2</c:v>
                </c:pt>
                <c:pt idx="14">
                  <c:v>1.721394210079398E-2</c:v>
                </c:pt>
                <c:pt idx="15">
                  <c:v>8.3528120512972676E-2</c:v>
                </c:pt>
                <c:pt idx="16">
                  <c:v>-3.1494865390982861E-2</c:v>
                </c:pt>
                <c:pt idx="17">
                  <c:v>-9.3480094872355909E-2</c:v>
                </c:pt>
                <c:pt idx="18">
                  <c:v>-0.12508397994816237</c:v>
                </c:pt>
                <c:pt idx="19">
                  <c:v>-0.13226896814548544</c:v>
                </c:pt>
                <c:pt idx="20">
                  <c:v>-7.8919822387198829E-2</c:v>
                </c:pt>
                <c:pt idx="21">
                  <c:v>-1.5977001932115317E-3</c:v>
                </c:pt>
                <c:pt idx="22">
                  <c:v>9.3748963565408974E-2</c:v>
                </c:pt>
                <c:pt idx="23">
                  <c:v>7.772100709712601E-2</c:v>
                </c:pt>
                <c:pt idx="24">
                  <c:v>4.0304610198826939E-2</c:v>
                </c:pt>
                <c:pt idx="25">
                  <c:v>-4.2078229095876024E-2</c:v>
                </c:pt>
                <c:pt idx="26">
                  <c:v>-6.3204140368347289E-2</c:v>
                </c:pt>
                <c:pt idx="27">
                  <c:v>-1.9871976866903441E-2</c:v>
                </c:pt>
                <c:pt idx="28">
                  <c:v>-6.7858193110616749E-2</c:v>
                </c:pt>
                <c:pt idx="29">
                  <c:v>3.2150994971479802E-2</c:v>
                </c:pt>
                <c:pt idx="30">
                  <c:v>-1.5470823458751911E-2</c:v>
                </c:pt>
                <c:pt idx="31">
                  <c:v>-0.10814649725202051</c:v>
                </c:pt>
                <c:pt idx="32">
                  <c:v>4.5977643278109576E-2</c:v>
                </c:pt>
                <c:pt idx="33">
                  <c:v>2.1780539937939113E-2</c:v>
                </c:pt>
                <c:pt idx="34">
                  <c:v>6.3655276774792968E-3</c:v>
                </c:pt>
                <c:pt idx="35">
                  <c:v>2.6625080127719986E-2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85-40B3-B25D-18D31ACCBBCC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1-SNÚ'!$AD$28:$AD$64</c:f>
              <c:numCache>
                <c:formatCode>#\ ##0.0</c:formatCode>
                <c:ptCount val="37"/>
                <c:pt idx="0">
                  <c:v>0.89949329716318993</c:v>
                </c:pt>
                <c:pt idx="1">
                  <c:v>0.93127175953417085</c:v>
                </c:pt>
                <c:pt idx="2">
                  <c:v>0.78437575581487662</c:v>
                </c:pt>
                <c:pt idx="3">
                  <c:v>0.92631003282458291</c:v>
                </c:pt>
                <c:pt idx="4">
                  <c:v>0.87287644021507216</c:v>
                </c:pt>
                <c:pt idx="5">
                  <c:v>0.63654993177204455</c:v>
                </c:pt>
                <c:pt idx="6">
                  <c:v>0.66873314812908025</c:v>
                </c:pt>
                <c:pt idx="7">
                  <c:v>0.5180001099102538</c:v>
                </c:pt>
                <c:pt idx="8">
                  <c:v>0.25448906088853906</c:v>
                </c:pt>
                <c:pt idx="9">
                  <c:v>0.40500765768385588</c:v>
                </c:pt>
                <c:pt idx="10">
                  <c:v>0.49291118462601918</c:v>
                </c:pt>
                <c:pt idx="11">
                  <c:v>0.47964454670419909</c:v>
                </c:pt>
                <c:pt idx="12">
                  <c:v>0.34488863442030787</c:v>
                </c:pt>
                <c:pt idx="13">
                  <c:v>0.29136030152194398</c:v>
                </c:pt>
                <c:pt idx="14">
                  <c:v>9.8868388234755161E-2</c:v>
                </c:pt>
                <c:pt idx="15">
                  <c:v>9.055089068099019E-2</c:v>
                </c:pt>
                <c:pt idx="16">
                  <c:v>0.14484299401542142</c:v>
                </c:pt>
                <c:pt idx="17">
                  <c:v>-1.8858080604667569E-2</c:v>
                </c:pt>
                <c:pt idx="18">
                  <c:v>-0.16365938471305239</c:v>
                </c:pt>
                <c:pt idx="19">
                  <c:v>-0.54941077591471033</c:v>
                </c:pt>
                <c:pt idx="20">
                  <c:v>-0.82546861976528951</c:v>
                </c:pt>
                <c:pt idx="21">
                  <c:v>-1.0955999520322597</c:v>
                </c:pt>
                <c:pt idx="22">
                  <c:v>-1.080397843479032</c:v>
                </c:pt>
                <c:pt idx="23">
                  <c:v>-0.90789746373281621</c:v>
                </c:pt>
                <c:pt idx="24">
                  <c:v>-0.49316165113626681</c:v>
                </c:pt>
                <c:pt idx="25">
                  <c:v>-7.4509620655944658E-2</c:v>
                </c:pt>
                <c:pt idx="26">
                  <c:v>0.18158292508911653</c:v>
                </c:pt>
                <c:pt idx="27">
                  <c:v>0.3223340430198105</c:v>
                </c:pt>
                <c:pt idx="28">
                  <c:v>3.8225465944550785E-2</c:v>
                </c:pt>
                <c:pt idx="29">
                  <c:v>0.35386644203937845</c:v>
                </c:pt>
                <c:pt idx="30">
                  <c:v>0.17343313749973452</c:v>
                </c:pt>
                <c:pt idx="31">
                  <c:v>8.8561203763424454E-2</c:v>
                </c:pt>
                <c:pt idx="32">
                  <c:v>4.8447363211869078E-2</c:v>
                </c:pt>
                <c:pt idx="33">
                  <c:v>-0.20013957101662938</c:v>
                </c:pt>
                <c:pt idx="34">
                  <c:v>-0.41926263708584888</c:v>
                </c:pt>
                <c:pt idx="35">
                  <c:v>-0.33991964367196703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85-40B3-B25D-18D31ACCBBCC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1-SNÚ'!$AE$28:$AE$64</c:f>
              <c:numCache>
                <c:formatCode>#\ ##0.0</c:formatCode>
                <c:ptCount val="37"/>
                <c:pt idx="0">
                  <c:v>-0.11446239310279097</c:v>
                </c:pt>
                <c:pt idx="1">
                  <c:v>-0.10158864467757592</c:v>
                </c:pt>
                <c:pt idx="2">
                  <c:v>-0.15723882215178694</c:v>
                </c:pt>
                <c:pt idx="3">
                  <c:v>-0.18194332296049914</c:v>
                </c:pt>
                <c:pt idx="4">
                  <c:v>-0.11325522810856539</c:v>
                </c:pt>
                <c:pt idx="5">
                  <c:v>-0.12563587006311638</c:v>
                </c:pt>
                <c:pt idx="6">
                  <c:v>-2.3912252831191489E-2</c:v>
                </c:pt>
                <c:pt idx="7">
                  <c:v>9.7996904835013724E-3</c:v>
                </c:pt>
                <c:pt idx="8">
                  <c:v>-1.3015925682695845E-2</c:v>
                </c:pt>
                <c:pt idx="9">
                  <c:v>1.663061150093266E-2</c:v>
                </c:pt>
                <c:pt idx="10">
                  <c:v>7.5842717437158341E-2</c:v>
                </c:pt>
                <c:pt idx="11">
                  <c:v>-7.0108572985760911E-2</c:v>
                </c:pt>
                <c:pt idx="12">
                  <c:v>0.10624272535850574</c:v>
                </c:pt>
                <c:pt idx="13">
                  <c:v>6.6114358543656077E-2</c:v>
                </c:pt>
                <c:pt idx="14">
                  <c:v>6.2149037714554899E-2</c:v>
                </c:pt>
                <c:pt idx="15">
                  <c:v>0.11396633392024222</c:v>
                </c:pt>
                <c:pt idx="16">
                  <c:v>4.082461644614449E-2</c:v>
                </c:pt>
                <c:pt idx="17">
                  <c:v>7.0404728663714888E-2</c:v>
                </c:pt>
                <c:pt idx="18">
                  <c:v>9.977925270765331E-2</c:v>
                </c:pt>
                <c:pt idx="19">
                  <c:v>0.13486608895157276</c:v>
                </c:pt>
                <c:pt idx="20">
                  <c:v>2.9339864088043205E-2</c:v>
                </c:pt>
                <c:pt idx="21">
                  <c:v>-0.22182322567588586</c:v>
                </c:pt>
                <c:pt idx="22">
                  <c:v>-0.10380928866499864</c:v>
                </c:pt>
                <c:pt idx="23">
                  <c:v>-5.7292436011891962E-2</c:v>
                </c:pt>
                <c:pt idx="24">
                  <c:v>-7.078786710782474E-2</c:v>
                </c:pt>
                <c:pt idx="25">
                  <c:v>0.1427694418966679</c:v>
                </c:pt>
                <c:pt idx="26">
                  <c:v>-1.9848613983292209E-2</c:v>
                </c:pt>
                <c:pt idx="27">
                  <c:v>5.8388099330416922E-2</c:v>
                </c:pt>
                <c:pt idx="28">
                  <c:v>0.23211676197023084</c:v>
                </c:pt>
                <c:pt idx="29">
                  <c:v>0.2775895608839154</c:v>
                </c:pt>
                <c:pt idx="30">
                  <c:v>0.27910704340849279</c:v>
                </c:pt>
                <c:pt idx="31">
                  <c:v>0.25014916598053255</c:v>
                </c:pt>
                <c:pt idx="32">
                  <c:v>0.25347125635952983</c:v>
                </c:pt>
                <c:pt idx="33">
                  <c:v>0.20527838858385108</c:v>
                </c:pt>
                <c:pt idx="34">
                  <c:v>0.15840441353035692</c:v>
                </c:pt>
                <c:pt idx="35">
                  <c:v>2.4678694959762493E-2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85-40B3-B25D-18D31ACCBBCC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1-SNÚ'!$AF$28:$AF$64</c:f>
              <c:numCache>
                <c:formatCode>#\ ##0.0</c:formatCode>
                <c:ptCount val="37"/>
                <c:pt idx="0">
                  <c:v>0.22921943798120303</c:v>
                </c:pt>
                <c:pt idx="1">
                  <c:v>0.48955640475490941</c:v>
                </c:pt>
                <c:pt idx="2">
                  <c:v>0.32927866250413407</c:v>
                </c:pt>
                <c:pt idx="3">
                  <c:v>0.16612893864836825</c:v>
                </c:pt>
                <c:pt idx="4">
                  <c:v>8.137065994846028E-2</c:v>
                </c:pt>
                <c:pt idx="5">
                  <c:v>0.23250543653835901</c:v>
                </c:pt>
                <c:pt idx="6">
                  <c:v>-6.9229828761272118E-3</c:v>
                </c:pt>
                <c:pt idx="7">
                  <c:v>7.0307975449277485E-2</c:v>
                </c:pt>
                <c:pt idx="8">
                  <c:v>0.16752509340503544</c:v>
                </c:pt>
                <c:pt idx="9">
                  <c:v>4.8846481779882198E-3</c:v>
                </c:pt>
                <c:pt idx="10">
                  <c:v>0.35735158674247353</c:v>
                </c:pt>
                <c:pt idx="11">
                  <c:v>0.18418833710391036</c:v>
                </c:pt>
                <c:pt idx="12">
                  <c:v>0.15244258448001169</c:v>
                </c:pt>
                <c:pt idx="13">
                  <c:v>0.40230652744870238</c:v>
                </c:pt>
                <c:pt idx="14">
                  <c:v>0.21159735322599382</c:v>
                </c:pt>
                <c:pt idx="15">
                  <c:v>0.22968370337309341</c:v>
                </c:pt>
                <c:pt idx="16">
                  <c:v>0.43610558013709622</c:v>
                </c:pt>
                <c:pt idx="17">
                  <c:v>0.11493484477903346</c:v>
                </c:pt>
                <c:pt idx="18">
                  <c:v>-1.6666789714208475E-2</c:v>
                </c:pt>
                <c:pt idx="19">
                  <c:v>-4.3580055512076075E-2</c:v>
                </c:pt>
                <c:pt idx="20">
                  <c:v>-0.11338864767860299</c:v>
                </c:pt>
                <c:pt idx="21">
                  <c:v>-0.5701218677959996</c:v>
                </c:pt>
                <c:pt idx="22">
                  <c:v>-0.41759561915220661</c:v>
                </c:pt>
                <c:pt idx="23">
                  <c:v>-0.99268065558520002</c:v>
                </c:pt>
                <c:pt idx="24">
                  <c:v>-0.85371650200457738</c:v>
                </c:pt>
                <c:pt idx="25">
                  <c:v>-0.15752122069655988</c:v>
                </c:pt>
                <c:pt idx="26">
                  <c:v>0.24002189726109691</c:v>
                </c:pt>
                <c:pt idx="27">
                  <c:v>0.7407978296476736</c:v>
                </c:pt>
                <c:pt idx="28">
                  <c:v>0.53515652322371077</c:v>
                </c:pt>
                <c:pt idx="29">
                  <c:v>0.98687301589970389</c:v>
                </c:pt>
                <c:pt idx="30">
                  <c:v>0.46477551965324987</c:v>
                </c:pt>
                <c:pt idx="31">
                  <c:v>0.261651344983797</c:v>
                </c:pt>
                <c:pt idx="32">
                  <c:v>8.5734563414794948E-2</c:v>
                </c:pt>
                <c:pt idx="33">
                  <c:v>5.146132610021889E-2</c:v>
                </c:pt>
                <c:pt idx="34">
                  <c:v>7.1543394646020983E-2</c:v>
                </c:pt>
                <c:pt idx="35">
                  <c:v>8.380473496752687E-2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85-40B3-B25D-18D31ACCBBCC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komunikač. čin.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1-SNÚ'!$AG$28:$AG$64</c:f>
              <c:numCache>
                <c:formatCode>#\ ##0.0</c:formatCode>
                <c:ptCount val="37"/>
                <c:pt idx="0">
                  <c:v>1.6421925627927481E-2</c:v>
                </c:pt>
                <c:pt idx="1">
                  <c:v>5.8810347324453387E-2</c:v>
                </c:pt>
                <c:pt idx="2">
                  <c:v>6.8432712948427635E-2</c:v>
                </c:pt>
                <c:pt idx="3">
                  <c:v>9.7009172732417617E-2</c:v>
                </c:pt>
                <c:pt idx="4">
                  <c:v>0.1202414998904507</c:v>
                </c:pt>
                <c:pt idx="5">
                  <c:v>0.11261710858129224</c:v>
                </c:pt>
                <c:pt idx="6">
                  <c:v>0.12964683530975837</c:v>
                </c:pt>
                <c:pt idx="7">
                  <c:v>0.16713276044214689</c:v>
                </c:pt>
                <c:pt idx="8">
                  <c:v>0.12903159219365573</c:v>
                </c:pt>
                <c:pt idx="9">
                  <c:v>0.1338051485332182</c:v>
                </c:pt>
                <c:pt idx="10">
                  <c:v>0.13863661271570693</c:v>
                </c:pt>
                <c:pt idx="11">
                  <c:v>0.12829019627380961</c:v>
                </c:pt>
                <c:pt idx="12">
                  <c:v>0.11921936740282588</c:v>
                </c:pt>
                <c:pt idx="13">
                  <c:v>0.14348820404813328</c:v>
                </c:pt>
                <c:pt idx="14">
                  <c:v>0.12461478215607261</c:v>
                </c:pt>
                <c:pt idx="15">
                  <c:v>0.14222506693054082</c:v>
                </c:pt>
                <c:pt idx="16">
                  <c:v>0.15100100067608449</c:v>
                </c:pt>
                <c:pt idx="17">
                  <c:v>8.7586944683397366E-2</c:v>
                </c:pt>
                <c:pt idx="18">
                  <c:v>0.1334819747653993</c:v>
                </c:pt>
                <c:pt idx="19">
                  <c:v>0.1358423116659177</c:v>
                </c:pt>
                <c:pt idx="20">
                  <c:v>0.12945571610776943</c:v>
                </c:pt>
                <c:pt idx="21">
                  <c:v>8.7230757675342149E-2</c:v>
                </c:pt>
                <c:pt idx="22">
                  <c:v>0.10732855989947056</c:v>
                </c:pt>
                <c:pt idx="23">
                  <c:v>7.317310801389737E-2</c:v>
                </c:pt>
                <c:pt idx="24">
                  <c:v>6.8471510199846153E-2</c:v>
                </c:pt>
                <c:pt idx="25">
                  <c:v>0.13165868738071818</c:v>
                </c:pt>
                <c:pt idx="26">
                  <c:v>0.10412080114108865</c:v>
                </c:pt>
                <c:pt idx="27">
                  <c:v>3.9101703530884151E-2</c:v>
                </c:pt>
                <c:pt idx="28">
                  <c:v>9.9089132084497142E-2</c:v>
                </c:pt>
                <c:pt idx="29">
                  <c:v>0.10416847644449227</c:v>
                </c:pt>
                <c:pt idx="30">
                  <c:v>0.11043415928068227</c:v>
                </c:pt>
                <c:pt idx="31">
                  <c:v>0.19349303709369248</c:v>
                </c:pt>
                <c:pt idx="32">
                  <c:v>0.16942650132046538</c:v>
                </c:pt>
                <c:pt idx="33">
                  <c:v>8.699414650275103E-2</c:v>
                </c:pt>
                <c:pt idx="34">
                  <c:v>3.8761844330010835E-2</c:v>
                </c:pt>
                <c:pt idx="35">
                  <c:v>3.4373896551097786E-2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85-40B3-B25D-18D31ACCBBCC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vědec.,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1-SNÚ'!$AH$28:$AH$64</c:f>
              <c:numCache>
                <c:formatCode>#\ ##0.0</c:formatCode>
                <c:ptCount val="37"/>
                <c:pt idx="0">
                  <c:v>0.10308883456383168</c:v>
                </c:pt>
                <c:pt idx="1">
                  <c:v>0.12282080877669461</c:v>
                </c:pt>
                <c:pt idx="2">
                  <c:v>0.25097208668743332</c:v>
                </c:pt>
                <c:pt idx="3">
                  <c:v>0.35868659590703411</c:v>
                </c:pt>
                <c:pt idx="4">
                  <c:v>0.23811542989926274</c:v>
                </c:pt>
                <c:pt idx="5">
                  <c:v>0.24004667467079344</c:v>
                </c:pt>
                <c:pt idx="6">
                  <c:v>0.25800163760363776</c:v>
                </c:pt>
                <c:pt idx="7">
                  <c:v>0.26365010416494572</c:v>
                </c:pt>
                <c:pt idx="8">
                  <c:v>0.41654784776603976</c:v>
                </c:pt>
                <c:pt idx="9">
                  <c:v>0.35593309894624658</c:v>
                </c:pt>
                <c:pt idx="10">
                  <c:v>0.30977182035627732</c:v>
                </c:pt>
                <c:pt idx="11">
                  <c:v>0.13772607419921484</c:v>
                </c:pt>
                <c:pt idx="12">
                  <c:v>0.14343992134911879</c:v>
                </c:pt>
                <c:pt idx="13">
                  <c:v>0.13539486233919026</c:v>
                </c:pt>
                <c:pt idx="14">
                  <c:v>0.10628305160717502</c:v>
                </c:pt>
                <c:pt idx="15">
                  <c:v>0.2182460882983914</c:v>
                </c:pt>
                <c:pt idx="16">
                  <c:v>-9.1442689268283559E-3</c:v>
                </c:pt>
                <c:pt idx="17">
                  <c:v>-3.3296298567616171E-2</c:v>
                </c:pt>
                <c:pt idx="18">
                  <c:v>-2.6633640706093933E-2</c:v>
                </c:pt>
                <c:pt idx="19">
                  <c:v>-0.20614876639524751</c:v>
                </c:pt>
                <c:pt idx="20">
                  <c:v>-0.13657008164791523</c:v>
                </c:pt>
                <c:pt idx="21">
                  <c:v>-0.27353729169983632</c:v>
                </c:pt>
                <c:pt idx="22">
                  <c:v>-0.43694239818987962</c:v>
                </c:pt>
                <c:pt idx="23">
                  <c:v>-0.20909243346063169</c:v>
                </c:pt>
                <c:pt idx="24">
                  <c:v>-0.1713918803351494</c:v>
                </c:pt>
                <c:pt idx="25">
                  <c:v>0.10134809862521423</c:v>
                </c:pt>
                <c:pt idx="26">
                  <c:v>0.19100069845358966</c:v>
                </c:pt>
                <c:pt idx="27">
                  <c:v>7.1176434253319584E-2</c:v>
                </c:pt>
                <c:pt idx="28">
                  <c:v>-2.0682741042304916E-3</c:v>
                </c:pt>
                <c:pt idx="29">
                  <c:v>-4.55083229230243E-2</c:v>
                </c:pt>
                <c:pt idx="30">
                  <c:v>1.7441865870564063E-2</c:v>
                </c:pt>
                <c:pt idx="31">
                  <c:v>5.8718716721028366E-2</c:v>
                </c:pt>
                <c:pt idx="32">
                  <c:v>0.17237902364729063</c:v>
                </c:pt>
                <c:pt idx="33">
                  <c:v>0.13830917174696358</c:v>
                </c:pt>
                <c:pt idx="34">
                  <c:v>0.23247934367923692</c:v>
                </c:pt>
                <c:pt idx="35">
                  <c:v>0.21869289953182408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85-40B3-B25D-18D31ACCBBCC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1-SNÚ'!$AI$28:$AI$64</c:f>
              <c:numCache>
                <c:formatCode>#\ ##0.0</c:formatCode>
                <c:ptCount val="37"/>
                <c:pt idx="0">
                  <c:v>0.2031525775646241</c:v>
                </c:pt>
                <c:pt idx="1">
                  <c:v>0.21991576992497472</c:v>
                </c:pt>
                <c:pt idx="2">
                  <c:v>0.13142991326837997</c:v>
                </c:pt>
                <c:pt idx="3">
                  <c:v>0.14149199757097264</c:v>
                </c:pt>
                <c:pt idx="4">
                  <c:v>0.325463233483336</c:v>
                </c:pt>
                <c:pt idx="5">
                  <c:v>0.34066723563476037</c:v>
                </c:pt>
                <c:pt idx="6">
                  <c:v>0.44607921975090492</c:v>
                </c:pt>
                <c:pt idx="7">
                  <c:v>0.55251039247568279</c:v>
                </c:pt>
                <c:pt idx="8">
                  <c:v>0.46255274221280807</c:v>
                </c:pt>
                <c:pt idx="9">
                  <c:v>0.49230411325389473</c:v>
                </c:pt>
                <c:pt idx="10">
                  <c:v>0.52626450589314866</c:v>
                </c:pt>
                <c:pt idx="11">
                  <c:v>0.51878456833877995</c:v>
                </c:pt>
                <c:pt idx="12">
                  <c:v>0.44244887504378938</c:v>
                </c:pt>
                <c:pt idx="13">
                  <c:v>0.45935334574437608</c:v>
                </c:pt>
                <c:pt idx="14">
                  <c:v>0.30172836175807344</c:v>
                </c:pt>
                <c:pt idx="15">
                  <c:v>0.24009677638084359</c:v>
                </c:pt>
                <c:pt idx="16">
                  <c:v>0.20061747000522431</c:v>
                </c:pt>
                <c:pt idx="17">
                  <c:v>0.13283528847799542</c:v>
                </c:pt>
                <c:pt idx="18">
                  <c:v>0.15144076368225956</c:v>
                </c:pt>
                <c:pt idx="19">
                  <c:v>0.17428338345531044</c:v>
                </c:pt>
                <c:pt idx="20">
                  <c:v>0.34198589701119508</c:v>
                </c:pt>
                <c:pt idx="21">
                  <c:v>0.27678778519636987</c:v>
                </c:pt>
                <c:pt idx="22">
                  <c:v>0.37818346642689021</c:v>
                </c:pt>
                <c:pt idx="23">
                  <c:v>0.32123696939097601</c:v>
                </c:pt>
                <c:pt idx="24">
                  <c:v>0.17763677855905952</c:v>
                </c:pt>
                <c:pt idx="25">
                  <c:v>0.30954336863438131</c:v>
                </c:pt>
                <c:pt idx="26">
                  <c:v>0.28418412534868692</c:v>
                </c:pt>
                <c:pt idx="27">
                  <c:v>0.35355873670896537</c:v>
                </c:pt>
                <c:pt idx="28">
                  <c:v>0.44014753187210476</c:v>
                </c:pt>
                <c:pt idx="29">
                  <c:v>0.4145068427816348</c:v>
                </c:pt>
                <c:pt idx="30">
                  <c:v>0.41676390165986388</c:v>
                </c:pt>
                <c:pt idx="31">
                  <c:v>0.50271397537047469</c:v>
                </c:pt>
                <c:pt idx="32">
                  <c:v>0.52222506539187263</c:v>
                </c:pt>
                <c:pt idx="33">
                  <c:v>0.41869476228305313</c:v>
                </c:pt>
                <c:pt idx="34">
                  <c:v>0.26331638121768891</c:v>
                </c:pt>
                <c:pt idx="35">
                  <c:v>0.28573301508100013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85-40B3-B25D-18D31ACCBBCC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1-SNÚ'!$AJ$28:$AJ$64</c:f>
              <c:numCache>
                <c:formatCode>#\ ##0.0</c:formatCode>
                <c:ptCount val="37"/>
                <c:pt idx="0">
                  <c:v>-5.8105330152403663E-2</c:v>
                </c:pt>
                <c:pt idx="1">
                  <c:v>7.4822774223603894E-2</c:v>
                </c:pt>
                <c:pt idx="2">
                  <c:v>5.2908263210984297E-2</c:v>
                </c:pt>
                <c:pt idx="3">
                  <c:v>-1.0886996096651559E-2</c:v>
                </c:pt>
                <c:pt idx="4">
                  <c:v>0.13489326432190499</c:v>
                </c:pt>
                <c:pt idx="5">
                  <c:v>7.1998572758000354E-2</c:v>
                </c:pt>
                <c:pt idx="6">
                  <c:v>0.10095213191232859</c:v>
                </c:pt>
                <c:pt idx="7">
                  <c:v>0.17975706759442231</c:v>
                </c:pt>
                <c:pt idx="8">
                  <c:v>-3.4575344434650213E-2</c:v>
                </c:pt>
                <c:pt idx="9">
                  <c:v>7.1083985158272222E-3</c:v>
                </c:pt>
                <c:pt idx="10">
                  <c:v>3.3733199641470868E-2</c:v>
                </c:pt>
                <c:pt idx="11">
                  <c:v>2.2834824579480689E-2</c:v>
                </c:pt>
                <c:pt idx="12">
                  <c:v>0.20382180000527356</c:v>
                </c:pt>
                <c:pt idx="13">
                  <c:v>0.20098465243874819</c:v>
                </c:pt>
                <c:pt idx="14">
                  <c:v>1.3096754650279419E-2</c:v>
                </c:pt>
                <c:pt idx="15">
                  <c:v>1.49769422150825E-2</c:v>
                </c:pt>
                <c:pt idx="16">
                  <c:v>-3.6076273960813747E-2</c:v>
                </c:pt>
                <c:pt idx="17">
                  <c:v>2.1528414284039402E-2</c:v>
                </c:pt>
                <c:pt idx="18">
                  <c:v>0.11899312656423253</c:v>
                </c:pt>
                <c:pt idx="19">
                  <c:v>0.11806769054624172</c:v>
                </c:pt>
                <c:pt idx="20">
                  <c:v>-0.14230569417640501</c:v>
                </c:pt>
                <c:pt idx="21">
                  <c:v>-0.35283464151923138</c:v>
                </c:pt>
                <c:pt idx="22">
                  <c:v>-0.32618669457516397</c:v>
                </c:pt>
                <c:pt idx="23">
                  <c:v>-0.43498990865563242</c:v>
                </c:pt>
                <c:pt idx="24">
                  <c:v>-0.14203900559724536</c:v>
                </c:pt>
                <c:pt idx="25">
                  <c:v>5.2288111624045751E-2</c:v>
                </c:pt>
                <c:pt idx="26">
                  <c:v>-2.6396030127119236E-2</c:v>
                </c:pt>
                <c:pt idx="27">
                  <c:v>9.1180639103177613E-2</c:v>
                </c:pt>
                <c:pt idx="28">
                  <c:v>-1.9140936710060376E-2</c:v>
                </c:pt>
                <c:pt idx="29">
                  <c:v>3.0656468767111159E-2</c:v>
                </c:pt>
                <c:pt idx="30">
                  <c:v>-8.2151560145151459E-2</c:v>
                </c:pt>
                <c:pt idx="31">
                  <c:v>-5.0394037894755966E-2</c:v>
                </c:pt>
                <c:pt idx="32">
                  <c:v>3.0267996180661824E-2</c:v>
                </c:pt>
                <c:pt idx="33">
                  <c:v>0.10467826247251354</c:v>
                </c:pt>
                <c:pt idx="34">
                  <c:v>8.9887854811667361E-2</c:v>
                </c:pt>
                <c:pt idx="35">
                  <c:v>0.10633506139284565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585-40B3-B25D-18D31ACCB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95825920"/>
        <c:axId val="95827456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1-SNÚ'!$AK$28:$AK$64</c:f>
              <c:numCache>
                <c:formatCode>#\ ##0.0</c:formatCode>
                <c:ptCount val="37"/>
                <c:pt idx="0">
                  <c:v>1.2219798438541989</c:v>
                </c:pt>
                <c:pt idx="1">
                  <c:v>1.7421952173863668</c:v>
                </c:pt>
                <c:pt idx="2">
                  <c:v>1.3904158616861526</c:v>
                </c:pt>
                <c:pt idx="3">
                  <c:v>1.3570767227454039</c:v>
                </c:pt>
                <c:pt idx="4">
                  <c:v>1.5348256915487184</c:v>
                </c:pt>
                <c:pt idx="5">
                  <c:v>1.4765589966874444</c:v>
                </c:pt>
                <c:pt idx="6">
                  <c:v>1.5276265584907236</c:v>
                </c:pt>
                <c:pt idx="7">
                  <c:v>1.8192452854841994</c:v>
                </c:pt>
                <c:pt idx="8">
                  <c:v>1.4810250356838992</c:v>
                </c:pt>
                <c:pt idx="9">
                  <c:v>1.4509305729939399</c:v>
                </c:pt>
                <c:pt idx="10">
                  <c:v>1.9544552420651509</c:v>
                </c:pt>
                <c:pt idx="11">
                  <c:v>1.3083410896249879</c:v>
                </c:pt>
                <c:pt idx="12">
                  <c:v>1.5409056151757028</c:v>
                </c:pt>
                <c:pt idx="13">
                  <c:v>1.729427221842442</c:v>
                </c:pt>
                <c:pt idx="14">
                  <c:v>0.93555167144769769</c:v>
                </c:pt>
                <c:pt idx="15">
                  <c:v>1.1332739223121564</c:v>
                </c:pt>
                <c:pt idx="16">
                  <c:v>0.89667625300134579</c:v>
                </c:pt>
                <c:pt idx="17">
                  <c:v>0.28165574684354056</c:v>
                </c:pt>
                <c:pt idx="18">
                  <c:v>0.17165132263802718</c:v>
                </c:pt>
                <c:pt idx="19">
                  <c:v>-0.36834909134847788</c:v>
                </c:pt>
                <c:pt idx="20">
                  <c:v>-0.79587138844840455</c:v>
                </c:pt>
                <c:pt idx="21">
                  <c:v>-2.1514961360447127</c:v>
                </c:pt>
                <c:pt idx="22">
                  <c:v>-1.7856708541695099</c:v>
                </c:pt>
                <c:pt idx="23">
                  <c:v>-2.1298218129441739</c:v>
                </c:pt>
                <c:pt idx="24">
                  <c:v>-1.4446840072233298</c:v>
                </c:pt>
                <c:pt idx="25">
                  <c:v>0.46349863771264704</c:v>
                </c:pt>
                <c:pt idx="26">
                  <c:v>0.89146166281481953</c:v>
                </c:pt>
                <c:pt idx="27">
                  <c:v>1.6566655087273441</c:v>
                </c:pt>
                <c:pt idx="28">
                  <c:v>1.2556680111701854</c:v>
                </c:pt>
                <c:pt idx="29">
                  <c:v>2.1543034788646906</c:v>
                </c:pt>
                <c:pt idx="30">
                  <c:v>1.3643332437686837</c:v>
                </c:pt>
                <c:pt idx="31">
                  <c:v>1.1967469087661735</c:v>
                </c:pt>
                <c:pt idx="32">
                  <c:v>1.3279294128045915</c:v>
                </c:pt>
                <c:pt idx="33">
                  <c:v>0.82705702661066061</c:v>
                </c:pt>
                <c:pt idx="34">
                  <c:v>0.44149612280661177</c:v>
                </c:pt>
                <c:pt idx="35">
                  <c:v>0.44032373893981047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585-40B3-B25D-18D31ACCB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5920"/>
        <c:axId val="95827456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1-SNÚ'!$AL$28:$AL$64</c:f>
              <c:numCache>
                <c:formatCode>General</c:formatCode>
                <c:ptCount val="3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585-40B3-B25D-18D31ACCBBCC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1-SNÚ'!$AM$28:$AM$64</c:f>
              <c:numCache>
                <c:formatCode>#\ ##0.0</c:formatCode>
                <c:ptCount val="37"/>
                <c:pt idx="0">
                  <c:v>-3</c:v>
                </c:pt>
                <c:pt idx="1">
                  <c:v>4.3</c:v>
                </c:pt>
                <c:pt idx="2">
                  <c:v>5.5</c:v>
                </c:pt>
                <c:pt idx="3">
                  <c:v>7.8</c:v>
                </c:pt>
                <c:pt idx="4">
                  <c:v>8.2000000000000011</c:v>
                </c:pt>
                <c:pt idx="5">
                  <c:v>9.9</c:v>
                </c:pt>
                <c:pt idx="6">
                  <c:v>3.8</c:v>
                </c:pt>
                <c:pt idx="7">
                  <c:v>9.5</c:v>
                </c:pt>
                <c:pt idx="8">
                  <c:v>11.1</c:v>
                </c:pt>
                <c:pt idx="9">
                  <c:v>5.7</c:v>
                </c:pt>
                <c:pt idx="10">
                  <c:v>8.2000000000000011</c:v>
                </c:pt>
                <c:pt idx="11">
                  <c:v>7.3</c:v>
                </c:pt>
                <c:pt idx="12">
                  <c:v>9.8000000000000007</c:v>
                </c:pt>
                <c:pt idx="13">
                  <c:v>9.4</c:v>
                </c:pt>
                <c:pt idx="14">
                  <c:v>6.2</c:v>
                </c:pt>
                <c:pt idx="15">
                  <c:v>6.3</c:v>
                </c:pt>
                <c:pt idx="16">
                  <c:v>2.5</c:v>
                </c:pt>
                <c:pt idx="17">
                  <c:v>2.6</c:v>
                </c:pt>
                <c:pt idx="18">
                  <c:v>0.5</c:v>
                </c:pt>
                <c:pt idx="19">
                  <c:v>-2.8</c:v>
                </c:pt>
                <c:pt idx="20">
                  <c:v>2.9</c:v>
                </c:pt>
                <c:pt idx="21">
                  <c:v>-19</c:v>
                </c:pt>
                <c:pt idx="22">
                  <c:v>-10.9</c:v>
                </c:pt>
                <c:pt idx="23">
                  <c:v>-3.5</c:v>
                </c:pt>
                <c:pt idx="24">
                  <c:v>4.4000000000000004</c:v>
                </c:pt>
                <c:pt idx="25">
                  <c:v>8.6</c:v>
                </c:pt>
                <c:pt idx="26">
                  <c:v>4.7</c:v>
                </c:pt>
                <c:pt idx="27">
                  <c:v>1.8</c:v>
                </c:pt>
                <c:pt idx="28">
                  <c:v>11.2</c:v>
                </c:pt>
                <c:pt idx="29">
                  <c:v>2.2999999999999998</c:v>
                </c:pt>
                <c:pt idx="30">
                  <c:v>2.1</c:v>
                </c:pt>
                <c:pt idx="31">
                  <c:v>-9.9</c:v>
                </c:pt>
                <c:pt idx="32">
                  <c:v>-13.6</c:v>
                </c:pt>
                <c:pt idx="33">
                  <c:v>-5.8</c:v>
                </c:pt>
                <c:pt idx="34">
                  <c:v>-4.3</c:v>
                </c:pt>
                <c:pt idx="35">
                  <c:v>-8.3000000000000007</c:v>
                </c:pt>
                <c:pt idx="36">
                  <c:v>-6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585-40B3-B25D-18D31ACCBBCC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1-SNÚ'!$AN$28:$AN$64</c:f>
              <c:numCache>
                <c:formatCode>#\ ##0.0</c:formatCode>
                <c:ptCount val="37"/>
                <c:pt idx="0">
                  <c:v>-4.2</c:v>
                </c:pt>
                <c:pt idx="1">
                  <c:v>7.4</c:v>
                </c:pt>
                <c:pt idx="2">
                  <c:v>1</c:v>
                </c:pt>
                <c:pt idx="3">
                  <c:v>-0.1</c:v>
                </c:pt>
                <c:pt idx="4">
                  <c:v>-3.5</c:v>
                </c:pt>
                <c:pt idx="5">
                  <c:v>-6.4</c:v>
                </c:pt>
                <c:pt idx="6">
                  <c:v>-4.7</c:v>
                </c:pt>
                <c:pt idx="7">
                  <c:v>-6.9</c:v>
                </c:pt>
                <c:pt idx="8">
                  <c:v>-7.5</c:v>
                </c:pt>
                <c:pt idx="9">
                  <c:v>-12.2</c:v>
                </c:pt>
                <c:pt idx="10">
                  <c:v>-6.2</c:v>
                </c:pt>
                <c:pt idx="11">
                  <c:v>-2.8</c:v>
                </c:pt>
                <c:pt idx="12">
                  <c:v>4.3</c:v>
                </c:pt>
                <c:pt idx="13">
                  <c:v>5.5</c:v>
                </c:pt>
                <c:pt idx="14">
                  <c:v>8.8000000000000007</c:v>
                </c:pt>
                <c:pt idx="15">
                  <c:v>9.6</c:v>
                </c:pt>
                <c:pt idx="16">
                  <c:v>6.4</c:v>
                </c:pt>
                <c:pt idx="17">
                  <c:v>9.6</c:v>
                </c:pt>
                <c:pt idx="18">
                  <c:v>3.8</c:v>
                </c:pt>
                <c:pt idx="19">
                  <c:v>10.7</c:v>
                </c:pt>
                <c:pt idx="20">
                  <c:v>5.7</c:v>
                </c:pt>
                <c:pt idx="21">
                  <c:v>-4.2</c:v>
                </c:pt>
                <c:pt idx="22">
                  <c:v>1.5</c:v>
                </c:pt>
                <c:pt idx="23">
                  <c:v>-1.5</c:v>
                </c:pt>
                <c:pt idx="24">
                  <c:v>3.9</c:v>
                </c:pt>
                <c:pt idx="25">
                  <c:v>4.4000000000000004</c:v>
                </c:pt>
                <c:pt idx="26">
                  <c:v>4.0999999999999996</c:v>
                </c:pt>
                <c:pt idx="27">
                  <c:v>8.3000000000000007</c:v>
                </c:pt>
                <c:pt idx="28">
                  <c:v>9.7000000000000011</c:v>
                </c:pt>
                <c:pt idx="29">
                  <c:v>8</c:v>
                </c:pt>
                <c:pt idx="30">
                  <c:v>1.3</c:v>
                </c:pt>
                <c:pt idx="31">
                  <c:v>-1.5</c:v>
                </c:pt>
                <c:pt idx="32">
                  <c:v>-12.1</c:v>
                </c:pt>
                <c:pt idx="33">
                  <c:v>-13.4</c:v>
                </c:pt>
                <c:pt idx="34">
                  <c:v>-8.4</c:v>
                </c:pt>
                <c:pt idx="35">
                  <c:v>0.1</c:v>
                </c:pt>
                <c:pt idx="36">
                  <c:v>0.30000000000000021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585-40B3-B25D-18D31ACCBBCC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1-SNÚ'!$AO$28:$AO$64</c:f>
              <c:numCache>
                <c:formatCode>#\ ##0.0</c:formatCode>
                <c:ptCount val="37"/>
                <c:pt idx="0">
                  <c:v>11.9</c:v>
                </c:pt>
                <c:pt idx="1">
                  <c:v>3.7</c:v>
                </c:pt>
                <c:pt idx="2">
                  <c:v>0.8</c:v>
                </c:pt>
                <c:pt idx="3">
                  <c:v>2.2999999999999998</c:v>
                </c:pt>
                <c:pt idx="4">
                  <c:v>14.8</c:v>
                </c:pt>
                <c:pt idx="5">
                  <c:v>18.2</c:v>
                </c:pt>
                <c:pt idx="6">
                  <c:v>18.7</c:v>
                </c:pt>
                <c:pt idx="7">
                  <c:v>21.4</c:v>
                </c:pt>
                <c:pt idx="8">
                  <c:v>14.5</c:v>
                </c:pt>
                <c:pt idx="9">
                  <c:v>17.100000000000001</c:v>
                </c:pt>
                <c:pt idx="10">
                  <c:v>18.8</c:v>
                </c:pt>
                <c:pt idx="11">
                  <c:v>15.3</c:v>
                </c:pt>
                <c:pt idx="12">
                  <c:v>29.9</c:v>
                </c:pt>
                <c:pt idx="13">
                  <c:v>32.5</c:v>
                </c:pt>
                <c:pt idx="14">
                  <c:v>27.1</c:v>
                </c:pt>
                <c:pt idx="15">
                  <c:v>15.3</c:v>
                </c:pt>
                <c:pt idx="16">
                  <c:v>11.9</c:v>
                </c:pt>
                <c:pt idx="17">
                  <c:v>15.9</c:v>
                </c:pt>
                <c:pt idx="18">
                  <c:v>13.7</c:v>
                </c:pt>
                <c:pt idx="19">
                  <c:v>13</c:v>
                </c:pt>
                <c:pt idx="20">
                  <c:v>11.4</c:v>
                </c:pt>
                <c:pt idx="21">
                  <c:v>-5.9</c:v>
                </c:pt>
                <c:pt idx="22">
                  <c:v>-3.5</c:v>
                </c:pt>
                <c:pt idx="23">
                  <c:v>0.7000000000000004</c:v>
                </c:pt>
                <c:pt idx="24">
                  <c:v>5.3</c:v>
                </c:pt>
                <c:pt idx="25">
                  <c:v>13.1</c:v>
                </c:pt>
                <c:pt idx="26">
                  <c:v>10.8</c:v>
                </c:pt>
                <c:pt idx="27">
                  <c:v>8.5</c:v>
                </c:pt>
                <c:pt idx="28">
                  <c:v>10.3</c:v>
                </c:pt>
                <c:pt idx="29">
                  <c:v>3.3</c:v>
                </c:pt>
                <c:pt idx="30">
                  <c:v>5.2</c:v>
                </c:pt>
                <c:pt idx="31">
                  <c:v>12.6</c:v>
                </c:pt>
                <c:pt idx="32">
                  <c:v>11</c:v>
                </c:pt>
                <c:pt idx="33">
                  <c:v>9.4</c:v>
                </c:pt>
                <c:pt idx="34">
                  <c:v>10.8</c:v>
                </c:pt>
                <c:pt idx="35">
                  <c:v>10.4</c:v>
                </c:pt>
                <c:pt idx="36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585-40B3-B25D-18D31ACCBBCC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1-SNÚ'!$AA$28:$AB$64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1-SNÚ'!$AP$28:$AP$64</c:f>
              <c:numCache>
                <c:formatCode>#\ ##0.0</c:formatCode>
                <c:ptCount val="37"/>
                <c:pt idx="0">
                  <c:v>-16.2</c:v>
                </c:pt>
                <c:pt idx="1">
                  <c:v>-24.6</c:v>
                </c:pt>
                <c:pt idx="2">
                  <c:v>5.2</c:v>
                </c:pt>
                <c:pt idx="3">
                  <c:v>5.2</c:v>
                </c:pt>
                <c:pt idx="4">
                  <c:v>2.8</c:v>
                </c:pt>
                <c:pt idx="5">
                  <c:v>21.8</c:v>
                </c:pt>
                <c:pt idx="6">
                  <c:v>-4.8</c:v>
                </c:pt>
                <c:pt idx="7">
                  <c:v>7.9</c:v>
                </c:pt>
                <c:pt idx="8">
                  <c:v>11.1</c:v>
                </c:pt>
                <c:pt idx="9">
                  <c:v>11</c:v>
                </c:pt>
                <c:pt idx="10">
                  <c:v>19.7</c:v>
                </c:pt>
                <c:pt idx="11">
                  <c:v>3.1</c:v>
                </c:pt>
                <c:pt idx="12">
                  <c:v>15.7</c:v>
                </c:pt>
                <c:pt idx="13">
                  <c:v>10.5</c:v>
                </c:pt>
                <c:pt idx="14">
                  <c:v>9.5</c:v>
                </c:pt>
                <c:pt idx="15">
                  <c:v>-7.6</c:v>
                </c:pt>
                <c:pt idx="16">
                  <c:v>-6.5</c:v>
                </c:pt>
                <c:pt idx="17">
                  <c:v>-1.1000000000000001</c:v>
                </c:pt>
                <c:pt idx="18">
                  <c:v>-4.5999999999999996</c:v>
                </c:pt>
                <c:pt idx="19">
                  <c:v>-15.4</c:v>
                </c:pt>
                <c:pt idx="20">
                  <c:v>-20.5</c:v>
                </c:pt>
                <c:pt idx="21">
                  <c:v>-32.300000000000004</c:v>
                </c:pt>
                <c:pt idx="22">
                  <c:v>-28.6</c:v>
                </c:pt>
                <c:pt idx="23">
                  <c:v>-30.1</c:v>
                </c:pt>
                <c:pt idx="24">
                  <c:v>-27</c:v>
                </c:pt>
                <c:pt idx="25">
                  <c:v>-27.7</c:v>
                </c:pt>
                <c:pt idx="26">
                  <c:v>-12.1</c:v>
                </c:pt>
                <c:pt idx="27">
                  <c:v>-15.8</c:v>
                </c:pt>
                <c:pt idx="28">
                  <c:v>-6.8</c:v>
                </c:pt>
                <c:pt idx="29">
                  <c:v>-3.5</c:v>
                </c:pt>
                <c:pt idx="30">
                  <c:v>-6.1</c:v>
                </c:pt>
                <c:pt idx="31">
                  <c:v>-6.4</c:v>
                </c:pt>
                <c:pt idx="32">
                  <c:v>-10.7</c:v>
                </c:pt>
                <c:pt idx="33">
                  <c:v>-16.7</c:v>
                </c:pt>
                <c:pt idx="34">
                  <c:v>-14.5</c:v>
                </c:pt>
                <c:pt idx="35">
                  <c:v>-15.2</c:v>
                </c:pt>
                <c:pt idx="36">
                  <c:v>-23.7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585-40B3-B25D-18D31ACCB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552"/>
        <c:axId val="95829376"/>
      </c:lineChart>
      <c:catAx>
        <c:axId val="9582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95827456"/>
        <c:crosses val="autoZero"/>
        <c:auto val="1"/>
        <c:lblAlgn val="ctr"/>
        <c:lblOffset val="10"/>
        <c:noMultiLvlLbl val="0"/>
      </c:catAx>
      <c:valAx>
        <c:axId val="95827456"/>
        <c:scaling>
          <c:orientation val="minMax"/>
          <c:max val="2.5"/>
          <c:min val="-4.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95825920"/>
        <c:crosses val="autoZero"/>
        <c:crossBetween val="between"/>
        <c:majorUnit val="0.5"/>
      </c:valAx>
      <c:valAx>
        <c:axId val="95829376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95831552"/>
        <c:crosses val="max"/>
        <c:crossBetween val="between"/>
        <c:majorUnit val="10"/>
      </c:valAx>
      <c:catAx>
        <c:axId val="95831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5829376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5472441370721636E-2"/>
          <c:y val="0.77992823117070786"/>
          <c:w val="0.96005692595618608"/>
          <c:h val="0.2119461831534997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97366722205974E-2"/>
          <c:y val="1.6081916099773243E-2"/>
          <c:w val="0.83584199323559083"/>
          <c:h val="0.754130056019736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práce-2b'!$A$32</c:f>
              <c:strCache>
                <c:ptCount val="1"/>
                <c:pt idx="0">
                  <c:v>Míra nezaměstnanosti mužů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práce-2b'!$B$30:$AL$31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práce-2b'!$B$32:$AL$32</c:f>
              <c:numCache>
                <c:formatCode>0.0</c:formatCode>
                <c:ptCount val="37"/>
                <c:pt idx="0">
                  <c:v>5.0127229973802683</c:v>
                </c:pt>
                <c:pt idx="1">
                  <c:v>4.3449712679986989</c:v>
                </c:pt>
                <c:pt idx="2">
                  <c:v>4.0803742397692675</c:v>
                </c:pt>
                <c:pt idx="3">
                  <c:v>3.777071346695128</c:v>
                </c:pt>
                <c:pt idx="4">
                  <c:v>3.639689193245963</c:v>
                </c:pt>
                <c:pt idx="5">
                  <c:v>3.5687537265192675</c:v>
                </c:pt>
                <c:pt idx="6">
                  <c:v>3.3812772041673056</c:v>
                </c:pt>
                <c:pt idx="7">
                  <c:v>3.1625157371626198</c:v>
                </c:pt>
                <c:pt idx="8">
                  <c:v>2.7014167503574611</c:v>
                </c:pt>
                <c:pt idx="9">
                  <c:v>2.4643306568437211</c:v>
                </c:pt>
                <c:pt idx="10">
                  <c:v>2.2569671166364302</c:v>
                </c:pt>
                <c:pt idx="11">
                  <c:v>2.0563239983816275</c:v>
                </c:pt>
                <c:pt idx="12">
                  <c:v>1.8927077663033782</c:v>
                </c:pt>
                <c:pt idx="13">
                  <c:v>1.8463053715581259</c:v>
                </c:pt>
                <c:pt idx="14">
                  <c:v>1.8898307203424392</c:v>
                </c:pt>
                <c:pt idx="15">
                  <c:v>1.66414090105238</c:v>
                </c:pt>
                <c:pt idx="16">
                  <c:v>1.797524154902983</c:v>
                </c:pt>
                <c:pt idx="17">
                  <c:v>1.6823584231173776</c:v>
                </c:pt>
                <c:pt idx="18">
                  <c:v>1.7680442309984998</c:v>
                </c:pt>
                <c:pt idx="19">
                  <c:v>1.8679911964312019</c:v>
                </c:pt>
                <c:pt idx="20">
                  <c:v>1.8315503817523053</c:v>
                </c:pt>
                <c:pt idx="21">
                  <c:v>2.2594744346943325</c:v>
                </c:pt>
                <c:pt idx="22">
                  <c:v>2.5262882214451401</c:v>
                </c:pt>
                <c:pt idx="23">
                  <c:v>2.5384491116047534</c:v>
                </c:pt>
                <c:pt idx="24">
                  <c:v>2.6633194438949492</c:v>
                </c:pt>
                <c:pt idx="25">
                  <c:v>2.5638539854623339</c:v>
                </c:pt>
                <c:pt idx="26">
                  <c:v>2.2766311388265756</c:v>
                </c:pt>
                <c:pt idx="27">
                  <c:v>1.9716311648762768</c:v>
                </c:pt>
                <c:pt idx="28">
                  <c:v>1.9655013551372778</c:v>
                </c:pt>
                <c:pt idx="29">
                  <c:v>1.9037308023713286</c:v>
                </c:pt>
                <c:pt idx="30">
                  <c:v>1.9272683524829164</c:v>
                </c:pt>
                <c:pt idx="31">
                  <c:v>2.0966113896413234</c:v>
                </c:pt>
                <c:pt idx="32">
                  <c:v>2.150428096435927</c:v>
                </c:pt>
                <c:pt idx="33">
                  <c:v>2.2448007049381857</c:v>
                </c:pt>
                <c:pt idx="34">
                  <c:v>2.3365957082373883</c:v>
                </c:pt>
                <c:pt idx="35">
                  <c:v>2.3173129275841196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EA-480A-B61D-171622B04011}"/>
            </c:ext>
          </c:extLst>
        </c:ser>
        <c:ser>
          <c:idx val="1"/>
          <c:order val="1"/>
          <c:tx>
            <c:strRef>
              <c:f>'Trh práce-2b'!$A$33</c:f>
              <c:strCache>
                <c:ptCount val="1"/>
                <c:pt idx="0">
                  <c:v>Míra nezaměstnanosti žen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práce-2b'!$B$30:$AL$31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práce-2b'!$B$33:$AL$33</c:f>
              <c:numCache>
                <c:formatCode>0.0</c:formatCode>
                <c:ptCount val="37"/>
                <c:pt idx="0">
                  <c:v>6.9232538003884407</c:v>
                </c:pt>
                <c:pt idx="1">
                  <c:v>6.1565512197823367</c:v>
                </c:pt>
                <c:pt idx="2">
                  <c:v>5.988361821651508</c:v>
                </c:pt>
                <c:pt idx="3">
                  <c:v>5.6659771181246086</c:v>
                </c:pt>
                <c:pt idx="4">
                  <c:v>5.0761619237723243</c:v>
                </c:pt>
                <c:pt idx="5">
                  <c:v>4.7824572088299755</c:v>
                </c:pt>
                <c:pt idx="6">
                  <c:v>4.8045499820344828</c:v>
                </c:pt>
                <c:pt idx="7">
                  <c:v>4.3778507209520425</c:v>
                </c:pt>
                <c:pt idx="8">
                  <c:v>4.2638953600644607</c:v>
                </c:pt>
                <c:pt idx="9">
                  <c:v>3.8950252684812661</c:v>
                </c:pt>
                <c:pt idx="10">
                  <c:v>3.4034762456862682</c:v>
                </c:pt>
                <c:pt idx="11">
                  <c:v>3.0200874915235345</c:v>
                </c:pt>
                <c:pt idx="12">
                  <c:v>2.9271977359410859</c:v>
                </c:pt>
                <c:pt idx="13">
                  <c:v>2.9067357056699148</c:v>
                </c:pt>
                <c:pt idx="14">
                  <c:v>2.8715238120039879</c:v>
                </c:pt>
                <c:pt idx="15">
                  <c:v>2.6892823668724892</c:v>
                </c:pt>
                <c:pt idx="16">
                  <c:v>2.223990780142413</c:v>
                </c:pt>
                <c:pt idx="17">
                  <c:v>2.4709749606754192</c:v>
                </c:pt>
                <c:pt idx="18">
                  <c:v>2.5681225207938794</c:v>
                </c:pt>
                <c:pt idx="19">
                  <c:v>2.4481064001613326</c:v>
                </c:pt>
                <c:pt idx="20">
                  <c:v>2.0492954589307941</c:v>
                </c:pt>
                <c:pt idx="21">
                  <c:v>2.7867626963401624</c:v>
                </c:pt>
                <c:pt idx="22">
                  <c:v>3.3740053396289782</c:v>
                </c:pt>
                <c:pt idx="23">
                  <c:v>3.8993777572129527</c:v>
                </c:pt>
                <c:pt idx="24">
                  <c:v>4.1612954196326104</c:v>
                </c:pt>
                <c:pt idx="25">
                  <c:v>3.8820940785423255</c:v>
                </c:pt>
                <c:pt idx="26">
                  <c:v>3.2720463783764466</c:v>
                </c:pt>
                <c:pt idx="27">
                  <c:v>2.7383712703829741</c:v>
                </c:pt>
                <c:pt idx="28">
                  <c:v>2.9938877769399812</c:v>
                </c:pt>
                <c:pt idx="29">
                  <c:v>3.2165836219864183</c:v>
                </c:pt>
                <c:pt idx="30">
                  <c:v>2.8917438518121932</c:v>
                </c:pt>
                <c:pt idx="31">
                  <c:v>2.8050708800737629</c:v>
                </c:pt>
                <c:pt idx="32">
                  <c:v>3.0293697792496808</c:v>
                </c:pt>
                <c:pt idx="33">
                  <c:v>3.1814107786807035</c:v>
                </c:pt>
                <c:pt idx="34">
                  <c:v>3.1932795686856212</c:v>
                </c:pt>
                <c:pt idx="35">
                  <c:v>3.3158533508605701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EA-480A-B61D-171622B04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95236096"/>
        <c:axId val="95238016"/>
      </c:barChart>
      <c:lineChart>
        <c:grouping val="standard"/>
        <c:varyColors val="0"/>
        <c:ser>
          <c:idx val="4"/>
          <c:order val="2"/>
          <c:tx>
            <c:strRef>
              <c:f>'Trh práce-2b'!$A$36</c:f>
              <c:strCache>
                <c:ptCount val="1"/>
                <c:pt idx="0">
                  <c:v>Ekon. neaktivní chtějící pracovat</c:v>
                </c:pt>
              </c:strCache>
            </c:strRef>
          </c:tx>
          <c:spPr>
            <a:ln w="19050">
              <a:solidFill>
                <a:schemeClr val="bg2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práce-2b'!$B$30:$AL$31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práce-2b'!$B$36:$AL$36</c:f>
              <c:numCache>
                <c:formatCode>0.0</c:formatCode>
                <c:ptCount val="37"/>
                <c:pt idx="0">
                  <c:v>138.5</c:v>
                </c:pt>
                <c:pt idx="1">
                  <c:v>141.4</c:v>
                </c:pt>
                <c:pt idx="2">
                  <c:v>137.1</c:v>
                </c:pt>
                <c:pt idx="3">
                  <c:v>130.4</c:v>
                </c:pt>
                <c:pt idx="4">
                  <c:v>141</c:v>
                </c:pt>
                <c:pt idx="5">
                  <c:v>126.4</c:v>
                </c:pt>
                <c:pt idx="6">
                  <c:v>129.69999999999999</c:v>
                </c:pt>
                <c:pt idx="7">
                  <c:v>127.1</c:v>
                </c:pt>
                <c:pt idx="8">
                  <c:v>133.1</c:v>
                </c:pt>
                <c:pt idx="9">
                  <c:v>120.1</c:v>
                </c:pt>
                <c:pt idx="10">
                  <c:v>121.3</c:v>
                </c:pt>
                <c:pt idx="11">
                  <c:v>119.1</c:v>
                </c:pt>
                <c:pt idx="12">
                  <c:v>113.5</c:v>
                </c:pt>
                <c:pt idx="13">
                  <c:v>108.4</c:v>
                </c:pt>
                <c:pt idx="14">
                  <c:v>110.3</c:v>
                </c:pt>
                <c:pt idx="15">
                  <c:v>101.7</c:v>
                </c:pt>
                <c:pt idx="16">
                  <c:v>104.6</c:v>
                </c:pt>
                <c:pt idx="17">
                  <c:v>104.6</c:v>
                </c:pt>
                <c:pt idx="18">
                  <c:v>97.6</c:v>
                </c:pt>
                <c:pt idx="19">
                  <c:v>99.9</c:v>
                </c:pt>
                <c:pt idx="20">
                  <c:v>93.4</c:v>
                </c:pt>
                <c:pt idx="21">
                  <c:v>109.3</c:v>
                </c:pt>
                <c:pt idx="22">
                  <c:v>98.8</c:v>
                </c:pt>
                <c:pt idx="23">
                  <c:v>95.7</c:v>
                </c:pt>
                <c:pt idx="24">
                  <c:v>108</c:v>
                </c:pt>
                <c:pt idx="25">
                  <c:v>113.7</c:v>
                </c:pt>
                <c:pt idx="26">
                  <c:v>64.599999999999994</c:v>
                </c:pt>
                <c:pt idx="27">
                  <c:v>63.3</c:v>
                </c:pt>
                <c:pt idx="28">
                  <c:v>67</c:v>
                </c:pt>
                <c:pt idx="29">
                  <c:v>54.1</c:v>
                </c:pt>
                <c:pt idx="30">
                  <c:v>53.9</c:v>
                </c:pt>
                <c:pt idx="31">
                  <c:v>46.8</c:v>
                </c:pt>
                <c:pt idx="32">
                  <c:v>74</c:v>
                </c:pt>
                <c:pt idx="33">
                  <c:v>87.4</c:v>
                </c:pt>
                <c:pt idx="34">
                  <c:v>79.400000000000006</c:v>
                </c:pt>
                <c:pt idx="35">
                  <c:v>81.099999999999994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EA-480A-B61D-171622B04011}"/>
            </c:ext>
          </c:extLst>
        </c:ser>
        <c:ser>
          <c:idx val="5"/>
          <c:order val="3"/>
          <c:tx>
            <c:strRef>
              <c:f>'Trh práce-2b'!$A$37</c:f>
              <c:strCache>
                <c:ptCount val="1"/>
                <c:pt idx="0">
                  <c:v>Očekávání vývoje nezaměstnanosti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'Trh práce-2b'!$B$30:$AL$31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práce-2b'!$B$37:$AL$37</c:f>
              <c:numCache>
                <c:formatCode>0.0</c:formatCode>
                <c:ptCount val="37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-3</c:v>
                </c:pt>
                <c:pt idx="10">
                  <c:v>0</c:v>
                </c:pt>
                <c:pt idx="11">
                  <c:v>-1</c:v>
                </c:pt>
                <c:pt idx="12">
                  <c:v>-1</c:v>
                </c:pt>
                <c:pt idx="13">
                  <c:v>-2</c:v>
                </c:pt>
                <c:pt idx="14">
                  <c:v>-2</c:v>
                </c:pt>
                <c:pt idx="15">
                  <c:v>4</c:v>
                </c:pt>
                <c:pt idx="16">
                  <c:v>8</c:v>
                </c:pt>
                <c:pt idx="17">
                  <c:v>8</c:v>
                </c:pt>
                <c:pt idx="18">
                  <c:v>11</c:v>
                </c:pt>
                <c:pt idx="19">
                  <c:v>12</c:v>
                </c:pt>
                <c:pt idx="20">
                  <c:v>18</c:v>
                </c:pt>
                <c:pt idx="21">
                  <c:v>49</c:v>
                </c:pt>
                <c:pt idx="22">
                  <c:v>46</c:v>
                </c:pt>
                <c:pt idx="23">
                  <c:v>60</c:v>
                </c:pt>
                <c:pt idx="24">
                  <c:v>57</c:v>
                </c:pt>
                <c:pt idx="25">
                  <c:v>24</c:v>
                </c:pt>
                <c:pt idx="26">
                  <c:v>16</c:v>
                </c:pt>
                <c:pt idx="27">
                  <c:v>20</c:v>
                </c:pt>
                <c:pt idx="28">
                  <c:v>14</c:v>
                </c:pt>
                <c:pt idx="29">
                  <c:v>20</c:v>
                </c:pt>
                <c:pt idx="30">
                  <c:v>26</c:v>
                </c:pt>
                <c:pt idx="31">
                  <c:v>40</c:v>
                </c:pt>
                <c:pt idx="32">
                  <c:v>35</c:v>
                </c:pt>
                <c:pt idx="33">
                  <c:v>29</c:v>
                </c:pt>
                <c:pt idx="34">
                  <c:v>25</c:v>
                </c:pt>
                <c:pt idx="35">
                  <c:v>17</c:v>
                </c:pt>
                <c:pt idx="36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1EA-480A-B61D-171622B04011}"/>
            </c:ext>
          </c:extLst>
        </c:ser>
        <c:ser>
          <c:idx val="6"/>
          <c:order val="4"/>
          <c:tx>
            <c:strRef>
              <c:f>'Trh práce-2b'!$A$38</c:f>
              <c:strCache>
                <c:ptCount val="1"/>
                <c:pt idx="0">
                  <c:v>VPM pro vyučené a SŠ bez mat.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4"/>
            <c:spPr>
              <a:solidFill>
                <a:srgbClr val="8EB149"/>
              </a:solidFill>
              <a:ln>
                <a:noFill/>
              </a:ln>
            </c:spPr>
          </c:marker>
          <c:cat>
            <c:multiLvlStrRef>
              <c:f>'Trh práce-2b'!$B$30:$AL$31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práce-2b'!$B$38:$AL$38</c:f>
              <c:numCache>
                <c:formatCode>0.0</c:formatCode>
                <c:ptCount val="37"/>
                <c:pt idx="0">
                  <c:v>31.7</c:v>
                </c:pt>
                <c:pt idx="1">
                  <c:v>39.700000000000003</c:v>
                </c:pt>
                <c:pt idx="2">
                  <c:v>44.4</c:v>
                </c:pt>
                <c:pt idx="3">
                  <c:v>41.2</c:v>
                </c:pt>
                <c:pt idx="4">
                  <c:v>45.3</c:v>
                </c:pt>
                <c:pt idx="5">
                  <c:v>51.4</c:v>
                </c:pt>
                <c:pt idx="6">
                  <c:v>52.8</c:v>
                </c:pt>
                <c:pt idx="7">
                  <c:v>47.2</c:v>
                </c:pt>
                <c:pt idx="8">
                  <c:v>51.5</c:v>
                </c:pt>
                <c:pt idx="9">
                  <c:v>59.1</c:v>
                </c:pt>
                <c:pt idx="10">
                  <c:v>63.1</c:v>
                </c:pt>
                <c:pt idx="11">
                  <c:v>60.9</c:v>
                </c:pt>
                <c:pt idx="12">
                  <c:v>65.3</c:v>
                </c:pt>
                <c:pt idx="13">
                  <c:v>73.3</c:v>
                </c:pt>
                <c:pt idx="14">
                  <c:v>74.2</c:v>
                </c:pt>
                <c:pt idx="15">
                  <c:v>70.400000000000006</c:v>
                </c:pt>
                <c:pt idx="16">
                  <c:v>70.2</c:v>
                </c:pt>
                <c:pt idx="17">
                  <c:v>68</c:v>
                </c:pt>
                <c:pt idx="18">
                  <c:v>65.8</c:v>
                </c:pt>
                <c:pt idx="19">
                  <c:v>59.1</c:v>
                </c:pt>
                <c:pt idx="20">
                  <c:v>57.7</c:v>
                </c:pt>
                <c:pt idx="21">
                  <c:v>54.3</c:v>
                </c:pt>
                <c:pt idx="22">
                  <c:v>49.1</c:v>
                </c:pt>
                <c:pt idx="23">
                  <c:v>46.6</c:v>
                </c:pt>
                <c:pt idx="24">
                  <c:v>47.9</c:v>
                </c:pt>
                <c:pt idx="25">
                  <c:v>53.9</c:v>
                </c:pt>
                <c:pt idx="26">
                  <c:v>55.5</c:v>
                </c:pt>
                <c:pt idx="27">
                  <c:v>48.9</c:v>
                </c:pt>
                <c:pt idx="28">
                  <c:v>53.7</c:v>
                </c:pt>
                <c:pt idx="29">
                  <c:v>51.3</c:v>
                </c:pt>
                <c:pt idx="30">
                  <c:v>48.2</c:v>
                </c:pt>
                <c:pt idx="31">
                  <c:v>43.886999999999993</c:v>
                </c:pt>
                <c:pt idx="32">
                  <c:v>43.122000000000028</c:v>
                </c:pt>
                <c:pt idx="33">
                  <c:v>42.853999999999999</c:v>
                </c:pt>
                <c:pt idx="34">
                  <c:v>41.186</c:v>
                </c:pt>
                <c:pt idx="35">
                  <c:v>38.178000000000011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1EA-480A-B61D-171622B04011}"/>
            </c:ext>
          </c:extLst>
        </c:ser>
        <c:ser>
          <c:idx val="7"/>
          <c:order val="5"/>
          <c:tx>
            <c:strRef>
              <c:f>'Trh práce-2b'!$A$39</c:f>
              <c:strCache>
                <c:ptCount val="1"/>
                <c:pt idx="0">
                  <c:v>VPM pro SŠ s mat., VOŠ a VŠ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5"/>
            <c:spPr>
              <a:solidFill>
                <a:srgbClr val="00B050"/>
              </a:solidFill>
              <a:ln>
                <a:noFill/>
              </a:ln>
            </c:spPr>
          </c:marker>
          <c:cat>
            <c:multiLvlStrRef>
              <c:f>'Trh práce-2b'!$B$30:$AL$31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práce-2b'!$B$39:$AL$39</c:f>
              <c:numCache>
                <c:formatCode>0.0</c:formatCode>
                <c:ptCount val="37"/>
                <c:pt idx="0">
                  <c:v>16.600000000000001</c:v>
                </c:pt>
                <c:pt idx="1">
                  <c:v>19.3</c:v>
                </c:pt>
                <c:pt idx="2">
                  <c:v>20</c:v>
                </c:pt>
                <c:pt idx="3">
                  <c:v>19.600000000000001</c:v>
                </c:pt>
                <c:pt idx="4">
                  <c:v>23.4</c:v>
                </c:pt>
                <c:pt idx="5">
                  <c:v>24.8</c:v>
                </c:pt>
                <c:pt idx="6">
                  <c:v>25.2</c:v>
                </c:pt>
                <c:pt idx="7">
                  <c:v>23.5</c:v>
                </c:pt>
                <c:pt idx="8">
                  <c:v>25.9</c:v>
                </c:pt>
                <c:pt idx="9">
                  <c:v>30.3</c:v>
                </c:pt>
                <c:pt idx="10">
                  <c:v>31.4</c:v>
                </c:pt>
                <c:pt idx="11">
                  <c:v>31.8</c:v>
                </c:pt>
                <c:pt idx="12">
                  <c:v>34.300000000000004</c:v>
                </c:pt>
                <c:pt idx="13">
                  <c:v>38</c:v>
                </c:pt>
                <c:pt idx="14">
                  <c:v>37.200000000000003</c:v>
                </c:pt>
                <c:pt idx="15">
                  <c:v>36.6</c:v>
                </c:pt>
                <c:pt idx="16">
                  <c:v>37.300000000000004</c:v>
                </c:pt>
                <c:pt idx="17">
                  <c:v>38.300000000000004</c:v>
                </c:pt>
                <c:pt idx="18">
                  <c:v>38.6</c:v>
                </c:pt>
                <c:pt idx="19">
                  <c:v>36.300000000000004</c:v>
                </c:pt>
                <c:pt idx="20">
                  <c:v>37.700000000000003</c:v>
                </c:pt>
                <c:pt idx="21">
                  <c:v>38.1</c:v>
                </c:pt>
                <c:pt idx="22">
                  <c:v>34.4</c:v>
                </c:pt>
                <c:pt idx="23">
                  <c:v>34.1</c:v>
                </c:pt>
                <c:pt idx="24">
                  <c:v>36.300000000000004</c:v>
                </c:pt>
                <c:pt idx="25">
                  <c:v>39.6</c:v>
                </c:pt>
                <c:pt idx="26">
                  <c:v>40.300000000000004</c:v>
                </c:pt>
                <c:pt idx="27">
                  <c:v>39.200000000000003</c:v>
                </c:pt>
                <c:pt idx="28">
                  <c:v>42.5</c:v>
                </c:pt>
                <c:pt idx="29">
                  <c:v>41</c:v>
                </c:pt>
                <c:pt idx="30">
                  <c:v>38.5</c:v>
                </c:pt>
                <c:pt idx="31">
                  <c:v>36.56</c:v>
                </c:pt>
                <c:pt idx="32">
                  <c:v>37.613</c:v>
                </c:pt>
                <c:pt idx="33">
                  <c:v>38.130000000000003</c:v>
                </c:pt>
                <c:pt idx="34">
                  <c:v>36.289000000000001</c:v>
                </c:pt>
                <c:pt idx="35">
                  <c:v>34.274000000000001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1EA-480A-B61D-171622B04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44224"/>
        <c:axId val="95842304"/>
      </c:lineChart>
      <c:catAx>
        <c:axId val="9523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95238016"/>
        <c:crossesAt val="-50"/>
        <c:auto val="1"/>
        <c:lblAlgn val="ctr"/>
        <c:lblOffset val="0"/>
        <c:noMultiLvlLbl val="0"/>
      </c:catAx>
      <c:valAx>
        <c:axId val="95238016"/>
        <c:scaling>
          <c:orientation val="minMax"/>
          <c:max val="7.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 nezaměstnanosti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95236096"/>
        <c:crosses val="autoZero"/>
        <c:crossBetween val="between"/>
        <c:majorUnit val="0.5"/>
      </c:valAx>
      <c:valAx>
        <c:axId val="95842304"/>
        <c:scaling>
          <c:orientation val="minMax"/>
          <c:max val="142"/>
          <c:min val="-1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</a:t>
                </a:r>
                <a:r>
                  <a:rPr lang="cs-CZ" sz="700" b="0" i="1" baseline="0"/>
                  <a:t> ekonomické aktivity, e</a:t>
                </a:r>
                <a:r>
                  <a:rPr lang="cs-CZ" sz="700" b="0" i="1"/>
                  <a:t>kon. neaktivní, očekávání nezam.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95844224"/>
        <c:crosses val="max"/>
        <c:crossBetween val="between"/>
        <c:majorUnit val="10"/>
      </c:valAx>
      <c:catAx>
        <c:axId val="95844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5842304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7707750087519983E-2"/>
          <c:y val="0.86344941601778269"/>
          <c:w val="0.87725909810586822"/>
          <c:h val="0.12604380165618714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11162452186125E-2"/>
          <c:y val="2.0203894786331146E-2"/>
          <c:w val="0.94100987714831774"/>
          <c:h val="0.77071958644763361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'Trh práce 3'!$D$68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numRef>
              <c:f>'Trh práce 3'!$B$69:$B$87</c:f>
              <c:numCache>
                <c:formatCode>General</c:formatCode>
                <c:ptCount val="1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</c:numCache>
            </c:numRef>
          </c:cat>
          <c:val>
            <c:numRef>
              <c:f>'Trh práce 3'!$D$69:$D$87</c:f>
              <c:numCache>
                <c:formatCode>#\ ##0.0</c:formatCode>
                <c:ptCount val="19"/>
                <c:pt idx="0">
                  <c:v>3</c:v>
                </c:pt>
                <c:pt idx="1">
                  <c:v>4</c:v>
                </c:pt>
                <c:pt idx="2">
                  <c:v>4.2999999999999972</c:v>
                </c:pt>
                <c:pt idx="3">
                  <c:v>1.4000000000000057</c:v>
                </c:pt>
                <c:pt idx="4">
                  <c:v>2.2999999999999972</c:v>
                </c:pt>
                <c:pt idx="5">
                  <c:v>0.70000000000000284</c:v>
                </c:pt>
                <c:pt idx="6">
                  <c:v>0.59999999999999432</c:v>
                </c:pt>
                <c:pt idx="7">
                  <c:v>-0.7999999999999976</c:v>
                </c:pt>
                <c:pt idx="8">
                  <c:v>-1.5</c:v>
                </c:pt>
                <c:pt idx="9">
                  <c:v>2.5</c:v>
                </c:pt>
                <c:pt idx="10">
                  <c:v>2.9000000000000057</c:v>
                </c:pt>
                <c:pt idx="11">
                  <c:v>3.7000000000000042</c:v>
                </c:pt>
                <c:pt idx="12">
                  <c:v>4.2000000000000028</c:v>
                </c:pt>
                <c:pt idx="13">
                  <c:v>5.9000000000000083</c:v>
                </c:pt>
                <c:pt idx="14">
                  <c:v>5</c:v>
                </c:pt>
                <c:pt idx="15">
                  <c:v>1.4000000000000057</c:v>
                </c:pt>
                <c:pt idx="16">
                  <c:v>1.9000000000000061</c:v>
                </c:pt>
                <c:pt idx="17">
                  <c:v>-8.5</c:v>
                </c:pt>
                <c:pt idx="18">
                  <c:v>-2.9000000000000057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E-46DA-9CA8-56E65FC11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132136320"/>
        <c:axId val="132154880"/>
      </c:barChart>
      <c:lineChart>
        <c:grouping val="standard"/>
        <c:varyColors val="0"/>
        <c:ser>
          <c:idx val="0"/>
          <c:order val="0"/>
          <c:tx>
            <c:strRef>
              <c:f>'Trh práce 3'!$C$68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'Trh práce 3'!$B$69:$B$87</c:f>
              <c:numCache>
                <c:formatCode>General</c:formatCode>
                <c:ptCount val="1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</c:numCache>
            </c:numRef>
          </c:cat>
          <c:val>
            <c:numRef>
              <c:f>'Trh práce 3'!$C$69:$C$87</c:f>
              <c:numCache>
                <c:formatCode>General</c:formatCode>
                <c:ptCount val="19"/>
                <c:pt idx="0" formatCode="0.0">
                  <c:v>5</c:v>
                </c:pt>
                <c:pt idx="1">
                  <c:v>6.5999999999999943</c:v>
                </c:pt>
                <c:pt idx="2">
                  <c:v>7.2000000000000028</c:v>
                </c:pt>
                <c:pt idx="3">
                  <c:v>7.7999999999999972</c:v>
                </c:pt>
                <c:pt idx="4" formatCode="#\ ##0.0">
                  <c:v>3.2999999999999972</c:v>
                </c:pt>
                <c:pt idx="5" formatCode="#\ ##0.0">
                  <c:v>2.2000000000000042</c:v>
                </c:pt>
                <c:pt idx="6" formatCode="#\ ##0.0">
                  <c:v>2.5</c:v>
                </c:pt>
                <c:pt idx="7" formatCode="#\ ##0.0">
                  <c:v>2.5</c:v>
                </c:pt>
                <c:pt idx="8" formatCode="#\ ##0.0">
                  <c:v>-9.9999999999994413E-2</c:v>
                </c:pt>
                <c:pt idx="9" formatCode="#\ ##0.0">
                  <c:v>2.9000000000000057</c:v>
                </c:pt>
                <c:pt idx="10" formatCode="#\ ##0.0">
                  <c:v>3.2000000000000042</c:v>
                </c:pt>
                <c:pt idx="11" formatCode="#\ ##0.0">
                  <c:v>4.4000000000000083</c:v>
                </c:pt>
                <c:pt idx="12" formatCode="#\ ##0.0">
                  <c:v>6.7999999999999972</c:v>
                </c:pt>
                <c:pt idx="13" formatCode="#\ ##0.0">
                  <c:v>8.1000000000000014</c:v>
                </c:pt>
                <c:pt idx="14" formatCode="#\ ##0.0">
                  <c:v>7.9000000000000083</c:v>
                </c:pt>
                <c:pt idx="15" formatCode="#\ ##0.0">
                  <c:v>4.5999999999999943</c:v>
                </c:pt>
                <c:pt idx="16" formatCode="#\ ##0.0">
                  <c:v>5.7999999999999972</c:v>
                </c:pt>
                <c:pt idx="17" formatCode="#\ ##0.0">
                  <c:v>5.2999999999999972</c:v>
                </c:pt>
                <c:pt idx="18" formatCode="#\ ##0.0">
                  <c:v>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FE-46DA-9CA8-56E65FC118B1}"/>
            </c:ext>
          </c:extLst>
        </c:ser>
        <c:ser>
          <c:idx val="5"/>
          <c:order val="2"/>
          <c:tx>
            <c:strRef>
              <c:f>'Trh práce 3'!$E$68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952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numRef>
              <c:f>'Trh práce 3'!$B$69:$B$87</c:f>
              <c:numCache>
                <c:formatCode>General</c:formatCode>
                <c:ptCount val="1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</c:numCache>
            </c:numRef>
          </c:cat>
          <c:val>
            <c:numRef>
              <c:f>'Trh práce 3'!$E$69:$E$87</c:f>
              <c:numCache>
                <c:formatCode>0.0</c:formatCode>
                <c:ptCount val="19"/>
                <c:pt idx="0">
                  <c:v>4.7940779037659365</c:v>
                </c:pt>
                <c:pt idx="1">
                  <c:v>6.3912092840724499</c:v>
                </c:pt>
                <c:pt idx="2">
                  <c:v>7.0295621014912824</c:v>
                </c:pt>
                <c:pt idx="3">
                  <c:v>8.8966569839003515</c:v>
                </c:pt>
                <c:pt idx="4">
                  <c:v>2.2922506555746338</c:v>
                </c:pt>
                <c:pt idx="5">
                  <c:v>4.4817679558011108</c:v>
                </c:pt>
                <c:pt idx="6">
                  <c:v>3.1854139345996071</c:v>
                </c:pt>
                <c:pt idx="7">
                  <c:v>3.0337815677271363</c:v>
                </c:pt>
                <c:pt idx="8">
                  <c:v>0.8117141492917308</c:v>
                </c:pt>
                <c:pt idx="9">
                  <c:v>3.3154404799494701</c:v>
                </c:pt>
                <c:pt idx="10">
                  <c:v>2.6016198044009684</c:v>
                </c:pt>
                <c:pt idx="11">
                  <c:v>4.2558737014558554</c:v>
                </c:pt>
                <c:pt idx="12">
                  <c:v>6.8214285714285801</c:v>
                </c:pt>
                <c:pt idx="13">
                  <c:v>7.7465730524908034</c:v>
                </c:pt>
                <c:pt idx="14">
                  <c:v>6.6310857355633495</c:v>
                </c:pt>
                <c:pt idx="15">
                  <c:v>2.0282854149691594</c:v>
                </c:pt>
                <c:pt idx="16">
                  <c:v>5.1110920966315803</c:v>
                </c:pt>
                <c:pt idx="17">
                  <c:v>6.7511464466936104</c:v>
                </c:pt>
                <c:pt idx="18">
                  <c:v>8.8838616201926719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FE-46DA-9CA8-56E65FC118B1}"/>
            </c:ext>
          </c:extLst>
        </c:ser>
        <c:ser>
          <c:idx val="1"/>
          <c:order val="3"/>
          <c:tx>
            <c:strRef>
              <c:f>'Trh práce 3'!$F$68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9525">
              <a:solidFill>
                <a:srgbClr val="0070C0"/>
              </a:solidFill>
              <a:prstDash val="solid"/>
            </a:ln>
          </c:spPr>
          <c:marker>
            <c:symbol val="none"/>
          </c:marker>
          <c:cat>
            <c:numRef>
              <c:f>'Trh práce 3'!$B$69:$B$87</c:f>
              <c:numCache>
                <c:formatCode>General</c:formatCode>
                <c:ptCount val="1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</c:numCache>
            </c:numRef>
          </c:cat>
          <c:val>
            <c:numRef>
              <c:f>'Trh práce 3'!$F$69:$F$87</c:f>
              <c:numCache>
                <c:formatCode>0.0</c:formatCode>
                <c:ptCount val="19"/>
                <c:pt idx="0">
                  <c:v>4.6374677953625429</c:v>
                </c:pt>
                <c:pt idx="1">
                  <c:v>6.9175753312228778</c:v>
                </c:pt>
                <c:pt idx="2">
                  <c:v>8.6796797894505797</c:v>
                </c:pt>
                <c:pt idx="3">
                  <c:v>7.6686342767771469</c:v>
                </c:pt>
                <c:pt idx="4">
                  <c:v>7.9658872592673888E-2</c:v>
                </c:pt>
                <c:pt idx="5">
                  <c:v>3.1931828822923656</c:v>
                </c:pt>
                <c:pt idx="6">
                  <c:v>3.5117967332123374</c:v>
                </c:pt>
                <c:pt idx="7">
                  <c:v>2.2573858157271918</c:v>
                </c:pt>
                <c:pt idx="8">
                  <c:v>-0.84015602897680708</c:v>
                </c:pt>
                <c:pt idx="9">
                  <c:v>3.3156097350105949</c:v>
                </c:pt>
                <c:pt idx="10">
                  <c:v>4.2301255230125614</c:v>
                </c:pt>
                <c:pt idx="11">
                  <c:v>4.7609489783629577</c:v>
                </c:pt>
                <c:pt idx="12">
                  <c:v>7.4453002260796382</c:v>
                </c:pt>
                <c:pt idx="13">
                  <c:v>6.9400855920113997</c:v>
                </c:pt>
                <c:pt idx="14">
                  <c:v>7.7869672513839703</c:v>
                </c:pt>
                <c:pt idx="15">
                  <c:v>3.5920918288419319</c:v>
                </c:pt>
                <c:pt idx="16">
                  <c:v>6.872349322023771</c:v>
                </c:pt>
                <c:pt idx="17">
                  <c:v>5.7345666936813622</c:v>
                </c:pt>
                <c:pt idx="18">
                  <c:v>7.4216994846042139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FE-46DA-9CA8-56E65FC118B1}"/>
            </c:ext>
          </c:extLst>
        </c:ser>
        <c:ser>
          <c:idx val="2"/>
          <c:order val="4"/>
          <c:tx>
            <c:strRef>
              <c:f>'Trh práce 3'!$G$68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95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numRef>
              <c:f>'Trh práce 3'!$B$69:$B$87</c:f>
              <c:numCache>
                <c:formatCode>General</c:formatCode>
                <c:ptCount val="1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</c:numCache>
            </c:numRef>
          </c:cat>
          <c:val>
            <c:numRef>
              <c:f>'Trh práce 3'!$G$69:$G$87</c:f>
              <c:numCache>
                <c:formatCode>0.0</c:formatCode>
                <c:ptCount val="19"/>
                <c:pt idx="0">
                  <c:v>5.7448429075864285</c:v>
                </c:pt>
                <c:pt idx="1">
                  <c:v>6.2139886096904426</c:v>
                </c:pt>
                <c:pt idx="2">
                  <c:v>6.5213266053676193</c:v>
                </c:pt>
                <c:pt idx="3">
                  <c:v>4.5033471199856381</c:v>
                </c:pt>
                <c:pt idx="4">
                  <c:v>5.6068124661603465</c:v>
                </c:pt>
                <c:pt idx="5">
                  <c:v>9.2548488337286114E-2</c:v>
                </c:pt>
                <c:pt idx="6">
                  <c:v>1.3745128342853421</c:v>
                </c:pt>
                <c:pt idx="7">
                  <c:v>1.9623700739873593</c:v>
                </c:pt>
                <c:pt idx="8">
                  <c:v>0.61373585270925501</c:v>
                </c:pt>
                <c:pt idx="9">
                  <c:v>2.5772633649077372</c:v>
                </c:pt>
                <c:pt idx="10">
                  <c:v>3.7559457553514353</c:v>
                </c:pt>
                <c:pt idx="11">
                  <c:v>4.9014309200953221</c:v>
                </c:pt>
                <c:pt idx="12">
                  <c:v>7.9550010446935637</c:v>
                </c:pt>
                <c:pt idx="13">
                  <c:v>10.160948468455345</c:v>
                </c:pt>
                <c:pt idx="14">
                  <c:v>9.5948437653510759</c:v>
                </c:pt>
                <c:pt idx="15">
                  <c:v>8.458871087746628</c:v>
                </c:pt>
                <c:pt idx="16">
                  <c:v>6.4793472347561396</c:v>
                </c:pt>
                <c:pt idx="17">
                  <c:v>-0.32840483061907877</c:v>
                </c:pt>
                <c:pt idx="18">
                  <c:v>6.0570150780564003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4FE-46DA-9CA8-56E65FC118B1}"/>
            </c:ext>
          </c:extLst>
        </c:ser>
        <c:ser>
          <c:idx val="3"/>
          <c:order val="5"/>
          <c:tx>
            <c:strRef>
              <c:f>'Trh práce 3'!$H$68</c:f>
              <c:strCache>
                <c:ptCount val="1"/>
                <c:pt idx="0">
                  <c:v>Celková produktivita práce (reálně)**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numRef>
              <c:f>'Trh práce 3'!$B$69:$B$87</c:f>
              <c:numCache>
                <c:formatCode>General</c:formatCode>
                <c:ptCount val="1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</c:numCache>
            </c:numRef>
          </c:cat>
          <c:val>
            <c:numRef>
              <c:f>'Trh práce 3'!$H$69:$H$87</c:f>
              <c:numCache>
                <c:formatCode>0.0</c:formatCode>
                <c:ptCount val="19"/>
                <c:pt idx="0">
                  <c:v>4.571339457575192</c:v>
                </c:pt>
                <c:pt idx="1">
                  <c:v>5.3472833196163378</c:v>
                </c:pt>
                <c:pt idx="2">
                  <c:v>3.4111927449918653</c:v>
                </c:pt>
                <c:pt idx="3">
                  <c:v>0.49743292194128252</c:v>
                </c:pt>
                <c:pt idx="4">
                  <c:v>-2.9038999100710887</c:v>
                </c:pt>
                <c:pt idx="5">
                  <c:v>3.5055662806927192</c:v>
                </c:pt>
                <c:pt idx="6">
                  <c:v>2.038859775320816</c:v>
                </c:pt>
                <c:pt idx="7">
                  <c:v>-1.2000143962854244</c:v>
                </c:pt>
                <c:pt idx="8">
                  <c:v>-0.3667015292187728</c:v>
                </c:pt>
                <c:pt idx="9">
                  <c:v>1.7009087106776792</c:v>
                </c:pt>
                <c:pt idx="10">
                  <c:v>3.9048243159536753</c:v>
                </c:pt>
                <c:pt idx="11">
                  <c:v>0.93254311265880641</c:v>
                </c:pt>
                <c:pt idx="12">
                  <c:v>3.5651110425764228</c:v>
                </c:pt>
                <c:pt idx="13">
                  <c:v>1.8615815228856301</c:v>
                </c:pt>
                <c:pt idx="14">
                  <c:v>2.7787900741788434</c:v>
                </c:pt>
                <c:pt idx="15">
                  <c:v>-3.8538742203680396</c:v>
                </c:pt>
                <c:pt idx="16">
                  <c:v>3.1570357041249384</c:v>
                </c:pt>
                <c:pt idx="17">
                  <c:v>0.84579134466034189</c:v>
                </c:pt>
                <c:pt idx="18">
                  <c:v>-1.2725870455271462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4FE-46DA-9CA8-56E65FC11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136320"/>
        <c:axId val="132154880"/>
      </c:lineChart>
      <c:catAx>
        <c:axId val="13213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2400000" vert="horz"/>
          <a:lstStyle/>
          <a:p>
            <a:pPr>
              <a:defRPr/>
            </a:pPr>
            <a:endParaRPr lang="cs-CZ"/>
          </a:p>
        </c:txPr>
        <c:crossAx val="132154880"/>
        <c:crosses val="autoZero"/>
        <c:auto val="1"/>
        <c:lblAlgn val="ctr"/>
        <c:lblOffset val="0"/>
        <c:tickMarkSkip val="4"/>
        <c:noMultiLvlLbl val="0"/>
      </c:catAx>
      <c:valAx>
        <c:axId val="132154880"/>
        <c:scaling>
          <c:orientation val="minMax"/>
          <c:max val="11"/>
          <c:min val="-9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213632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1778143158596436E-2"/>
          <c:y val="0.87239804415311084"/>
          <c:w val="0.97479553703297794"/>
          <c:h val="0.11680269661723755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9a58d24f60b264923fe9c7150327a53c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91c8efd7c542b57fe84d8bfb95d003d1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561CC-7D6C-40EF-AB10-C45997A7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4287F-D4E5-4DA8-9E48-62A691635A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2FC49B-C425-4AB2-B214-B5AF6F4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7</Pages>
  <Words>2954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4</cp:revision>
  <cp:lastPrinted>2023-06-09T17:23:00Z</cp:lastPrinted>
  <dcterms:created xsi:type="dcterms:W3CDTF">2024-03-21T10:53:00Z</dcterms:created>
  <dcterms:modified xsi:type="dcterms:W3CDTF">2024-03-21T11:01:00Z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</Properties>
</file>