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757" w:rsidRPr="00BF659F" w:rsidRDefault="00366D8D" w:rsidP="00C6275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F659F">
        <w:rPr>
          <w:rFonts w:ascii="Arial" w:hAnsi="Arial" w:cs="Arial"/>
          <w:b/>
          <w:sz w:val="28"/>
          <w:szCs w:val="28"/>
        </w:rPr>
        <w:t>Regionalizace dojížďky do zaměstnání podle výsledků sčítání lidu, domů a bytů 2011</w:t>
      </w:r>
    </w:p>
    <w:p w:rsidR="00366D8D" w:rsidRPr="00BF659F" w:rsidRDefault="00366D8D" w:rsidP="00C6275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97E41" w:rsidRPr="00BF659F" w:rsidRDefault="00D97E41" w:rsidP="00C6275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62757" w:rsidRPr="00BF659F" w:rsidRDefault="00C62757" w:rsidP="00C627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659F">
        <w:rPr>
          <w:rFonts w:ascii="Arial" w:hAnsi="Arial" w:cs="Arial"/>
          <w:b/>
          <w:sz w:val="24"/>
          <w:szCs w:val="24"/>
        </w:rPr>
        <w:t>Úvod</w:t>
      </w:r>
      <w:r w:rsidRPr="00BF659F">
        <w:rPr>
          <w:rFonts w:ascii="Arial" w:hAnsi="Arial" w:cs="Arial"/>
          <w:sz w:val="24"/>
          <w:szCs w:val="24"/>
        </w:rPr>
        <w:t xml:space="preserve"> </w:t>
      </w:r>
    </w:p>
    <w:p w:rsidR="00366D8D" w:rsidRPr="00BF659F" w:rsidRDefault="00366D8D" w:rsidP="00C6275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0B16" w:rsidRPr="00BF659F" w:rsidRDefault="00366D8D" w:rsidP="00BF659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F659F">
        <w:rPr>
          <w:rFonts w:ascii="Arial" w:hAnsi="Arial" w:cs="Arial"/>
          <w:sz w:val="20"/>
          <w:szCs w:val="20"/>
        </w:rPr>
        <w:t>Z</w:t>
      </w:r>
      <w:r w:rsidR="00C62757" w:rsidRPr="00BF659F">
        <w:rPr>
          <w:rFonts w:ascii="Arial" w:hAnsi="Arial" w:cs="Arial"/>
          <w:sz w:val="20"/>
          <w:szCs w:val="20"/>
        </w:rPr>
        <w:t>jišťování dojížďky</w:t>
      </w:r>
      <w:r w:rsidR="00C80B16" w:rsidRPr="00BF659F">
        <w:rPr>
          <w:rFonts w:ascii="Arial" w:hAnsi="Arial" w:cs="Arial"/>
          <w:sz w:val="20"/>
          <w:szCs w:val="20"/>
        </w:rPr>
        <w:t xml:space="preserve"> </w:t>
      </w:r>
      <w:r w:rsidRPr="00BF659F">
        <w:rPr>
          <w:rFonts w:ascii="Arial" w:hAnsi="Arial" w:cs="Arial"/>
          <w:sz w:val="20"/>
          <w:szCs w:val="20"/>
        </w:rPr>
        <w:t xml:space="preserve">je již tradiční součástí obsahu </w:t>
      </w:r>
      <w:r w:rsidR="00C80B16" w:rsidRPr="00BF659F">
        <w:rPr>
          <w:rFonts w:ascii="Arial" w:hAnsi="Arial" w:cs="Arial"/>
          <w:sz w:val="20"/>
          <w:szCs w:val="20"/>
        </w:rPr>
        <w:t>sčítání</w:t>
      </w:r>
      <w:r w:rsidRPr="00BF659F">
        <w:rPr>
          <w:rFonts w:ascii="Arial" w:hAnsi="Arial" w:cs="Arial"/>
          <w:sz w:val="20"/>
          <w:szCs w:val="20"/>
        </w:rPr>
        <w:t xml:space="preserve">. Velkou vypovídací hodnotu má zejména zpracování směrů vyjížďky a dojížďky. Tyto údaje v podstatě nelze v celostátním měřítku a v detailu za obce jinou metodou zjistit. </w:t>
      </w:r>
    </w:p>
    <w:p w:rsidR="00366D8D" w:rsidRPr="00BF659F" w:rsidRDefault="00366D8D" w:rsidP="00BF659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F659F">
        <w:rPr>
          <w:rFonts w:ascii="Arial" w:hAnsi="Arial" w:cs="Arial"/>
          <w:sz w:val="20"/>
          <w:szCs w:val="20"/>
        </w:rPr>
        <w:t xml:space="preserve">Ve starších sčítáních bylo možné zpracovat </w:t>
      </w:r>
      <w:r w:rsidR="007A000A" w:rsidRPr="00BF659F">
        <w:rPr>
          <w:rFonts w:ascii="Arial" w:hAnsi="Arial" w:cs="Arial"/>
          <w:sz w:val="20"/>
          <w:szCs w:val="20"/>
        </w:rPr>
        <w:t xml:space="preserve">směrově </w:t>
      </w:r>
      <w:r w:rsidRPr="00BF659F">
        <w:rPr>
          <w:rFonts w:ascii="Arial" w:hAnsi="Arial" w:cs="Arial"/>
          <w:sz w:val="20"/>
          <w:szCs w:val="20"/>
        </w:rPr>
        <w:t>pouze dojížďku do vybraných center, protože tehdejší technologie zpracování, charakter dat a jejich značný objem podrobnější zpracování neumožňovaly. Od roku 1990 jsou směry vyjížďky a dojížďky zpracovávány za všechny obce, popřípadě i za urbanistické obvody vybraných měst.</w:t>
      </w:r>
      <w:r w:rsidR="00BE4950" w:rsidRPr="00BF659F">
        <w:rPr>
          <w:rFonts w:ascii="Arial" w:hAnsi="Arial" w:cs="Arial"/>
          <w:sz w:val="20"/>
          <w:szCs w:val="20"/>
        </w:rPr>
        <w:t xml:space="preserve"> To umožňuje podrobné bilancování za libovolné územní jednotky a analýzu hlavních </w:t>
      </w:r>
      <w:proofErr w:type="spellStart"/>
      <w:r w:rsidR="00BE4950" w:rsidRPr="00BF659F">
        <w:rPr>
          <w:rFonts w:ascii="Arial" w:hAnsi="Arial" w:cs="Arial"/>
          <w:sz w:val="20"/>
          <w:szCs w:val="20"/>
        </w:rPr>
        <w:t>dojížďkových</w:t>
      </w:r>
      <w:proofErr w:type="spellEnd"/>
      <w:r w:rsidR="00BE4950" w:rsidRPr="00BF659F">
        <w:rPr>
          <w:rFonts w:ascii="Arial" w:hAnsi="Arial" w:cs="Arial"/>
          <w:sz w:val="20"/>
          <w:szCs w:val="20"/>
        </w:rPr>
        <w:t xml:space="preserve"> proudů.</w:t>
      </w:r>
    </w:p>
    <w:p w:rsidR="00BE4950" w:rsidRPr="00BF659F" w:rsidRDefault="00BE4950" w:rsidP="00BF659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F659F">
        <w:rPr>
          <w:rFonts w:ascii="Arial" w:hAnsi="Arial" w:cs="Arial"/>
          <w:sz w:val="20"/>
          <w:szCs w:val="20"/>
        </w:rPr>
        <w:t xml:space="preserve">Základní analýzu dojížďky do zaměstnání a do škol zjištěné sčítáním v roce 2011 obsahuje příslušná kapitola publikace Sčítání lidu, domů a bytů 2011 - Pramenné dílo (kód publikace e-24000-13); </w:t>
      </w:r>
      <w:r w:rsidR="00313455" w:rsidRPr="00BF659F">
        <w:rPr>
          <w:rFonts w:ascii="Arial" w:hAnsi="Arial" w:cs="Arial"/>
          <w:sz w:val="20"/>
          <w:szCs w:val="20"/>
        </w:rPr>
        <w:t xml:space="preserve">datovou základnu pak publikace Dojížďka do zaměstnání a škol podle Sčítání lidu, domů a bytů 2011 </w:t>
      </w:r>
      <w:r w:rsidR="007A000A" w:rsidRPr="00BF659F">
        <w:rPr>
          <w:rFonts w:ascii="Arial" w:hAnsi="Arial" w:cs="Arial"/>
          <w:sz w:val="20"/>
          <w:szCs w:val="20"/>
        </w:rPr>
        <w:t xml:space="preserve">– Česká republika </w:t>
      </w:r>
      <w:r w:rsidR="00313455" w:rsidRPr="00BF659F">
        <w:rPr>
          <w:rFonts w:ascii="Arial" w:hAnsi="Arial" w:cs="Arial"/>
          <w:sz w:val="20"/>
          <w:szCs w:val="20"/>
        </w:rPr>
        <w:t xml:space="preserve">(kód publikace e-22000-13). </w:t>
      </w:r>
      <w:r w:rsidR="005354D8" w:rsidRPr="00BF659F">
        <w:rPr>
          <w:rFonts w:ascii="Arial" w:hAnsi="Arial" w:cs="Arial"/>
          <w:sz w:val="20"/>
          <w:szCs w:val="20"/>
        </w:rPr>
        <w:t>Tyto publikace a p</w:t>
      </w:r>
      <w:r w:rsidR="00313455" w:rsidRPr="00BF659F">
        <w:rPr>
          <w:rFonts w:ascii="Arial" w:hAnsi="Arial" w:cs="Arial"/>
          <w:sz w:val="20"/>
          <w:szCs w:val="20"/>
        </w:rPr>
        <w:t xml:space="preserve">odrobné </w:t>
      </w:r>
      <w:r w:rsidRPr="00BF659F">
        <w:rPr>
          <w:rFonts w:ascii="Arial" w:hAnsi="Arial" w:cs="Arial"/>
          <w:sz w:val="20"/>
          <w:szCs w:val="20"/>
        </w:rPr>
        <w:t xml:space="preserve">datové prameny </w:t>
      </w:r>
      <w:r w:rsidR="007A000A" w:rsidRPr="00BF659F">
        <w:rPr>
          <w:rFonts w:ascii="Arial" w:hAnsi="Arial" w:cs="Arial"/>
          <w:sz w:val="20"/>
          <w:szCs w:val="20"/>
        </w:rPr>
        <w:t xml:space="preserve">za kraje, okresy a obce </w:t>
      </w:r>
      <w:r w:rsidRPr="00BF659F">
        <w:rPr>
          <w:rFonts w:ascii="Arial" w:hAnsi="Arial" w:cs="Arial"/>
          <w:sz w:val="20"/>
          <w:szCs w:val="20"/>
        </w:rPr>
        <w:t xml:space="preserve">(včetně detailních vyjížďkových a </w:t>
      </w:r>
      <w:proofErr w:type="spellStart"/>
      <w:r w:rsidRPr="00BF659F">
        <w:rPr>
          <w:rFonts w:ascii="Arial" w:hAnsi="Arial" w:cs="Arial"/>
          <w:sz w:val="20"/>
          <w:szCs w:val="20"/>
        </w:rPr>
        <w:t>dojížďkových</w:t>
      </w:r>
      <w:proofErr w:type="spellEnd"/>
      <w:r w:rsidRPr="00BF659F">
        <w:rPr>
          <w:rFonts w:ascii="Arial" w:hAnsi="Arial" w:cs="Arial"/>
          <w:sz w:val="20"/>
          <w:szCs w:val="20"/>
        </w:rPr>
        <w:t xml:space="preserve"> proudů) jsou k dispozici na internetových stránkách ČSÚ</w:t>
      </w:r>
      <w:r w:rsidR="007A000A" w:rsidRPr="00BF659F">
        <w:rPr>
          <w:rFonts w:ascii="Arial" w:hAnsi="Arial" w:cs="Arial"/>
          <w:sz w:val="20"/>
          <w:szCs w:val="20"/>
        </w:rPr>
        <w:t xml:space="preserve">. Mapový list Dojížďka do zaměstnání a do škol s průvodním analytickým textem je součástí Atlasu sčítání 2011 (ČSÚ, 2013), jehož elektronická verze </w:t>
      </w:r>
      <w:r w:rsidR="009E1419">
        <w:rPr>
          <w:rFonts w:ascii="Arial" w:hAnsi="Arial" w:cs="Arial"/>
          <w:sz w:val="20"/>
          <w:szCs w:val="20"/>
        </w:rPr>
        <w:t>vychází v</w:t>
      </w:r>
      <w:r w:rsidR="007F19E1">
        <w:rPr>
          <w:rFonts w:ascii="Arial" w:hAnsi="Arial" w:cs="Arial"/>
          <w:sz w:val="20"/>
          <w:szCs w:val="20"/>
        </w:rPr>
        <w:t xml:space="preserve"> </w:t>
      </w:r>
      <w:r w:rsidR="009E1419">
        <w:rPr>
          <w:rFonts w:ascii="Arial" w:hAnsi="Arial" w:cs="Arial"/>
          <w:sz w:val="20"/>
          <w:szCs w:val="20"/>
        </w:rPr>
        <w:t>listopadu</w:t>
      </w:r>
      <w:r w:rsidR="009E7C22">
        <w:rPr>
          <w:rFonts w:ascii="Arial" w:hAnsi="Arial" w:cs="Arial"/>
          <w:sz w:val="20"/>
          <w:szCs w:val="20"/>
        </w:rPr>
        <w:t xml:space="preserve"> 2014</w:t>
      </w:r>
      <w:r w:rsidR="007A000A" w:rsidRPr="00BF659F">
        <w:rPr>
          <w:rFonts w:ascii="Arial" w:hAnsi="Arial" w:cs="Arial"/>
          <w:sz w:val="20"/>
          <w:szCs w:val="20"/>
        </w:rPr>
        <w:t>.</w:t>
      </w:r>
    </w:p>
    <w:p w:rsidR="007A000A" w:rsidRPr="00BF659F" w:rsidRDefault="007A000A" w:rsidP="00BF65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659F">
        <w:rPr>
          <w:rFonts w:ascii="Arial" w:hAnsi="Arial" w:cs="Arial"/>
          <w:sz w:val="20"/>
          <w:szCs w:val="20"/>
        </w:rPr>
        <w:t xml:space="preserve">Analýzu dat o dojížďce komplikuje fakt, že otázka na ekonomickou aktivitu a </w:t>
      </w:r>
      <w:r w:rsidR="009E71BF" w:rsidRPr="00BF659F">
        <w:rPr>
          <w:rFonts w:ascii="Arial" w:hAnsi="Arial" w:cs="Arial"/>
          <w:sz w:val="20"/>
          <w:szCs w:val="20"/>
        </w:rPr>
        <w:t xml:space="preserve">zejména </w:t>
      </w:r>
      <w:r w:rsidRPr="00BF659F">
        <w:rPr>
          <w:rFonts w:ascii="Arial" w:hAnsi="Arial" w:cs="Arial"/>
          <w:sz w:val="20"/>
          <w:szCs w:val="20"/>
        </w:rPr>
        <w:t xml:space="preserve">na místo pracoviště nebyla ve velkém počtu případů </w:t>
      </w:r>
      <w:r w:rsidR="009E71BF" w:rsidRPr="00BF659F">
        <w:rPr>
          <w:rFonts w:ascii="Arial" w:hAnsi="Arial" w:cs="Arial"/>
          <w:sz w:val="20"/>
          <w:szCs w:val="20"/>
        </w:rPr>
        <w:t>zodpovězena</w:t>
      </w:r>
      <w:r w:rsidRPr="00BF659F">
        <w:rPr>
          <w:rFonts w:ascii="Arial" w:hAnsi="Arial" w:cs="Arial"/>
          <w:sz w:val="20"/>
          <w:szCs w:val="20"/>
        </w:rPr>
        <w:t xml:space="preserve"> </w:t>
      </w:r>
      <w:r w:rsidR="005354D8" w:rsidRPr="00BF659F">
        <w:rPr>
          <w:rFonts w:ascii="Arial" w:hAnsi="Arial" w:cs="Arial"/>
          <w:sz w:val="20"/>
          <w:szCs w:val="20"/>
        </w:rPr>
        <w:t xml:space="preserve">vůbec, </w:t>
      </w:r>
      <w:r w:rsidRPr="00BF659F">
        <w:rPr>
          <w:rFonts w:ascii="Arial" w:hAnsi="Arial" w:cs="Arial"/>
          <w:sz w:val="20"/>
          <w:szCs w:val="20"/>
        </w:rPr>
        <w:t xml:space="preserve">nebo nebylo možné </w:t>
      </w:r>
      <w:r w:rsidR="009E71BF" w:rsidRPr="00BF659F">
        <w:rPr>
          <w:rFonts w:ascii="Arial" w:hAnsi="Arial" w:cs="Arial"/>
          <w:sz w:val="20"/>
          <w:szCs w:val="20"/>
        </w:rPr>
        <w:t>cílovou obec</w:t>
      </w:r>
      <w:r w:rsidRPr="00BF659F">
        <w:rPr>
          <w:rFonts w:ascii="Arial" w:hAnsi="Arial" w:cs="Arial"/>
          <w:sz w:val="20"/>
          <w:szCs w:val="20"/>
        </w:rPr>
        <w:t xml:space="preserve"> dojížďky identifikovat pro nepřesnou deklaraci respondenta</w:t>
      </w:r>
      <w:r w:rsidR="002C5813" w:rsidRPr="00BF659F">
        <w:rPr>
          <w:rFonts w:ascii="Arial" w:hAnsi="Arial" w:cs="Arial"/>
          <w:sz w:val="20"/>
          <w:szCs w:val="20"/>
        </w:rPr>
        <w:t xml:space="preserve"> (viz tab. 1)</w:t>
      </w:r>
      <w:r w:rsidRPr="00BF659F">
        <w:rPr>
          <w:rFonts w:ascii="Arial" w:hAnsi="Arial" w:cs="Arial"/>
          <w:sz w:val="20"/>
          <w:szCs w:val="20"/>
        </w:rPr>
        <w:t xml:space="preserve">. Svoji roli zde sehrála v některých sčítacích obvodech </w:t>
      </w:r>
      <w:r w:rsidR="00730CA0" w:rsidRPr="00BF659F">
        <w:rPr>
          <w:rFonts w:ascii="Arial" w:hAnsi="Arial" w:cs="Arial"/>
          <w:sz w:val="20"/>
          <w:szCs w:val="20"/>
        </w:rPr>
        <w:t xml:space="preserve">i </w:t>
      </w:r>
      <w:r w:rsidRPr="00BF659F">
        <w:rPr>
          <w:rFonts w:ascii="Arial" w:hAnsi="Arial" w:cs="Arial"/>
          <w:sz w:val="20"/>
          <w:szCs w:val="20"/>
        </w:rPr>
        <w:t>nepříliš úspěšná práce sčítacích komisařů, kteří neposkytli obyvatelům potřebné vysvětlení obsahu otázek na dojížďku.</w:t>
      </w:r>
      <w:r w:rsidR="002C5813" w:rsidRPr="00BF659F">
        <w:rPr>
          <w:rFonts w:ascii="Arial" w:hAnsi="Arial" w:cs="Arial"/>
          <w:sz w:val="20"/>
          <w:szCs w:val="20"/>
        </w:rPr>
        <w:t xml:space="preserve"> Podíl nezjištěných údajů značně převyšoval obdobné ukazatele ve výsledcích předchozího sčítání 2001, což v podstatě znemožňuje časové srovnání.</w:t>
      </w:r>
    </w:p>
    <w:p w:rsidR="00BE4950" w:rsidRPr="00BF659F" w:rsidRDefault="00BE4950" w:rsidP="00BF65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000A" w:rsidRPr="00BF659F" w:rsidRDefault="007A000A" w:rsidP="00BF65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2757" w:rsidRPr="00BF659F" w:rsidRDefault="00C62757" w:rsidP="00BF65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F659F">
        <w:rPr>
          <w:rFonts w:ascii="Arial" w:hAnsi="Arial" w:cs="Arial"/>
          <w:b/>
          <w:sz w:val="24"/>
          <w:szCs w:val="24"/>
        </w:rPr>
        <w:t xml:space="preserve">Regionalizace pracovní dojížďky </w:t>
      </w:r>
    </w:p>
    <w:p w:rsidR="009E71BF" w:rsidRPr="00BF659F" w:rsidRDefault="009E71BF" w:rsidP="00BF65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2757" w:rsidRPr="00BF659F" w:rsidRDefault="009E71BF" w:rsidP="00BF659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F659F">
        <w:rPr>
          <w:rFonts w:ascii="Arial" w:hAnsi="Arial" w:cs="Arial"/>
          <w:sz w:val="20"/>
          <w:szCs w:val="20"/>
        </w:rPr>
        <w:t>Smyslem vymezení regionů p</w:t>
      </w:r>
      <w:r w:rsidR="00C62757" w:rsidRPr="00BF659F">
        <w:rPr>
          <w:rFonts w:ascii="Arial" w:hAnsi="Arial" w:cs="Arial"/>
          <w:sz w:val="20"/>
          <w:szCs w:val="20"/>
        </w:rPr>
        <w:t xml:space="preserve">racovní </w:t>
      </w:r>
      <w:r w:rsidRPr="00BF659F">
        <w:rPr>
          <w:rFonts w:ascii="Arial" w:hAnsi="Arial" w:cs="Arial"/>
          <w:sz w:val="20"/>
          <w:szCs w:val="20"/>
        </w:rPr>
        <w:t xml:space="preserve">dojížďky je identifikace přirozených územních jednotek, </w:t>
      </w:r>
      <w:r w:rsidR="00730CA0" w:rsidRPr="00BF659F">
        <w:rPr>
          <w:rFonts w:ascii="Arial" w:hAnsi="Arial" w:cs="Arial"/>
          <w:sz w:val="20"/>
          <w:szCs w:val="20"/>
        </w:rPr>
        <w:t>které jsou z hlediska</w:t>
      </w:r>
      <w:r w:rsidRPr="00BF659F">
        <w:rPr>
          <w:rFonts w:ascii="Arial" w:hAnsi="Arial" w:cs="Arial"/>
          <w:sz w:val="20"/>
          <w:szCs w:val="20"/>
        </w:rPr>
        <w:t xml:space="preserve"> </w:t>
      </w:r>
      <w:r w:rsidR="00730CA0" w:rsidRPr="00BF659F">
        <w:rPr>
          <w:rFonts w:ascii="Arial" w:hAnsi="Arial" w:cs="Arial"/>
          <w:sz w:val="20"/>
          <w:szCs w:val="20"/>
        </w:rPr>
        <w:t>pohybu za prací</w:t>
      </w:r>
      <w:r w:rsidRPr="00BF659F">
        <w:rPr>
          <w:rFonts w:ascii="Arial" w:hAnsi="Arial" w:cs="Arial"/>
          <w:sz w:val="20"/>
          <w:szCs w:val="20"/>
        </w:rPr>
        <w:t xml:space="preserve"> relativně uzavřen</w:t>
      </w:r>
      <w:r w:rsidR="00730CA0" w:rsidRPr="00BF659F">
        <w:rPr>
          <w:rFonts w:ascii="Arial" w:hAnsi="Arial" w:cs="Arial"/>
          <w:sz w:val="20"/>
          <w:szCs w:val="20"/>
        </w:rPr>
        <w:t>é</w:t>
      </w:r>
      <w:r w:rsidRPr="00BF659F">
        <w:rPr>
          <w:rFonts w:ascii="Arial" w:hAnsi="Arial" w:cs="Arial"/>
          <w:sz w:val="20"/>
          <w:szCs w:val="20"/>
        </w:rPr>
        <w:t xml:space="preserve">. To hraje velkou roli při úvahách o </w:t>
      </w:r>
      <w:r w:rsidR="00B52873">
        <w:rPr>
          <w:rFonts w:ascii="Arial" w:hAnsi="Arial" w:cs="Arial"/>
          <w:sz w:val="20"/>
          <w:szCs w:val="20"/>
        </w:rPr>
        <w:t xml:space="preserve">rozmístění </w:t>
      </w:r>
      <w:r w:rsidRPr="00BF659F">
        <w:rPr>
          <w:rFonts w:ascii="Arial" w:hAnsi="Arial" w:cs="Arial"/>
          <w:sz w:val="20"/>
          <w:szCs w:val="20"/>
        </w:rPr>
        <w:t>zdroj</w:t>
      </w:r>
      <w:r w:rsidR="00B52873">
        <w:rPr>
          <w:rFonts w:ascii="Arial" w:hAnsi="Arial" w:cs="Arial"/>
          <w:sz w:val="20"/>
          <w:szCs w:val="20"/>
        </w:rPr>
        <w:t>ů</w:t>
      </w:r>
      <w:r w:rsidRPr="00BF659F">
        <w:rPr>
          <w:rFonts w:ascii="Arial" w:hAnsi="Arial" w:cs="Arial"/>
          <w:sz w:val="20"/>
          <w:szCs w:val="20"/>
        </w:rPr>
        <w:t xml:space="preserve"> pracovních sil</w:t>
      </w:r>
      <w:r w:rsidR="00B52873">
        <w:rPr>
          <w:rFonts w:ascii="Arial" w:hAnsi="Arial" w:cs="Arial"/>
          <w:sz w:val="20"/>
          <w:szCs w:val="20"/>
        </w:rPr>
        <w:t>, o</w:t>
      </w:r>
      <w:r w:rsidRPr="00BF659F">
        <w:rPr>
          <w:rFonts w:ascii="Arial" w:hAnsi="Arial" w:cs="Arial"/>
          <w:sz w:val="20"/>
          <w:szCs w:val="20"/>
        </w:rPr>
        <w:t xml:space="preserve"> jejich využití a rovněž pro plánování dopravní infrastruktury, zejména veřejné hromadné dopravy. D</w:t>
      </w:r>
      <w:r w:rsidR="00C62757" w:rsidRPr="00BF659F">
        <w:rPr>
          <w:rFonts w:ascii="Arial" w:hAnsi="Arial" w:cs="Arial"/>
          <w:sz w:val="20"/>
          <w:szCs w:val="20"/>
        </w:rPr>
        <w:t xml:space="preserve">ojížďka </w:t>
      </w:r>
      <w:r w:rsidRPr="00BF659F">
        <w:rPr>
          <w:rFonts w:ascii="Arial" w:hAnsi="Arial" w:cs="Arial"/>
          <w:sz w:val="20"/>
          <w:szCs w:val="20"/>
        </w:rPr>
        <w:t>do škol j</w:t>
      </w:r>
      <w:r w:rsidR="00C62757" w:rsidRPr="00BF659F">
        <w:rPr>
          <w:rFonts w:ascii="Arial" w:hAnsi="Arial" w:cs="Arial"/>
          <w:sz w:val="20"/>
          <w:szCs w:val="20"/>
        </w:rPr>
        <w:t xml:space="preserve">e </w:t>
      </w:r>
      <w:r w:rsidRPr="00BF659F">
        <w:rPr>
          <w:rFonts w:ascii="Arial" w:hAnsi="Arial" w:cs="Arial"/>
          <w:sz w:val="20"/>
          <w:szCs w:val="20"/>
        </w:rPr>
        <w:t xml:space="preserve">pro </w:t>
      </w:r>
      <w:r w:rsidR="00E71273" w:rsidRPr="00BF659F">
        <w:rPr>
          <w:rFonts w:ascii="Arial" w:hAnsi="Arial" w:cs="Arial"/>
          <w:sz w:val="20"/>
          <w:szCs w:val="20"/>
        </w:rPr>
        <w:t>regionalizaci</w:t>
      </w:r>
      <w:r w:rsidRPr="00BF659F">
        <w:rPr>
          <w:rFonts w:ascii="Arial" w:hAnsi="Arial" w:cs="Arial"/>
          <w:sz w:val="20"/>
          <w:szCs w:val="20"/>
        </w:rPr>
        <w:t xml:space="preserve"> méně využitelná</w:t>
      </w:r>
      <w:r w:rsidR="009500B4" w:rsidRPr="00BF659F">
        <w:rPr>
          <w:rFonts w:ascii="Arial" w:hAnsi="Arial" w:cs="Arial"/>
          <w:sz w:val="20"/>
          <w:szCs w:val="20"/>
        </w:rPr>
        <w:t xml:space="preserve">, </w:t>
      </w:r>
      <w:r w:rsidRPr="00BF659F">
        <w:rPr>
          <w:rFonts w:ascii="Arial" w:hAnsi="Arial" w:cs="Arial"/>
          <w:sz w:val="20"/>
          <w:szCs w:val="20"/>
        </w:rPr>
        <w:t xml:space="preserve">protože </w:t>
      </w:r>
      <w:r w:rsidR="009500B4" w:rsidRPr="00BF659F">
        <w:rPr>
          <w:rFonts w:ascii="Arial" w:hAnsi="Arial" w:cs="Arial"/>
          <w:sz w:val="20"/>
          <w:szCs w:val="20"/>
        </w:rPr>
        <w:t xml:space="preserve">zejména v mladším školním věku je </w:t>
      </w:r>
      <w:r w:rsidRPr="00BF659F">
        <w:rPr>
          <w:rFonts w:ascii="Arial" w:hAnsi="Arial" w:cs="Arial"/>
          <w:sz w:val="20"/>
          <w:szCs w:val="20"/>
        </w:rPr>
        <w:t xml:space="preserve">směrově </w:t>
      </w:r>
      <w:r w:rsidR="009500B4" w:rsidRPr="00BF659F">
        <w:rPr>
          <w:rFonts w:ascii="Arial" w:hAnsi="Arial" w:cs="Arial"/>
          <w:sz w:val="20"/>
          <w:szCs w:val="20"/>
        </w:rPr>
        <w:t xml:space="preserve">silně ovlivněna </w:t>
      </w:r>
      <w:r w:rsidR="00C80B16" w:rsidRPr="00BF659F">
        <w:rPr>
          <w:rFonts w:ascii="Arial" w:hAnsi="Arial" w:cs="Arial"/>
          <w:sz w:val="20"/>
          <w:szCs w:val="20"/>
        </w:rPr>
        <w:t xml:space="preserve">dopravním </w:t>
      </w:r>
      <w:r w:rsidR="009500B4" w:rsidRPr="00BF659F">
        <w:rPr>
          <w:rFonts w:ascii="Arial" w:hAnsi="Arial" w:cs="Arial"/>
          <w:sz w:val="20"/>
          <w:szCs w:val="20"/>
        </w:rPr>
        <w:t xml:space="preserve">spojením a </w:t>
      </w:r>
      <w:r w:rsidR="00E71273" w:rsidRPr="00BF659F">
        <w:rPr>
          <w:rFonts w:ascii="Arial" w:hAnsi="Arial" w:cs="Arial"/>
          <w:sz w:val="20"/>
          <w:szCs w:val="20"/>
        </w:rPr>
        <w:t xml:space="preserve">snahou o minimalizaci </w:t>
      </w:r>
      <w:proofErr w:type="spellStart"/>
      <w:r w:rsidR="00E71273" w:rsidRPr="00BF659F">
        <w:rPr>
          <w:rFonts w:ascii="Arial" w:hAnsi="Arial" w:cs="Arial"/>
          <w:sz w:val="20"/>
          <w:szCs w:val="20"/>
        </w:rPr>
        <w:t>dojížďkového</w:t>
      </w:r>
      <w:proofErr w:type="spellEnd"/>
      <w:r w:rsidR="00E71273" w:rsidRPr="00BF659F">
        <w:rPr>
          <w:rFonts w:ascii="Arial" w:hAnsi="Arial" w:cs="Arial"/>
          <w:sz w:val="20"/>
          <w:szCs w:val="20"/>
        </w:rPr>
        <w:t xml:space="preserve"> resp. docházkového </w:t>
      </w:r>
      <w:r w:rsidR="009500B4" w:rsidRPr="00BF659F">
        <w:rPr>
          <w:rFonts w:ascii="Arial" w:hAnsi="Arial" w:cs="Arial"/>
          <w:sz w:val="20"/>
          <w:szCs w:val="20"/>
        </w:rPr>
        <w:t>čas</w:t>
      </w:r>
      <w:r w:rsidR="00E71273" w:rsidRPr="00BF659F">
        <w:rPr>
          <w:rFonts w:ascii="Arial" w:hAnsi="Arial" w:cs="Arial"/>
          <w:sz w:val="20"/>
          <w:szCs w:val="20"/>
        </w:rPr>
        <w:t>u</w:t>
      </w:r>
      <w:r w:rsidR="005354D8" w:rsidRPr="00BF659F">
        <w:rPr>
          <w:rFonts w:ascii="Arial" w:hAnsi="Arial" w:cs="Arial"/>
          <w:sz w:val="20"/>
          <w:szCs w:val="20"/>
        </w:rPr>
        <w:t xml:space="preserve"> žáků mladšího věku</w:t>
      </w:r>
      <w:r w:rsidR="00730CA0" w:rsidRPr="00BF659F">
        <w:rPr>
          <w:rFonts w:ascii="Arial" w:hAnsi="Arial" w:cs="Arial"/>
          <w:sz w:val="20"/>
          <w:szCs w:val="20"/>
        </w:rPr>
        <w:t>.</w:t>
      </w:r>
      <w:r w:rsidR="00E71273" w:rsidRPr="00BF659F">
        <w:rPr>
          <w:rFonts w:ascii="Arial" w:hAnsi="Arial" w:cs="Arial"/>
          <w:sz w:val="20"/>
          <w:szCs w:val="20"/>
        </w:rPr>
        <w:t xml:space="preserve"> </w:t>
      </w:r>
      <w:r w:rsidR="00730CA0" w:rsidRPr="00BF659F">
        <w:rPr>
          <w:rFonts w:ascii="Arial" w:hAnsi="Arial" w:cs="Arial"/>
          <w:sz w:val="20"/>
          <w:szCs w:val="20"/>
        </w:rPr>
        <w:t>U</w:t>
      </w:r>
      <w:r w:rsidR="00E71273" w:rsidRPr="00BF659F">
        <w:rPr>
          <w:rFonts w:ascii="Arial" w:hAnsi="Arial" w:cs="Arial"/>
          <w:sz w:val="20"/>
          <w:szCs w:val="20"/>
        </w:rPr>
        <w:t xml:space="preserve"> základních škol stále silně převažuje tradiční r</w:t>
      </w:r>
      <w:r w:rsidR="00730CA0" w:rsidRPr="00BF659F">
        <w:rPr>
          <w:rFonts w:ascii="Arial" w:hAnsi="Arial" w:cs="Arial"/>
          <w:sz w:val="20"/>
          <w:szCs w:val="20"/>
        </w:rPr>
        <w:t xml:space="preserve">ajonizace územních obvodů škol, i když </w:t>
      </w:r>
      <w:r w:rsidR="005354D8" w:rsidRPr="00BF659F">
        <w:rPr>
          <w:rFonts w:ascii="Arial" w:hAnsi="Arial" w:cs="Arial"/>
          <w:sz w:val="20"/>
          <w:szCs w:val="20"/>
        </w:rPr>
        <w:t xml:space="preserve">samozřejmě </w:t>
      </w:r>
      <w:r w:rsidR="00730CA0" w:rsidRPr="00BF659F">
        <w:rPr>
          <w:rFonts w:ascii="Arial" w:hAnsi="Arial" w:cs="Arial"/>
          <w:sz w:val="20"/>
          <w:szCs w:val="20"/>
        </w:rPr>
        <w:t xml:space="preserve">existuje možnost </w:t>
      </w:r>
      <w:r w:rsidR="005354D8" w:rsidRPr="00BF659F">
        <w:rPr>
          <w:rFonts w:ascii="Arial" w:hAnsi="Arial" w:cs="Arial"/>
          <w:sz w:val="20"/>
          <w:szCs w:val="20"/>
        </w:rPr>
        <w:t xml:space="preserve">svobodného </w:t>
      </w:r>
      <w:r w:rsidR="00730CA0" w:rsidRPr="00BF659F">
        <w:rPr>
          <w:rFonts w:ascii="Arial" w:hAnsi="Arial" w:cs="Arial"/>
          <w:sz w:val="20"/>
          <w:szCs w:val="20"/>
        </w:rPr>
        <w:t>výběru školy nebo navštěvování specializovaných, soukromých nebo církevních škol.</w:t>
      </w:r>
    </w:p>
    <w:p w:rsidR="00ED3ACC" w:rsidRPr="00BF659F" w:rsidRDefault="00E71273" w:rsidP="00BF659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F659F">
        <w:rPr>
          <w:rFonts w:ascii="Arial" w:hAnsi="Arial" w:cs="Arial"/>
          <w:sz w:val="20"/>
          <w:szCs w:val="20"/>
        </w:rPr>
        <w:t xml:space="preserve">K vymezení regionů pracovní dojížďky </w:t>
      </w:r>
      <w:r w:rsidR="009E1419">
        <w:rPr>
          <w:rFonts w:ascii="Arial" w:hAnsi="Arial" w:cs="Arial"/>
          <w:sz w:val="20"/>
          <w:szCs w:val="20"/>
        </w:rPr>
        <w:t>byly</w:t>
      </w:r>
      <w:r w:rsidRPr="00BF659F">
        <w:rPr>
          <w:rFonts w:ascii="Arial" w:hAnsi="Arial" w:cs="Arial"/>
          <w:sz w:val="20"/>
          <w:szCs w:val="20"/>
        </w:rPr>
        <w:t xml:space="preserve"> použi</w:t>
      </w:r>
      <w:r w:rsidR="009E1419">
        <w:rPr>
          <w:rFonts w:ascii="Arial" w:hAnsi="Arial" w:cs="Arial"/>
          <w:sz w:val="20"/>
          <w:szCs w:val="20"/>
        </w:rPr>
        <w:t>ty</w:t>
      </w:r>
      <w:r w:rsidRPr="00BF659F">
        <w:rPr>
          <w:rFonts w:ascii="Arial" w:hAnsi="Arial" w:cs="Arial"/>
          <w:sz w:val="20"/>
          <w:szCs w:val="20"/>
        </w:rPr>
        <w:t xml:space="preserve"> údaje o vyjížďce a dojížďce bez rozlišení periodicity dojížďky (denní, týdenní, jiná…), protože</w:t>
      </w:r>
      <w:r w:rsidRPr="00BF659F">
        <w:rPr>
          <w:rFonts w:ascii="Arial" w:hAnsi="Arial" w:cs="Arial"/>
          <w:i/>
          <w:sz w:val="20"/>
          <w:szCs w:val="20"/>
        </w:rPr>
        <w:t xml:space="preserve"> </w:t>
      </w:r>
      <w:r w:rsidRPr="00BF659F">
        <w:rPr>
          <w:rFonts w:ascii="Arial" w:hAnsi="Arial" w:cs="Arial"/>
          <w:sz w:val="20"/>
          <w:szCs w:val="20"/>
        </w:rPr>
        <w:t xml:space="preserve">z hlediska velikosti </w:t>
      </w:r>
      <w:proofErr w:type="spellStart"/>
      <w:r w:rsidR="00265A95" w:rsidRPr="00BF659F">
        <w:rPr>
          <w:rFonts w:ascii="Arial" w:hAnsi="Arial" w:cs="Arial"/>
          <w:sz w:val="20"/>
          <w:szCs w:val="20"/>
        </w:rPr>
        <w:t>dojížďkových</w:t>
      </w:r>
      <w:proofErr w:type="spellEnd"/>
      <w:r w:rsidR="00265A95" w:rsidRPr="00BF659F">
        <w:rPr>
          <w:rFonts w:ascii="Arial" w:hAnsi="Arial" w:cs="Arial"/>
          <w:sz w:val="20"/>
          <w:szCs w:val="20"/>
        </w:rPr>
        <w:t xml:space="preserve"> </w:t>
      </w:r>
      <w:r w:rsidRPr="00BF659F">
        <w:rPr>
          <w:rFonts w:ascii="Arial" w:hAnsi="Arial" w:cs="Arial"/>
          <w:sz w:val="20"/>
          <w:szCs w:val="20"/>
        </w:rPr>
        <w:t>regionů tento faktor nehraje zásadní roli</w:t>
      </w:r>
      <w:r w:rsidR="00265A95" w:rsidRPr="00BF659F">
        <w:rPr>
          <w:rFonts w:ascii="Arial" w:hAnsi="Arial" w:cs="Arial"/>
          <w:sz w:val="20"/>
          <w:szCs w:val="20"/>
        </w:rPr>
        <w:t xml:space="preserve"> při jejich vymezování</w:t>
      </w:r>
      <w:r w:rsidRPr="00BF659F">
        <w:rPr>
          <w:rFonts w:ascii="Arial" w:hAnsi="Arial" w:cs="Arial"/>
          <w:sz w:val="20"/>
          <w:szCs w:val="20"/>
        </w:rPr>
        <w:t xml:space="preserve">. </w:t>
      </w:r>
      <w:r w:rsidR="00ED3ACC" w:rsidRPr="00BF659F">
        <w:rPr>
          <w:rFonts w:ascii="Arial" w:hAnsi="Arial" w:cs="Arial"/>
          <w:sz w:val="20"/>
          <w:szCs w:val="20"/>
        </w:rPr>
        <w:t xml:space="preserve">Dále pracujeme s počty osob se zjištěnou ekonomickou aktivitou, které byly zaměstnané. </w:t>
      </w:r>
      <w:r w:rsidR="004C49AC" w:rsidRPr="00BF659F">
        <w:rPr>
          <w:rFonts w:ascii="Arial" w:hAnsi="Arial" w:cs="Arial"/>
          <w:sz w:val="20"/>
          <w:szCs w:val="20"/>
        </w:rPr>
        <w:t>Do analýzy n</w:t>
      </w:r>
      <w:r w:rsidR="00ED3ACC" w:rsidRPr="00BF659F">
        <w:rPr>
          <w:rFonts w:ascii="Arial" w:hAnsi="Arial" w:cs="Arial"/>
          <w:sz w:val="20"/>
          <w:szCs w:val="20"/>
        </w:rPr>
        <w:t>ejsou zahrnuti pracující studenti a učni, protože u nich byla zjišťována dojížďka do školy a nikoli do zaměstnání</w:t>
      </w:r>
      <w:r w:rsidR="004C49AC" w:rsidRPr="00BF659F">
        <w:rPr>
          <w:rFonts w:ascii="Arial" w:hAnsi="Arial" w:cs="Arial"/>
          <w:sz w:val="20"/>
          <w:szCs w:val="20"/>
        </w:rPr>
        <w:t xml:space="preserve"> a údaj </w:t>
      </w:r>
      <w:r w:rsidR="00B52873">
        <w:rPr>
          <w:rFonts w:ascii="Arial" w:hAnsi="Arial" w:cs="Arial"/>
          <w:sz w:val="20"/>
          <w:szCs w:val="20"/>
        </w:rPr>
        <w:t xml:space="preserve">o pracovní dojížďce </w:t>
      </w:r>
      <w:r w:rsidR="004C49AC" w:rsidRPr="00BF659F">
        <w:rPr>
          <w:rFonts w:ascii="Arial" w:hAnsi="Arial" w:cs="Arial"/>
          <w:sz w:val="20"/>
          <w:szCs w:val="20"/>
        </w:rPr>
        <w:t>tedy není k dispozici</w:t>
      </w:r>
      <w:r w:rsidR="00ED3ACC" w:rsidRPr="00BF659F">
        <w:rPr>
          <w:rFonts w:ascii="Arial" w:hAnsi="Arial" w:cs="Arial"/>
          <w:sz w:val="20"/>
          <w:szCs w:val="20"/>
        </w:rPr>
        <w:t xml:space="preserve">. </w:t>
      </w:r>
    </w:p>
    <w:p w:rsidR="00E71273" w:rsidRPr="00BF659F" w:rsidRDefault="00E30018" w:rsidP="00BF659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F659F">
        <w:rPr>
          <w:rFonts w:ascii="Arial" w:hAnsi="Arial" w:cs="Arial"/>
          <w:sz w:val="20"/>
          <w:szCs w:val="20"/>
        </w:rPr>
        <w:t xml:space="preserve">Vyjíždějící z regionu byli definováni jako vyjíždějící s místem pracoviště mimo daný region (včetně vyjíždějících za prací do zahraničí). Dojíždějícími do regionu pak jsou osoby, u nichž byla jako cíl pracovní vyjížďky z obce </w:t>
      </w:r>
      <w:r w:rsidR="00B52873">
        <w:rPr>
          <w:rFonts w:ascii="Arial" w:hAnsi="Arial" w:cs="Arial"/>
          <w:sz w:val="20"/>
          <w:szCs w:val="20"/>
        </w:rPr>
        <w:t xml:space="preserve">jejich </w:t>
      </w:r>
      <w:r w:rsidRPr="00BF659F">
        <w:rPr>
          <w:rFonts w:ascii="Arial" w:hAnsi="Arial" w:cs="Arial"/>
          <w:sz w:val="20"/>
          <w:szCs w:val="20"/>
        </w:rPr>
        <w:t xml:space="preserve">obvyklého pobytu identifikována některá obec </w:t>
      </w:r>
      <w:r w:rsidR="00B52873">
        <w:rPr>
          <w:rFonts w:ascii="Arial" w:hAnsi="Arial" w:cs="Arial"/>
          <w:sz w:val="20"/>
          <w:szCs w:val="20"/>
        </w:rPr>
        <w:t xml:space="preserve">ležící v </w:t>
      </w:r>
      <w:r w:rsidRPr="00BF659F">
        <w:rPr>
          <w:rFonts w:ascii="Arial" w:hAnsi="Arial" w:cs="Arial"/>
          <w:sz w:val="20"/>
          <w:szCs w:val="20"/>
        </w:rPr>
        <w:t>regionu</w:t>
      </w:r>
      <w:r w:rsidR="00ED3ACC" w:rsidRPr="00BF659F">
        <w:rPr>
          <w:rFonts w:ascii="Arial" w:hAnsi="Arial" w:cs="Arial"/>
          <w:sz w:val="20"/>
          <w:szCs w:val="20"/>
        </w:rPr>
        <w:t xml:space="preserve"> daného centra dojížďky</w:t>
      </w:r>
      <w:r w:rsidRPr="00BF659F">
        <w:rPr>
          <w:rFonts w:ascii="Arial" w:hAnsi="Arial" w:cs="Arial"/>
          <w:sz w:val="20"/>
          <w:szCs w:val="20"/>
        </w:rPr>
        <w:t>.</w:t>
      </w:r>
      <w:r w:rsidR="00BF659F">
        <w:rPr>
          <w:rFonts w:ascii="Arial" w:hAnsi="Arial" w:cs="Arial"/>
          <w:sz w:val="20"/>
          <w:szCs w:val="20"/>
        </w:rPr>
        <w:t xml:space="preserve"> Obsazenými pracovními místy v regionu se rozumí součet počtu </w:t>
      </w:r>
      <w:r w:rsidR="00B52873">
        <w:rPr>
          <w:rFonts w:ascii="Arial" w:hAnsi="Arial" w:cs="Arial"/>
          <w:sz w:val="20"/>
          <w:szCs w:val="20"/>
        </w:rPr>
        <w:t xml:space="preserve">ekonomicky aktivních bydlících i pracujících v regionu </w:t>
      </w:r>
      <w:r w:rsidR="00BF659F">
        <w:rPr>
          <w:rFonts w:ascii="Arial" w:hAnsi="Arial" w:cs="Arial"/>
          <w:sz w:val="20"/>
          <w:szCs w:val="20"/>
        </w:rPr>
        <w:t>a salda dojížďky celého regionu.</w:t>
      </w:r>
    </w:p>
    <w:p w:rsidR="00E30018" w:rsidRDefault="003A4418" w:rsidP="00E71273">
      <w:pPr>
        <w:spacing w:line="240" w:lineRule="auto"/>
        <w:rPr>
          <w:rFonts w:ascii="Arial" w:hAnsi="Arial" w:cs="Arial"/>
          <w:sz w:val="20"/>
          <w:szCs w:val="20"/>
        </w:rPr>
      </w:pPr>
      <w:r w:rsidRPr="00BF659F">
        <w:rPr>
          <w:rFonts w:ascii="Arial" w:hAnsi="Arial" w:cs="Arial"/>
          <w:sz w:val="20"/>
          <w:szCs w:val="20"/>
        </w:rPr>
        <w:t xml:space="preserve"> </w:t>
      </w:r>
    </w:p>
    <w:p w:rsidR="00294136" w:rsidRPr="00BF659F" w:rsidRDefault="001458C3" w:rsidP="001458C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06057">
        <w:rPr>
          <w:rFonts w:ascii="Arial" w:hAnsi="Arial" w:cs="Arial"/>
          <w:sz w:val="20"/>
          <w:szCs w:val="20"/>
        </w:rPr>
        <w:object w:dxaOrig="7865" w:dyaOrig="47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2.3pt;height:235.85pt" o:ole="">
            <v:imagedata r:id="rId8" o:title=""/>
          </v:shape>
          <o:OLEObject Type="Embed" ProgID="Excel.Sheet.12" ShapeID="_x0000_i1025" DrawAspect="Content" ObjectID="_1479018127" r:id="rId9"/>
        </w:object>
      </w:r>
    </w:p>
    <w:p w:rsidR="000D2FF5" w:rsidRPr="00BF659F" w:rsidRDefault="000D2FF5" w:rsidP="000D2FF5">
      <w:pPr>
        <w:pStyle w:val="Odstavecseseznamem"/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:rsidR="001458C3" w:rsidRDefault="001458C3" w:rsidP="00ED24E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D24E8" w:rsidRDefault="002708AB" w:rsidP="00ED24E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E1BFE">
        <w:rPr>
          <w:rFonts w:ascii="Arial" w:hAnsi="Arial" w:cs="Arial"/>
          <w:b/>
          <w:sz w:val="24"/>
          <w:szCs w:val="24"/>
        </w:rPr>
        <w:t>V</w:t>
      </w:r>
      <w:r w:rsidR="000D2FF5" w:rsidRPr="00FE1BFE">
        <w:rPr>
          <w:rFonts w:ascii="Arial" w:hAnsi="Arial" w:cs="Arial"/>
          <w:b/>
          <w:sz w:val="24"/>
          <w:szCs w:val="24"/>
        </w:rPr>
        <w:t>ýběr</w:t>
      </w:r>
      <w:r w:rsidR="00C62757" w:rsidRPr="00FE1BFE">
        <w:rPr>
          <w:rFonts w:ascii="Arial" w:hAnsi="Arial" w:cs="Arial"/>
          <w:b/>
          <w:sz w:val="24"/>
          <w:szCs w:val="24"/>
        </w:rPr>
        <w:t xml:space="preserve"> center </w:t>
      </w:r>
      <w:r w:rsidR="000D2FF5" w:rsidRPr="00FE1BFE">
        <w:rPr>
          <w:rFonts w:ascii="Arial" w:hAnsi="Arial" w:cs="Arial"/>
          <w:b/>
          <w:sz w:val="24"/>
          <w:szCs w:val="24"/>
        </w:rPr>
        <w:t xml:space="preserve">regionů </w:t>
      </w:r>
      <w:r w:rsidR="00C62757" w:rsidRPr="00FE1BFE">
        <w:rPr>
          <w:rFonts w:ascii="Arial" w:hAnsi="Arial" w:cs="Arial"/>
          <w:b/>
          <w:sz w:val="24"/>
          <w:szCs w:val="24"/>
        </w:rPr>
        <w:t>dojížďky</w:t>
      </w:r>
    </w:p>
    <w:p w:rsidR="00ED24E8" w:rsidRDefault="00ED24E8" w:rsidP="00ED24E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E1BFE" w:rsidRDefault="000D2FF5" w:rsidP="00ED24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659F">
        <w:rPr>
          <w:rFonts w:ascii="Arial" w:hAnsi="Arial" w:cs="Arial"/>
          <w:sz w:val="20"/>
          <w:szCs w:val="20"/>
        </w:rPr>
        <w:t xml:space="preserve">Výběr regionálních center dojížďky </w:t>
      </w:r>
      <w:r w:rsidR="00BF659F">
        <w:rPr>
          <w:rFonts w:ascii="Arial" w:hAnsi="Arial" w:cs="Arial"/>
          <w:sz w:val="20"/>
          <w:szCs w:val="20"/>
        </w:rPr>
        <w:t>se uskutečnil v </w:t>
      </w:r>
      <w:r w:rsidRPr="00BF659F">
        <w:rPr>
          <w:rFonts w:ascii="Arial" w:hAnsi="Arial" w:cs="Arial"/>
          <w:sz w:val="20"/>
          <w:szCs w:val="20"/>
        </w:rPr>
        <w:t>několika</w:t>
      </w:r>
      <w:r w:rsidR="00BF659F">
        <w:rPr>
          <w:rFonts w:ascii="Arial" w:hAnsi="Arial" w:cs="Arial"/>
          <w:sz w:val="20"/>
          <w:szCs w:val="20"/>
        </w:rPr>
        <w:t xml:space="preserve"> </w:t>
      </w:r>
      <w:r w:rsidRPr="00BF659F">
        <w:rPr>
          <w:rFonts w:ascii="Arial" w:hAnsi="Arial" w:cs="Arial"/>
          <w:sz w:val="20"/>
          <w:szCs w:val="20"/>
        </w:rPr>
        <w:t>stup</w:t>
      </w:r>
      <w:r w:rsidR="00BF659F">
        <w:rPr>
          <w:rFonts w:ascii="Arial" w:hAnsi="Arial" w:cs="Arial"/>
          <w:sz w:val="20"/>
          <w:szCs w:val="20"/>
        </w:rPr>
        <w:t>ních</w:t>
      </w:r>
      <w:r w:rsidRPr="00BF659F">
        <w:rPr>
          <w:rFonts w:ascii="Arial" w:hAnsi="Arial" w:cs="Arial"/>
          <w:sz w:val="20"/>
          <w:szCs w:val="20"/>
        </w:rPr>
        <w:t xml:space="preserve">. </w:t>
      </w:r>
      <w:r w:rsidR="00C62757" w:rsidRPr="00BF659F">
        <w:rPr>
          <w:rFonts w:ascii="Arial" w:hAnsi="Arial" w:cs="Arial"/>
          <w:sz w:val="20"/>
          <w:szCs w:val="20"/>
        </w:rPr>
        <w:t>V </w:t>
      </w:r>
      <w:r w:rsidRPr="00BF659F">
        <w:rPr>
          <w:rFonts w:ascii="Arial" w:hAnsi="Arial" w:cs="Arial"/>
          <w:sz w:val="20"/>
          <w:szCs w:val="20"/>
        </w:rPr>
        <w:t>prvním</w:t>
      </w:r>
      <w:r w:rsidR="00C62757" w:rsidRPr="00BF659F">
        <w:rPr>
          <w:rFonts w:ascii="Arial" w:hAnsi="Arial" w:cs="Arial"/>
          <w:sz w:val="20"/>
          <w:szCs w:val="20"/>
        </w:rPr>
        <w:t xml:space="preserve"> kole byly vybrány obce s nejméně 100 dojíždějícími do zaměstnání</w:t>
      </w:r>
      <w:r w:rsidR="00ED3ACC" w:rsidRPr="00BF659F">
        <w:rPr>
          <w:rFonts w:ascii="Arial" w:hAnsi="Arial" w:cs="Arial"/>
          <w:sz w:val="20"/>
          <w:szCs w:val="20"/>
        </w:rPr>
        <w:t>;</w:t>
      </w:r>
      <w:r w:rsidR="00C62757" w:rsidRPr="00BF659F">
        <w:rPr>
          <w:rFonts w:ascii="Arial" w:hAnsi="Arial" w:cs="Arial"/>
          <w:sz w:val="20"/>
          <w:szCs w:val="20"/>
        </w:rPr>
        <w:t xml:space="preserve"> zároveň musela být splněna podmínka, že taková obe</w:t>
      </w:r>
      <w:r w:rsidR="0084472D" w:rsidRPr="00BF659F">
        <w:rPr>
          <w:rFonts w:ascii="Arial" w:hAnsi="Arial" w:cs="Arial"/>
          <w:sz w:val="20"/>
          <w:szCs w:val="20"/>
        </w:rPr>
        <w:t>c</w:t>
      </w:r>
      <w:r w:rsidR="00C62757" w:rsidRPr="00BF659F">
        <w:rPr>
          <w:rFonts w:ascii="Arial" w:hAnsi="Arial" w:cs="Arial"/>
          <w:sz w:val="20"/>
          <w:szCs w:val="20"/>
        </w:rPr>
        <w:t xml:space="preserve"> je převažujícím cílem pracovní </w:t>
      </w:r>
      <w:r w:rsidR="002C5813" w:rsidRPr="00BF659F">
        <w:rPr>
          <w:rFonts w:ascii="Arial" w:hAnsi="Arial" w:cs="Arial"/>
          <w:sz w:val="20"/>
          <w:szCs w:val="20"/>
        </w:rPr>
        <w:t>vy</w:t>
      </w:r>
      <w:r w:rsidR="00C62757" w:rsidRPr="00BF659F">
        <w:rPr>
          <w:rFonts w:ascii="Arial" w:hAnsi="Arial" w:cs="Arial"/>
          <w:sz w:val="20"/>
          <w:szCs w:val="20"/>
        </w:rPr>
        <w:t xml:space="preserve">jížďky pro nejméně </w:t>
      </w:r>
      <w:r w:rsidRPr="00BF659F">
        <w:rPr>
          <w:rFonts w:ascii="Arial" w:hAnsi="Arial" w:cs="Arial"/>
          <w:sz w:val="20"/>
          <w:szCs w:val="20"/>
        </w:rPr>
        <w:t xml:space="preserve">dvě další obce. Těchto center bylo cca </w:t>
      </w:r>
      <w:r w:rsidR="002708AB" w:rsidRPr="00BF659F">
        <w:rPr>
          <w:rFonts w:ascii="Arial" w:hAnsi="Arial" w:cs="Arial"/>
          <w:sz w:val="20"/>
          <w:szCs w:val="20"/>
        </w:rPr>
        <w:t xml:space="preserve">250. </w:t>
      </w:r>
      <w:r w:rsidR="00B9491C" w:rsidRPr="00BF659F">
        <w:rPr>
          <w:rFonts w:ascii="Arial" w:hAnsi="Arial" w:cs="Arial"/>
          <w:sz w:val="20"/>
          <w:szCs w:val="20"/>
        </w:rPr>
        <w:t>Tomuto kritériu nevyhověl</w:t>
      </w:r>
      <w:r w:rsidR="00265A95" w:rsidRPr="00BF659F">
        <w:rPr>
          <w:rFonts w:ascii="Arial" w:hAnsi="Arial" w:cs="Arial"/>
          <w:sz w:val="20"/>
          <w:szCs w:val="20"/>
        </w:rPr>
        <w:t>y</w:t>
      </w:r>
      <w:r w:rsidR="00B9491C" w:rsidRPr="00BF659F">
        <w:rPr>
          <w:rFonts w:ascii="Arial" w:hAnsi="Arial" w:cs="Arial"/>
          <w:sz w:val="20"/>
          <w:szCs w:val="20"/>
        </w:rPr>
        <w:t xml:space="preserve"> některé obce, jež jsou sice silnými cíli dojížďky co do absolutního počtu dojíždějících, ale nemají dostatečné vlastní zázemí (např. Český Těšín, Bohumín, </w:t>
      </w:r>
      <w:proofErr w:type="spellStart"/>
      <w:r w:rsidR="00B9491C" w:rsidRPr="00BF659F">
        <w:rPr>
          <w:rFonts w:ascii="Arial" w:hAnsi="Arial" w:cs="Arial"/>
          <w:sz w:val="20"/>
          <w:szCs w:val="20"/>
        </w:rPr>
        <w:t>Kvasiny</w:t>
      </w:r>
      <w:proofErr w:type="spellEnd"/>
      <w:r w:rsidR="00B9491C" w:rsidRPr="00BF659F">
        <w:rPr>
          <w:rFonts w:ascii="Arial" w:hAnsi="Arial" w:cs="Arial"/>
          <w:sz w:val="20"/>
          <w:szCs w:val="20"/>
        </w:rPr>
        <w:t xml:space="preserve">, Říčany, Kralupy nad Vltavou, Neratovice, Temelín, Ovčáry, Dukovany, </w:t>
      </w:r>
      <w:proofErr w:type="spellStart"/>
      <w:r w:rsidR="00B9491C" w:rsidRPr="00BF659F">
        <w:rPr>
          <w:rFonts w:ascii="Arial" w:hAnsi="Arial" w:cs="Arial"/>
          <w:sz w:val="20"/>
          <w:szCs w:val="20"/>
        </w:rPr>
        <w:t>Modřice</w:t>
      </w:r>
      <w:proofErr w:type="spellEnd"/>
      <w:r w:rsidR="00B9491C" w:rsidRPr="00BF659F">
        <w:rPr>
          <w:rFonts w:ascii="Arial" w:hAnsi="Arial" w:cs="Arial"/>
          <w:sz w:val="20"/>
          <w:szCs w:val="20"/>
        </w:rPr>
        <w:t>, Ivančice, Český Brod, Havířov, Orlová, Stonava, Jablunkov aj.</w:t>
      </w:r>
      <w:r w:rsidR="00664A59" w:rsidRPr="00BF659F">
        <w:rPr>
          <w:rFonts w:ascii="Arial" w:hAnsi="Arial" w:cs="Arial"/>
          <w:sz w:val="20"/>
          <w:szCs w:val="20"/>
        </w:rPr>
        <w:t xml:space="preserve"> – viz tabulka </w:t>
      </w:r>
      <w:r w:rsidR="00D97E41" w:rsidRPr="00BF659F">
        <w:rPr>
          <w:rFonts w:ascii="Arial" w:hAnsi="Arial" w:cs="Arial"/>
          <w:sz w:val="20"/>
          <w:szCs w:val="20"/>
        </w:rPr>
        <w:t>2</w:t>
      </w:r>
      <w:r w:rsidR="00B9491C" w:rsidRPr="00BF659F">
        <w:rPr>
          <w:rFonts w:ascii="Arial" w:hAnsi="Arial" w:cs="Arial"/>
          <w:sz w:val="20"/>
          <w:szCs w:val="20"/>
        </w:rPr>
        <w:t>).</w:t>
      </w:r>
      <w:r w:rsidR="00B52873">
        <w:rPr>
          <w:rFonts w:ascii="Arial" w:hAnsi="Arial" w:cs="Arial"/>
          <w:sz w:val="20"/>
          <w:szCs w:val="20"/>
        </w:rPr>
        <w:t xml:space="preserve"> </w:t>
      </w:r>
      <w:r w:rsidR="00265A95" w:rsidRPr="00BF659F">
        <w:rPr>
          <w:rFonts w:ascii="Arial" w:hAnsi="Arial" w:cs="Arial"/>
          <w:sz w:val="20"/>
          <w:szCs w:val="20"/>
        </w:rPr>
        <w:t xml:space="preserve">Typicky se tento jev vyskytuje ve velkých sídelních aglomeracích, kde na sebe centrum strhává dojížďku i z poměrně </w:t>
      </w:r>
      <w:r w:rsidR="00664A59" w:rsidRPr="00BF659F">
        <w:rPr>
          <w:rFonts w:ascii="Arial" w:hAnsi="Arial" w:cs="Arial"/>
          <w:sz w:val="20"/>
          <w:szCs w:val="20"/>
        </w:rPr>
        <w:t>vzdálených obcí</w:t>
      </w:r>
      <w:r w:rsidR="00265A95" w:rsidRPr="00BF659F">
        <w:rPr>
          <w:rFonts w:ascii="Arial" w:hAnsi="Arial" w:cs="Arial"/>
          <w:sz w:val="20"/>
          <w:szCs w:val="20"/>
        </w:rPr>
        <w:t xml:space="preserve"> v</w:t>
      </w:r>
      <w:r w:rsidR="0084472D" w:rsidRPr="00BF659F">
        <w:rPr>
          <w:rFonts w:ascii="Arial" w:hAnsi="Arial" w:cs="Arial"/>
          <w:sz w:val="20"/>
          <w:szCs w:val="20"/>
        </w:rPr>
        <w:t xml:space="preserve">e svém </w:t>
      </w:r>
      <w:r w:rsidR="00664A59" w:rsidRPr="00BF659F">
        <w:rPr>
          <w:rFonts w:ascii="Arial" w:hAnsi="Arial" w:cs="Arial"/>
          <w:sz w:val="20"/>
          <w:szCs w:val="20"/>
        </w:rPr>
        <w:t xml:space="preserve">širším </w:t>
      </w:r>
      <w:r w:rsidR="00265A95" w:rsidRPr="00BF659F">
        <w:rPr>
          <w:rFonts w:ascii="Arial" w:hAnsi="Arial" w:cs="Arial"/>
          <w:sz w:val="20"/>
          <w:szCs w:val="20"/>
        </w:rPr>
        <w:t>zázemí</w:t>
      </w:r>
      <w:r w:rsidR="00664A59" w:rsidRPr="00BF659F">
        <w:rPr>
          <w:rFonts w:ascii="Arial" w:hAnsi="Arial" w:cs="Arial"/>
          <w:sz w:val="20"/>
          <w:szCs w:val="20"/>
        </w:rPr>
        <w:t xml:space="preserve"> a mikroregionální centra – včetně některých obcí s rozšířen</w:t>
      </w:r>
      <w:r w:rsidR="002C5813" w:rsidRPr="00BF659F">
        <w:rPr>
          <w:rFonts w:ascii="Arial" w:hAnsi="Arial" w:cs="Arial"/>
          <w:sz w:val="20"/>
          <w:szCs w:val="20"/>
        </w:rPr>
        <w:t xml:space="preserve">ou působností – se tak nemohou jako centra </w:t>
      </w:r>
      <w:proofErr w:type="spellStart"/>
      <w:r w:rsidR="002C5813" w:rsidRPr="00BF659F">
        <w:rPr>
          <w:rFonts w:ascii="Arial" w:hAnsi="Arial" w:cs="Arial"/>
          <w:sz w:val="20"/>
          <w:szCs w:val="20"/>
        </w:rPr>
        <w:t>dojížďkových</w:t>
      </w:r>
      <w:proofErr w:type="spellEnd"/>
      <w:r w:rsidR="002C5813" w:rsidRPr="00BF659F">
        <w:rPr>
          <w:rFonts w:ascii="Arial" w:hAnsi="Arial" w:cs="Arial"/>
          <w:sz w:val="20"/>
          <w:szCs w:val="20"/>
        </w:rPr>
        <w:t> regionů</w:t>
      </w:r>
      <w:r w:rsidR="00664A59" w:rsidRPr="00BF659F">
        <w:rPr>
          <w:rFonts w:ascii="Arial" w:hAnsi="Arial" w:cs="Arial"/>
          <w:sz w:val="20"/>
          <w:szCs w:val="20"/>
        </w:rPr>
        <w:t xml:space="preserve"> uplatnit</w:t>
      </w:r>
      <w:r w:rsidR="00265A95" w:rsidRPr="00BF659F">
        <w:rPr>
          <w:rFonts w:ascii="Arial" w:hAnsi="Arial" w:cs="Arial"/>
          <w:sz w:val="20"/>
          <w:szCs w:val="20"/>
        </w:rPr>
        <w:t xml:space="preserve">. </w:t>
      </w:r>
      <w:r w:rsidR="00930BD5" w:rsidRPr="00BF659F">
        <w:rPr>
          <w:rFonts w:ascii="Arial" w:hAnsi="Arial" w:cs="Arial"/>
          <w:sz w:val="20"/>
          <w:szCs w:val="20"/>
        </w:rPr>
        <w:t>Nejsilnější v</w:t>
      </w:r>
      <w:r w:rsidR="00265A95" w:rsidRPr="00BF659F">
        <w:rPr>
          <w:rFonts w:ascii="Arial" w:hAnsi="Arial" w:cs="Arial"/>
          <w:sz w:val="20"/>
          <w:szCs w:val="20"/>
        </w:rPr>
        <w:t xml:space="preserve">yjížďkové proudy z malých obcí v okolí menších měst jako např. Říčan, Neratovic, </w:t>
      </w:r>
      <w:proofErr w:type="spellStart"/>
      <w:r w:rsidR="00B52873">
        <w:rPr>
          <w:rFonts w:ascii="Arial" w:hAnsi="Arial" w:cs="Arial"/>
          <w:sz w:val="20"/>
          <w:szCs w:val="20"/>
        </w:rPr>
        <w:t>Nýřan</w:t>
      </w:r>
      <w:proofErr w:type="spellEnd"/>
      <w:r w:rsidR="00B5287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65A95" w:rsidRPr="00BF659F">
        <w:rPr>
          <w:rFonts w:ascii="Arial" w:hAnsi="Arial" w:cs="Arial"/>
          <w:sz w:val="20"/>
          <w:szCs w:val="20"/>
        </w:rPr>
        <w:t>Kuřimi</w:t>
      </w:r>
      <w:proofErr w:type="spellEnd"/>
      <w:r w:rsidR="00265A95" w:rsidRPr="00BF659F">
        <w:rPr>
          <w:rFonts w:ascii="Arial" w:hAnsi="Arial" w:cs="Arial"/>
          <w:sz w:val="20"/>
          <w:szCs w:val="20"/>
        </w:rPr>
        <w:t xml:space="preserve"> </w:t>
      </w:r>
      <w:r w:rsidR="00B52873">
        <w:rPr>
          <w:rFonts w:ascii="Arial" w:hAnsi="Arial" w:cs="Arial"/>
          <w:sz w:val="20"/>
          <w:szCs w:val="20"/>
        </w:rPr>
        <w:t xml:space="preserve">nebo Tišnova </w:t>
      </w:r>
      <w:r w:rsidR="00265A95" w:rsidRPr="00BF659F">
        <w:rPr>
          <w:rFonts w:ascii="Arial" w:hAnsi="Arial" w:cs="Arial"/>
          <w:sz w:val="20"/>
          <w:szCs w:val="20"/>
        </w:rPr>
        <w:t xml:space="preserve">směřují </w:t>
      </w:r>
      <w:r w:rsidR="00930BD5" w:rsidRPr="00BF659F">
        <w:rPr>
          <w:rFonts w:ascii="Arial" w:hAnsi="Arial" w:cs="Arial"/>
          <w:sz w:val="20"/>
          <w:szCs w:val="20"/>
        </w:rPr>
        <w:t xml:space="preserve">nejčastěji </w:t>
      </w:r>
      <w:r w:rsidR="00265A95" w:rsidRPr="00BF659F">
        <w:rPr>
          <w:rFonts w:ascii="Arial" w:hAnsi="Arial" w:cs="Arial"/>
          <w:sz w:val="20"/>
          <w:szCs w:val="20"/>
        </w:rPr>
        <w:t xml:space="preserve">přímo do </w:t>
      </w:r>
      <w:r w:rsidR="002C5813" w:rsidRPr="00BF659F">
        <w:rPr>
          <w:rFonts w:ascii="Arial" w:hAnsi="Arial" w:cs="Arial"/>
          <w:sz w:val="20"/>
          <w:szCs w:val="20"/>
        </w:rPr>
        <w:t>vyššího regionálního centra (Prahy, Plzně, Brna aj.)</w:t>
      </w:r>
      <w:r w:rsidR="00265A95" w:rsidRPr="00BF659F">
        <w:rPr>
          <w:rFonts w:ascii="Arial" w:hAnsi="Arial" w:cs="Arial"/>
          <w:sz w:val="20"/>
          <w:szCs w:val="20"/>
        </w:rPr>
        <w:t xml:space="preserve">. </w:t>
      </w:r>
      <w:r w:rsidR="0084472D" w:rsidRPr="00BF659F">
        <w:rPr>
          <w:rFonts w:ascii="Arial" w:hAnsi="Arial" w:cs="Arial"/>
          <w:sz w:val="20"/>
          <w:szCs w:val="20"/>
        </w:rPr>
        <w:t>Proudy vyjížďky z centra aglomerace do sídel s velkou koncentrací pracovišť v jejich blízkém zázemí jsou sice v řadě případů mohutné, ale vymezení regionů dojížďky neovlivňují (</w:t>
      </w:r>
      <w:proofErr w:type="spellStart"/>
      <w:r w:rsidR="0084472D" w:rsidRPr="00BF659F">
        <w:rPr>
          <w:rFonts w:ascii="Arial" w:hAnsi="Arial" w:cs="Arial"/>
          <w:sz w:val="20"/>
          <w:szCs w:val="20"/>
        </w:rPr>
        <w:t>Čestlice</w:t>
      </w:r>
      <w:proofErr w:type="spellEnd"/>
      <w:r w:rsidR="0084472D" w:rsidRPr="00BF659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4472D" w:rsidRPr="00BF659F">
        <w:rPr>
          <w:rFonts w:ascii="Arial" w:hAnsi="Arial" w:cs="Arial"/>
          <w:sz w:val="20"/>
          <w:szCs w:val="20"/>
        </w:rPr>
        <w:t>Hostivice</w:t>
      </w:r>
      <w:proofErr w:type="spellEnd"/>
      <w:r w:rsidR="0084472D" w:rsidRPr="00BF659F">
        <w:rPr>
          <w:rFonts w:ascii="Arial" w:hAnsi="Arial" w:cs="Arial"/>
          <w:sz w:val="20"/>
          <w:szCs w:val="20"/>
        </w:rPr>
        <w:t xml:space="preserve">, Ovčáry, </w:t>
      </w:r>
      <w:proofErr w:type="spellStart"/>
      <w:r w:rsidR="0084472D" w:rsidRPr="00BF659F">
        <w:rPr>
          <w:rFonts w:ascii="Arial" w:hAnsi="Arial" w:cs="Arial"/>
          <w:sz w:val="20"/>
          <w:szCs w:val="20"/>
        </w:rPr>
        <w:t>Sezimovo</w:t>
      </w:r>
      <w:proofErr w:type="spellEnd"/>
      <w:r w:rsidR="0084472D" w:rsidRPr="00BF659F">
        <w:rPr>
          <w:rFonts w:ascii="Arial" w:hAnsi="Arial" w:cs="Arial"/>
          <w:sz w:val="20"/>
          <w:szCs w:val="20"/>
        </w:rPr>
        <w:t xml:space="preserve"> Ústí, </w:t>
      </w:r>
      <w:proofErr w:type="spellStart"/>
      <w:r w:rsidR="0084472D" w:rsidRPr="00BF659F">
        <w:rPr>
          <w:rFonts w:ascii="Arial" w:hAnsi="Arial" w:cs="Arial"/>
          <w:sz w:val="20"/>
          <w:szCs w:val="20"/>
        </w:rPr>
        <w:t>Kvasiny</w:t>
      </w:r>
      <w:proofErr w:type="spellEnd"/>
      <w:r w:rsidR="0084472D" w:rsidRPr="00BF659F">
        <w:rPr>
          <w:rFonts w:ascii="Arial" w:hAnsi="Arial" w:cs="Arial"/>
          <w:sz w:val="20"/>
          <w:szCs w:val="20"/>
        </w:rPr>
        <w:t xml:space="preserve">, Kunovice, </w:t>
      </w:r>
      <w:proofErr w:type="spellStart"/>
      <w:r w:rsidR="0084472D" w:rsidRPr="00BF659F">
        <w:rPr>
          <w:rFonts w:ascii="Arial" w:hAnsi="Arial" w:cs="Arial"/>
          <w:sz w:val="20"/>
          <w:szCs w:val="20"/>
        </w:rPr>
        <w:t>Nošovice</w:t>
      </w:r>
      <w:proofErr w:type="spellEnd"/>
      <w:r w:rsidR="0084472D" w:rsidRPr="00BF659F">
        <w:rPr>
          <w:rFonts w:ascii="Arial" w:hAnsi="Arial" w:cs="Arial"/>
          <w:sz w:val="20"/>
          <w:szCs w:val="20"/>
        </w:rPr>
        <w:t>, Paskov</w:t>
      </w:r>
      <w:r w:rsidR="00B5287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52873">
        <w:rPr>
          <w:rFonts w:ascii="Arial" w:hAnsi="Arial" w:cs="Arial"/>
          <w:sz w:val="20"/>
          <w:szCs w:val="20"/>
        </w:rPr>
        <w:t>Stonava</w:t>
      </w:r>
      <w:proofErr w:type="spellEnd"/>
      <w:r w:rsidR="0084472D" w:rsidRPr="00BF659F">
        <w:rPr>
          <w:rFonts w:ascii="Arial" w:hAnsi="Arial" w:cs="Arial"/>
          <w:sz w:val="20"/>
          <w:szCs w:val="20"/>
        </w:rPr>
        <w:t xml:space="preserve"> aj.). Je třeba na ně nahlížet jako na de facto součást centra aglomerace, protože tvoří nedílný komplex </w:t>
      </w:r>
      <w:r w:rsidR="002C5813" w:rsidRPr="00BF659F">
        <w:rPr>
          <w:rFonts w:ascii="Arial" w:hAnsi="Arial" w:cs="Arial"/>
          <w:sz w:val="20"/>
          <w:szCs w:val="20"/>
        </w:rPr>
        <w:t xml:space="preserve">silně integrovaných </w:t>
      </w:r>
      <w:r w:rsidR="0084472D" w:rsidRPr="00BF659F">
        <w:rPr>
          <w:rFonts w:ascii="Arial" w:hAnsi="Arial" w:cs="Arial"/>
          <w:sz w:val="20"/>
          <w:szCs w:val="20"/>
        </w:rPr>
        <w:t>vztahů bydliště – pracoviště bez ohledu na administrativní hranice.</w:t>
      </w:r>
      <w:r w:rsidR="00FE1BFE" w:rsidRPr="00FE1BFE">
        <w:rPr>
          <w:rFonts w:ascii="Arial" w:hAnsi="Arial" w:cs="Arial"/>
          <w:sz w:val="20"/>
          <w:szCs w:val="20"/>
        </w:rPr>
        <w:t xml:space="preserve"> </w:t>
      </w:r>
    </w:p>
    <w:p w:rsidR="00FE1BFE" w:rsidRPr="00BF659F" w:rsidRDefault="00FE1BFE" w:rsidP="00ED24E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F659F">
        <w:rPr>
          <w:rFonts w:ascii="Arial" w:hAnsi="Arial" w:cs="Arial"/>
          <w:sz w:val="20"/>
          <w:szCs w:val="20"/>
        </w:rPr>
        <w:t xml:space="preserve">Specifická situace je zvláště na Ostravsku, kde jsou sídla propojena </w:t>
      </w:r>
      <w:proofErr w:type="spellStart"/>
      <w:r w:rsidRPr="00BF659F">
        <w:rPr>
          <w:rFonts w:ascii="Arial" w:hAnsi="Arial" w:cs="Arial"/>
          <w:sz w:val="20"/>
          <w:szCs w:val="20"/>
        </w:rPr>
        <w:t>dojížďkovými</w:t>
      </w:r>
      <w:proofErr w:type="spellEnd"/>
      <w:r w:rsidRPr="00BF659F">
        <w:rPr>
          <w:rFonts w:ascii="Arial" w:hAnsi="Arial" w:cs="Arial"/>
          <w:sz w:val="20"/>
          <w:szCs w:val="20"/>
        </w:rPr>
        <w:t xml:space="preserve"> proudy všemi směry a celá konurbace se proto z tohoto hlediska jeví jako celek, jejž nelze (a ani nemá smysl) dělit na dílčí </w:t>
      </w:r>
      <w:proofErr w:type="spellStart"/>
      <w:r w:rsidRPr="00BF659F">
        <w:rPr>
          <w:rFonts w:ascii="Arial" w:hAnsi="Arial" w:cs="Arial"/>
          <w:sz w:val="20"/>
          <w:szCs w:val="20"/>
        </w:rPr>
        <w:t>subregiony</w:t>
      </w:r>
      <w:proofErr w:type="spellEnd"/>
      <w:r w:rsidRPr="00BF659F">
        <w:rPr>
          <w:rFonts w:ascii="Arial" w:hAnsi="Arial" w:cs="Arial"/>
          <w:sz w:val="20"/>
          <w:szCs w:val="20"/>
        </w:rPr>
        <w:t xml:space="preserve"> (s výjimkou vyčlenění Karvinska).</w:t>
      </w:r>
    </w:p>
    <w:p w:rsidR="00FE1BFE" w:rsidRPr="00BF659F" w:rsidRDefault="00FE1BFE" w:rsidP="00ED24E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F659F">
        <w:rPr>
          <w:rFonts w:ascii="Arial" w:hAnsi="Arial" w:cs="Arial"/>
          <w:sz w:val="20"/>
          <w:szCs w:val="20"/>
        </w:rPr>
        <w:t xml:space="preserve">V dalším kole byla eliminována centra dojížďky, v jejichž zázemí mělo obvyklý pobyt méně než 1000 obyvatel resp. méně než 500 ekonomicky aktivních zaměstnaných osob. V tomto kole „vypadla“ z výběru některá marginální centra dojížďky, jako např. Sázava, </w:t>
      </w:r>
      <w:proofErr w:type="spellStart"/>
      <w:r w:rsidRPr="00BF659F">
        <w:rPr>
          <w:rFonts w:ascii="Arial" w:hAnsi="Arial" w:cs="Arial"/>
          <w:sz w:val="20"/>
          <w:szCs w:val="20"/>
        </w:rPr>
        <w:t>Choustník</w:t>
      </w:r>
      <w:proofErr w:type="spellEnd"/>
      <w:r w:rsidRPr="00BF659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F659F">
        <w:rPr>
          <w:rFonts w:ascii="Arial" w:hAnsi="Arial" w:cs="Arial"/>
          <w:sz w:val="20"/>
          <w:szCs w:val="20"/>
        </w:rPr>
        <w:t>Nejdek</w:t>
      </w:r>
      <w:proofErr w:type="spellEnd"/>
      <w:r w:rsidRPr="00BF659F">
        <w:rPr>
          <w:rFonts w:ascii="Arial" w:hAnsi="Arial" w:cs="Arial"/>
          <w:sz w:val="20"/>
          <w:szCs w:val="20"/>
        </w:rPr>
        <w:t xml:space="preserve">, Habry, </w:t>
      </w:r>
      <w:proofErr w:type="spellStart"/>
      <w:r w:rsidRPr="00BF659F">
        <w:rPr>
          <w:rFonts w:ascii="Arial" w:hAnsi="Arial" w:cs="Arial"/>
          <w:sz w:val="20"/>
          <w:szCs w:val="20"/>
        </w:rPr>
        <w:t>Holýšov</w:t>
      </w:r>
      <w:proofErr w:type="spellEnd"/>
      <w:r w:rsidRPr="00BF659F">
        <w:rPr>
          <w:rFonts w:ascii="Arial" w:hAnsi="Arial" w:cs="Arial"/>
          <w:sz w:val="20"/>
          <w:szCs w:val="20"/>
        </w:rPr>
        <w:t xml:space="preserve">, Dolní </w:t>
      </w:r>
      <w:proofErr w:type="spellStart"/>
      <w:r w:rsidRPr="00BF659F">
        <w:rPr>
          <w:rFonts w:ascii="Arial" w:hAnsi="Arial" w:cs="Arial"/>
          <w:sz w:val="20"/>
          <w:szCs w:val="20"/>
        </w:rPr>
        <w:t>Kralovice</w:t>
      </w:r>
      <w:proofErr w:type="spellEnd"/>
      <w:r w:rsidRPr="00BF659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F659F">
        <w:rPr>
          <w:rFonts w:ascii="Arial" w:hAnsi="Arial" w:cs="Arial"/>
          <w:sz w:val="20"/>
          <w:szCs w:val="20"/>
        </w:rPr>
        <w:t>Třešť</w:t>
      </w:r>
      <w:proofErr w:type="spellEnd"/>
      <w:r w:rsidRPr="00BF659F">
        <w:rPr>
          <w:rFonts w:ascii="Arial" w:hAnsi="Arial" w:cs="Arial"/>
          <w:sz w:val="20"/>
          <w:szCs w:val="20"/>
        </w:rPr>
        <w:t>, Počátky</w:t>
      </w:r>
      <w:r>
        <w:rPr>
          <w:rFonts w:ascii="Arial" w:hAnsi="Arial" w:cs="Arial"/>
          <w:sz w:val="20"/>
          <w:szCs w:val="20"/>
        </w:rPr>
        <w:t xml:space="preserve"> nebo</w:t>
      </w:r>
      <w:r w:rsidRPr="00BF65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659F">
        <w:rPr>
          <w:rFonts w:ascii="Arial" w:hAnsi="Arial" w:cs="Arial"/>
          <w:sz w:val="20"/>
          <w:szCs w:val="20"/>
        </w:rPr>
        <w:t>Polná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BF65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Několik d</w:t>
      </w:r>
      <w:r w:rsidRPr="00BF659F">
        <w:rPr>
          <w:rFonts w:ascii="Arial" w:hAnsi="Arial" w:cs="Arial"/>
          <w:sz w:val="20"/>
          <w:szCs w:val="20"/>
        </w:rPr>
        <w:t>alší</w:t>
      </w:r>
      <w:r>
        <w:rPr>
          <w:rFonts w:ascii="Arial" w:hAnsi="Arial" w:cs="Arial"/>
          <w:sz w:val="20"/>
          <w:szCs w:val="20"/>
        </w:rPr>
        <w:t xml:space="preserve">ch center s hraničními parametry pro jejich zachování ve výběru představují např. </w:t>
      </w:r>
      <w:proofErr w:type="spellStart"/>
      <w:r>
        <w:rPr>
          <w:rFonts w:ascii="Arial" w:hAnsi="Arial" w:cs="Arial"/>
          <w:sz w:val="20"/>
          <w:szCs w:val="20"/>
        </w:rPr>
        <w:t>Golčův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Jeníkov</w:t>
      </w:r>
      <w:proofErr w:type="spellEnd"/>
      <w:r>
        <w:rPr>
          <w:rFonts w:ascii="Arial" w:hAnsi="Arial" w:cs="Arial"/>
          <w:sz w:val="20"/>
          <w:szCs w:val="20"/>
        </w:rPr>
        <w:t xml:space="preserve"> nebo Adršpach</w:t>
      </w:r>
      <w:r w:rsidRPr="00BF659F">
        <w:rPr>
          <w:rFonts w:ascii="Arial" w:hAnsi="Arial" w:cs="Arial"/>
          <w:sz w:val="20"/>
          <w:szCs w:val="20"/>
        </w:rPr>
        <w:t>.</w:t>
      </w:r>
    </w:p>
    <w:p w:rsidR="00FE1BFE" w:rsidRPr="00BF659F" w:rsidRDefault="00FE1BFE" w:rsidP="00ED24E8">
      <w:pPr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 w:rsidRPr="00BF659F">
        <w:rPr>
          <w:rFonts w:ascii="Arial" w:hAnsi="Arial" w:cs="Arial"/>
          <w:sz w:val="20"/>
          <w:szCs w:val="20"/>
        </w:rPr>
        <w:t xml:space="preserve">Jako centra dojížďky </w:t>
      </w:r>
      <w:r>
        <w:rPr>
          <w:rFonts w:ascii="Arial" w:hAnsi="Arial" w:cs="Arial"/>
          <w:sz w:val="20"/>
          <w:szCs w:val="20"/>
        </w:rPr>
        <w:t xml:space="preserve">však </w:t>
      </w:r>
      <w:r w:rsidRPr="00BF659F">
        <w:rPr>
          <w:rFonts w:ascii="Arial" w:hAnsi="Arial" w:cs="Arial"/>
          <w:sz w:val="20"/>
          <w:szCs w:val="20"/>
        </w:rPr>
        <w:t>nebyly vybrány ani některé obce s rozšířenou působností</w:t>
      </w:r>
      <w:r>
        <w:rPr>
          <w:rFonts w:ascii="Arial" w:hAnsi="Arial" w:cs="Arial"/>
          <w:sz w:val="20"/>
          <w:szCs w:val="20"/>
        </w:rPr>
        <w:t>, které nemají vlastní zázemí</w:t>
      </w:r>
      <w:r w:rsidRPr="00BF659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Jde </w:t>
      </w:r>
      <w:r w:rsidRPr="00BF659F">
        <w:rPr>
          <w:rFonts w:ascii="Arial" w:hAnsi="Arial" w:cs="Arial"/>
          <w:sz w:val="20"/>
          <w:szCs w:val="20"/>
        </w:rPr>
        <w:t xml:space="preserve">například </w:t>
      </w:r>
      <w:r>
        <w:rPr>
          <w:rFonts w:ascii="Arial" w:hAnsi="Arial" w:cs="Arial"/>
          <w:sz w:val="20"/>
          <w:szCs w:val="20"/>
        </w:rPr>
        <w:t xml:space="preserve">o </w:t>
      </w:r>
      <w:r w:rsidRPr="00BF659F">
        <w:rPr>
          <w:rFonts w:ascii="Arial" w:hAnsi="Arial" w:cs="Arial"/>
          <w:sz w:val="20"/>
          <w:szCs w:val="20"/>
        </w:rPr>
        <w:t>Holice, Bílovec, Pohořelice, Vizovice aj. (viz tabulka 3).</w:t>
      </w:r>
    </w:p>
    <w:p w:rsidR="0084472D" w:rsidRDefault="001458C3" w:rsidP="00145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659F">
        <w:rPr>
          <w:rFonts w:ascii="Arial" w:hAnsi="Arial" w:cs="Arial"/>
          <w:sz w:val="20"/>
          <w:szCs w:val="20"/>
        </w:rPr>
        <w:t>Celkem bylo po zmíněných korekcích stanoveno 227 center dojížďky. Publikace Atlas sídelní struktury ČR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BF659F">
        <w:rPr>
          <w:rFonts w:ascii="Arial" w:hAnsi="Arial" w:cs="Arial"/>
          <w:sz w:val="20"/>
          <w:szCs w:val="20"/>
        </w:rPr>
        <w:t xml:space="preserve"> uvádí pro rok 1991 </w:t>
      </w:r>
      <w:r>
        <w:rPr>
          <w:rFonts w:ascii="Arial" w:hAnsi="Arial" w:cs="Arial"/>
          <w:sz w:val="20"/>
          <w:szCs w:val="20"/>
        </w:rPr>
        <w:t xml:space="preserve">celkem </w:t>
      </w:r>
      <w:r w:rsidRPr="00BF659F">
        <w:rPr>
          <w:rFonts w:ascii="Arial" w:hAnsi="Arial" w:cs="Arial"/>
          <w:sz w:val="20"/>
          <w:szCs w:val="20"/>
        </w:rPr>
        <w:t xml:space="preserve">290 mikroregionů dojížďky a pro rok 2001 pak 260 mikroregionů. </w:t>
      </w:r>
      <w:r w:rsidRPr="00BF659F">
        <w:rPr>
          <w:rFonts w:ascii="Arial" w:hAnsi="Arial" w:cs="Arial"/>
          <w:sz w:val="20"/>
          <w:szCs w:val="20"/>
        </w:rPr>
        <w:lastRenderedPageBreak/>
        <w:t>I</w:t>
      </w:r>
      <w:r>
        <w:rPr>
          <w:rFonts w:ascii="Arial" w:hAnsi="Arial" w:cs="Arial"/>
          <w:sz w:val="20"/>
          <w:szCs w:val="20"/>
        </w:rPr>
        <w:t> </w:t>
      </w:r>
      <w:r w:rsidRPr="00BF659F">
        <w:rPr>
          <w:rFonts w:ascii="Arial" w:hAnsi="Arial" w:cs="Arial"/>
          <w:sz w:val="20"/>
          <w:szCs w:val="20"/>
        </w:rPr>
        <w:t>když kritéria vymezení mikroregionů nejsou zcela srovnatelná, tyto tři údaje dokumentují pokračující integraci pracovní dojížďky do menšího počtu center a tendenci ke snižování jejich počtu.</w:t>
      </w:r>
    </w:p>
    <w:p w:rsidR="001458C3" w:rsidRPr="00BF659F" w:rsidRDefault="001458C3" w:rsidP="00145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11FD2" w:rsidRPr="00BF659F" w:rsidRDefault="007A16FA" w:rsidP="0067380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10595">
        <w:rPr>
          <w:rFonts w:ascii="Arial" w:hAnsi="Arial" w:cs="Arial"/>
          <w:sz w:val="20"/>
          <w:szCs w:val="20"/>
        </w:rPr>
        <w:object w:dxaOrig="8604" w:dyaOrig="5873">
          <v:shape id="_x0000_i1026" type="#_x0000_t75" style="width:430.75pt;height:292.95pt" o:ole="">
            <v:imagedata r:id="rId10" o:title=""/>
          </v:shape>
          <o:OLEObject Type="Embed" ProgID="Excel.Sheet.12" ShapeID="_x0000_i1026" DrawAspect="Content" ObjectID="_1479018128" r:id="rId11"/>
        </w:object>
      </w:r>
    </w:p>
    <w:p w:rsidR="00611FD2" w:rsidRPr="00BF659F" w:rsidRDefault="00611FD2" w:rsidP="00611FD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58C3" w:rsidRDefault="00ED24E8" w:rsidP="001458C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10595">
        <w:rPr>
          <w:rFonts w:ascii="Arial" w:hAnsi="Arial" w:cs="Arial"/>
          <w:sz w:val="20"/>
          <w:szCs w:val="20"/>
        </w:rPr>
        <w:object w:dxaOrig="8447" w:dyaOrig="4594">
          <v:shape id="_x0000_i1027" type="#_x0000_t75" style="width:422.05pt;height:229.65pt" o:ole="">
            <v:imagedata r:id="rId12" o:title=""/>
          </v:shape>
          <o:OLEObject Type="Embed" ProgID="Excel.Sheet.12" ShapeID="_x0000_i1027" DrawAspect="Content" ObjectID="_1479018129" r:id="rId13"/>
        </w:object>
      </w:r>
    </w:p>
    <w:p w:rsidR="001458C3" w:rsidRDefault="001458C3" w:rsidP="001458C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526ED" w:rsidRPr="001458C3" w:rsidRDefault="000526ED" w:rsidP="001458C3">
      <w:pPr>
        <w:spacing w:line="240" w:lineRule="auto"/>
        <w:rPr>
          <w:rFonts w:ascii="Arial" w:hAnsi="Arial" w:cs="Arial"/>
          <w:sz w:val="20"/>
          <w:szCs w:val="20"/>
        </w:rPr>
      </w:pPr>
      <w:r w:rsidRPr="00BF659F">
        <w:rPr>
          <w:rFonts w:ascii="Arial" w:hAnsi="Arial" w:cs="Arial"/>
          <w:b/>
          <w:sz w:val="24"/>
          <w:szCs w:val="24"/>
        </w:rPr>
        <w:t>Vymezení zázemí center dojížďky</w:t>
      </w:r>
    </w:p>
    <w:p w:rsidR="00DA7315" w:rsidRPr="00BF659F" w:rsidRDefault="00DA7315" w:rsidP="00BF659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F659F">
        <w:rPr>
          <w:rFonts w:ascii="Arial" w:hAnsi="Arial" w:cs="Arial"/>
          <w:sz w:val="20"/>
          <w:szCs w:val="20"/>
        </w:rPr>
        <w:t xml:space="preserve">K centrům dojížďky byly obce </w:t>
      </w:r>
      <w:r w:rsidR="003F0D33">
        <w:rPr>
          <w:rFonts w:ascii="Arial" w:hAnsi="Arial" w:cs="Arial"/>
          <w:sz w:val="20"/>
          <w:szCs w:val="20"/>
        </w:rPr>
        <w:t xml:space="preserve">tvořící jejich </w:t>
      </w:r>
      <w:r w:rsidRPr="00BF659F">
        <w:rPr>
          <w:rFonts w:ascii="Arial" w:hAnsi="Arial" w:cs="Arial"/>
          <w:sz w:val="20"/>
          <w:szCs w:val="20"/>
        </w:rPr>
        <w:t>zázemí přiřazovány podle nejsilnějšího vyjížďkového proudu</w:t>
      </w:r>
      <w:r w:rsidR="00F94552" w:rsidRPr="00BF659F">
        <w:rPr>
          <w:rFonts w:ascii="Arial" w:hAnsi="Arial" w:cs="Arial"/>
          <w:sz w:val="20"/>
          <w:szCs w:val="20"/>
        </w:rPr>
        <w:t xml:space="preserve">. </w:t>
      </w:r>
      <w:r w:rsidRPr="00BF659F">
        <w:rPr>
          <w:rFonts w:ascii="Arial" w:hAnsi="Arial" w:cs="Arial"/>
          <w:sz w:val="20"/>
          <w:szCs w:val="20"/>
        </w:rPr>
        <w:t xml:space="preserve">Zároveň byla respektována zásada, že </w:t>
      </w:r>
      <w:r w:rsidR="00F94552" w:rsidRPr="00BF659F">
        <w:rPr>
          <w:rFonts w:ascii="Arial" w:hAnsi="Arial" w:cs="Arial"/>
          <w:sz w:val="20"/>
          <w:szCs w:val="20"/>
        </w:rPr>
        <w:t xml:space="preserve">dojížďkový </w:t>
      </w:r>
      <w:r w:rsidRPr="00BF659F">
        <w:rPr>
          <w:rFonts w:ascii="Arial" w:hAnsi="Arial" w:cs="Arial"/>
          <w:sz w:val="20"/>
          <w:szCs w:val="20"/>
        </w:rPr>
        <w:t xml:space="preserve">region by měl být </w:t>
      </w:r>
      <w:r w:rsidR="00324AE1" w:rsidRPr="00BF659F">
        <w:rPr>
          <w:rFonts w:ascii="Arial" w:hAnsi="Arial" w:cs="Arial"/>
          <w:sz w:val="20"/>
          <w:szCs w:val="20"/>
        </w:rPr>
        <w:t>úz</w:t>
      </w:r>
      <w:r w:rsidRPr="00BF659F">
        <w:rPr>
          <w:rFonts w:ascii="Arial" w:hAnsi="Arial" w:cs="Arial"/>
          <w:sz w:val="20"/>
          <w:szCs w:val="20"/>
        </w:rPr>
        <w:t>emně souvislý, bez enkláv a exkláv (územně „odtržených“ obcí)</w:t>
      </w:r>
      <w:r w:rsidR="00F94552" w:rsidRPr="00BF659F">
        <w:rPr>
          <w:rFonts w:ascii="Arial" w:hAnsi="Arial" w:cs="Arial"/>
          <w:sz w:val="20"/>
          <w:szCs w:val="20"/>
        </w:rPr>
        <w:t xml:space="preserve">. </w:t>
      </w:r>
      <w:r w:rsidR="000526ED" w:rsidRPr="00BF659F">
        <w:rPr>
          <w:rFonts w:ascii="Arial" w:hAnsi="Arial" w:cs="Arial"/>
          <w:sz w:val="20"/>
          <w:szCs w:val="20"/>
        </w:rPr>
        <w:t xml:space="preserve">U </w:t>
      </w:r>
      <w:r w:rsidR="00177701">
        <w:rPr>
          <w:rFonts w:ascii="Arial" w:hAnsi="Arial" w:cs="Arial"/>
          <w:sz w:val="20"/>
          <w:szCs w:val="20"/>
        </w:rPr>
        <w:t>převážné</w:t>
      </w:r>
      <w:r w:rsidR="000526ED" w:rsidRPr="00BF659F">
        <w:rPr>
          <w:rFonts w:ascii="Arial" w:hAnsi="Arial" w:cs="Arial"/>
          <w:sz w:val="20"/>
          <w:szCs w:val="20"/>
        </w:rPr>
        <w:t xml:space="preserve"> části center nebyl </w:t>
      </w:r>
      <w:r w:rsidR="00F94552" w:rsidRPr="00BF659F">
        <w:rPr>
          <w:rFonts w:ascii="Arial" w:hAnsi="Arial" w:cs="Arial"/>
          <w:sz w:val="20"/>
          <w:szCs w:val="20"/>
        </w:rPr>
        <w:t xml:space="preserve">v tomto směru </w:t>
      </w:r>
      <w:r w:rsidR="000526ED" w:rsidRPr="00BF659F">
        <w:rPr>
          <w:rFonts w:ascii="Arial" w:hAnsi="Arial" w:cs="Arial"/>
          <w:sz w:val="20"/>
          <w:szCs w:val="20"/>
        </w:rPr>
        <w:t xml:space="preserve">zásadní problém, směřují sem převládající proudy z obcí, které tvoří územně </w:t>
      </w:r>
      <w:r w:rsidR="00F94552" w:rsidRPr="00BF659F">
        <w:rPr>
          <w:rFonts w:ascii="Arial" w:hAnsi="Arial" w:cs="Arial"/>
          <w:sz w:val="20"/>
          <w:szCs w:val="20"/>
        </w:rPr>
        <w:t>souvislý</w:t>
      </w:r>
      <w:r w:rsidR="000526ED" w:rsidRPr="00BF659F">
        <w:rPr>
          <w:rFonts w:ascii="Arial" w:hAnsi="Arial" w:cs="Arial"/>
          <w:sz w:val="20"/>
          <w:szCs w:val="20"/>
        </w:rPr>
        <w:t xml:space="preserve"> mikroregion</w:t>
      </w:r>
      <w:r w:rsidR="00F94552" w:rsidRPr="00BF659F">
        <w:rPr>
          <w:rFonts w:ascii="Arial" w:hAnsi="Arial" w:cs="Arial"/>
          <w:sz w:val="20"/>
          <w:szCs w:val="20"/>
        </w:rPr>
        <w:t xml:space="preserve">. </w:t>
      </w:r>
      <w:r w:rsidRPr="00BF659F">
        <w:rPr>
          <w:rFonts w:ascii="Arial" w:hAnsi="Arial" w:cs="Arial"/>
          <w:sz w:val="20"/>
          <w:szCs w:val="20"/>
        </w:rPr>
        <w:t>U části center dojížďky však musely být provedeny určité korekce, protože mikroregiony nevyhovovaly výše uvedené zásadě územní celistvosti. V takových případech byly obce přiřazovány podle druhého, výjimečně třetího nejsilnějšího vyjížďkového proudu.</w:t>
      </w:r>
      <w:r w:rsidR="00D96831" w:rsidRPr="00BF659F">
        <w:rPr>
          <w:rFonts w:ascii="Arial" w:hAnsi="Arial" w:cs="Arial"/>
          <w:sz w:val="20"/>
          <w:szCs w:val="20"/>
        </w:rPr>
        <w:t xml:space="preserve"> Takto byly „zneplatněny“ </w:t>
      </w:r>
      <w:proofErr w:type="spellStart"/>
      <w:r w:rsidR="00324AE1" w:rsidRPr="00BF659F">
        <w:rPr>
          <w:rFonts w:ascii="Arial" w:hAnsi="Arial" w:cs="Arial"/>
          <w:sz w:val="20"/>
          <w:szCs w:val="20"/>
        </w:rPr>
        <w:t>d</w:t>
      </w:r>
      <w:r w:rsidR="00D96831" w:rsidRPr="00BF659F">
        <w:rPr>
          <w:rFonts w:ascii="Arial" w:hAnsi="Arial" w:cs="Arial"/>
          <w:sz w:val="20"/>
          <w:szCs w:val="20"/>
        </w:rPr>
        <w:t>ojížďko</w:t>
      </w:r>
      <w:r w:rsidR="00324AE1" w:rsidRPr="00BF659F">
        <w:rPr>
          <w:rFonts w:ascii="Arial" w:hAnsi="Arial" w:cs="Arial"/>
          <w:sz w:val="20"/>
          <w:szCs w:val="20"/>
        </w:rPr>
        <w:t>vé</w:t>
      </w:r>
      <w:proofErr w:type="spellEnd"/>
      <w:r w:rsidR="00D96831" w:rsidRPr="00BF659F">
        <w:rPr>
          <w:rFonts w:ascii="Arial" w:hAnsi="Arial" w:cs="Arial"/>
          <w:sz w:val="20"/>
          <w:szCs w:val="20"/>
        </w:rPr>
        <w:t xml:space="preserve"> vazby </w:t>
      </w:r>
      <w:r w:rsidR="00D96831" w:rsidRPr="00BF659F">
        <w:rPr>
          <w:rFonts w:ascii="Arial" w:hAnsi="Arial" w:cs="Arial"/>
          <w:sz w:val="20"/>
          <w:szCs w:val="20"/>
        </w:rPr>
        <w:lastRenderedPageBreak/>
        <w:t xml:space="preserve">například mezi </w:t>
      </w:r>
      <w:r w:rsidR="00324AE1" w:rsidRPr="00BF659F">
        <w:rPr>
          <w:rFonts w:ascii="Arial" w:hAnsi="Arial" w:cs="Arial"/>
          <w:sz w:val="20"/>
          <w:szCs w:val="20"/>
        </w:rPr>
        <w:t>Harrachovem a Prahou, mezi několika obcemi na Litoměřicku, Lounsku</w:t>
      </w:r>
      <w:r w:rsidR="00F94552" w:rsidRPr="00BF659F">
        <w:rPr>
          <w:rFonts w:ascii="Arial" w:hAnsi="Arial" w:cs="Arial"/>
          <w:sz w:val="20"/>
          <w:szCs w:val="20"/>
        </w:rPr>
        <w:t>, Písecku</w:t>
      </w:r>
      <w:r w:rsidR="00324AE1" w:rsidRPr="00BF659F">
        <w:rPr>
          <w:rFonts w:ascii="Arial" w:hAnsi="Arial" w:cs="Arial"/>
          <w:sz w:val="20"/>
          <w:szCs w:val="20"/>
        </w:rPr>
        <w:t xml:space="preserve"> a Táborsku a Prahou nebo u některých obcí s převažující vyjížďkou do Brna a Ostravy (</w:t>
      </w:r>
      <w:r w:rsidR="00F94552" w:rsidRPr="00BF659F">
        <w:rPr>
          <w:rFonts w:ascii="Arial" w:hAnsi="Arial" w:cs="Arial"/>
          <w:sz w:val="20"/>
          <w:szCs w:val="20"/>
        </w:rPr>
        <w:t xml:space="preserve">např. </w:t>
      </w:r>
      <w:r w:rsidR="00324AE1" w:rsidRPr="00BF659F">
        <w:rPr>
          <w:rFonts w:ascii="Arial" w:hAnsi="Arial" w:cs="Arial"/>
          <w:sz w:val="20"/>
          <w:szCs w:val="20"/>
        </w:rPr>
        <w:t>Ostravice)</w:t>
      </w:r>
      <w:r w:rsidR="00F94552" w:rsidRPr="00BF659F">
        <w:rPr>
          <w:rFonts w:ascii="Arial" w:hAnsi="Arial" w:cs="Arial"/>
          <w:sz w:val="20"/>
          <w:szCs w:val="20"/>
        </w:rPr>
        <w:t>.</w:t>
      </w:r>
      <w:r w:rsidR="00847099" w:rsidRPr="00BF659F">
        <w:rPr>
          <w:rFonts w:ascii="Arial" w:hAnsi="Arial" w:cs="Arial"/>
          <w:sz w:val="20"/>
          <w:szCs w:val="20"/>
        </w:rPr>
        <w:t xml:space="preserve"> Obce s nevyhraněnou spádovostí obklopené územím jediného </w:t>
      </w:r>
      <w:proofErr w:type="spellStart"/>
      <w:r w:rsidR="00847099" w:rsidRPr="00BF659F">
        <w:rPr>
          <w:rFonts w:ascii="Arial" w:hAnsi="Arial" w:cs="Arial"/>
          <w:sz w:val="20"/>
          <w:szCs w:val="20"/>
        </w:rPr>
        <w:t>dojížďkového</w:t>
      </w:r>
      <w:proofErr w:type="spellEnd"/>
      <w:r w:rsidR="00847099" w:rsidRPr="00BF659F">
        <w:rPr>
          <w:rFonts w:ascii="Arial" w:hAnsi="Arial" w:cs="Arial"/>
          <w:sz w:val="20"/>
          <w:szCs w:val="20"/>
        </w:rPr>
        <w:t xml:space="preserve"> regionu byly </w:t>
      </w:r>
      <w:r w:rsidR="003F0D33" w:rsidRPr="00BF659F">
        <w:rPr>
          <w:rFonts w:ascii="Arial" w:hAnsi="Arial" w:cs="Arial"/>
          <w:sz w:val="20"/>
          <w:szCs w:val="20"/>
        </w:rPr>
        <w:t>za</w:t>
      </w:r>
      <w:r w:rsidR="003F0D33">
        <w:rPr>
          <w:rFonts w:ascii="Arial" w:hAnsi="Arial" w:cs="Arial"/>
          <w:sz w:val="20"/>
          <w:szCs w:val="20"/>
        </w:rPr>
        <w:t>členěny</w:t>
      </w:r>
      <w:r w:rsidR="003F0D33" w:rsidRPr="00BF659F">
        <w:rPr>
          <w:rFonts w:ascii="Arial" w:hAnsi="Arial" w:cs="Arial"/>
          <w:sz w:val="20"/>
          <w:szCs w:val="20"/>
        </w:rPr>
        <w:t xml:space="preserve"> </w:t>
      </w:r>
      <w:r w:rsidR="00847099" w:rsidRPr="00BF659F">
        <w:rPr>
          <w:rFonts w:ascii="Arial" w:hAnsi="Arial" w:cs="Arial"/>
          <w:sz w:val="20"/>
          <w:szCs w:val="20"/>
        </w:rPr>
        <w:t xml:space="preserve">do </w:t>
      </w:r>
      <w:r w:rsidR="003F0D33">
        <w:rPr>
          <w:rFonts w:ascii="Arial" w:hAnsi="Arial" w:cs="Arial"/>
          <w:sz w:val="20"/>
          <w:szCs w:val="20"/>
        </w:rPr>
        <w:t>daného</w:t>
      </w:r>
      <w:r w:rsidR="00847099" w:rsidRPr="00BF659F">
        <w:rPr>
          <w:rFonts w:ascii="Arial" w:hAnsi="Arial" w:cs="Arial"/>
          <w:sz w:val="20"/>
          <w:szCs w:val="20"/>
        </w:rPr>
        <w:t xml:space="preserve"> region</w:t>
      </w:r>
      <w:r w:rsidR="003F0D33">
        <w:rPr>
          <w:rFonts w:ascii="Arial" w:hAnsi="Arial" w:cs="Arial"/>
          <w:sz w:val="20"/>
          <w:szCs w:val="20"/>
        </w:rPr>
        <w:t>u</w:t>
      </w:r>
      <w:r w:rsidR="00847099" w:rsidRPr="00BF659F">
        <w:rPr>
          <w:rFonts w:ascii="Arial" w:hAnsi="Arial" w:cs="Arial"/>
          <w:sz w:val="20"/>
          <w:szCs w:val="20"/>
        </w:rPr>
        <w:t xml:space="preserve">.  </w:t>
      </w:r>
    </w:p>
    <w:p w:rsidR="00F94552" w:rsidRPr="00BF659F" w:rsidRDefault="00D96831" w:rsidP="00BF659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F659F">
        <w:rPr>
          <w:rFonts w:ascii="Arial" w:hAnsi="Arial" w:cs="Arial"/>
          <w:sz w:val="20"/>
          <w:szCs w:val="20"/>
        </w:rPr>
        <w:t>Problémem bylo rozhod</w:t>
      </w:r>
      <w:r w:rsidR="00847099" w:rsidRPr="00BF659F">
        <w:rPr>
          <w:rFonts w:ascii="Arial" w:hAnsi="Arial" w:cs="Arial"/>
          <w:sz w:val="20"/>
          <w:szCs w:val="20"/>
        </w:rPr>
        <w:t>nout</w:t>
      </w:r>
      <w:r w:rsidRPr="00BF659F">
        <w:rPr>
          <w:rFonts w:ascii="Arial" w:hAnsi="Arial" w:cs="Arial"/>
          <w:sz w:val="20"/>
          <w:szCs w:val="20"/>
        </w:rPr>
        <w:t xml:space="preserve"> o územní příslušnosti u obcí, které nevykazovaly </w:t>
      </w:r>
      <w:r w:rsidR="00847099" w:rsidRPr="00BF659F">
        <w:rPr>
          <w:rFonts w:ascii="Arial" w:hAnsi="Arial" w:cs="Arial"/>
          <w:sz w:val="20"/>
          <w:szCs w:val="20"/>
        </w:rPr>
        <w:t>vyhraněnou</w:t>
      </w:r>
      <w:r w:rsidR="00DA7315" w:rsidRPr="00BF659F">
        <w:rPr>
          <w:rFonts w:ascii="Arial" w:hAnsi="Arial" w:cs="Arial"/>
          <w:sz w:val="20"/>
          <w:szCs w:val="20"/>
        </w:rPr>
        <w:t xml:space="preserve"> </w:t>
      </w:r>
      <w:r w:rsidRPr="00BF659F">
        <w:rPr>
          <w:rFonts w:ascii="Arial" w:hAnsi="Arial" w:cs="Arial"/>
          <w:sz w:val="20"/>
          <w:szCs w:val="20"/>
        </w:rPr>
        <w:t>územní spádovost. Jde o dva odlišné typy případů: V prvním případě j</w:t>
      </w:r>
      <w:r w:rsidR="003F0D33">
        <w:rPr>
          <w:rFonts w:ascii="Arial" w:hAnsi="Arial" w:cs="Arial"/>
          <w:sz w:val="20"/>
          <w:szCs w:val="20"/>
        </w:rPr>
        <w:t>sou to</w:t>
      </w:r>
      <w:r w:rsidRPr="00BF659F">
        <w:rPr>
          <w:rFonts w:ascii="Arial" w:hAnsi="Arial" w:cs="Arial"/>
          <w:sz w:val="20"/>
          <w:szCs w:val="20"/>
        </w:rPr>
        <w:t xml:space="preserve"> obce, které mají skutečně početně shodné nebo téměř shodné vyjížďkové proudy do dvou, případně i tří center dojížďky (například</w:t>
      </w:r>
      <w:r w:rsidR="00F94552" w:rsidRPr="00BF65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41C" w:rsidRPr="00BF659F">
        <w:rPr>
          <w:rFonts w:ascii="Arial" w:hAnsi="Arial" w:cs="Arial"/>
          <w:sz w:val="20"/>
          <w:szCs w:val="20"/>
        </w:rPr>
        <w:t>Neveklov</w:t>
      </w:r>
      <w:proofErr w:type="spellEnd"/>
      <w:r w:rsidR="00BB341C" w:rsidRPr="00BF659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B341C" w:rsidRPr="00BF659F">
        <w:rPr>
          <w:rFonts w:ascii="Arial" w:hAnsi="Arial" w:cs="Arial"/>
          <w:sz w:val="20"/>
          <w:szCs w:val="20"/>
        </w:rPr>
        <w:t>Cerhovice</w:t>
      </w:r>
      <w:proofErr w:type="spellEnd"/>
      <w:r w:rsidR="00BB341C" w:rsidRPr="00BF659F">
        <w:rPr>
          <w:rFonts w:ascii="Arial" w:hAnsi="Arial" w:cs="Arial"/>
          <w:sz w:val="20"/>
          <w:szCs w:val="20"/>
        </w:rPr>
        <w:t xml:space="preserve">, </w:t>
      </w:r>
      <w:r w:rsidR="00F94552" w:rsidRPr="00BF659F">
        <w:rPr>
          <w:rFonts w:ascii="Arial" w:hAnsi="Arial" w:cs="Arial"/>
          <w:sz w:val="20"/>
          <w:szCs w:val="20"/>
        </w:rPr>
        <w:t>Mimoň,</w:t>
      </w:r>
      <w:r w:rsidRPr="00BF659F">
        <w:rPr>
          <w:rFonts w:ascii="Arial" w:hAnsi="Arial" w:cs="Arial"/>
          <w:sz w:val="20"/>
          <w:szCs w:val="20"/>
        </w:rPr>
        <w:t xml:space="preserve"> </w:t>
      </w:r>
      <w:r w:rsidR="008D30D4" w:rsidRPr="00BF659F">
        <w:rPr>
          <w:rFonts w:ascii="Arial" w:hAnsi="Arial" w:cs="Arial"/>
          <w:sz w:val="20"/>
          <w:szCs w:val="20"/>
        </w:rPr>
        <w:t xml:space="preserve">Horní Suchá, </w:t>
      </w:r>
      <w:proofErr w:type="spellStart"/>
      <w:r w:rsidR="008D30D4" w:rsidRPr="00BF659F">
        <w:rPr>
          <w:rFonts w:ascii="Arial" w:hAnsi="Arial" w:cs="Arial"/>
          <w:sz w:val="20"/>
          <w:szCs w:val="20"/>
        </w:rPr>
        <w:t>Těrlicko</w:t>
      </w:r>
      <w:proofErr w:type="spellEnd"/>
      <w:r w:rsidR="00BB341C" w:rsidRPr="00BF659F">
        <w:rPr>
          <w:rFonts w:ascii="Arial" w:hAnsi="Arial" w:cs="Arial"/>
          <w:sz w:val="20"/>
          <w:szCs w:val="20"/>
        </w:rPr>
        <w:t xml:space="preserve"> a mnoho dalších</w:t>
      </w:r>
      <w:r w:rsidRPr="00BF659F">
        <w:rPr>
          <w:rFonts w:ascii="Arial" w:hAnsi="Arial" w:cs="Arial"/>
          <w:sz w:val="20"/>
          <w:szCs w:val="20"/>
        </w:rPr>
        <w:t xml:space="preserve">). Ve druhém případě jde o obce, u nichž nebyl zjištěn žádný relevantní vyjížďkový </w:t>
      </w:r>
      <w:proofErr w:type="gramStart"/>
      <w:r w:rsidRPr="00BF659F">
        <w:rPr>
          <w:rFonts w:ascii="Arial" w:hAnsi="Arial" w:cs="Arial"/>
          <w:sz w:val="20"/>
          <w:szCs w:val="20"/>
        </w:rPr>
        <w:t>proud</w:t>
      </w:r>
      <w:r w:rsidR="00F94552" w:rsidRPr="00BF659F">
        <w:rPr>
          <w:rFonts w:ascii="Arial" w:hAnsi="Arial" w:cs="Arial"/>
          <w:sz w:val="20"/>
          <w:szCs w:val="20"/>
        </w:rPr>
        <w:t xml:space="preserve"> </w:t>
      </w:r>
      <w:r w:rsidRPr="00BF659F">
        <w:rPr>
          <w:rFonts w:ascii="Arial" w:hAnsi="Arial" w:cs="Arial"/>
          <w:sz w:val="20"/>
          <w:szCs w:val="20"/>
        </w:rPr>
        <w:t>a</w:t>
      </w:r>
      <w:r w:rsidR="008D30D4" w:rsidRPr="00BF659F">
        <w:rPr>
          <w:rFonts w:ascii="Arial" w:hAnsi="Arial" w:cs="Arial"/>
          <w:sz w:val="20"/>
          <w:szCs w:val="20"/>
        </w:rPr>
        <w:t xml:space="preserve"> </w:t>
      </w:r>
      <w:r w:rsidRPr="00BF659F">
        <w:rPr>
          <w:rFonts w:ascii="Arial" w:hAnsi="Arial" w:cs="Arial"/>
          <w:sz w:val="20"/>
          <w:szCs w:val="20"/>
        </w:rPr>
        <w:t>existují</w:t>
      </w:r>
      <w:proofErr w:type="gramEnd"/>
      <w:r w:rsidRPr="00BF659F">
        <w:rPr>
          <w:rFonts w:ascii="Arial" w:hAnsi="Arial" w:cs="Arial"/>
          <w:sz w:val="20"/>
          <w:szCs w:val="20"/>
        </w:rPr>
        <w:t xml:space="preserve"> pouze velmi slabé vazby </w:t>
      </w:r>
      <w:r w:rsidR="007A74CC" w:rsidRPr="00BF659F">
        <w:rPr>
          <w:rFonts w:ascii="Arial" w:hAnsi="Arial" w:cs="Arial"/>
          <w:sz w:val="20"/>
          <w:szCs w:val="20"/>
        </w:rPr>
        <w:t>na některé centrum dojížďky</w:t>
      </w:r>
      <w:r w:rsidR="008D30D4" w:rsidRPr="00BF659F">
        <w:rPr>
          <w:rFonts w:ascii="Arial" w:hAnsi="Arial" w:cs="Arial"/>
          <w:sz w:val="20"/>
          <w:szCs w:val="20"/>
        </w:rPr>
        <w:t>,</w:t>
      </w:r>
      <w:r w:rsidR="007A74CC" w:rsidRPr="00BF659F">
        <w:rPr>
          <w:rFonts w:ascii="Arial" w:hAnsi="Arial" w:cs="Arial"/>
          <w:sz w:val="20"/>
          <w:szCs w:val="20"/>
        </w:rPr>
        <w:t xml:space="preserve"> </w:t>
      </w:r>
      <w:r w:rsidRPr="00BF659F">
        <w:rPr>
          <w:rFonts w:ascii="Arial" w:hAnsi="Arial" w:cs="Arial"/>
          <w:sz w:val="20"/>
          <w:szCs w:val="20"/>
        </w:rPr>
        <w:t>nebo převažuje vyjížďka do obcí, které nebyly vybrány jako centra dojížďky</w:t>
      </w:r>
      <w:r w:rsidR="000C609F" w:rsidRPr="00BF659F">
        <w:rPr>
          <w:rFonts w:ascii="Arial" w:hAnsi="Arial" w:cs="Arial"/>
          <w:sz w:val="20"/>
          <w:szCs w:val="20"/>
        </w:rPr>
        <w:t xml:space="preserve">. </w:t>
      </w:r>
      <w:r w:rsidR="00324AE1" w:rsidRPr="00BF659F">
        <w:rPr>
          <w:rFonts w:ascii="Arial" w:hAnsi="Arial" w:cs="Arial"/>
          <w:sz w:val="20"/>
          <w:szCs w:val="20"/>
        </w:rPr>
        <w:t>Jde převážně o malé obce v </w:t>
      </w:r>
      <w:r w:rsidR="00BB341C" w:rsidRPr="00BF659F">
        <w:rPr>
          <w:rFonts w:ascii="Arial" w:hAnsi="Arial" w:cs="Arial"/>
          <w:sz w:val="20"/>
          <w:szCs w:val="20"/>
        </w:rPr>
        <w:t>pohraničí</w:t>
      </w:r>
      <w:r w:rsidR="00324AE1" w:rsidRPr="00BF659F">
        <w:rPr>
          <w:rFonts w:ascii="Arial" w:hAnsi="Arial" w:cs="Arial"/>
          <w:sz w:val="20"/>
          <w:szCs w:val="20"/>
        </w:rPr>
        <w:t xml:space="preserve"> nebo v územích známých pod </w:t>
      </w:r>
      <w:r w:rsidR="007A74CC" w:rsidRPr="00BF659F">
        <w:rPr>
          <w:rFonts w:ascii="Arial" w:hAnsi="Arial" w:cs="Arial"/>
          <w:sz w:val="20"/>
          <w:szCs w:val="20"/>
        </w:rPr>
        <w:t>označením</w:t>
      </w:r>
      <w:r w:rsidR="00324AE1" w:rsidRPr="00BF659F">
        <w:rPr>
          <w:rFonts w:ascii="Arial" w:hAnsi="Arial" w:cs="Arial"/>
          <w:sz w:val="20"/>
          <w:szCs w:val="20"/>
        </w:rPr>
        <w:t xml:space="preserve"> „vnitřní periférie“, tj. vylidňující se obce s převažujícím starším obyvatelstvem na mezikrajských hranicích. </w:t>
      </w:r>
      <w:r w:rsidR="004074CC">
        <w:rPr>
          <w:rFonts w:ascii="Arial" w:hAnsi="Arial" w:cs="Arial"/>
          <w:sz w:val="20"/>
          <w:szCs w:val="20"/>
        </w:rPr>
        <w:t xml:space="preserve">U jedné </w:t>
      </w:r>
      <w:r w:rsidR="00847099" w:rsidRPr="00BF659F">
        <w:rPr>
          <w:rFonts w:ascii="Arial" w:hAnsi="Arial" w:cs="Arial"/>
          <w:sz w:val="20"/>
          <w:szCs w:val="20"/>
        </w:rPr>
        <w:t>obce</w:t>
      </w:r>
      <w:r w:rsidR="004074CC">
        <w:rPr>
          <w:rFonts w:ascii="Arial" w:hAnsi="Arial" w:cs="Arial"/>
          <w:sz w:val="20"/>
          <w:szCs w:val="20"/>
        </w:rPr>
        <w:t xml:space="preserve"> </w:t>
      </w:r>
      <w:r w:rsidR="00847099" w:rsidRPr="00BF659F">
        <w:rPr>
          <w:rFonts w:ascii="Arial" w:hAnsi="Arial" w:cs="Arial"/>
          <w:sz w:val="20"/>
          <w:szCs w:val="20"/>
        </w:rPr>
        <w:t>nebyla sčítáním zjištěna žádná osoba vyjíždějící za prací, ale byl</w:t>
      </w:r>
      <w:r w:rsidR="004074CC">
        <w:rPr>
          <w:rFonts w:ascii="Arial" w:hAnsi="Arial" w:cs="Arial"/>
          <w:sz w:val="20"/>
          <w:szCs w:val="20"/>
        </w:rPr>
        <w:t>o</w:t>
      </w:r>
      <w:r w:rsidR="00847099" w:rsidRPr="00BF659F">
        <w:rPr>
          <w:rFonts w:ascii="Arial" w:hAnsi="Arial" w:cs="Arial"/>
          <w:sz w:val="20"/>
          <w:szCs w:val="20"/>
        </w:rPr>
        <w:t xml:space="preserve"> </w:t>
      </w:r>
      <w:r w:rsidR="00BB341C" w:rsidRPr="00BF659F">
        <w:rPr>
          <w:rFonts w:ascii="Arial" w:hAnsi="Arial" w:cs="Arial"/>
          <w:sz w:val="20"/>
          <w:szCs w:val="20"/>
        </w:rPr>
        <w:t>i</w:t>
      </w:r>
      <w:r w:rsidR="008D30D4" w:rsidRPr="00BF659F">
        <w:rPr>
          <w:rFonts w:ascii="Arial" w:hAnsi="Arial" w:cs="Arial"/>
          <w:sz w:val="20"/>
          <w:szCs w:val="20"/>
        </w:rPr>
        <w:t>dentifikován</w:t>
      </w:r>
      <w:r w:rsidR="004074CC">
        <w:rPr>
          <w:rFonts w:ascii="Arial" w:hAnsi="Arial" w:cs="Arial"/>
          <w:sz w:val="20"/>
          <w:szCs w:val="20"/>
        </w:rPr>
        <w:t xml:space="preserve">o několik </w:t>
      </w:r>
      <w:r w:rsidR="00847099" w:rsidRPr="00BF659F">
        <w:rPr>
          <w:rFonts w:ascii="Arial" w:hAnsi="Arial" w:cs="Arial"/>
          <w:sz w:val="20"/>
          <w:szCs w:val="20"/>
        </w:rPr>
        <w:t>případ</w:t>
      </w:r>
      <w:r w:rsidR="004074CC">
        <w:rPr>
          <w:rFonts w:ascii="Arial" w:hAnsi="Arial" w:cs="Arial"/>
          <w:sz w:val="20"/>
          <w:szCs w:val="20"/>
        </w:rPr>
        <w:t>ů</w:t>
      </w:r>
      <w:r w:rsidR="00847099" w:rsidRPr="00BF659F">
        <w:rPr>
          <w:rFonts w:ascii="Arial" w:hAnsi="Arial" w:cs="Arial"/>
          <w:sz w:val="20"/>
          <w:szCs w:val="20"/>
        </w:rPr>
        <w:t xml:space="preserve"> nezjištěné vyjížďky</w:t>
      </w:r>
      <w:r w:rsidR="000C609F" w:rsidRPr="00BF659F">
        <w:rPr>
          <w:rFonts w:ascii="Arial" w:hAnsi="Arial" w:cs="Arial"/>
          <w:sz w:val="20"/>
          <w:szCs w:val="20"/>
        </w:rPr>
        <w:t xml:space="preserve"> (obec Či</w:t>
      </w:r>
      <w:r w:rsidR="004074CC">
        <w:rPr>
          <w:rFonts w:ascii="Arial" w:hAnsi="Arial" w:cs="Arial"/>
          <w:sz w:val="20"/>
          <w:szCs w:val="20"/>
        </w:rPr>
        <w:t>lá</w:t>
      </w:r>
      <w:r w:rsidR="000C609F" w:rsidRPr="00BF659F">
        <w:rPr>
          <w:rFonts w:ascii="Arial" w:hAnsi="Arial" w:cs="Arial"/>
          <w:sz w:val="20"/>
          <w:szCs w:val="20"/>
        </w:rPr>
        <w:t xml:space="preserve"> na </w:t>
      </w:r>
      <w:proofErr w:type="spellStart"/>
      <w:r w:rsidR="000C609F" w:rsidRPr="00BF659F">
        <w:rPr>
          <w:rFonts w:ascii="Arial" w:hAnsi="Arial" w:cs="Arial"/>
          <w:sz w:val="20"/>
          <w:szCs w:val="20"/>
        </w:rPr>
        <w:t>Rokycansku</w:t>
      </w:r>
      <w:proofErr w:type="spellEnd"/>
      <w:r w:rsidR="000C609F" w:rsidRPr="00BF659F">
        <w:rPr>
          <w:rFonts w:ascii="Arial" w:hAnsi="Arial" w:cs="Arial"/>
          <w:sz w:val="20"/>
          <w:szCs w:val="20"/>
        </w:rPr>
        <w:t>)</w:t>
      </w:r>
      <w:r w:rsidR="00847099" w:rsidRPr="00BF659F">
        <w:rPr>
          <w:rFonts w:ascii="Arial" w:hAnsi="Arial" w:cs="Arial"/>
          <w:sz w:val="20"/>
          <w:szCs w:val="20"/>
        </w:rPr>
        <w:t>.</w:t>
      </w:r>
    </w:p>
    <w:p w:rsidR="007A74CC" w:rsidRPr="00BF659F" w:rsidRDefault="00324AE1" w:rsidP="00BF659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F659F">
        <w:rPr>
          <w:rFonts w:ascii="Arial" w:hAnsi="Arial" w:cs="Arial"/>
          <w:sz w:val="20"/>
          <w:szCs w:val="20"/>
        </w:rPr>
        <w:t>Celkem bylo v prvním kroku identifikováno cca 1200 obcí nepřiřazených k žádnému centru dojížďky</w:t>
      </w:r>
      <w:r w:rsidR="007A74CC" w:rsidRPr="00BF659F">
        <w:rPr>
          <w:rFonts w:ascii="Arial" w:hAnsi="Arial" w:cs="Arial"/>
          <w:sz w:val="20"/>
          <w:szCs w:val="20"/>
        </w:rPr>
        <w:t>.</w:t>
      </w:r>
      <w:r w:rsidR="00F94552" w:rsidRPr="00BF659F">
        <w:rPr>
          <w:rFonts w:ascii="Arial" w:hAnsi="Arial" w:cs="Arial"/>
          <w:sz w:val="20"/>
          <w:szCs w:val="20"/>
        </w:rPr>
        <w:t xml:space="preserve"> </w:t>
      </w:r>
      <w:r w:rsidRPr="00BF659F">
        <w:rPr>
          <w:rFonts w:ascii="Arial" w:hAnsi="Arial" w:cs="Arial"/>
          <w:sz w:val="20"/>
          <w:szCs w:val="20"/>
        </w:rPr>
        <w:t xml:space="preserve">V dalším kroku byla tato množina </w:t>
      </w:r>
      <w:r w:rsidR="00DE1AF3" w:rsidRPr="00BF659F">
        <w:rPr>
          <w:rFonts w:ascii="Arial" w:hAnsi="Arial" w:cs="Arial"/>
          <w:sz w:val="20"/>
          <w:szCs w:val="20"/>
        </w:rPr>
        <w:t xml:space="preserve">nezařazených </w:t>
      </w:r>
      <w:r w:rsidRPr="00BF659F">
        <w:rPr>
          <w:rFonts w:ascii="Arial" w:hAnsi="Arial" w:cs="Arial"/>
          <w:sz w:val="20"/>
          <w:szCs w:val="20"/>
        </w:rPr>
        <w:t xml:space="preserve">obcí opětovně posouzena s použitím „měkkých“ kritérií, jakými jsou poloha vůči centrům dojížďky, dopravní dostupnost a spádovost za občanskou vybaveností. Nakonec zbylo </w:t>
      </w:r>
      <w:r w:rsidR="00BF659F">
        <w:rPr>
          <w:rFonts w:ascii="Arial" w:hAnsi="Arial" w:cs="Arial"/>
          <w:sz w:val="20"/>
          <w:szCs w:val="20"/>
        </w:rPr>
        <w:t xml:space="preserve">rovných </w:t>
      </w:r>
      <w:r w:rsidR="00F94552" w:rsidRPr="00BF659F">
        <w:rPr>
          <w:rFonts w:ascii="Arial" w:hAnsi="Arial" w:cs="Arial"/>
          <w:sz w:val="20"/>
          <w:szCs w:val="20"/>
        </w:rPr>
        <w:t>500</w:t>
      </w:r>
      <w:r w:rsidRPr="00BF659F">
        <w:rPr>
          <w:rFonts w:ascii="Arial" w:hAnsi="Arial" w:cs="Arial"/>
          <w:sz w:val="20"/>
          <w:szCs w:val="20"/>
        </w:rPr>
        <w:t xml:space="preserve"> nezařazených obcí a několik málo případů územně „odtržených“ obcí, kde není kritérium sousedících katastrů relevantní, protože jde např. o neobydlené lesní</w:t>
      </w:r>
      <w:r w:rsidR="007A74CC" w:rsidRPr="00BF659F">
        <w:rPr>
          <w:rFonts w:ascii="Arial" w:hAnsi="Arial" w:cs="Arial"/>
          <w:sz w:val="20"/>
          <w:szCs w:val="20"/>
        </w:rPr>
        <w:t xml:space="preserve"> komplexy protnuté nějakou komunikací</w:t>
      </w:r>
      <w:r w:rsidR="00DE1AF3" w:rsidRPr="00BF659F">
        <w:rPr>
          <w:rFonts w:ascii="Arial" w:hAnsi="Arial" w:cs="Arial"/>
          <w:sz w:val="20"/>
          <w:szCs w:val="20"/>
        </w:rPr>
        <w:t xml:space="preserve"> apod.</w:t>
      </w:r>
      <w:r w:rsidR="007A74CC" w:rsidRPr="00BF659F">
        <w:rPr>
          <w:rFonts w:ascii="Arial" w:hAnsi="Arial" w:cs="Arial"/>
          <w:sz w:val="20"/>
          <w:szCs w:val="20"/>
        </w:rPr>
        <w:t xml:space="preserve"> </w:t>
      </w:r>
    </w:p>
    <w:p w:rsidR="009500B4" w:rsidRPr="00BF659F" w:rsidRDefault="009500B4" w:rsidP="00BF659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F659F">
        <w:rPr>
          <w:rFonts w:ascii="Arial" w:hAnsi="Arial" w:cs="Arial"/>
          <w:sz w:val="20"/>
          <w:szCs w:val="20"/>
        </w:rPr>
        <w:t xml:space="preserve">Zásada územní celistvosti tak nebyla zcela dodržena např. u regionu </w:t>
      </w:r>
      <w:r w:rsidR="00F94552" w:rsidRPr="00BF659F">
        <w:rPr>
          <w:rFonts w:ascii="Arial" w:hAnsi="Arial" w:cs="Arial"/>
          <w:sz w:val="20"/>
          <w:szCs w:val="20"/>
        </w:rPr>
        <w:t>Brna, k</w:t>
      </w:r>
      <w:r w:rsidR="0056570B" w:rsidRPr="00BF659F">
        <w:rPr>
          <w:rFonts w:ascii="Arial" w:hAnsi="Arial" w:cs="Arial"/>
          <w:sz w:val="20"/>
          <w:szCs w:val="20"/>
        </w:rPr>
        <w:t xml:space="preserve">de </w:t>
      </w:r>
      <w:r w:rsidR="00F94552" w:rsidRPr="00BF659F">
        <w:rPr>
          <w:rFonts w:ascii="Arial" w:hAnsi="Arial" w:cs="Arial"/>
          <w:sz w:val="20"/>
          <w:szCs w:val="20"/>
        </w:rPr>
        <w:t>byly p</w:t>
      </w:r>
      <w:r w:rsidR="0056570B" w:rsidRPr="00BF659F">
        <w:rPr>
          <w:rFonts w:ascii="Arial" w:hAnsi="Arial" w:cs="Arial"/>
          <w:sz w:val="20"/>
          <w:szCs w:val="20"/>
        </w:rPr>
        <w:t>onechány</w:t>
      </w:r>
      <w:r w:rsidR="00F94552" w:rsidRPr="00BF659F">
        <w:rPr>
          <w:rFonts w:ascii="Arial" w:hAnsi="Arial" w:cs="Arial"/>
          <w:sz w:val="20"/>
          <w:szCs w:val="20"/>
        </w:rPr>
        <w:t xml:space="preserve"> obce </w:t>
      </w:r>
      <w:proofErr w:type="spellStart"/>
      <w:r w:rsidR="0021302E" w:rsidRPr="00BF659F">
        <w:rPr>
          <w:rFonts w:ascii="Arial" w:hAnsi="Arial" w:cs="Arial"/>
          <w:sz w:val="20"/>
          <w:szCs w:val="20"/>
        </w:rPr>
        <w:t>Morašice</w:t>
      </w:r>
      <w:proofErr w:type="spellEnd"/>
      <w:r w:rsidR="0021302E" w:rsidRPr="00BF659F">
        <w:rPr>
          <w:rFonts w:ascii="Arial" w:hAnsi="Arial" w:cs="Arial"/>
          <w:sz w:val="20"/>
          <w:szCs w:val="20"/>
        </w:rPr>
        <w:t xml:space="preserve"> a Skalice</w:t>
      </w:r>
      <w:r w:rsidR="00F94552" w:rsidRPr="00BF659F">
        <w:rPr>
          <w:rFonts w:ascii="Arial" w:hAnsi="Arial" w:cs="Arial"/>
          <w:sz w:val="20"/>
          <w:szCs w:val="20"/>
        </w:rPr>
        <w:t xml:space="preserve"> z okresu Znojmo</w:t>
      </w:r>
      <w:r w:rsidR="00294136" w:rsidRPr="00BF659F">
        <w:rPr>
          <w:rFonts w:ascii="Arial" w:hAnsi="Arial" w:cs="Arial"/>
          <w:sz w:val="20"/>
          <w:szCs w:val="20"/>
        </w:rPr>
        <w:t xml:space="preserve">, oddělené od celistvého regionu pouze neobydlenou částí katastru obce </w:t>
      </w:r>
      <w:proofErr w:type="spellStart"/>
      <w:r w:rsidR="00294136" w:rsidRPr="00BF659F">
        <w:rPr>
          <w:rFonts w:ascii="Arial" w:hAnsi="Arial" w:cs="Arial"/>
          <w:sz w:val="20"/>
          <w:szCs w:val="20"/>
        </w:rPr>
        <w:t>Hostěradice</w:t>
      </w:r>
      <w:proofErr w:type="spellEnd"/>
      <w:r w:rsidR="00F94552" w:rsidRPr="00BF659F">
        <w:rPr>
          <w:rFonts w:ascii="Arial" w:hAnsi="Arial" w:cs="Arial"/>
          <w:sz w:val="20"/>
          <w:szCs w:val="20"/>
        </w:rPr>
        <w:t xml:space="preserve">. </w:t>
      </w:r>
      <w:r w:rsidR="000C609F" w:rsidRPr="00BF659F">
        <w:rPr>
          <w:rFonts w:ascii="Arial" w:hAnsi="Arial" w:cs="Arial"/>
          <w:sz w:val="20"/>
          <w:szCs w:val="20"/>
        </w:rPr>
        <w:t>Z důvodu územní ne</w:t>
      </w:r>
      <w:r w:rsidR="00F868BD" w:rsidRPr="00BF659F">
        <w:rPr>
          <w:rFonts w:ascii="Arial" w:hAnsi="Arial" w:cs="Arial"/>
          <w:sz w:val="20"/>
          <w:szCs w:val="20"/>
        </w:rPr>
        <w:t>k</w:t>
      </w:r>
      <w:r w:rsidR="009B2F2C" w:rsidRPr="00BF659F">
        <w:rPr>
          <w:rFonts w:ascii="Arial" w:hAnsi="Arial" w:cs="Arial"/>
          <w:sz w:val="20"/>
          <w:szCs w:val="20"/>
        </w:rPr>
        <w:t>onzistence</w:t>
      </w:r>
      <w:r w:rsidR="000C609F" w:rsidRPr="00BF659F">
        <w:rPr>
          <w:rFonts w:ascii="Arial" w:hAnsi="Arial" w:cs="Arial"/>
          <w:sz w:val="20"/>
          <w:szCs w:val="20"/>
        </w:rPr>
        <w:t xml:space="preserve"> regionu byl ze seznamu vybraných center dojížďky vyřazen Tišnov.</w:t>
      </w:r>
      <w:r w:rsidR="00F63AE5" w:rsidRPr="00BF659F">
        <w:rPr>
          <w:rFonts w:ascii="Arial" w:hAnsi="Arial" w:cs="Arial"/>
          <w:sz w:val="20"/>
          <w:szCs w:val="20"/>
        </w:rPr>
        <w:t xml:space="preserve"> Několik případů </w:t>
      </w:r>
      <w:r w:rsidR="00FE1BFE">
        <w:rPr>
          <w:rFonts w:ascii="Arial" w:hAnsi="Arial" w:cs="Arial"/>
          <w:sz w:val="20"/>
          <w:szCs w:val="20"/>
        </w:rPr>
        <w:t>územní nesouvislosti regionů</w:t>
      </w:r>
      <w:r w:rsidR="003F0D33">
        <w:rPr>
          <w:rFonts w:ascii="Arial" w:hAnsi="Arial" w:cs="Arial"/>
          <w:sz w:val="20"/>
          <w:szCs w:val="20"/>
        </w:rPr>
        <w:t xml:space="preserve"> je jen zdánlivých – jde o obce</w:t>
      </w:r>
      <w:r w:rsidR="00F63AE5" w:rsidRPr="00BF659F">
        <w:rPr>
          <w:rFonts w:ascii="Arial" w:hAnsi="Arial" w:cs="Arial"/>
          <w:sz w:val="20"/>
          <w:szCs w:val="20"/>
        </w:rPr>
        <w:t xml:space="preserve">, jejichž území je nesouvislé </w:t>
      </w:r>
      <w:r w:rsidR="00C362BE" w:rsidRPr="00BF659F">
        <w:rPr>
          <w:rFonts w:ascii="Arial" w:hAnsi="Arial" w:cs="Arial"/>
          <w:sz w:val="20"/>
          <w:szCs w:val="20"/>
        </w:rPr>
        <w:t xml:space="preserve">a leží přitom </w:t>
      </w:r>
      <w:r w:rsidR="004C0386">
        <w:rPr>
          <w:rFonts w:ascii="Arial" w:hAnsi="Arial" w:cs="Arial"/>
          <w:sz w:val="20"/>
          <w:szCs w:val="20"/>
        </w:rPr>
        <w:t xml:space="preserve">na </w:t>
      </w:r>
      <w:r w:rsidR="00C362BE" w:rsidRPr="00BF659F">
        <w:rPr>
          <w:rFonts w:ascii="Arial" w:hAnsi="Arial" w:cs="Arial"/>
          <w:sz w:val="20"/>
          <w:szCs w:val="20"/>
        </w:rPr>
        <w:t xml:space="preserve">hranici dvou </w:t>
      </w:r>
      <w:r w:rsidR="00C362BE" w:rsidRPr="00FE1BFE">
        <w:rPr>
          <w:rFonts w:ascii="Arial" w:hAnsi="Arial" w:cs="Arial"/>
          <w:sz w:val="20"/>
          <w:szCs w:val="20"/>
        </w:rPr>
        <w:t xml:space="preserve">regionů </w:t>
      </w:r>
      <w:r w:rsidR="00F63AE5" w:rsidRPr="00FE1BFE">
        <w:rPr>
          <w:rFonts w:ascii="Arial" w:hAnsi="Arial" w:cs="Arial"/>
          <w:sz w:val="20"/>
          <w:szCs w:val="20"/>
        </w:rPr>
        <w:t xml:space="preserve">(např. </w:t>
      </w:r>
      <w:r w:rsidR="00FE1BFE" w:rsidRPr="00FE1BFE">
        <w:rPr>
          <w:rFonts w:ascii="Arial" w:hAnsi="Arial" w:cs="Arial"/>
          <w:sz w:val="20"/>
          <w:szCs w:val="20"/>
        </w:rPr>
        <w:t xml:space="preserve">Loket na </w:t>
      </w:r>
      <w:proofErr w:type="spellStart"/>
      <w:r w:rsidR="00FE1BFE" w:rsidRPr="00FE1BFE">
        <w:rPr>
          <w:rFonts w:ascii="Arial" w:hAnsi="Arial" w:cs="Arial"/>
          <w:sz w:val="20"/>
          <w:szCs w:val="20"/>
        </w:rPr>
        <w:t>Vlašimsku</w:t>
      </w:r>
      <w:proofErr w:type="spellEnd"/>
      <w:r w:rsidR="00FE1BFE" w:rsidRPr="00FE1BF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E1BFE" w:rsidRPr="00FE1BFE">
        <w:rPr>
          <w:rFonts w:ascii="Arial" w:hAnsi="Arial" w:cs="Arial"/>
          <w:sz w:val="20"/>
          <w:szCs w:val="20"/>
        </w:rPr>
        <w:t>Kropáčova</w:t>
      </w:r>
      <w:proofErr w:type="spellEnd"/>
      <w:r w:rsidR="00FE1BFE" w:rsidRPr="00FE1B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E1BFE" w:rsidRPr="00FE1BFE">
        <w:rPr>
          <w:rFonts w:ascii="Arial" w:hAnsi="Arial" w:cs="Arial"/>
          <w:sz w:val="20"/>
          <w:szCs w:val="20"/>
        </w:rPr>
        <w:t>Vrutice</w:t>
      </w:r>
      <w:proofErr w:type="spellEnd"/>
      <w:r w:rsidR="00FE1BFE" w:rsidRPr="00FE1BFE">
        <w:rPr>
          <w:rFonts w:ascii="Arial" w:hAnsi="Arial" w:cs="Arial"/>
          <w:sz w:val="20"/>
          <w:szCs w:val="20"/>
        </w:rPr>
        <w:t xml:space="preserve"> na Mladoboleslavsku, Žďár u Kamenice nad Lipou nebo Sněžné na </w:t>
      </w:r>
      <w:proofErr w:type="spellStart"/>
      <w:r w:rsidR="00FE1BFE" w:rsidRPr="00FE1BFE">
        <w:rPr>
          <w:rFonts w:ascii="Arial" w:hAnsi="Arial" w:cs="Arial"/>
          <w:sz w:val="20"/>
          <w:szCs w:val="20"/>
        </w:rPr>
        <w:t>Žďársku</w:t>
      </w:r>
      <w:proofErr w:type="spellEnd"/>
      <w:r w:rsidR="00F63AE5" w:rsidRPr="00FE1BFE">
        <w:rPr>
          <w:rFonts w:ascii="Arial" w:hAnsi="Arial" w:cs="Arial"/>
          <w:sz w:val="20"/>
          <w:szCs w:val="20"/>
        </w:rPr>
        <w:t>).</w:t>
      </w:r>
    </w:p>
    <w:p w:rsidR="007A74CC" w:rsidRPr="00BF659F" w:rsidRDefault="007A74CC" w:rsidP="00BF659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F659F">
        <w:rPr>
          <w:rFonts w:ascii="Arial" w:hAnsi="Arial" w:cs="Arial"/>
          <w:sz w:val="20"/>
          <w:szCs w:val="20"/>
        </w:rPr>
        <w:t xml:space="preserve">Je známým jevem, že do některých silných center dojížďky směřují poměrně mohutné proudy ze vzdálenějších a územně odtržených obcí. Jde o objektivní jev, který však nelze </w:t>
      </w:r>
      <w:r w:rsidR="003F0D33">
        <w:rPr>
          <w:rFonts w:ascii="Arial" w:hAnsi="Arial" w:cs="Arial"/>
          <w:sz w:val="20"/>
          <w:szCs w:val="20"/>
        </w:rPr>
        <w:t>v</w:t>
      </w:r>
      <w:r w:rsidRPr="00BF659F">
        <w:rPr>
          <w:rFonts w:ascii="Arial" w:hAnsi="Arial" w:cs="Arial"/>
          <w:sz w:val="20"/>
          <w:szCs w:val="20"/>
        </w:rPr>
        <w:t xml:space="preserve"> mapovém zobrazení zcela respektovat. Například ze Zdic a Králova Dvora směřují jednoznačně dominantní vyjížďkové proudy </w:t>
      </w:r>
      <w:r w:rsidR="003F0D33">
        <w:rPr>
          <w:rFonts w:ascii="Arial" w:hAnsi="Arial" w:cs="Arial"/>
          <w:sz w:val="20"/>
          <w:szCs w:val="20"/>
        </w:rPr>
        <w:t xml:space="preserve">přímo </w:t>
      </w:r>
      <w:r w:rsidRPr="00BF659F">
        <w:rPr>
          <w:rFonts w:ascii="Arial" w:hAnsi="Arial" w:cs="Arial"/>
          <w:sz w:val="20"/>
          <w:szCs w:val="20"/>
        </w:rPr>
        <w:t>do Prahy a pouze slabší proudy do blízkého Berouna</w:t>
      </w:r>
      <w:r w:rsidR="009500B4" w:rsidRPr="00BF659F">
        <w:rPr>
          <w:rFonts w:ascii="Arial" w:hAnsi="Arial" w:cs="Arial"/>
          <w:sz w:val="20"/>
          <w:szCs w:val="20"/>
        </w:rPr>
        <w:t xml:space="preserve">, </w:t>
      </w:r>
      <w:r w:rsidR="000C609F" w:rsidRPr="00BF659F">
        <w:rPr>
          <w:rFonts w:ascii="Arial" w:hAnsi="Arial" w:cs="Arial"/>
          <w:sz w:val="20"/>
          <w:szCs w:val="20"/>
        </w:rPr>
        <w:t>do jehož regionu</w:t>
      </w:r>
      <w:r w:rsidR="009500B4" w:rsidRPr="00BF659F">
        <w:rPr>
          <w:rFonts w:ascii="Arial" w:hAnsi="Arial" w:cs="Arial"/>
          <w:sz w:val="20"/>
          <w:szCs w:val="20"/>
        </w:rPr>
        <w:t xml:space="preserve"> </w:t>
      </w:r>
      <w:r w:rsidR="00930BD5" w:rsidRPr="00BF659F">
        <w:rPr>
          <w:rFonts w:ascii="Arial" w:hAnsi="Arial" w:cs="Arial"/>
          <w:sz w:val="20"/>
          <w:szCs w:val="20"/>
        </w:rPr>
        <w:t xml:space="preserve">ale nakonec </w:t>
      </w:r>
      <w:r w:rsidR="009500B4" w:rsidRPr="00BF659F">
        <w:rPr>
          <w:rFonts w:ascii="Arial" w:hAnsi="Arial" w:cs="Arial"/>
          <w:sz w:val="20"/>
          <w:szCs w:val="20"/>
        </w:rPr>
        <w:t>byla obě města přiřazena</w:t>
      </w:r>
      <w:r w:rsidRPr="00BF659F">
        <w:rPr>
          <w:rFonts w:ascii="Arial" w:hAnsi="Arial" w:cs="Arial"/>
          <w:sz w:val="20"/>
          <w:szCs w:val="20"/>
        </w:rPr>
        <w:t xml:space="preserve">. Podobných případů je </w:t>
      </w:r>
      <w:r w:rsidR="00DE1AF3" w:rsidRPr="00BF659F">
        <w:rPr>
          <w:rFonts w:ascii="Arial" w:hAnsi="Arial" w:cs="Arial"/>
          <w:sz w:val="20"/>
          <w:szCs w:val="20"/>
        </w:rPr>
        <w:t>více</w:t>
      </w:r>
      <w:r w:rsidRPr="00BF659F">
        <w:rPr>
          <w:rFonts w:ascii="Arial" w:hAnsi="Arial" w:cs="Arial"/>
          <w:sz w:val="20"/>
          <w:szCs w:val="20"/>
        </w:rPr>
        <w:t>.</w:t>
      </w:r>
    </w:p>
    <w:p w:rsidR="007A74CC" w:rsidRPr="00BF659F" w:rsidRDefault="007A74CC" w:rsidP="00BF659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F659F">
        <w:rPr>
          <w:rFonts w:ascii="Arial" w:hAnsi="Arial" w:cs="Arial"/>
          <w:sz w:val="20"/>
          <w:szCs w:val="20"/>
        </w:rPr>
        <w:t xml:space="preserve">Při rozhodování o přiřazení obcí s nejednoznačnou spádovostí vyjížďky bylo přihlíženo i k podílu vyjížďky s nezjištěným cílem. </w:t>
      </w:r>
    </w:p>
    <w:p w:rsidR="0056570B" w:rsidRDefault="0056570B" w:rsidP="00565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22159" w:rsidRPr="00BF659F" w:rsidRDefault="00522159" w:rsidP="007A74C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BF659F">
        <w:rPr>
          <w:rFonts w:ascii="Arial" w:hAnsi="Arial" w:cs="Arial"/>
          <w:b/>
          <w:sz w:val="24"/>
          <w:szCs w:val="24"/>
        </w:rPr>
        <w:t xml:space="preserve">Základní údaje o velikosti </w:t>
      </w:r>
      <w:proofErr w:type="spellStart"/>
      <w:r w:rsidRPr="00BF659F">
        <w:rPr>
          <w:rFonts w:ascii="Arial" w:hAnsi="Arial" w:cs="Arial"/>
          <w:b/>
          <w:sz w:val="24"/>
          <w:szCs w:val="24"/>
        </w:rPr>
        <w:t>dojížďkových</w:t>
      </w:r>
      <w:proofErr w:type="spellEnd"/>
      <w:r w:rsidRPr="00BF659F">
        <w:rPr>
          <w:rFonts w:ascii="Arial" w:hAnsi="Arial" w:cs="Arial"/>
          <w:b/>
          <w:sz w:val="24"/>
          <w:szCs w:val="24"/>
        </w:rPr>
        <w:t xml:space="preserve"> regionů</w:t>
      </w:r>
    </w:p>
    <w:p w:rsidR="00522159" w:rsidRPr="00BF659F" w:rsidRDefault="00522159" w:rsidP="00BF659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F659F">
        <w:rPr>
          <w:rFonts w:ascii="Arial" w:hAnsi="Arial" w:cs="Arial"/>
          <w:sz w:val="20"/>
          <w:szCs w:val="20"/>
        </w:rPr>
        <w:t xml:space="preserve">Základními údaji o velikosti regionů jsou počet obyvatel, počet </w:t>
      </w:r>
      <w:r w:rsidR="00930BD5" w:rsidRPr="00BF659F">
        <w:rPr>
          <w:rFonts w:ascii="Arial" w:hAnsi="Arial" w:cs="Arial"/>
          <w:sz w:val="20"/>
          <w:szCs w:val="20"/>
        </w:rPr>
        <w:t xml:space="preserve">obvykle bydlících </w:t>
      </w:r>
      <w:r w:rsidRPr="00BF659F">
        <w:rPr>
          <w:rFonts w:ascii="Arial" w:hAnsi="Arial" w:cs="Arial"/>
          <w:sz w:val="20"/>
          <w:szCs w:val="20"/>
        </w:rPr>
        <w:t>ekonomicky aktivních zaměstnaných osob a počet obsazených pracovních míst.</w:t>
      </w:r>
    </w:p>
    <w:p w:rsidR="002177F0" w:rsidRPr="002177F0" w:rsidRDefault="002177F0" w:rsidP="00560AAB">
      <w:pPr>
        <w:spacing w:line="240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Obr. 1  </w:t>
      </w:r>
      <w:r w:rsidR="009E7C22">
        <w:rPr>
          <w:rFonts w:ascii="Arial" w:hAnsi="Arial" w:cs="Arial"/>
          <w:b/>
        </w:rPr>
        <w:t>Velikostní</w:t>
      </w:r>
      <w:proofErr w:type="gramEnd"/>
      <w:r w:rsidR="009E7C22">
        <w:rPr>
          <w:rFonts w:ascii="Arial" w:hAnsi="Arial" w:cs="Arial"/>
          <w:b/>
        </w:rPr>
        <w:t xml:space="preserve"> skupiny </w:t>
      </w:r>
      <w:proofErr w:type="spellStart"/>
      <w:r w:rsidR="009E7C22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ojížďkov</w:t>
      </w:r>
      <w:r w:rsidR="009E7C22">
        <w:rPr>
          <w:rFonts w:ascii="Arial" w:hAnsi="Arial" w:cs="Arial"/>
          <w:b/>
        </w:rPr>
        <w:t>ých</w:t>
      </w:r>
      <w:proofErr w:type="spellEnd"/>
      <w:r>
        <w:rPr>
          <w:rFonts w:ascii="Arial" w:hAnsi="Arial" w:cs="Arial"/>
          <w:b/>
        </w:rPr>
        <w:t xml:space="preserve"> region</w:t>
      </w:r>
      <w:r w:rsidR="009E7C22">
        <w:rPr>
          <w:rFonts w:ascii="Arial" w:hAnsi="Arial" w:cs="Arial"/>
          <w:b/>
        </w:rPr>
        <w:t>ů</w:t>
      </w:r>
      <w:r>
        <w:rPr>
          <w:rFonts w:ascii="Arial" w:hAnsi="Arial" w:cs="Arial"/>
          <w:b/>
        </w:rPr>
        <w:t xml:space="preserve"> podle počtu obyvatel</w:t>
      </w:r>
    </w:p>
    <w:p w:rsidR="00ED24E8" w:rsidRDefault="00286692" w:rsidP="007A16F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86692"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5743574" cy="2076449"/>
            <wp:effectExtent l="19050" t="0" r="9526" b="1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86692" w:rsidRDefault="00286692" w:rsidP="0028669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F659F">
        <w:rPr>
          <w:rFonts w:ascii="Arial" w:hAnsi="Arial" w:cs="Arial"/>
          <w:sz w:val="20"/>
          <w:szCs w:val="20"/>
        </w:rPr>
        <w:lastRenderedPageBreak/>
        <w:t>V České republice existují tři regiony</w:t>
      </w:r>
      <w:r>
        <w:rPr>
          <w:rFonts w:ascii="Arial" w:hAnsi="Arial" w:cs="Arial"/>
          <w:sz w:val="20"/>
          <w:szCs w:val="20"/>
        </w:rPr>
        <w:t xml:space="preserve"> dojížďky</w:t>
      </w:r>
      <w:r w:rsidRPr="00BF659F">
        <w:rPr>
          <w:rFonts w:ascii="Arial" w:hAnsi="Arial" w:cs="Arial"/>
          <w:sz w:val="20"/>
          <w:szCs w:val="20"/>
        </w:rPr>
        <w:t xml:space="preserve"> s více než půl miliónem obyvatel (Praha, Brno, Ostrava) a </w:t>
      </w:r>
      <w:r>
        <w:rPr>
          <w:rFonts w:ascii="Arial" w:hAnsi="Arial" w:cs="Arial"/>
          <w:sz w:val="20"/>
          <w:szCs w:val="20"/>
        </w:rPr>
        <w:t xml:space="preserve">dalších </w:t>
      </w:r>
      <w:r w:rsidRPr="00BF659F">
        <w:rPr>
          <w:rFonts w:ascii="Arial" w:hAnsi="Arial" w:cs="Arial"/>
          <w:sz w:val="20"/>
          <w:szCs w:val="20"/>
        </w:rPr>
        <w:t xml:space="preserve">14 regionů nad 100 tis. </w:t>
      </w:r>
      <w:r w:rsidRPr="007D1FF1">
        <w:rPr>
          <w:rFonts w:ascii="Arial" w:hAnsi="Arial" w:cs="Arial"/>
          <w:sz w:val="20"/>
          <w:szCs w:val="20"/>
        </w:rPr>
        <w:t>obyvatel (viz tab. 4).</w:t>
      </w:r>
      <w:r w:rsidRPr="00BF659F">
        <w:rPr>
          <w:rFonts w:ascii="Arial" w:hAnsi="Arial" w:cs="Arial"/>
          <w:sz w:val="20"/>
          <w:szCs w:val="20"/>
        </w:rPr>
        <w:t xml:space="preserve"> </w:t>
      </w:r>
      <w:r w:rsidRPr="00485F1F">
        <w:rPr>
          <w:rFonts w:ascii="Arial" w:hAnsi="Arial" w:cs="Arial"/>
          <w:sz w:val="20"/>
          <w:szCs w:val="20"/>
        </w:rPr>
        <w:t xml:space="preserve">Celkem 24 regionů má 50 000 – 99 999 obyvatel, 67 regionů 20 000 – 49 999, 62 regionů 10 000 – 19 999 obyvatel a 57 regionů méně než 10 tis. obyvatel. Nejmenší region Adršpach má pouze 3086 </w:t>
      </w:r>
      <w:r w:rsidRPr="00E2713D">
        <w:rPr>
          <w:rFonts w:ascii="Arial" w:hAnsi="Arial" w:cs="Arial"/>
          <w:sz w:val="20"/>
          <w:szCs w:val="20"/>
        </w:rPr>
        <w:t xml:space="preserve">obyvatel. Průměrný počet obyvatel </w:t>
      </w:r>
      <w:proofErr w:type="spellStart"/>
      <w:r w:rsidRPr="00E2713D">
        <w:rPr>
          <w:rFonts w:ascii="Arial" w:hAnsi="Arial" w:cs="Arial"/>
          <w:sz w:val="20"/>
          <w:szCs w:val="20"/>
        </w:rPr>
        <w:t>dojížďkového</w:t>
      </w:r>
      <w:proofErr w:type="spellEnd"/>
      <w:r w:rsidRPr="00E2713D">
        <w:rPr>
          <w:rFonts w:ascii="Arial" w:hAnsi="Arial" w:cs="Arial"/>
          <w:sz w:val="20"/>
          <w:szCs w:val="20"/>
        </w:rPr>
        <w:t xml:space="preserve"> regionu je 45 263, mediánová hodnota činí 19 168 obyvatel</w:t>
      </w:r>
      <w:r>
        <w:rPr>
          <w:rFonts w:ascii="Arial" w:hAnsi="Arial" w:cs="Arial"/>
          <w:sz w:val="20"/>
          <w:szCs w:val="20"/>
        </w:rPr>
        <w:t>.</w:t>
      </w:r>
      <w:r w:rsidRPr="00E2713D">
        <w:rPr>
          <w:rFonts w:ascii="Arial" w:hAnsi="Arial" w:cs="Arial"/>
          <w:sz w:val="20"/>
          <w:szCs w:val="20"/>
        </w:rPr>
        <w:t xml:space="preserve"> </w:t>
      </w:r>
      <w:r w:rsidRPr="00C0765E">
        <w:rPr>
          <w:rFonts w:ascii="Arial" w:hAnsi="Arial" w:cs="Arial"/>
          <w:sz w:val="20"/>
          <w:szCs w:val="20"/>
        </w:rPr>
        <w:t xml:space="preserve">V 500 obcích nezařazených do žádného </w:t>
      </w:r>
      <w:proofErr w:type="spellStart"/>
      <w:r w:rsidRPr="00C0765E">
        <w:rPr>
          <w:rFonts w:ascii="Arial" w:hAnsi="Arial" w:cs="Arial"/>
          <w:sz w:val="20"/>
          <w:szCs w:val="20"/>
        </w:rPr>
        <w:t>dojížďkového</w:t>
      </w:r>
      <w:proofErr w:type="spellEnd"/>
      <w:r w:rsidRPr="00C0765E">
        <w:rPr>
          <w:rFonts w:ascii="Arial" w:hAnsi="Arial" w:cs="Arial"/>
          <w:sz w:val="20"/>
          <w:szCs w:val="20"/>
        </w:rPr>
        <w:t xml:space="preserve"> regionu žije 162 tis. obyvatel</w:t>
      </w:r>
      <w:r>
        <w:rPr>
          <w:rFonts w:ascii="Arial" w:hAnsi="Arial" w:cs="Arial"/>
          <w:sz w:val="20"/>
          <w:szCs w:val="20"/>
        </w:rPr>
        <w:t xml:space="preserve"> resp. 66 tis.</w:t>
      </w:r>
      <w:r w:rsidRPr="00C0765E">
        <w:rPr>
          <w:rFonts w:ascii="Arial" w:hAnsi="Arial" w:cs="Arial"/>
          <w:sz w:val="20"/>
          <w:szCs w:val="20"/>
        </w:rPr>
        <w:t xml:space="preserve"> bydlících ekonomicky aktivních zaměstnaných</w:t>
      </w:r>
      <w:r>
        <w:rPr>
          <w:rFonts w:ascii="Arial" w:hAnsi="Arial" w:cs="Arial"/>
          <w:sz w:val="20"/>
          <w:szCs w:val="20"/>
        </w:rPr>
        <w:t xml:space="preserve"> (bez pracujících studentů a učňů). </w:t>
      </w:r>
    </w:p>
    <w:p w:rsidR="00286692" w:rsidRDefault="00560AAB" w:rsidP="002866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0595">
        <w:rPr>
          <w:rFonts w:ascii="Arial" w:hAnsi="Arial" w:cs="Arial"/>
          <w:sz w:val="20"/>
          <w:szCs w:val="20"/>
        </w:rPr>
        <w:object w:dxaOrig="8910" w:dyaOrig="7305">
          <v:shape id="_x0000_i1028" type="#_x0000_t75" style="width:444.4pt;height:364.95pt" o:ole="">
            <v:imagedata r:id="rId15" o:title=""/>
          </v:shape>
          <o:OLEObject Type="Embed" ProgID="Excel.Sheet.12" ShapeID="_x0000_i1028" DrawAspect="Content" ObjectID="_1479018130" r:id="rId16"/>
        </w:object>
      </w:r>
    </w:p>
    <w:p w:rsidR="00286692" w:rsidRDefault="00286692" w:rsidP="002866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74CC" w:rsidRPr="004E3723" w:rsidRDefault="007A74CC" w:rsidP="0028669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3723">
        <w:rPr>
          <w:rFonts w:ascii="Arial" w:hAnsi="Arial" w:cs="Arial"/>
          <w:b/>
          <w:sz w:val="24"/>
          <w:szCs w:val="24"/>
        </w:rPr>
        <w:t xml:space="preserve">Vnitřní integrace </w:t>
      </w:r>
      <w:proofErr w:type="spellStart"/>
      <w:r w:rsidRPr="004E3723">
        <w:rPr>
          <w:rFonts w:ascii="Arial" w:hAnsi="Arial" w:cs="Arial"/>
          <w:b/>
          <w:sz w:val="24"/>
          <w:szCs w:val="24"/>
        </w:rPr>
        <w:t>dojížďkových</w:t>
      </w:r>
      <w:proofErr w:type="spellEnd"/>
      <w:r w:rsidRPr="004E3723">
        <w:rPr>
          <w:rFonts w:ascii="Arial" w:hAnsi="Arial" w:cs="Arial"/>
          <w:b/>
          <w:sz w:val="24"/>
          <w:szCs w:val="24"/>
        </w:rPr>
        <w:t xml:space="preserve"> regionů</w:t>
      </w:r>
    </w:p>
    <w:p w:rsidR="00C5342A" w:rsidRPr="004E3723" w:rsidRDefault="00C5342A" w:rsidP="00286692">
      <w:pPr>
        <w:spacing w:after="0" w:line="240" w:lineRule="auto"/>
        <w:rPr>
          <w:rFonts w:ascii="Arial" w:hAnsi="Arial" w:cs="Arial"/>
          <w:b/>
          <w:sz w:val="24"/>
          <w:szCs w:val="24"/>
          <w:highlight w:val="cyan"/>
        </w:rPr>
      </w:pPr>
    </w:p>
    <w:p w:rsidR="007A74CC" w:rsidRPr="00BF659F" w:rsidRDefault="00C5342A" w:rsidP="00286692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cyan"/>
        </w:rPr>
      </w:pPr>
      <w:r w:rsidRPr="00BF659F">
        <w:rPr>
          <w:rFonts w:ascii="Arial" w:hAnsi="Arial" w:cs="Arial"/>
          <w:sz w:val="20"/>
          <w:szCs w:val="20"/>
        </w:rPr>
        <w:t xml:space="preserve">Úroveň vnitřní integrace </w:t>
      </w:r>
      <w:proofErr w:type="spellStart"/>
      <w:r w:rsidRPr="00BF659F">
        <w:rPr>
          <w:rFonts w:ascii="Arial" w:hAnsi="Arial" w:cs="Arial"/>
          <w:sz w:val="20"/>
          <w:szCs w:val="20"/>
        </w:rPr>
        <w:t>dojížďkových</w:t>
      </w:r>
      <w:proofErr w:type="spellEnd"/>
      <w:r w:rsidRPr="00BF659F">
        <w:rPr>
          <w:rFonts w:ascii="Arial" w:hAnsi="Arial" w:cs="Arial"/>
          <w:sz w:val="20"/>
          <w:szCs w:val="20"/>
        </w:rPr>
        <w:t xml:space="preserve"> regionů lze měřit několika ukazateli. Mírou intenzity vazby jednotlivých obcí regionu k centru je podíl vyjíždějících do tohoto centra k celkovému počtu vyjíždějících z obce. </w:t>
      </w:r>
      <w:r w:rsidR="00BD7555" w:rsidRPr="00BF659F">
        <w:rPr>
          <w:rFonts w:ascii="Arial" w:hAnsi="Arial" w:cs="Arial"/>
          <w:sz w:val="20"/>
          <w:szCs w:val="20"/>
        </w:rPr>
        <w:t>Nejslabší vazby jsou u některých obcí, které byly původně v kategorii nezařazených a dodatečně byly zahrnuty do příslušného mikroregionu podle výše zmíněných „měkkých“ kritérií</w:t>
      </w:r>
      <w:r w:rsidR="005C48C5" w:rsidRPr="00BF659F">
        <w:rPr>
          <w:rFonts w:ascii="Arial" w:hAnsi="Arial" w:cs="Arial"/>
          <w:sz w:val="20"/>
          <w:szCs w:val="20"/>
        </w:rPr>
        <w:t>, nebo leží v periferních oblastech, mají velmi nízký počet ekonomicky aktivních obyvatel a zároveň vysokou míru nezjištěné vyjížďky za prací</w:t>
      </w:r>
      <w:r w:rsidR="00BD7555" w:rsidRPr="00BF659F">
        <w:rPr>
          <w:rFonts w:ascii="Arial" w:hAnsi="Arial" w:cs="Arial"/>
          <w:sz w:val="20"/>
          <w:szCs w:val="20"/>
        </w:rPr>
        <w:t xml:space="preserve">. </w:t>
      </w:r>
      <w:r w:rsidR="005C48C5" w:rsidRPr="00BF659F">
        <w:rPr>
          <w:rFonts w:ascii="Arial" w:hAnsi="Arial" w:cs="Arial"/>
          <w:sz w:val="20"/>
          <w:szCs w:val="20"/>
        </w:rPr>
        <w:t>Někde</w:t>
      </w:r>
      <w:r w:rsidR="00BD7555" w:rsidRPr="00BF659F">
        <w:rPr>
          <w:rFonts w:ascii="Arial" w:hAnsi="Arial" w:cs="Arial"/>
          <w:sz w:val="20"/>
          <w:szCs w:val="20"/>
        </w:rPr>
        <w:t xml:space="preserve"> podíl vyjížďky do příslušného centra klesá i k 10 % z celkového </w:t>
      </w:r>
      <w:r w:rsidR="004C49AC" w:rsidRPr="00BF659F">
        <w:rPr>
          <w:rFonts w:ascii="Arial" w:hAnsi="Arial" w:cs="Arial"/>
          <w:sz w:val="20"/>
          <w:szCs w:val="20"/>
        </w:rPr>
        <w:t>objemu</w:t>
      </w:r>
      <w:r w:rsidR="00BD7555" w:rsidRPr="00BF659F">
        <w:rPr>
          <w:rFonts w:ascii="Arial" w:hAnsi="Arial" w:cs="Arial"/>
          <w:sz w:val="20"/>
          <w:szCs w:val="20"/>
        </w:rPr>
        <w:t xml:space="preserve"> zjištěné vyjížďky.</w:t>
      </w:r>
    </w:p>
    <w:p w:rsidR="00BD7555" w:rsidRDefault="00BD7555" w:rsidP="0047777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F659F">
        <w:rPr>
          <w:rFonts w:ascii="Arial" w:hAnsi="Arial" w:cs="Arial"/>
          <w:sz w:val="20"/>
          <w:szCs w:val="20"/>
        </w:rPr>
        <w:t xml:space="preserve">Největší počet obcí je spjat se svým centrem </w:t>
      </w:r>
      <w:r w:rsidR="00B852B0">
        <w:rPr>
          <w:rFonts w:ascii="Arial" w:hAnsi="Arial" w:cs="Arial"/>
          <w:sz w:val="20"/>
          <w:szCs w:val="20"/>
        </w:rPr>
        <w:t xml:space="preserve">regionu </w:t>
      </w:r>
      <w:proofErr w:type="spellStart"/>
      <w:r w:rsidRPr="007F19E1">
        <w:rPr>
          <w:rFonts w:ascii="Arial" w:hAnsi="Arial" w:cs="Arial"/>
          <w:sz w:val="20"/>
          <w:szCs w:val="20"/>
        </w:rPr>
        <w:t>dojížďk</w:t>
      </w:r>
      <w:r w:rsidR="004C49AC" w:rsidRPr="007F19E1">
        <w:rPr>
          <w:rFonts w:ascii="Arial" w:hAnsi="Arial" w:cs="Arial"/>
          <w:sz w:val="20"/>
          <w:szCs w:val="20"/>
        </w:rPr>
        <w:t>ovými</w:t>
      </w:r>
      <w:proofErr w:type="spellEnd"/>
      <w:r w:rsidR="004C49AC" w:rsidRPr="007F19E1">
        <w:rPr>
          <w:rFonts w:ascii="Arial" w:hAnsi="Arial" w:cs="Arial"/>
          <w:sz w:val="20"/>
          <w:szCs w:val="20"/>
        </w:rPr>
        <w:t xml:space="preserve"> proudy</w:t>
      </w:r>
      <w:r w:rsidRPr="007F19E1">
        <w:rPr>
          <w:rFonts w:ascii="Arial" w:hAnsi="Arial" w:cs="Arial"/>
          <w:sz w:val="20"/>
          <w:szCs w:val="20"/>
        </w:rPr>
        <w:t xml:space="preserve"> </w:t>
      </w:r>
      <w:r w:rsidR="004C49AC" w:rsidRPr="007F19E1">
        <w:rPr>
          <w:rFonts w:ascii="Arial" w:hAnsi="Arial" w:cs="Arial"/>
          <w:sz w:val="20"/>
          <w:szCs w:val="20"/>
        </w:rPr>
        <w:t>tvořícími</w:t>
      </w:r>
      <w:r w:rsidRPr="007F19E1">
        <w:rPr>
          <w:rFonts w:ascii="Arial" w:hAnsi="Arial" w:cs="Arial"/>
          <w:sz w:val="20"/>
          <w:szCs w:val="20"/>
        </w:rPr>
        <w:t xml:space="preserve"> 25</w:t>
      </w:r>
      <w:r w:rsidR="00FD3DD2" w:rsidRPr="007F19E1">
        <w:rPr>
          <w:rFonts w:ascii="Arial" w:hAnsi="Arial" w:cs="Arial"/>
          <w:sz w:val="20"/>
          <w:szCs w:val="20"/>
        </w:rPr>
        <w:t>,0</w:t>
      </w:r>
      <w:r w:rsidRPr="007F19E1">
        <w:rPr>
          <w:rFonts w:ascii="Arial" w:hAnsi="Arial" w:cs="Arial"/>
          <w:sz w:val="20"/>
          <w:szCs w:val="20"/>
        </w:rPr>
        <w:t xml:space="preserve"> </w:t>
      </w:r>
      <w:r w:rsidR="004C49AC" w:rsidRPr="007F19E1">
        <w:rPr>
          <w:rFonts w:ascii="Arial" w:hAnsi="Arial" w:cs="Arial"/>
          <w:sz w:val="20"/>
          <w:szCs w:val="20"/>
        </w:rPr>
        <w:t>až</w:t>
      </w:r>
      <w:r w:rsidRPr="007F19E1">
        <w:rPr>
          <w:rFonts w:ascii="Arial" w:hAnsi="Arial" w:cs="Arial"/>
          <w:sz w:val="20"/>
          <w:szCs w:val="20"/>
        </w:rPr>
        <w:t xml:space="preserve"> 49</w:t>
      </w:r>
      <w:r w:rsidR="00FD3DD2" w:rsidRPr="007F19E1">
        <w:rPr>
          <w:rFonts w:ascii="Arial" w:hAnsi="Arial" w:cs="Arial"/>
          <w:sz w:val="20"/>
          <w:szCs w:val="20"/>
        </w:rPr>
        <w:t>,9</w:t>
      </w:r>
      <w:r w:rsidRPr="007F19E1">
        <w:rPr>
          <w:rFonts w:ascii="Arial" w:hAnsi="Arial" w:cs="Arial"/>
          <w:sz w:val="20"/>
          <w:szCs w:val="20"/>
        </w:rPr>
        <w:t xml:space="preserve"> % </w:t>
      </w:r>
      <w:r w:rsidR="00221604" w:rsidRPr="007F19E1">
        <w:rPr>
          <w:rFonts w:ascii="Arial" w:hAnsi="Arial" w:cs="Arial"/>
          <w:sz w:val="20"/>
          <w:szCs w:val="20"/>
        </w:rPr>
        <w:t>(celkem 27</w:t>
      </w:r>
      <w:r w:rsidR="00FD3DD2" w:rsidRPr="007F19E1">
        <w:rPr>
          <w:rFonts w:ascii="Arial" w:hAnsi="Arial" w:cs="Arial"/>
          <w:sz w:val="20"/>
          <w:szCs w:val="20"/>
        </w:rPr>
        <w:t>58</w:t>
      </w:r>
      <w:r w:rsidR="00221604" w:rsidRPr="007F19E1">
        <w:rPr>
          <w:rFonts w:ascii="Arial" w:hAnsi="Arial" w:cs="Arial"/>
          <w:sz w:val="20"/>
          <w:szCs w:val="20"/>
        </w:rPr>
        <w:t xml:space="preserve"> proudů, tj. </w:t>
      </w:r>
      <w:proofErr w:type="gramStart"/>
      <w:r w:rsidR="00221604" w:rsidRPr="007F19E1">
        <w:rPr>
          <w:rFonts w:ascii="Arial" w:hAnsi="Arial" w:cs="Arial"/>
          <w:sz w:val="20"/>
          <w:szCs w:val="20"/>
        </w:rPr>
        <w:t>4</w:t>
      </w:r>
      <w:r w:rsidR="00FD3DD2" w:rsidRPr="007F19E1">
        <w:rPr>
          <w:rFonts w:ascii="Arial" w:hAnsi="Arial" w:cs="Arial"/>
          <w:sz w:val="20"/>
          <w:szCs w:val="20"/>
        </w:rPr>
        <w:t>5,8</w:t>
      </w:r>
      <w:r w:rsidR="00221604" w:rsidRPr="007F19E1">
        <w:rPr>
          <w:rFonts w:ascii="Arial" w:hAnsi="Arial" w:cs="Arial"/>
          <w:sz w:val="20"/>
          <w:szCs w:val="20"/>
        </w:rPr>
        <w:t xml:space="preserve"> %) </w:t>
      </w:r>
      <w:r w:rsidR="003F0D33">
        <w:rPr>
          <w:rFonts w:ascii="Arial" w:hAnsi="Arial" w:cs="Arial"/>
          <w:sz w:val="20"/>
          <w:szCs w:val="20"/>
        </w:rPr>
        <w:t xml:space="preserve"> </w:t>
      </w:r>
      <w:r w:rsidR="004C49AC" w:rsidRPr="00BF659F">
        <w:rPr>
          <w:rFonts w:ascii="Arial" w:hAnsi="Arial" w:cs="Arial"/>
          <w:sz w:val="20"/>
          <w:szCs w:val="20"/>
        </w:rPr>
        <w:t>celkové</w:t>
      </w:r>
      <w:r w:rsidR="00B852B0">
        <w:rPr>
          <w:rFonts w:ascii="Arial" w:hAnsi="Arial" w:cs="Arial"/>
          <w:sz w:val="20"/>
          <w:szCs w:val="20"/>
        </w:rPr>
        <w:t>ho</w:t>
      </w:r>
      <w:proofErr w:type="gramEnd"/>
      <w:r w:rsidR="00B852B0">
        <w:rPr>
          <w:rFonts w:ascii="Arial" w:hAnsi="Arial" w:cs="Arial"/>
          <w:sz w:val="20"/>
          <w:szCs w:val="20"/>
        </w:rPr>
        <w:t xml:space="preserve"> počtu</w:t>
      </w:r>
      <w:r w:rsidR="004C49AC" w:rsidRPr="00BF659F">
        <w:rPr>
          <w:rFonts w:ascii="Arial" w:hAnsi="Arial" w:cs="Arial"/>
          <w:sz w:val="20"/>
          <w:szCs w:val="20"/>
        </w:rPr>
        <w:t xml:space="preserve"> vyjíž</w:t>
      </w:r>
      <w:r w:rsidR="00B852B0">
        <w:rPr>
          <w:rFonts w:ascii="Arial" w:hAnsi="Arial" w:cs="Arial"/>
          <w:sz w:val="20"/>
          <w:szCs w:val="20"/>
        </w:rPr>
        <w:t>dějících za prací</w:t>
      </w:r>
      <w:r w:rsidR="004C49AC" w:rsidRPr="00BF659F">
        <w:rPr>
          <w:rFonts w:ascii="Arial" w:hAnsi="Arial" w:cs="Arial"/>
          <w:sz w:val="20"/>
          <w:szCs w:val="20"/>
        </w:rPr>
        <w:t xml:space="preserve"> z dané obce.</w:t>
      </w:r>
      <w:r w:rsidRPr="00BF659F">
        <w:rPr>
          <w:rFonts w:ascii="Arial" w:hAnsi="Arial" w:cs="Arial"/>
          <w:sz w:val="20"/>
          <w:szCs w:val="20"/>
        </w:rPr>
        <w:t xml:space="preserve"> Nejvyšší podíly </w:t>
      </w:r>
      <w:r w:rsidR="00AE2A3F">
        <w:rPr>
          <w:rFonts w:ascii="Arial" w:hAnsi="Arial" w:cs="Arial"/>
          <w:sz w:val="20"/>
          <w:szCs w:val="20"/>
        </w:rPr>
        <w:t xml:space="preserve">vyjíždějících do centra </w:t>
      </w:r>
      <w:r w:rsidRPr="00BF659F">
        <w:rPr>
          <w:rFonts w:ascii="Arial" w:hAnsi="Arial" w:cs="Arial"/>
          <w:sz w:val="20"/>
          <w:szCs w:val="20"/>
        </w:rPr>
        <w:t xml:space="preserve">pak </w:t>
      </w:r>
      <w:r w:rsidR="004C49AC" w:rsidRPr="00BF659F">
        <w:rPr>
          <w:rFonts w:ascii="Arial" w:hAnsi="Arial" w:cs="Arial"/>
          <w:sz w:val="20"/>
          <w:szCs w:val="20"/>
        </w:rPr>
        <w:t>identifikujeme</w:t>
      </w:r>
      <w:r w:rsidRPr="00BF659F">
        <w:rPr>
          <w:rFonts w:ascii="Arial" w:hAnsi="Arial" w:cs="Arial"/>
          <w:sz w:val="20"/>
          <w:szCs w:val="20"/>
        </w:rPr>
        <w:t xml:space="preserve"> u obcí v blízkém zázemí velmi silných center </w:t>
      </w:r>
      <w:proofErr w:type="gramStart"/>
      <w:r w:rsidRPr="00BF659F">
        <w:rPr>
          <w:rFonts w:ascii="Arial" w:hAnsi="Arial" w:cs="Arial"/>
          <w:sz w:val="20"/>
          <w:szCs w:val="20"/>
        </w:rPr>
        <w:t>dojížďky (</w:t>
      </w:r>
      <w:r w:rsidR="00221604">
        <w:rPr>
          <w:rFonts w:ascii="Arial" w:hAnsi="Arial" w:cs="Arial"/>
          <w:sz w:val="20"/>
          <w:szCs w:val="20"/>
        </w:rPr>
        <w:t xml:space="preserve"> </w:t>
      </w:r>
      <w:r w:rsidR="00221604" w:rsidRPr="00BF659F">
        <w:rPr>
          <w:rFonts w:ascii="Arial" w:hAnsi="Arial" w:cs="Arial"/>
          <w:sz w:val="20"/>
          <w:szCs w:val="20"/>
        </w:rPr>
        <w:t>Prahy</w:t>
      </w:r>
      <w:proofErr w:type="gramEnd"/>
      <w:r w:rsidR="00221604" w:rsidRPr="00BF659F">
        <w:rPr>
          <w:rFonts w:ascii="Arial" w:hAnsi="Arial" w:cs="Arial"/>
          <w:sz w:val="20"/>
          <w:szCs w:val="20"/>
        </w:rPr>
        <w:t xml:space="preserve">, Brna, </w:t>
      </w:r>
      <w:r w:rsidR="00221604">
        <w:rPr>
          <w:rFonts w:ascii="Arial" w:hAnsi="Arial" w:cs="Arial"/>
          <w:sz w:val="20"/>
          <w:szCs w:val="20"/>
        </w:rPr>
        <w:t xml:space="preserve">Českých Budějovic, Jihlavy, </w:t>
      </w:r>
      <w:r w:rsidR="00221604" w:rsidRPr="00BF659F">
        <w:rPr>
          <w:rFonts w:ascii="Arial" w:hAnsi="Arial" w:cs="Arial"/>
          <w:sz w:val="20"/>
          <w:szCs w:val="20"/>
        </w:rPr>
        <w:t>Ostravy aj.</w:t>
      </w:r>
      <w:r w:rsidR="00B32D61">
        <w:rPr>
          <w:rFonts w:ascii="Arial" w:hAnsi="Arial" w:cs="Arial"/>
          <w:sz w:val="20"/>
          <w:szCs w:val="20"/>
        </w:rPr>
        <w:t>)</w:t>
      </w:r>
      <w:r w:rsidRPr="00BF659F">
        <w:rPr>
          <w:rFonts w:ascii="Arial" w:hAnsi="Arial" w:cs="Arial"/>
          <w:sz w:val="20"/>
          <w:szCs w:val="20"/>
        </w:rPr>
        <w:t>. Hodnoty podílů zde často přesahují 80 % z celkového počtu vyjíždějících</w:t>
      </w:r>
      <w:r w:rsidR="00B32D61">
        <w:rPr>
          <w:rFonts w:ascii="Arial" w:hAnsi="Arial" w:cs="Arial"/>
          <w:sz w:val="20"/>
          <w:szCs w:val="20"/>
        </w:rPr>
        <w:t xml:space="preserve"> (celkem 157 proudů)</w:t>
      </w:r>
      <w:r w:rsidRPr="00BF659F">
        <w:rPr>
          <w:rFonts w:ascii="Arial" w:hAnsi="Arial" w:cs="Arial"/>
          <w:sz w:val="20"/>
          <w:szCs w:val="20"/>
        </w:rPr>
        <w:t>.</w:t>
      </w:r>
    </w:p>
    <w:p w:rsidR="00560AAB" w:rsidRPr="007C7B96" w:rsidRDefault="00560AAB" w:rsidP="00560AAB">
      <w:pPr>
        <w:spacing w:line="240" w:lineRule="auto"/>
        <w:jc w:val="both"/>
        <w:rPr>
          <w:rFonts w:ascii="Arial" w:hAnsi="Arial" w:cs="Arial"/>
          <w:sz w:val="20"/>
          <w:szCs w:val="20"/>
          <w:highlight w:val="cyan"/>
        </w:rPr>
      </w:pPr>
      <w:r w:rsidRPr="007F19E1">
        <w:rPr>
          <w:rFonts w:ascii="Arial" w:hAnsi="Arial" w:cs="Arial"/>
          <w:sz w:val="20"/>
          <w:szCs w:val="20"/>
        </w:rPr>
        <w:t xml:space="preserve">Ukazatelem relativní míry uzavřenosti </w:t>
      </w:r>
      <w:proofErr w:type="spellStart"/>
      <w:r w:rsidRPr="007F19E1">
        <w:rPr>
          <w:rFonts w:ascii="Arial" w:hAnsi="Arial" w:cs="Arial"/>
          <w:sz w:val="20"/>
          <w:szCs w:val="20"/>
        </w:rPr>
        <w:t>dojížďkového</w:t>
      </w:r>
      <w:proofErr w:type="spellEnd"/>
      <w:r w:rsidRPr="007F19E1">
        <w:rPr>
          <w:rFonts w:ascii="Arial" w:hAnsi="Arial" w:cs="Arial"/>
          <w:sz w:val="20"/>
          <w:szCs w:val="20"/>
        </w:rPr>
        <w:t xml:space="preserve"> regionu</w:t>
      </w:r>
      <w:r w:rsidRPr="007F19E1" w:rsidDel="009E7C22">
        <w:rPr>
          <w:rFonts w:ascii="Arial" w:hAnsi="Arial" w:cs="Arial"/>
          <w:sz w:val="20"/>
          <w:szCs w:val="20"/>
        </w:rPr>
        <w:t xml:space="preserve"> </w:t>
      </w:r>
      <w:r w:rsidRPr="007F19E1">
        <w:rPr>
          <w:rFonts w:ascii="Arial" w:hAnsi="Arial" w:cs="Arial"/>
          <w:sz w:val="20"/>
          <w:szCs w:val="20"/>
        </w:rPr>
        <w:t xml:space="preserve">je počet obsazených pracovních míst v regionu na 1000 bydlících ekonomicky aktivních obyvatel (bez pracujících studentů a </w:t>
      </w:r>
      <w:proofErr w:type="gramStart"/>
      <w:r w:rsidRPr="007F19E1">
        <w:rPr>
          <w:rFonts w:ascii="Arial" w:hAnsi="Arial" w:cs="Arial"/>
          <w:sz w:val="20"/>
          <w:szCs w:val="20"/>
        </w:rPr>
        <w:t>učňů). a Vystihuje</w:t>
      </w:r>
      <w:proofErr w:type="gramEnd"/>
      <w:r w:rsidRPr="007F19E1">
        <w:rPr>
          <w:rFonts w:ascii="Arial" w:hAnsi="Arial" w:cs="Arial"/>
          <w:sz w:val="20"/>
          <w:szCs w:val="20"/>
        </w:rPr>
        <w:t xml:space="preserve"> poměr mezi počtem bydlících zaměstnaných ekonomicky aktivních obyvatel a bilancí (saldem) dojížďky a vyjížďky.</w:t>
      </w:r>
      <w:r w:rsidRPr="00BF659F">
        <w:rPr>
          <w:rFonts w:ascii="Arial" w:hAnsi="Arial" w:cs="Arial"/>
          <w:sz w:val="20"/>
          <w:szCs w:val="20"/>
        </w:rPr>
        <w:t xml:space="preserve"> Tento index nabývá hodnot </w:t>
      </w:r>
      <w:r w:rsidRPr="00477772">
        <w:rPr>
          <w:rFonts w:ascii="Arial" w:hAnsi="Arial" w:cs="Arial"/>
          <w:sz w:val="20"/>
          <w:szCs w:val="20"/>
        </w:rPr>
        <w:t xml:space="preserve">od 1307 (Stráž pod </w:t>
      </w:r>
      <w:proofErr w:type="spellStart"/>
      <w:r w:rsidRPr="00477772">
        <w:rPr>
          <w:rFonts w:ascii="Arial" w:hAnsi="Arial" w:cs="Arial"/>
          <w:sz w:val="20"/>
          <w:szCs w:val="20"/>
        </w:rPr>
        <w:t>Ralskem</w:t>
      </w:r>
      <w:proofErr w:type="spellEnd"/>
      <w:r w:rsidRPr="00477772">
        <w:rPr>
          <w:rFonts w:ascii="Arial" w:hAnsi="Arial" w:cs="Arial"/>
          <w:sz w:val="20"/>
          <w:szCs w:val="20"/>
        </w:rPr>
        <w:t xml:space="preserve">) do </w:t>
      </w:r>
      <w:proofErr w:type="gramStart"/>
      <w:r w:rsidRPr="00477772">
        <w:rPr>
          <w:rFonts w:ascii="Arial" w:hAnsi="Arial" w:cs="Arial"/>
          <w:sz w:val="20"/>
          <w:szCs w:val="20"/>
        </w:rPr>
        <w:t xml:space="preserve">777  </w:t>
      </w:r>
      <w:r w:rsidRPr="00477772">
        <w:rPr>
          <w:rFonts w:ascii="Arial" w:hAnsi="Arial" w:cs="Arial"/>
          <w:sz w:val="20"/>
          <w:szCs w:val="20"/>
        </w:rPr>
        <w:lastRenderedPageBreak/>
        <w:t>(</w:t>
      </w:r>
      <w:proofErr w:type="spellStart"/>
      <w:r w:rsidRPr="00477772">
        <w:rPr>
          <w:rFonts w:ascii="Arial" w:hAnsi="Arial" w:cs="Arial"/>
          <w:sz w:val="20"/>
          <w:szCs w:val="20"/>
        </w:rPr>
        <w:t>Golčův</w:t>
      </w:r>
      <w:proofErr w:type="spellEnd"/>
      <w:proofErr w:type="gramEnd"/>
      <w:r w:rsidRPr="004777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772">
        <w:rPr>
          <w:rFonts w:ascii="Arial" w:hAnsi="Arial" w:cs="Arial"/>
          <w:sz w:val="20"/>
          <w:szCs w:val="20"/>
        </w:rPr>
        <w:t>Jeníkov</w:t>
      </w:r>
      <w:proofErr w:type="spellEnd"/>
      <w:r w:rsidRPr="00477772">
        <w:rPr>
          <w:rFonts w:ascii="Arial" w:hAnsi="Arial" w:cs="Arial"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 xml:space="preserve"> Vysoké hodnoty vykazují regiony s vysokým kladným saldem dojížďky. Hodnota indexu vyšší než 1000 byla zjištěna u 39 regionů, mezi něž patří nejen regiony největších měst, ale i populačně menších center zaměstnanosti (Otrokovice, Kadaň, Bílina, Bor, Vrchlabí aj.).</w:t>
      </w:r>
      <w:r w:rsidRPr="000D30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Region Rychnov nad Kněžnou má dvě hlavní koncentrace pracovních míst – centrum regionu a </w:t>
      </w:r>
      <w:proofErr w:type="spellStart"/>
      <w:r>
        <w:rPr>
          <w:rFonts w:ascii="Arial" w:hAnsi="Arial" w:cs="Arial"/>
          <w:sz w:val="20"/>
          <w:szCs w:val="20"/>
        </w:rPr>
        <w:t>Kvasiny</w:t>
      </w:r>
      <w:proofErr w:type="spellEnd"/>
      <w:r>
        <w:rPr>
          <w:rFonts w:ascii="Arial" w:hAnsi="Arial" w:cs="Arial"/>
          <w:sz w:val="20"/>
          <w:szCs w:val="20"/>
        </w:rPr>
        <w:t xml:space="preserve">. Takových příkladů lze rovněž nalézt více. Regiony Třince a </w:t>
      </w:r>
      <w:proofErr w:type="spellStart"/>
      <w:r>
        <w:rPr>
          <w:rFonts w:ascii="Arial" w:hAnsi="Arial" w:cs="Arial"/>
          <w:sz w:val="20"/>
          <w:szCs w:val="20"/>
        </w:rPr>
        <w:t>FrýdkuMístku</w:t>
      </w:r>
      <w:proofErr w:type="spellEnd"/>
      <w:r>
        <w:rPr>
          <w:rFonts w:ascii="Arial" w:hAnsi="Arial" w:cs="Arial"/>
          <w:sz w:val="20"/>
          <w:szCs w:val="20"/>
        </w:rPr>
        <w:t xml:space="preserve"> mají pasivní saldo dojížďky ve vztahu k nabídce pracovních příležitostí ostatních okolních center, Opavský region pak jednoznačně vůči </w:t>
      </w:r>
      <w:r w:rsidRPr="00917798">
        <w:rPr>
          <w:rFonts w:ascii="Arial" w:hAnsi="Arial" w:cs="Arial"/>
          <w:sz w:val="20"/>
          <w:szCs w:val="20"/>
        </w:rPr>
        <w:t>samotné Ostravě.</w:t>
      </w:r>
      <w:r>
        <w:rPr>
          <w:rFonts w:ascii="Arial" w:hAnsi="Arial" w:cs="Arial"/>
          <w:sz w:val="20"/>
          <w:szCs w:val="20"/>
        </w:rPr>
        <w:t xml:space="preserve"> Extrémní hodnoty převážně patří malým regionům s určitými specifiky. Například ve zmíněné Stráži pod </w:t>
      </w:r>
      <w:proofErr w:type="spellStart"/>
      <w:r>
        <w:rPr>
          <w:rFonts w:ascii="Arial" w:hAnsi="Arial" w:cs="Arial"/>
          <w:sz w:val="20"/>
          <w:szCs w:val="20"/>
        </w:rPr>
        <w:t>Ralskem</w:t>
      </w:r>
      <w:proofErr w:type="spellEnd"/>
      <w:r>
        <w:rPr>
          <w:rFonts w:ascii="Arial" w:hAnsi="Arial" w:cs="Arial"/>
          <w:sz w:val="20"/>
          <w:szCs w:val="20"/>
        </w:rPr>
        <w:t xml:space="preserve"> je lokalizován velký závod s. p. </w:t>
      </w:r>
      <w:proofErr w:type="spellStart"/>
      <w:r>
        <w:rPr>
          <w:rFonts w:ascii="Arial" w:hAnsi="Arial" w:cs="Arial"/>
          <w:sz w:val="20"/>
          <w:szCs w:val="20"/>
        </w:rPr>
        <w:t>Diamo</w:t>
      </w:r>
      <w:proofErr w:type="spellEnd"/>
      <w:r>
        <w:rPr>
          <w:rFonts w:ascii="Arial" w:hAnsi="Arial" w:cs="Arial"/>
          <w:sz w:val="20"/>
          <w:szCs w:val="20"/>
        </w:rPr>
        <w:t xml:space="preserve"> se silnou dojížďkou z České Lípy a Libereckého regionu a zároveň je zde známá věznice. V Adršpachu sídlí značné výrobní kapacity s velkou dojížďkou, takže byl vybrán jako centrum regionu namísto Teplic nad Metují, které mají vyšší počet obyvatel.</w:t>
      </w:r>
    </w:p>
    <w:p w:rsidR="009E7C22" w:rsidRDefault="009E7C22" w:rsidP="00560A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2D61" w:rsidRDefault="00B32D61" w:rsidP="00560AAB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Obr. 2 </w:t>
      </w:r>
      <w:r w:rsidR="009E7C22">
        <w:rPr>
          <w:rFonts w:ascii="Arial" w:hAnsi="Arial" w:cs="Arial"/>
          <w:b/>
        </w:rPr>
        <w:t>Podíl</w:t>
      </w:r>
      <w:r>
        <w:rPr>
          <w:rFonts w:ascii="Arial" w:hAnsi="Arial" w:cs="Arial"/>
          <w:b/>
        </w:rPr>
        <w:t xml:space="preserve"> vyjížďky z obcí zázemí do center regionů</w:t>
      </w:r>
    </w:p>
    <w:p w:rsidR="00B32D61" w:rsidRPr="00B32D61" w:rsidRDefault="00560AAB" w:rsidP="009E7C22">
      <w:pPr>
        <w:spacing w:line="240" w:lineRule="auto"/>
        <w:jc w:val="center"/>
        <w:rPr>
          <w:rFonts w:ascii="Arial" w:hAnsi="Arial" w:cs="Arial"/>
          <w:b/>
        </w:rPr>
      </w:pPr>
      <w:r w:rsidRPr="00560AAB">
        <w:rPr>
          <w:rFonts w:ascii="Arial" w:hAnsi="Arial" w:cs="Arial"/>
          <w:b/>
          <w:noProof/>
          <w:lang w:eastAsia="cs-CZ"/>
        </w:rPr>
        <w:drawing>
          <wp:inline distT="0" distB="0" distL="0" distR="0">
            <wp:extent cx="5341620" cy="2651760"/>
            <wp:effectExtent l="19050" t="0" r="11430" b="0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E7C22" w:rsidRDefault="009E7C22" w:rsidP="00560AAB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cyan"/>
        </w:rPr>
      </w:pPr>
    </w:p>
    <w:p w:rsidR="00035E2D" w:rsidRPr="00917798" w:rsidRDefault="00ED24E8" w:rsidP="0047777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C16B9">
        <w:rPr>
          <w:rFonts w:ascii="Arial" w:hAnsi="Arial" w:cs="Arial"/>
          <w:sz w:val="20"/>
          <w:szCs w:val="20"/>
        </w:rPr>
        <w:object w:dxaOrig="8964" w:dyaOrig="4891">
          <v:shape id="_x0000_i1029" type="#_x0000_t75" style="width:448.15pt;height:244.55pt" o:ole="">
            <v:imagedata r:id="rId18" o:title=""/>
          </v:shape>
          <o:OLEObject Type="Embed" ProgID="Excel.Sheet.12" ShapeID="_x0000_i1029" DrawAspect="Content" ObjectID="_1479018131" r:id="rId19"/>
        </w:object>
      </w:r>
    </w:p>
    <w:p w:rsidR="00E30018" w:rsidRPr="005362E6" w:rsidRDefault="0094538A" w:rsidP="000A0C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7798">
        <w:rPr>
          <w:rFonts w:ascii="Arial" w:hAnsi="Arial" w:cs="Arial"/>
          <w:sz w:val="20"/>
          <w:szCs w:val="20"/>
        </w:rPr>
        <w:t>Relativní otevřenost regionu může být vyjádřena například po</w:t>
      </w:r>
      <w:r w:rsidR="00042C89">
        <w:rPr>
          <w:rFonts w:ascii="Arial" w:hAnsi="Arial" w:cs="Arial"/>
          <w:sz w:val="20"/>
          <w:szCs w:val="20"/>
        </w:rPr>
        <w:t>měrem</w:t>
      </w:r>
      <w:r w:rsidRPr="00917798">
        <w:rPr>
          <w:rFonts w:ascii="Arial" w:hAnsi="Arial" w:cs="Arial"/>
          <w:sz w:val="20"/>
          <w:szCs w:val="20"/>
        </w:rPr>
        <w:t xml:space="preserve"> vyjížďky za hranice regionu </w:t>
      </w:r>
      <w:r w:rsidR="0066787E">
        <w:rPr>
          <w:rFonts w:ascii="Arial" w:hAnsi="Arial" w:cs="Arial"/>
          <w:sz w:val="20"/>
          <w:szCs w:val="20"/>
        </w:rPr>
        <w:t>k</w:t>
      </w:r>
      <w:r w:rsidRPr="00917798">
        <w:rPr>
          <w:rFonts w:ascii="Arial" w:hAnsi="Arial" w:cs="Arial"/>
          <w:sz w:val="20"/>
          <w:szCs w:val="20"/>
        </w:rPr>
        <w:t xml:space="preserve"> počtu ekonomi</w:t>
      </w:r>
      <w:r w:rsidR="003B081A" w:rsidRPr="00917798">
        <w:rPr>
          <w:rFonts w:ascii="Arial" w:hAnsi="Arial" w:cs="Arial"/>
          <w:sz w:val="20"/>
          <w:szCs w:val="20"/>
        </w:rPr>
        <w:t>c</w:t>
      </w:r>
      <w:r w:rsidRPr="00917798">
        <w:rPr>
          <w:rFonts w:ascii="Arial" w:hAnsi="Arial" w:cs="Arial"/>
          <w:sz w:val="20"/>
          <w:szCs w:val="20"/>
        </w:rPr>
        <w:t xml:space="preserve">ky aktivních zaměstnaných osob s obvyklým pobytem na území regionu. </w:t>
      </w:r>
      <w:r w:rsidR="00C5342A" w:rsidRPr="00917798">
        <w:rPr>
          <w:rFonts w:ascii="Arial" w:hAnsi="Arial" w:cs="Arial"/>
          <w:sz w:val="20"/>
          <w:szCs w:val="20"/>
        </w:rPr>
        <w:t xml:space="preserve">Jde však o ukazatel, jehož vypovídací schopnost je jen neúplná, protože neuvažuje protisměrný pohyb, tj. </w:t>
      </w:r>
      <w:r w:rsidR="00C5342A" w:rsidRPr="00917798">
        <w:rPr>
          <w:rFonts w:ascii="Arial" w:hAnsi="Arial" w:cs="Arial"/>
          <w:sz w:val="20"/>
          <w:szCs w:val="20"/>
        </w:rPr>
        <w:lastRenderedPageBreak/>
        <w:t xml:space="preserve">dojížďku do regionu z vnějšku. Vhodnější je použít ukazatel obratu dojížďky a vyjížďky </w:t>
      </w:r>
      <w:r w:rsidR="000A0C45">
        <w:rPr>
          <w:rFonts w:ascii="Arial" w:hAnsi="Arial" w:cs="Arial"/>
          <w:sz w:val="20"/>
          <w:szCs w:val="20"/>
        </w:rPr>
        <w:t xml:space="preserve">na </w:t>
      </w:r>
      <w:r w:rsidR="00E30018" w:rsidRPr="00917798">
        <w:rPr>
          <w:rFonts w:ascii="Arial" w:hAnsi="Arial" w:cs="Arial"/>
          <w:sz w:val="20"/>
          <w:szCs w:val="20"/>
        </w:rPr>
        <w:t xml:space="preserve">1000 bydlících </w:t>
      </w:r>
      <w:r w:rsidR="000A0C45">
        <w:rPr>
          <w:rFonts w:ascii="Arial" w:hAnsi="Arial" w:cs="Arial"/>
          <w:sz w:val="20"/>
          <w:szCs w:val="20"/>
        </w:rPr>
        <w:t xml:space="preserve">zaměstnaných </w:t>
      </w:r>
      <w:r w:rsidR="00E30018" w:rsidRPr="00917798">
        <w:rPr>
          <w:rFonts w:ascii="Arial" w:hAnsi="Arial" w:cs="Arial"/>
          <w:sz w:val="20"/>
          <w:szCs w:val="20"/>
        </w:rPr>
        <w:t>ekonomicky</w:t>
      </w:r>
      <w:r w:rsidR="00E30018" w:rsidRPr="00BF659F">
        <w:rPr>
          <w:rFonts w:ascii="Arial" w:hAnsi="Arial" w:cs="Arial"/>
          <w:sz w:val="20"/>
          <w:szCs w:val="20"/>
        </w:rPr>
        <w:t xml:space="preserve"> aktivních obyvatel (bez pracujících studentů a učňů)</w:t>
      </w:r>
      <w:r w:rsidR="003A4418" w:rsidRPr="00BF659F">
        <w:rPr>
          <w:rFonts w:ascii="Arial" w:hAnsi="Arial" w:cs="Arial"/>
          <w:sz w:val="20"/>
          <w:szCs w:val="20"/>
        </w:rPr>
        <w:t xml:space="preserve">. </w:t>
      </w:r>
      <w:r w:rsidR="005362E6">
        <w:rPr>
          <w:rFonts w:ascii="Arial" w:hAnsi="Arial" w:cs="Arial"/>
          <w:sz w:val="20"/>
          <w:szCs w:val="20"/>
        </w:rPr>
        <w:t>Hodnoty</w:t>
      </w:r>
      <w:r w:rsidR="003A4418" w:rsidRPr="00BF659F">
        <w:rPr>
          <w:rFonts w:ascii="Arial" w:hAnsi="Arial" w:cs="Arial"/>
          <w:sz w:val="20"/>
          <w:szCs w:val="20"/>
        </w:rPr>
        <w:t xml:space="preserve"> </w:t>
      </w:r>
      <w:r w:rsidR="003A4418" w:rsidRPr="005362E6">
        <w:rPr>
          <w:rFonts w:ascii="Arial" w:hAnsi="Arial" w:cs="Arial"/>
          <w:sz w:val="20"/>
          <w:szCs w:val="20"/>
        </w:rPr>
        <w:t>ukazatel</w:t>
      </w:r>
      <w:r w:rsidR="005362E6">
        <w:rPr>
          <w:rFonts w:ascii="Arial" w:hAnsi="Arial" w:cs="Arial"/>
          <w:sz w:val="20"/>
          <w:szCs w:val="20"/>
        </w:rPr>
        <w:t>e</w:t>
      </w:r>
      <w:r w:rsidR="003A4418" w:rsidRPr="005362E6">
        <w:rPr>
          <w:rFonts w:ascii="Arial" w:hAnsi="Arial" w:cs="Arial"/>
          <w:sz w:val="20"/>
          <w:szCs w:val="20"/>
        </w:rPr>
        <w:t xml:space="preserve"> se pohybuj</w:t>
      </w:r>
      <w:r w:rsidR="005362E6">
        <w:rPr>
          <w:rFonts w:ascii="Arial" w:hAnsi="Arial" w:cs="Arial"/>
          <w:sz w:val="20"/>
          <w:szCs w:val="20"/>
        </w:rPr>
        <w:t>í</w:t>
      </w:r>
      <w:r w:rsidR="003A4418" w:rsidRPr="005362E6">
        <w:rPr>
          <w:rFonts w:ascii="Arial" w:hAnsi="Arial" w:cs="Arial"/>
          <w:sz w:val="20"/>
          <w:szCs w:val="20"/>
        </w:rPr>
        <w:t xml:space="preserve"> v rozmezí od </w:t>
      </w:r>
      <w:r w:rsidR="005362E6">
        <w:rPr>
          <w:rFonts w:ascii="Arial" w:hAnsi="Arial" w:cs="Arial"/>
          <w:sz w:val="20"/>
          <w:szCs w:val="20"/>
        </w:rPr>
        <w:t>104</w:t>
      </w:r>
      <w:r w:rsidR="003A4418" w:rsidRPr="005362E6">
        <w:rPr>
          <w:rFonts w:ascii="Arial" w:hAnsi="Arial" w:cs="Arial"/>
          <w:sz w:val="20"/>
          <w:szCs w:val="20"/>
        </w:rPr>
        <w:t xml:space="preserve"> (</w:t>
      </w:r>
      <w:r w:rsidR="005362E6">
        <w:rPr>
          <w:rFonts w:ascii="Arial" w:hAnsi="Arial" w:cs="Arial"/>
          <w:sz w:val="20"/>
          <w:szCs w:val="20"/>
        </w:rPr>
        <w:t>Jeseník)</w:t>
      </w:r>
      <w:r w:rsidR="003A4418" w:rsidRPr="005362E6">
        <w:rPr>
          <w:rFonts w:ascii="Arial" w:hAnsi="Arial" w:cs="Arial"/>
          <w:sz w:val="20"/>
          <w:szCs w:val="20"/>
        </w:rPr>
        <w:t xml:space="preserve"> do </w:t>
      </w:r>
      <w:r w:rsidR="005362E6">
        <w:rPr>
          <w:rFonts w:ascii="Arial" w:hAnsi="Arial" w:cs="Arial"/>
          <w:sz w:val="20"/>
          <w:szCs w:val="20"/>
        </w:rPr>
        <w:t>637</w:t>
      </w:r>
      <w:r w:rsidR="003A4418" w:rsidRPr="005362E6">
        <w:rPr>
          <w:rFonts w:ascii="Arial" w:hAnsi="Arial" w:cs="Arial"/>
          <w:sz w:val="20"/>
          <w:szCs w:val="20"/>
        </w:rPr>
        <w:t xml:space="preserve"> (</w:t>
      </w:r>
      <w:r w:rsidR="005362E6">
        <w:rPr>
          <w:rFonts w:ascii="Arial" w:hAnsi="Arial" w:cs="Arial"/>
          <w:sz w:val="20"/>
          <w:szCs w:val="20"/>
        </w:rPr>
        <w:t xml:space="preserve">Stráž pod </w:t>
      </w:r>
      <w:proofErr w:type="spellStart"/>
      <w:r w:rsidR="005362E6">
        <w:rPr>
          <w:rFonts w:ascii="Arial" w:hAnsi="Arial" w:cs="Arial"/>
          <w:sz w:val="20"/>
          <w:szCs w:val="20"/>
        </w:rPr>
        <w:t>Ralskem</w:t>
      </w:r>
      <w:proofErr w:type="spellEnd"/>
      <w:r w:rsidR="003A4418" w:rsidRPr="005362E6">
        <w:rPr>
          <w:rFonts w:ascii="Arial" w:hAnsi="Arial" w:cs="Arial"/>
          <w:sz w:val="20"/>
          <w:szCs w:val="20"/>
        </w:rPr>
        <w:t>)</w:t>
      </w:r>
      <w:r w:rsidR="0015317B" w:rsidRPr="005362E6">
        <w:rPr>
          <w:rFonts w:ascii="Arial" w:hAnsi="Arial" w:cs="Arial"/>
          <w:sz w:val="20"/>
          <w:szCs w:val="20"/>
        </w:rPr>
        <w:t>.</w:t>
      </w:r>
      <w:r w:rsidR="005362E6">
        <w:rPr>
          <w:rFonts w:ascii="Arial" w:hAnsi="Arial" w:cs="Arial"/>
          <w:sz w:val="20"/>
          <w:szCs w:val="20"/>
        </w:rPr>
        <w:t xml:space="preserve"> Nízké hodnoty indikují vysokou míru uzavřenosti pohybu za prací v rámci regionu a </w:t>
      </w:r>
      <w:r w:rsidR="002C7EBA">
        <w:rPr>
          <w:rFonts w:ascii="Arial" w:hAnsi="Arial" w:cs="Arial"/>
          <w:sz w:val="20"/>
          <w:szCs w:val="20"/>
        </w:rPr>
        <w:t>v</w:t>
      </w:r>
      <w:r w:rsidR="005362E6">
        <w:rPr>
          <w:rFonts w:ascii="Arial" w:hAnsi="Arial" w:cs="Arial"/>
          <w:sz w:val="20"/>
          <w:szCs w:val="20"/>
        </w:rPr>
        <w:t>ysoké naopak nízkou vnitřní integraci charakterizovanou většinou vysokou relativní vyjížďkou mimo hranice regionu. Extrémně nízkých hodnot dosahují zejména marginální regiony.</w:t>
      </w:r>
    </w:p>
    <w:p w:rsidR="0015317B" w:rsidRPr="005362E6" w:rsidRDefault="0015317B" w:rsidP="003A44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5342A" w:rsidRPr="005362E6" w:rsidRDefault="00560AAB" w:rsidP="00BA315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86053">
        <w:rPr>
          <w:rFonts w:ascii="Arial" w:hAnsi="Arial" w:cs="Arial"/>
          <w:sz w:val="20"/>
          <w:szCs w:val="20"/>
        </w:rPr>
        <w:object w:dxaOrig="7498" w:dyaOrig="7455">
          <v:shape id="_x0000_i1030" type="#_x0000_t75" style="width:374.9pt;height:372.4pt" o:ole="">
            <v:imagedata r:id="rId20" o:title=""/>
          </v:shape>
          <o:OLEObject Type="Embed" ProgID="Excel.Sheet.12" ShapeID="_x0000_i1030" DrawAspect="Content" ObjectID="_1479018132" r:id="rId21"/>
        </w:object>
      </w:r>
    </w:p>
    <w:p w:rsidR="00560AAB" w:rsidRDefault="00560AAB" w:rsidP="00560AA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A236A" w:rsidRDefault="00EE2DBD" w:rsidP="00560AA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E2DBD">
        <w:rPr>
          <w:rFonts w:ascii="Arial" w:hAnsi="Arial" w:cs="Arial"/>
          <w:b/>
          <w:sz w:val="24"/>
          <w:szCs w:val="24"/>
        </w:rPr>
        <w:t xml:space="preserve">Charakteristika největších </w:t>
      </w:r>
      <w:proofErr w:type="spellStart"/>
      <w:r w:rsidRPr="00EE2DBD">
        <w:rPr>
          <w:rFonts w:ascii="Arial" w:hAnsi="Arial" w:cs="Arial"/>
          <w:b/>
          <w:sz w:val="24"/>
          <w:szCs w:val="24"/>
        </w:rPr>
        <w:t>dojížďkových</w:t>
      </w:r>
      <w:proofErr w:type="spellEnd"/>
      <w:r w:rsidRPr="00EE2DBD">
        <w:rPr>
          <w:rFonts w:ascii="Arial" w:hAnsi="Arial" w:cs="Arial"/>
          <w:b/>
          <w:sz w:val="24"/>
          <w:szCs w:val="24"/>
        </w:rPr>
        <w:t xml:space="preserve"> regionů </w:t>
      </w:r>
    </w:p>
    <w:p w:rsidR="00560AAB" w:rsidRPr="008D59D6" w:rsidRDefault="00560AAB" w:rsidP="00560AA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C5223" w:rsidRPr="00BF659F" w:rsidRDefault="00C05DDE" w:rsidP="000A0C4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F659F">
        <w:rPr>
          <w:rFonts w:ascii="Arial" w:hAnsi="Arial" w:cs="Arial"/>
          <w:sz w:val="20"/>
          <w:szCs w:val="20"/>
        </w:rPr>
        <w:t xml:space="preserve">Na území České republiky bylo výše popsanými metodami vymezeno 227 </w:t>
      </w:r>
      <w:proofErr w:type="spellStart"/>
      <w:r w:rsidRPr="00BF659F">
        <w:rPr>
          <w:rFonts w:ascii="Arial" w:hAnsi="Arial" w:cs="Arial"/>
          <w:sz w:val="20"/>
          <w:szCs w:val="20"/>
        </w:rPr>
        <w:t>dojížďkových</w:t>
      </w:r>
      <w:proofErr w:type="spellEnd"/>
      <w:r w:rsidRPr="00BF659F">
        <w:rPr>
          <w:rFonts w:ascii="Arial" w:hAnsi="Arial" w:cs="Arial"/>
          <w:sz w:val="20"/>
          <w:szCs w:val="20"/>
        </w:rPr>
        <w:t xml:space="preserve"> regionů; </w:t>
      </w:r>
      <w:r w:rsidRPr="000A0C45">
        <w:rPr>
          <w:rFonts w:ascii="Arial" w:hAnsi="Arial" w:cs="Arial"/>
          <w:sz w:val="20"/>
          <w:szCs w:val="20"/>
        </w:rPr>
        <w:t>500</w:t>
      </w:r>
      <w:r w:rsidRPr="00BF659F">
        <w:rPr>
          <w:rFonts w:ascii="Arial" w:hAnsi="Arial" w:cs="Arial"/>
          <w:sz w:val="20"/>
          <w:szCs w:val="20"/>
        </w:rPr>
        <w:t xml:space="preserve"> obcí bylo klasifikováno jako nezařazené</w:t>
      </w:r>
      <w:r w:rsidR="000A0C45">
        <w:rPr>
          <w:rFonts w:ascii="Arial" w:hAnsi="Arial" w:cs="Arial"/>
          <w:sz w:val="20"/>
          <w:szCs w:val="20"/>
        </w:rPr>
        <w:t xml:space="preserve"> do žádného z regionů</w:t>
      </w:r>
      <w:r w:rsidRPr="00BF659F">
        <w:rPr>
          <w:rFonts w:ascii="Arial" w:hAnsi="Arial" w:cs="Arial"/>
          <w:sz w:val="20"/>
          <w:szCs w:val="20"/>
        </w:rPr>
        <w:t xml:space="preserve">. </w:t>
      </w:r>
      <w:r w:rsidR="005C48C5" w:rsidRPr="00BF659F">
        <w:rPr>
          <w:rFonts w:ascii="Arial" w:hAnsi="Arial" w:cs="Arial"/>
          <w:sz w:val="20"/>
          <w:szCs w:val="20"/>
        </w:rPr>
        <w:t xml:space="preserve">Územní vymezení </w:t>
      </w:r>
      <w:proofErr w:type="spellStart"/>
      <w:r w:rsidR="005C48C5" w:rsidRPr="00BF659F">
        <w:rPr>
          <w:rFonts w:ascii="Arial" w:hAnsi="Arial" w:cs="Arial"/>
          <w:sz w:val="20"/>
          <w:szCs w:val="20"/>
        </w:rPr>
        <w:t>dojížďkových</w:t>
      </w:r>
      <w:proofErr w:type="spellEnd"/>
      <w:r w:rsidR="005C48C5" w:rsidRPr="00BF659F">
        <w:rPr>
          <w:rFonts w:ascii="Arial" w:hAnsi="Arial" w:cs="Arial"/>
          <w:sz w:val="20"/>
          <w:szCs w:val="20"/>
        </w:rPr>
        <w:t xml:space="preserve"> regionů </w:t>
      </w:r>
      <w:r w:rsidR="000A0C45">
        <w:rPr>
          <w:rFonts w:ascii="Arial" w:hAnsi="Arial" w:cs="Arial"/>
          <w:sz w:val="20"/>
          <w:szCs w:val="20"/>
        </w:rPr>
        <w:t>zobrazuje</w:t>
      </w:r>
      <w:r w:rsidR="005C48C5" w:rsidRPr="00BF659F">
        <w:rPr>
          <w:rFonts w:ascii="Arial" w:hAnsi="Arial" w:cs="Arial"/>
          <w:sz w:val="20"/>
          <w:szCs w:val="20"/>
        </w:rPr>
        <w:t xml:space="preserve"> přiložená mapa ve formátu </w:t>
      </w:r>
      <w:proofErr w:type="spellStart"/>
      <w:r w:rsidR="005C48C5" w:rsidRPr="00BF659F">
        <w:rPr>
          <w:rFonts w:ascii="Arial" w:hAnsi="Arial" w:cs="Arial"/>
          <w:i/>
          <w:sz w:val="20"/>
          <w:szCs w:val="20"/>
        </w:rPr>
        <w:t>pdf</w:t>
      </w:r>
      <w:proofErr w:type="spellEnd"/>
      <w:r w:rsidR="000A0C45">
        <w:rPr>
          <w:rFonts w:ascii="Arial" w:hAnsi="Arial" w:cs="Arial"/>
          <w:i/>
          <w:sz w:val="20"/>
          <w:szCs w:val="20"/>
        </w:rPr>
        <w:t>.</w:t>
      </w:r>
      <w:r w:rsidR="005C48C5" w:rsidRPr="00BF659F">
        <w:rPr>
          <w:rFonts w:ascii="Arial" w:hAnsi="Arial" w:cs="Arial"/>
          <w:sz w:val="20"/>
          <w:szCs w:val="20"/>
        </w:rPr>
        <w:t xml:space="preserve"> </w:t>
      </w:r>
      <w:r w:rsidR="000A0C45" w:rsidRPr="000A0C45">
        <w:rPr>
          <w:rFonts w:ascii="Arial" w:hAnsi="Arial" w:cs="Arial"/>
          <w:sz w:val="20"/>
          <w:szCs w:val="20"/>
        </w:rPr>
        <w:t>Značkami na mapě jsou znázorněny obce s</w:t>
      </w:r>
      <w:r w:rsidR="004A3E4B">
        <w:rPr>
          <w:rFonts w:ascii="Arial" w:hAnsi="Arial" w:cs="Arial"/>
          <w:sz w:val="20"/>
          <w:szCs w:val="20"/>
        </w:rPr>
        <w:t>e</w:t>
      </w:r>
      <w:r w:rsidR="000A0C45" w:rsidRPr="000A0C45">
        <w:rPr>
          <w:rFonts w:ascii="Arial" w:hAnsi="Arial" w:cs="Arial"/>
          <w:sz w:val="20"/>
          <w:szCs w:val="20"/>
        </w:rPr>
        <w:t xml:space="preserve"> 3000 </w:t>
      </w:r>
      <w:r w:rsidR="004A3E4B">
        <w:rPr>
          <w:rFonts w:ascii="Arial" w:hAnsi="Arial" w:cs="Arial"/>
          <w:sz w:val="20"/>
          <w:szCs w:val="20"/>
        </w:rPr>
        <w:t xml:space="preserve">a více </w:t>
      </w:r>
      <w:r w:rsidR="000A0C45" w:rsidRPr="000A0C45">
        <w:rPr>
          <w:rFonts w:ascii="Arial" w:hAnsi="Arial" w:cs="Arial"/>
          <w:sz w:val="20"/>
          <w:szCs w:val="20"/>
        </w:rPr>
        <w:t>obyvateli. P</w:t>
      </w:r>
      <w:r w:rsidR="005C48C5" w:rsidRPr="000A0C45">
        <w:rPr>
          <w:rFonts w:ascii="Arial" w:hAnsi="Arial" w:cs="Arial"/>
          <w:sz w:val="20"/>
          <w:szCs w:val="20"/>
        </w:rPr>
        <w:t>řehled regionů se základními</w:t>
      </w:r>
      <w:r w:rsidR="005C48C5" w:rsidRPr="00BF659F">
        <w:rPr>
          <w:rFonts w:ascii="Arial" w:hAnsi="Arial" w:cs="Arial"/>
          <w:sz w:val="20"/>
          <w:szCs w:val="20"/>
        </w:rPr>
        <w:t xml:space="preserve"> údaji je uveden </w:t>
      </w:r>
      <w:r w:rsidR="005C48C5" w:rsidRPr="00BA315A">
        <w:rPr>
          <w:rFonts w:ascii="Arial" w:hAnsi="Arial" w:cs="Arial"/>
          <w:sz w:val="20"/>
          <w:szCs w:val="20"/>
        </w:rPr>
        <w:t>v</w:t>
      </w:r>
      <w:r w:rsidR="00236BCA">
        <w:rPr>
          <w:rFonts w:ascii="Arial" w:hAnsi="Arial" w:cs="Arial"/>
          <w:sz w:val="20"/>
          <w:szCs w:val="20"/>
        </w:rPr>
        <w:t> příloze 1</w:t>
      </w:r>
      <w:r w:rsidR="005C48C5" w:rsidRPr="00BA315A">
        <w:rPr>
          <w:rFonts w:ascii="Arial" w:hAnsi="Arial" w:cs="Arial"/>
          <w:sz w:val="20"/>
          <w:szCs w:val="20"/>
        </w:rPr>
        <w:t>.</w:t>
      </w:r>
      <w:r w:rsidR="005C48C5" w:rsidRPr="00BF659F">
        <w:rPr>
          <w:rFonts w:ascii="Arial" w:hAnsi="Arial" w:cs="Arial"/>
          <w:sz w:val="20"/>
          <w:szCs w:val="20"/>
        </w:rPr>
        <w:t xml:space="preserve"> </w:t>
      </w:r>
    </w:p>
    <w:p w:rsidR="005C48C5" w:rsidRPr="00BF659F" w:rsidRDefault="005C48C5" w:rsidP="000A0C4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F659F">
        <w:rPr>
          <w:rFonts w:ascii="Arial" w:hAnsi="Arial" w:cs="Arial"/>
          <w:sz w:val="20"/>
          <w:szCs w:val="20"/>
        </w:rPr>
        <w:t xml:space="preserve">Odkazujeme rovněž na mapový list Vyjížďka a dojížďka do zaměstnání a do škol v citovaném Atlase sčítání 2011, kde je barevně vyjádřena intenzita vyjížďky do zaměstnání za jednotlivé obce a orientovanými vektory jsou zobrazeny </w:t>
      </w:r>
      <w:proofErr w:type="spellStart"/>
      <w:r w:rsidRPr="00BF659F">
        <w:rPr>
          <w:rFonts w:ascii="Arial" w:hAnsi="Arial" w:cs="Arial"/>
          <w:sz w:val="20"/>
          <w:szCs w:val="20"/>
        </w:rPr>
        <w:t>dojížďkové</w:t>
      </w:r>
      <w:proofErr w:type="spellEnd"/>
      <w:r w:rsidRPr="00BF659F">
        <w:rPr>
          <w:rFonts w:ascii="Arial" w:hAnsi="Arial" w:cs="Arial"/>
          <w:sz w:val="20"/>
          <w:szCs w:val="20"/>
        </w:rPr>
        <w:t xml:space="preserve"> proudy s více než 200 dojíždějícími. </w:t>
      </w:r>
      <w:r w:rsidR="001C5223" w:rsidRPr="00BF659F">
        <w:rPr>
          <w:rFonts w:ascii="Arial" w:hAnsi="Arial" w:cs="Arial"/>
          <w:sz w:val="20"/>
          <w:szCs w:val="20"/>
        </w:rPr>
        <w:t xml:space="preserve">Mapový list je převzat beze změn i do </w:t>
      </w:r>
      <w:r w:rsidR="00035E2D">
        <w:rPr>
          <w:rFonts w:ascii="Arial" w:hAnsi="Arial" w:cs="Arial"/>
          <w:sz w:val="20"/>
          <w:szCs w:val="20"/>
        </w:rPr>
        <w:t xml:space="preserve">přílohy </w:t>
      </w:r>
      <w:r w:rsidR="001C5223" w:rsidRPr="00BF659F">
        <w:rPr>
          <w:rFonts w:ascii="Arial" w:hAnsi="Arial" w:cs="Arial"/>
          <w:sz w:val="20"/>
          <w:szCs w:val="20"/>
        </w:rPr>
        <w:t>tohoto dokumentu.</w:t>
      </w:r>
    </w:p>
    <w:p w:rsidR="005C48C5" w:rsidRPr="00BF659F" w:rsidRDefault="005C48C5" w:rsidP="000A0C4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F659F">
        <w:rPr>
          <w:rFonts w:ascii="Arial" w:hAnsi="Arial" w:cs="Arial"/>
          <w:sz w:val="20"/>
          <w:szCs w:val="20"/>
        </w:rPr>
        <w:t xml:space="preserve">Již první pohled na mapu </w:t>
      </w:r>
      <w:proofErr w:type="spellStart"/>
      <w:r w:rsidR="002C7EBA">
        <w:rPr>
          <w:rFonts w:ascii="Arial" w:hAnsi="Arial" w:cs="Arial"/>
          <w:sz w:val="20"/>
          <w:szCs w:val="20"/>
        </w:rPr>
        <w:t>dojížďkových</w:t>
      </w:r>
      <w:proofErr w:type="spellEnd"/>
      <w:r w:rsidR="002C7EBA">
        <w:rPr>
          <w:rFonts w:ascii="Arial" w:hAnsi="Arial" w:cs="Arial"/>
          <w:sz w:val="20"/>
          <w:szCs w:val="20"/>
        </w:rPr>
        <w:t xml:space="preserve"> regionů </w:t>
      </w:r>
      <w:r w:rsidRPr="00BF659F">
        <w:rPr>
          <w:rFonts w:ascii="Arial" w:hAnsi="Arial" w:cs="Arial"/>
          <w:sz w:val="20"/>
          <w:szCs w:val="20"/>
        </w:rPr>
        <w:t xml:space="preserve">ukazuje na dominantní postavení několika nejsilnějších regionů. </w:t>
      </w:r>
      <w:r w:rsidR="001C5223" w:rsidRPr="00BF659F">
        <w:rPr>
          <w:rFonts w:ascii="Arial" w:hAnsi="Arial" w:cs="Arial"/>
          <w:sz w:val="20"/>
          <w:szCs w:val="20"/>
        </w:rPr>
        <w:t>Samotná rozloha</w:t>
      </w:r>
      <w:r w:rsidRPr="00BF659F">
        <w:rPr>
          <w:rFonts w:ascii="Arial" w:hAnsi="Arial" w:cs="Arial"/>
          <w:sz w:val="20"/>
          <w:szCs w:val="20"/>
        </w:rPr>
        <w:t xml:space="preserve"> však samozřejmě ještě neříká mnoho o jejich lidnatosti</w:t>
      </w:r>
      <w:r w:rsidR="002C7EBA">
        <w:rPr>
          <w:rFonts w:ascii="Arial" w:hAnsi="Arial" w:cs="Arial"/>
          <w:sz w:val="20"/>
          <w:szCs w:val="20"/>
        </w:rPr>
        <w:t>, počtu pracovních míst</w:t>
      </w:r>
      <w:r w:rsidRPr="00BF659F">
        <w:rPr>
          <w:rFonts w:ascii="Arial" w:hAnsi="Arial" w:cs="Arial"/>
          <w:sz w:val="20"/>
          <w:szCs w:val="20"/>
        </w:rPr>
        <w:t xml:space="preserve"> a vnitřní provázanosti. </w:t>
      </w:r>
    </w:p>
    <w:p w:rsidR="00E251A9" w:rsidRPr="00BF659F" w:rsidRDefault="00C05DDE" w:rsidP="000A0C4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F659F">
        <w:rPr>
          <w:rFonts w:ascii="Arial" w:hAnsi="Arial" w:cs="Arial"/>
          <w:sz w:val="20"/>
          <w:szCs w:val="20"/>
        </w:rPr>
        <w:t>Regiony s více než 100 tis. obyvateli vytvářejí všechna krajská města</w:t>
      </w:r>
      <w:r w:rsidR="00FF1A63" w:rsidRPr="00BF659F">
        <w:rPr>
          <w:rFonts w:ascii="Arial" w:hAnsi="Arial" w:cs="Arial"/>
          <w:sz w:val="20"/>
          <w:szCs w:val="20"/>
        </w:rPr>
        <w:t xml:space="preserve"> a</w:t>
      </w:r>
      <w:r w:rsidRPr="00BF659F">
        <w:rPr>
          <w:rFonts w:ascii="Arial" w:hAnsi="Arial" w:cs="Arial"/>
          <w:sz w:val="20"/>
          <w:szCs w:val="20"/>
        </w:rPr>
        <w:t xml:space="preserve"> dále pak města Mladá Boleslav, Teplice, Opava a Třinec</w:t>
      </w:r>
      <w:r w:rsidR="00FF1A63" w:rsidRPr="00BF659F">
        <w:rPr>
          <w:rFonts w:ascii="Arial" w:hAnsi="Arial" w:cs="Arial"/>
          <w:sz w:val="20"/>
          <w:szCs w:val="20"/>
        </w:rPr>
        <w:t xml:space="preserve">. Nejmenšími samostatně vymezenými </w:t>
      </w:r>
      <w:proofErr w:type="spellStart"/>
      <w:r w:rsidR="00FF1A63" w:rsidRPr="00BF659F">
        <w:rPr>
          <w:rFonts w:ascii="Arial" w:hAnsi="Arial" w:cs="Arial"/>
          <w:sz w:val="20"/>
          <w:szCs w:val="20"/>
        </w:rPr>
        <w:t>dojížďkovými</w:t>
      </w:r>
      <w:proofErr w:type="spellEnd"/>
      <w:r w:rsidR="00FF1A63" w:rsidRPr="00BF659F">
        <w:rPr>
          <w:rFonts w:ascii="Arial" w:hAnsi="Arial" w:cs="Arial"/>
          <w:sz w:val="20"/>
          <w:szCs w:val="20"/>
        </w:rPr>
        <w:t xml:space="preserve"> regiony co do počtu obyvatel a </w:t>
      </w:r>
      <w:r w:rsidR="008D59D6">
        <w:rPr>
          <w:rFonts w:ascii="Arial" w:hAnsi="Arial" w:cs="Arial"/>
          <w:sz w:val="20"/>
          <w:szCs w:val="20"/>
        </w:rPr>
        <w:t>tvořených</w:t>
      </w:r>
      <w:r w:rsidR="00FF1A63" w:rsidRPr="00BF659F">
        <w:rPr>
          <w:rFonts w:ascii="Arial" w:hAnsi="Arial" w:cs="Arial"/>
          <w:sz w:val="20"/>
          <w:szCs w:val="20"/>
        </w:rPr>
        <w:t> pouhými třemi až šesti obcemi j</w:t>
      </w:r>
      <w:r w:rsidR="00E675B2" w:rsidRPr="00BF659F">
        <w:rPr>
          <w:rFonts w:ascii="Arial" w:hAnsi="Arial" w:cs="Arial"/>
          <w:sz w:val="20"/>
          <w:szCs w:val="20"/>
        </w:rPr>
        <w:t>e</w:t>
      </w:r>
      <w:r w:rsidR="00FF1A63" w:rsidRPr="00BF659F">
        <w:rPr>
          <w:rFonts w:ascii="Arial" w:hAnsi="Arial" w:cs="Arial"/>
          <w:sz w:val="20"/>
          <w:szCs w:val="20"/>
        </w:rPr>
        <w:t xml:space="preserve"> </w:t>
      </w:r>
      <w:r w:rsidR="002C7EBA" w:rsidRPr="00101AD0">
        <w:rPr>
          <w:rFonts w:ascii="Arial" w:hAnsi="Arial" w:cs="Arial"/>
          <w:sz w:val="20"/>
          <w:szCs w:val="20"/>
        </w:rPr>
        <w:t>8</w:t>
      </w:r>
      <w:r w:rsidR="00E675B2" w:rsidRPr="00101AD0">
        <w:rPr>
          <w:rFonts w:ascii="Arial" w:hAnsi="Arial" w:cs="Arial"/>
          <w:sz w:val="20"/>
          <w:szCs w:val="20"/>
        </w:rPr>
        <w:t xml:space="preserve"> regionů </w:t>
      </w:r>
      <w:r w:rsidR="002C7EBA" w:rsidRPr="00101AD0">
        <w:rPr>
          <w:rFonts w:ascii="Arial" w:hAnsi="Arial" w:cs="Arial"/>
          <w:sz w:val="20"/>
          <w:szCs w:val="20"/>
        </w:rPr>
        <w:t xml:space="preserve">s méně než </w:t>
      </w:r>
      <w:r w:rsidR="00E675B2" w:rsidRPr="00101AD0">
        <w:rPr>
          <w:rFonts w:ascii="Arial" w:hAnsi="Arial" w:cs="Arial"/>
          <w:sz w:val="20"/>
          <w:szCs w:val="20"/>
        </w:rPr>
        <w:t>5000 obyvatel</w:t>
      </w:r>
      <w:r w:rsidR="00101AD0" w:rsidRPr="00101AD0">
        <w:rPr>
          <w:rFonts w:ascii="Arial" w:hAnsi="Arial" w:cs="Arial"/>
          <w:sz w:val="20"/>
          <w:szCs w:val="20"/>
        </w:rPr>
        <w:t>i</w:t>
      </w:r>
      <w:r w:rsidR="00101AD0">
        <w:rPr>
          <w:rFonts w:ascii="Arial" w:hAnsi="Arial" w:cs="Arial"/>
          <w:sz w:val="20"/>
          <w:szCs w:val="20"/>
        </w:rPr>
        <w:t>;</w:t>
      </w:r>
      <w:r w:rsidR="00E675B2" w:rsidRPr="00BF659F">
        <w:rPr>
          <w:rFonts w:ascii="Arial" w:hAnsi="Arial" w:cs="Arial"/>
          <w:sz w:val="20"/>
          <w:szCs w:val="20"/>
        </w:rPr>
        <w:t xml:space="preserve"> </w:t>
      </w:r>
      <w:r w:rsidR="00E675B2" w:rsidRPr="00BF659F">
        <w:rPr>
          <w:rFonts w:ascii="Arial" w:hAnsi="Arial" w:cs="Arial"/>
          <w:sz w:val="20"/>
          <w:szCs w:val="20"/>
        </w:rPr>
        <w:lastRenderedPageBreak/>
        <w:t xml:space="preserve">nejmenšími z nich jsou regiony Adršpachu (4 obce, 3086 obyvatel) a </w:t>
      </w:r>
      <w:proofErr w:type="spellStart"/>
      <w:r w:rsidR="00E675B2" w:rsidRPr="00BF659F">
        <w:rPr>
          <w:rFonts w:ascii="Arial" w:hAnsi="Arial" w:cs="Arial"/>
          <w:sz w:val="20"/>
          <w:szCs w:val="20"/>
        </w:rPr>
        <w:t>Golčova</w:t>
      </w:r>
      <w:proofErr w:type="spellEnd"/>
      <w:r w:rsidR="00E675B2" w:rsidRPr="00BF65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75B2" w:rsidRPr="00BF659F">
        <w:rPr>
          <w:rFonts w:ascii="Arial" w:hAnsi="Arial" w:cs="Arial"/>
          <w:sz w:val="20"/>
          <w:szCs w:val="20"/>
        </w:rPr>
        <w:t>Jeníkova</w:t>
      </w:r>
      <w:proofErr w:type="spellEnd"/>
      <w:r w:rsidR="00E675B2" w:rsidRPr="00BF659F">
        <w:rPr>
          <w:rFonts w:ascii="Arial" w:hAnsi="Arial" w:cs="Arial"/>
          <w:sz w:val="20"/>
          <w:szCs w:val="20"/>
        </w:rPr>
        <w:t xml:space="preserve"> (4 obce, 3907 obyvatel). </w:t>
      </w:r>
    </w:p>
    <w:p w:rsidR="008A56EC" w:rsidRPr="00BF659F" w:rsidRDefault="00DE1AF3" w:rsidP="000A0C4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F659F">
        <w:rPr>
          <w:rFonts w:ascii="Arial" w:hAnsi="Arial" w:cs="Arial"/>
          <w:sz w:val="20"/>
          <w:szCs w:val="20"/>
        </w:rPr>
        <w:t xml:space="preserve">Největším </w:t>
      </w:r>
      <w:proofErr w:type="spellStart"/>
      <w:r w:rsidRPr="00BF659F">
        <w:rPr>
          <w:rFonts w:ascii="Arial" w:hAnsi="Arial" w:cs="Arial"/>
          <w:sz w:val="20"/>
          <w:szCs w:val="20"/>
        </w:rPr>
        <w:t>dojížďkovým</w:t>
      </w:r>
      <w:proofErr w:type="spellEnd"/>
      <w:r w:rsidRPr="00BF659F">
        <w:rPr>
          <w:rFonts w:ascii="Arial" w:hAnsi="Arial" w:cs="Arial"/>
          <w:sz w:val="20"/>
          <w:szCs w:val="20"/>
        </w:rPr>
        <w:t xml:space="preserve"> regionem </w:t>
      </w:r>
      <w:r w:rsidR="004B2D93" w:rsidRPr="00BF659F">
        <w:rPr>
          <w:rFonts w:ascii="Arial" w:hAnsi="Arial" w:cs="Arial"/>
          <w:sz w:val="20"/>
          <w:szCs w:val="20"/>
        </w:rPr>
        <w:t xml:space="preserve">České republiky </w:t>
      </w:r>
      <w:r w:rsidRPr="00BF659F">
        <w:rPr>
          <w:rFonts w:ascii="Arial" w:hAnsi="Arial" w:cs="Arial"/>
          <w:sz w:val="20"/>
          <w:szCs w:val="20"/>
        </w:rPr>
        <w:t xml:space="preserve">je </w:t>
      </w:r>
      <w:r w:rsidRPr="00BF659F">
        <w:rPr>
          <w:rFonts w:ascii="Arial" w:hAnsi="Arial" w:cs="Arial"/>
          <w:b/>
          <w:sz w:val="20"/>
          <w:szCs w:val="20"/>
        </w:rPr>
        <w:t>Praha</w:t>
      </w:r>
      <w:r w:rsidR="00782B01" w:rsidRPr="00BF659F">
        <w:rPr>
          <w:rFonts w:ascii="Arial" w:hAnsi="Arial" w:cs="Arial"/>
          <w:sz w:val="20"/>
          <w:szCs w:val="20"/>
        </w:rPr>
        <w:t xml:space="preserve">. Tento region zahrnuje </w:t>
      </w:r>
      <w:r w:rsidRPr="00101AD0">
        <w:rPr>
          <w:rFonts w:ascii="Arial" w:hAnsi="Arial" w:cs="Arial"/>
          <w:sz w:val="20"/>
          <w:szCs w:val="20"/>
        </w:rPr>
        <w:t>43</w:t>
      </w:r>
      <w:r w:rsidR="00782B01" w:rsidRPr="00101AD0">
        <w:rPr>
          <w:rFonts w:ascii="Arial" w:hAnsi="Arial" w:cs="Arial"/>
          <w:sz w:val="20"/>
          <w:szCs w:val="20"/>
        </w:rPr>
        <w:t>6</w:t>
      </w:r>
      <w:r w:rsidRPr="00101AD0">
        <w:rPr>
          <w:rFonts w:ascii="Arial" w:hAnsi="Arial" w:cs="Arial"/>
          <w:sz w:val="20"/>
          <w:szCs w:val="20"/>
        </w:rPr>
        <w:t xml:space="preserve"> obcí s</w:t>
      </w:r>
      <w:r w:rsidR="00782B01" w:rsidRPr="00101AD0">
        <w:rPr>
          <w:rFonts w:ascii="Arial" w:hAnsi="Arial" w:cs="Arial"/>
          <w:sz w:val="20"/>
          <w:szCs w:val="20"/>
        </w:rPr>
        <w:t xml:space="preserve"> téměř 1,8 mil. </w:t>
      </w:r>
      <w:r w:rsidR="00B41FE8" w:rsidRPr="00101AD0">
        <w:rPr>
          <w:rFonts w:ascii="Arial" w:hAnsi="Arial" w:cs="Arial"/>
          <w:sz w:val="20"/>
          <w:szCs w:val="20"/>
        </w:rPr>
        <w:t>o</w:t>
      </w:r>
      <w:r w:rsidR="00782B01" w:rsidRPr="00101AD0">
        <w:rPr>
          <w:rFonts w:ascii="Arial" w:hAnsi="Arial" w:cs="Arial"/>
          <w:sz w:val="20"/>
          <w:szCs w:val="20"/>
        </w:rPr>
        <w:t>byvateli</w:t>
      </w:r>
      <w:r w:rsidR="00B41FE8" w:rsidRPr="00101AD0">
        <w:rPr>
          <w:rFonts w:ascii="Arial" w:hAnsi="Arial" w:cs="Arial"/>
          <w:sz w:val="20"/>
          <w:szCs w:val="20"/>
        </w:rPr>
        <w:t xml:space="preserve">, z nichž je </w:t>
      </w:r>
      <w:r w:rsidR="00101AD0" w:rsidRPr="00101AD0">
        <w:rPr>
          <w:rFonts w:ascii="Arial" w:hAnsi="Arial" w:cs="Arial"/>
          <w:sz w:val="20"/>
          <w:szCs w:val="20"/>
        </w:rPr>
        <w:t>820</w:t>
      </w:r>
      <w:r w:rsidR="00B41FE8" w:rsidRPr="00101AD0">
        <w:rPr>
          <w:rFonts w:ascii="Arial" w:hAnsi="Arial" w:cs="Arial"/>
          <w:sz w:val="20"/>
          <w:szCs w:val="20"/>
        </w:rPr>
        <w:t xml:space="preserve"> tis. </w:t>
      </w:r>
      <w:r w:rsidR="00267511" w:rsidRPr="00101AD0">
        <w:rPr>
          <w:rFonts w:ascii="Arial" w:hAnsi="Arial" w:cs="Arial"/>
          <w:sz w:val="20"/>
          <w:szCs w:val="20"/>
        </w:rPr>
        <w:t>Z</w:t>
      </w:r>
      <w:r w:rsidR="00101AD0" w:rsidRPr="00101AD0">
        <w:rPr>
          <w:rFonts w:ascii="Arial" w:hAnsi="Arial" w:cs="Arial"/>
          <w:sz w:val="20"/>
          <w:szCs w:val="20"/>
        </w:rPr>
        <w:t>aměstnaných</w:t>
      </w:r>
      <w:r w:rsidR="00267511">
        <w:rPr>
          <w:rFonts w:ascii="Arial" w:hAnsi="Arial" w:cs="Arial"/>
          <w:sz w:val="20"/>
          <w:szCs w:val="20"/>
        </w:rPr>
        <w:t xml:space="preserve"> </w:t>
      </w:r>
      <w:r w:rsidR="004A3E4B">
        <w:rPr>
          <w:rFonts w:ascii="Arial" w:hAnsi="Arial" w:cs="Arial"/>
          <w:sz w:val="20"/>
          <w:szCs w:val="20"/>
        </w:rPr>
        <w:t>(bez pracujících studentů a učňů)</w:t>
      </w:r>
      <w:r w:rsidR="00E251A9" w:rsidRPr="00101AD0">
        <w:rPr>
          <w:rFonts w:ascii="Arial" w:hAnsi="Arial" w:cs="Arial"/>
          <w:sz w:val="20"/>
          <w:szCs w:val="20"/>
        </w:rPr>
        <w:t>.</w:t>
      </w:r>
      <w:r w:rsidR="00B41FE8" w:rsidRPr="00101AD0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101AD0">
        <w:rPr>
          <w:rFonts w:ascii="Arial" w:hAnsi="Arial" w:cs="Arial"/>
          <w:sz w:val="20"/>
          <w:szCs w:val="20"/>
        </w:rPr>
        <w:t>Region m</w:t>
      </w:r>
      <w:r w:rsidR="00782B01" w:rsidRPr="00101AD0">
        <w:rPr>
          <w:rFonts w:ascii="Arial" w:hAnsi="Arial" w:cs="Arial"/>
          <w:sz w:val="20"/>
          <w:szCs w:val="20"/>
        </w:rPr>
        <w:t>á rozlo</w:t>
      </w:r>
      <w:r w:rsidR="00782B01" w:rsidRPr="00BF659F">
        <w:rPr>
          <w:rFonts w:ascii="Arial" w:hAnsi="Arial" w:cs="Arial"/>
          <w:sz w:val="20"/>
          <w:szCs w:val="20"/>
        </w:rPr>
        <w:t xml:space="preserve">hu </w:t>
      </w:r>
      <w:r w:rsidR="0021302E" w:rsidRPr="00BF659F">
        <w:rPr>
          <w:rFonts w:ascii="Arial" w:hAnsi="Arial" w:cs="Arial"/>
          <w:sz w:val="20"/>
          <w:szCs w:val="20"/>
        </w:rPr>
        <w:t>3989</w:t>
      </w:r>
      <w:r w:rsidR="00782B01" w:rsidRPr="00BF659F">
        <w:rPr>
          <w:rFonts w:ascii="Arial" w:hAnsi="Arial" w:cs="Arial"/>
          <w:sz w:val="20"/>
          <w:szCs w:val="20"/>
        </w:rPr>
        <w:t xml:space="preserve"> km</w:t>
      </w:r>
      <w:r w:rsidR="00782B01" w:rsidRPr="00BF659F">
        <w:rPr>
          <w:rFonts w:ascii="Arial" w:hAnsi="Arial" w:cs="Arial"/>
          <w:sz w:val="20"/>
          <w:szCs w:val="20"/>
          <w:vertAlign w:val="superscript"/>
        </w:rPr>
        <w:t>2</w:t>
      </w:r>
      <w:r w:rsidR="00782B01" w:rsidRPr="00BF659F">
        <w:rPr>
          <w:rFonts w:ascii="Arial" w:hAnsi="Arial" w:cs="Arial"/>
          <w:sz w:val="20"/>
          <w:szCs w:val="20"/>
        </w:rPr>
        <w:t xml:space="preserve">, tedy </w:t>
      </w:r>
      <w:r w:rsidR="00101AD0">
        <w:rPr>
          <w:rFonts w:ascii="Arial" w:hAnsi="Arial" w:cs="Arial"/>
          <w:sz w:val="20"/>
          <w:szCs w:val="20"/>
        </w:rPr>
        <w:t>více než jednu třetinu Středočeského kraje (</w:t>
      </w:r>
      <w:r w:rsidR="0021302E" w:rsidRPr="00BF659F">
        <w:rPr>
          <w:rFonts w:ascii="Arial" w:hAnsi="Arial" w:cs="Arial"/>
          <w:sz w:val="20"/>
          <w:szCs w:val="20"/>
        </w:rPr>
        <w:t xml:space="preserve">5,1 </w:t>
      </w:r>
      <w:r w:rsidR="00782B01" w:rsidRPr="00BF659F">
        <w:rPr>
          <w:rFonts w:ascii="Arial" w:hAnsi="Arial" w:cs="Arial"/>
          <w:sz w:val="20"/>
          <w:szCs w:val="20"/>
        </w:rPr>
        <w:t>% rozlohy celé Č</w:t>
      </w:r>
      <w:r w:rsidR="000A0C45">
        <w:rPr>
          <w:rFonts w:ascii="Arial" w:hAnsi="Arial" w:cs="Arial"/>
          <w:sz w:val="20"/>
          <w:szCs w:val="20"/>
        </w:rPr>
        <w:t>eské republiky</w:t>
      </w:r>
      <w:r w:rsidR="00101AD0">
        <w:rPr>
          <w:rFonts w:ascii="Arial" w:hAnsi="Arial" w:cs="Arial"/>
          <w:sz w:val="20"/>
          <w:szCs w:val="20"/>
        </w:rPr>
        <w:t>)</w:t>
      </w:r>
      <w:r w:rsidR="00782B01" w:rsidRPr="00BF659F">
        <w:rPr>
          <w:rFonts w:ascii="Arial" w:hAnsi="Arial" w:cs="Arial"/>
          <w:sz w:val="20"/>
          <w:szCs w:val="20"/>
        </w:rPr>
        <w:t xml:space="preserve">. </w:t>
      </w:r>
      <w:r w:rsidR="004B2D93" w:rsidRPr="00BF659F">
        <w:rPr>
          <w:rFonts w:ascii="Arial" w:hAnsi="Arial" w:cs="Arial"/>
          <w:sz w:val="20"/>
          <w:szCs w:val="20"/>
        </w:rPr>
        <w:t xml:space="preserve">Zaujímá celé území okresu Praha-západ a bez několika výjimek (Brandýs nad Labem a okolní obce) i okresu Praha-východ. Území regionu přesahuje </w:t>
      </w:r>
      <w:r w:rsidRPr="00BF659F">
        <w:rPr>
          <w:rFonts w:ascii="Arial" w:hAnsi="Arial" w:cs="Arial"/>
          <w:sz w:val="20"/>
          <w:szCs w:val="20"/>
        </w:rPr>
        <w:t xml:space="preserve">významně i </w:t>
      </w:r>
      <w:r w:rsidR="004B2D93" w:rsidRPr="00BF659F">
        <w:rPr>
          <w:rFonts w:ascii="Arial" w:hAnsi="Arial" w:cs="Arial"/>
          <w:sz w:val="20"/>
          <w:szCs w:val="20"/>
        </w:rPr>
        <w:t>do</w:t>
      </w:r>
      <w:r w:rsidR="008A56EC" w:rsidRPr="00BF659F">
        <w:rPr>
          <w:rFonts w:ascii="Arial" w:hAnsi="Arial" w:cs="Arial"/>
          <w:sz w:val="20"/>
          <w:szCs w:val="20"/>
        </w:rPr>
        <w:t xml:space="preserve"> </w:t>
      </w:r>
      <w:r w:rsidRPr="00BF659F">
        <w:rPr>
          <w:rFonts w:ascii="Arial" w:hAnsi="Arial" w:cs="Arial"/>
          <w:sz w:val="20"/>
          <w:szCs w:val="20"/>
        </w:rPr>
        <w:t>okresů Benešov, Beroun, Kladno, Kolín, Mělník, Nymburk nebo Příbram</w:t>
      </w:r>
      <w:r w:rsidR="00782B01" w:rsidRPr="00BF659F">
        <w:rPr>
          <w:rFonts w:ascii="Arial" w:hAnsi="Arial" w:cs="Arial"/>
          <w:sz w:val="20"/>
          <w:szCs w:val="20"/>
        </w:rPr>
        <w:t>, ale náleží sem i některé obce okresů Kutná Hora, Mladá Boleslav, Rakovník a Litoměřice</w:t>
      </w:r>
      <w:r w:rsidR="000A0C45">
        <w:rPr>
          <w:rFonts w:ascii="Arial" w:hAnsi="Arial" w:cs="Arial"/>
          <w:sz w:val="20"/>
          <w:szCs w:val="20"/>
        </w:rPr>
        <w:t xml:space="preserve"> (na </w:t>
      </w:r>
      <w:proofErr w:type="spellStart"/>
      <w:r w:rsidR="000A0C45">
        <w:rPr>
          <w:rFonts w:ascii="Arial" w:hAnsi="Arial" w:cs="Arial"/>
          <w:sz w:val="20"/>
          <w:szCs w:val="20"/>
        </w:rPr>
        <w:t>Roudnicku</w:t>
      </w:r>
      <w:proofErr w:type="spellEnd"/>
      <w:r w:rsidR="000A0C45">
        <w:rPr>
          <w:rFonts w:ascii="Arial" w:hAnsi="Arial" w:cs="Arial"/>
          <w:sz w:val="20"/>
          <w:szCs w:val="20"/>
        </w:rPr>
        <w:t>)</w:t>
      </w:r>
      <w:r w:rsidRPr="00BF659F">
        <w:rPr>
          <w:rFonts w:ascii="Arial" w:hAnsi="Arial" w:cs="Arial"/>
          <w:sz w:val="20"/>
          <w:szCs w:val="20"/>
        </w:rPr>
        <w:t xml:space="preserve">. </w:t>
      </w:r>
      <w:r w:rsidR="00782B01" w:rsidRPr="00BF659F">
        <w:rPr>
          <w:rFonts w:ascii="Arial" w:hAnsi="Arial" w:cs="Arial"/>
          <w:sz w:val="20"/>
          <w:szCs w:val="20"/>
        </w:rPr>
        <w:t>To svědčí o mimořádné ekonomické atraktivitě hlavního města</w:t>
      </w:r>
      <w:r w:rsidR="008A56EC" w:rsidRPr="00BF659F">
        <w:rPr>
          <w:rFonts w:ascii="Arial" w:hAnsi="Arial" w:cs="Arial"/>
          <w:sz w:val="20"/>
          <w:szCs w:val="20"/>
        </w:rPr>
        <w:t>, která spočívá v nabídce širokého spektra pracovních příležitostí ve všech výrobních odvětvích (snad kromě těžby nerostů), službách, školství, zdravotnictví a administrativě. Dojíždějící využívají hustou síť Pražské integrované dopravy.</w:t>
      </w:r>
    </w:p>
    <w:p w:rsidR="004B2D93" w:rsidRPr="00BF659F" w:rsidRDefault="00DE1AF3" w:rsidP="00A1239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F659F">
        <w:rPr>
          <w:rFonts w:ascii="Arial" w:hAnsi="Arial" w:cs="Arial"/>
          <w:sz w:val="20"/>
          <w:szCs w:val="20"/>
        </w:rPr>
        <w:t>Do Prahy směřují i nejsilnější proudy z</w:t>
      </w:r>
      <w:r w:rsidR="00E251A9" w:rsidRPr="00BF659F">
        <w:rPr>
          <w:rFonts w:ascii="Arial" w:hAnsi="Arial" w:cs="Arial"/>
          <w:sz w:val="20"/>
          <w:szCs w:val="20"/>
        </w:rPr>
        <w:t xml:space="preserve"> některých </w:t>
      </w:r>
      <w:r w:rsidRPr="00BF659F">
        <w:rPr>
          <w:rFonts w:ascii="Arial" w:hAnsi="Arial" w:cs="Arial"/>
          <w:sz w:val="20"/>
          <w:szCs w:val="20"/>
        </w:rPr>
        <w:t>obcí mimo Středočeský kraj</w:t>
      </w:r>
      <w:r w:rsidR="008A56EC" w:rsidRPr="00BF659F">
        <w:rPr>
          <w:rFonts w:ascii="Arial" w:hAnsi="Arial" w:cs="Arial"/>
          <w:sz w:val="20"/>
          <w:szCs w:val="20"/>
        </w:rPr>
        <w:t xml:space="preserve"> (kromě již zmíněných obcí na Litoměřicku i </w:t>
      </w:r>
      <w:r w:rsidR="00E251A9" w:rsidRPr="00BF659F">
        <w:rPr>
          <w:rFonts w:ascii="Arial" w:hAnsi="Arial" w:cs="Arial"/>
          <w:sz w:val="20"/>
          <w:szCs w:val="20"/>
        </w:rPr>
        <w:t>jednotlivé</w:t>
      </w:r>
      <w:r w:rsidR="008A56EC" w:rsidRPr="00BF659F">
        <w:rPr>
          <w:rFonts w:ascii="Arial" w:hAnsi="Arial" w:cs="Arial"/>
          <w:sz w:val="20"/>
          <w:szCs w:val="20"/>
        </w:rPr>
        <w:t xml:space="preserve"> obce okres</w:t>
      </w:r>
      <w:r w:rsidR="00E251A9" w:rsidRPr="00BF659F">
        <w:rPr>
          <w:rFonts w:ascii="Arial" w:hAnsi="Arial" w:cs="Arial"/>
          <w:sz w:val="20"/>
          <w:szCs w:val="20"/>
        </w:rPr>
        <w:t>ů</w:t>
      </w:r>
      <w:r w:rsidR="008A56EC" w:rsidRPr="00BF659F">
        <w:rPr>
          <w:rFonts w:ascii="Arial" w:hAnsi="Arial" w:cs="Arial"/>
          <w:sz w:val="20"/>
          <w:szCs w:val="20"/>
        </w:rPr>
        <w:t xml:space="preserve"> Písek</w:t>
      </w:r>
      <w:r w:rsidRPr="00BF659F">
        <w:rPr>
          <w:rFonts w:ascii="Arial" w:hAnsi="Arial" w:cs="Arial"/>
          <w:sz w:val="20"/>
          <w:szCs w:val="20"/>
        </w:rPr>
        <w:t>,</w:t>
      </w:r>
      <w:r w:rsidR="008A56EC" w:rsidRPr="00BF659F">
        <w:rPr>
          <w:rFonts w:ascii="Arial" w:hAnsi="Arial" w:cs="Arial"/>
          <w:sz w:val="20"/>
          <w:szCs w:val="20"/>
        </w:rPr>
        <w:t xml:space="preserve"> Louny aj.), popřípadě i z obcí značně vzdálených (Harrachov).</w:t>
      </w:r>
      <w:r w:rsidRPr="00BF659F">
        <w:rPr>
          <w:rFonts w:ascii="Arial" w:hAnsi="Arial" w:cs="Arial"/>
          <w:sz w:val="20"/>
          <w:szCs w:val="20"/>
        </w:rPr>
        <w:t xml:space="preserve"> </w:t>
      </w:r>
      <w:r w:rsidR="008A56EC" w:rsidRPr="00BF659F">
        <w:rPr>
          <w:rFonts w:ascii="Arial" w:hAnsi="Arial" w:cs="Arial"/>
          <w:sz w:val="20"/>
          <w:szCs w:val="20"/>
        </w:rPr>
        <w:t>P</w:t>
      </w:r>
      <w:r w:rsidRPr="00BF659F">
        <w:rPr>
          <w:rFonts w:ascii="Arial" w:hAnsi="Arial" w:cs="Arial"/>
          <w:sz w:val="20"/>
          <w:szCs w:val="20"/>
        </w:rPr>
        <w:t xml:space="preserve">ři respektování zásady územní celistvosti </w:t>
      </w:r>
      <w:proofErr w:type="spellStart"/>
      <w:r w:rsidR="008A56EC" w:rsidRPr="00BF659F">
        <w:rPr>
          <w:rFonts w:ascii="Arial" w:hAnsi="Arial" w:cs="Arial"/>
          <w:sz w:val="20"/>
          <w:szCs w:val="20"/>
        </w:rPr>
        <w:t>dojížďkových</w:t>
      </w:r>
      <w:proofErr w:type="spellEnd"/>
      <w:r w:rsidR="008A56EC" w:rsidRPr="00BF659F">
        <w:rPr>
          <w:rFonts w:ascii="Arial" w:hAnsi="Arial" w:cs="Arial"/>
          <w:sz w:val="20"/>
          <w:szCs w:val="20"/>
        </w:rPr>
        <w:t xml:space="preserve"> regionů </w:t>
      </w:r>
      <w:r w:rsidRPr="00BF659F">
        <w:rPr>
          <w:rFonts w:ascii="Arial" w:hAnsi="Arial" w:cs="Arial"/>
          <w:sz w:val="20"/>
          <w:szCs w:val="20"/>
        </w:rPr>
        <w:t>je však bylo nutné nakonec zařadit podle dalšího nejsilnějšího vyjížďkového proudu k bližším centrům dojížďky.</w:t>
      </w:r>
      <w:r w:rsidR="008A56EC" w:rsidRPr="00BF659F">
        <w:rPr>
          <w:rFonts w:ascii="Arial" w:hAnsi="Arial" w:cs="Arial"/>
          <w:sz w:val="20"/>
          <w:szCs w:val="20"/>
        </w:rPr>
        <w:t xml:space="preserve"> </w:t>
      </w:r>
      <w:r w:rsidR="004B2D93" w:rsidRPr="00BF659F">
        <w:rPr>
          <w:rFonts w:ascii="Arial" w:hAnsi="Arial" w:cs="Arial"/>
          <w:sz w:val="20"/>
          <w:szCs w:val="20"/>
        </w:rPr>
        <w:t>Charakteristické je rovněž, že Praha je buď nejčastějším</w:t>
      </w:r>
      <w:r w:rsidR="00D260BE" w:rsidRPr="00BF659F">
        <w:rPr>
          <w:rFonts w:ascii="Arial" w:hAnsi="Arial" w:cs="Arial"/>
          <w:sz w:val="20"/>
          <w:szCs w:val="20"/>
        </w:rPr>
        <w:t>,</w:t>
      </w:r>
      <w:r w:rsidR="004B2D93" w:rsidRPr="00BF659F">
        <w:rPr>
          <w:rFonts w:ascii="Arial" w:hAnsi="Arial" w:cs="Arial"/>
          <w:sz w:val="20"/>
          <w:szCs w:val="20"/>
        </w:rPr>
        <w:t xml:space="preserve"> nebo druhým nejvýznamnějším cílem vyjížďky z krajských měst i z některých dalších v</w:t>
      </w:r>
      <w:r w:rsidR="00C3231C" w:rsidRPr="00BF659F">
        <w:rPr>
          <w:rFonts w:ascii="Arial" w:hAnsi="Arial" w:cs="Arial"/>
          <w:sz w:val="20"/>
          <w:szCs w:val="20"/>
        </w:rPr>
        <w:t>ětších</w:t>
      </w:r>
      <w:r w:rsidR="004B2D93" w:rsidRPr="00BF659F">
        <w:rPr>
          <w:rFonts w:ascii="Arial" w:hAnsi="Arial" w:cs="Arial"/>
          <w:sz w:val="20"/>
          <w:szCs w:val="20"/>
        </w:rPr>
        <w:t xml:space="preserve"> měst</w:t>
      </w:r>
      <w:r w:rsidR="00C3231C" w:rsidRPr="00BF659F">
        <w:rPr>
          <w:rFonts w:ascii="Arial" w:hAnsi="Arial" w:cs="Arial"/>
          <w:sz w:val="20"/>
          <w:szCs w:val="20"/>
        </w:rPr>
        <w:t xml:space="preserve"> </w:t>
      </w:r>
      <w:r w:rsidR="00833660" w:rsidRPr="00BF659F">
        <w:rPr>
          <w:rFonts w:ascii="Arial" w:hAnsi="Arial" w:cs="Arial"/>
          <w:sz w:val="20"/>
          <w:szCs w:val="20"/>
        </w:rPr>
        <w:t xml:space="preserve">mimo Středočeský kraj </w:t>
      </w:r>
      <w:r w:rsidR="00C3231C" w:rsidRPr="00BF659F">
        <w:rPr>
          <w:rFonts w:ascii="Arial" w:hAnsi="Arial" w:cs="Arial"/>
          <w:sz w:val="20"/>
          <w:szCs w:val="20"/>
        </w:rPr>
        <w:t>(</w:t>
      </w:r>
      <w:r w:rsidR="00833660" w:rsidRPr="00BF659F">
        <w:rPr>
          <w:rFonts w:ascii="Arial" w:hAnsi="Arial" w:cs="Arial"/>
          <w:sz w:val="20"/>
          <w:szCs w:val="20"/>
        </w:rPr>
        <w:t>Strakonice, Tábor, Louny, Most, Česká Lípa a další)</w:t>
      </w:r>
      <w:r w:rsidR="004B2D93" w:rsidRPr="00BF659F">
        <w:rPr>
          <w:rFonts w:ascii="Arial" w:hAnsi="Arial" w:cs="Arial"/>
          <w:sz w:val="20"/>
          <w:szCs w:val="20"/>
        </w:rPr>
        <w:t xml:space="preserve">. </w:t>
      </w:r>
      <w:r w:rsidR="006D3C16" w:rsidRPr="00BF659F">
        <w:rPr>
          <w:rFonts w:ascii="Arial" w:hAnsi="Arial" w:cs="Arial"/>
          <w:sz w:val="20"/>
          <w:szCs w:val="20"/>
        </w:rPr>
        <w:t xml:space="preserve">Na větší vzdálenosti se samozřejmě uplatňuje dojížďka s delší než denní periodicitou. </w:t>
      </w:r>
      <w:r w:rsidR="004B2D93" w:rsidRPr="00BF659F">
        <w:rPr>
          <w:rFonts w:ascii="Arial" w:hAnsi="Arial" w:cs="Arial"/>
          <w:sz w:val="20"/>
          <w:szCs w:val="20"/>
        </w:rPr>
        <w:t xml:space="preserve">Dojížďkový proud Kladno – Praha je v České republice nejsilnější vůbec </w:t>
      </w:r>
      <w:r w:rsidR="006D3C16" w:rsidRPr="00BF659F">
        <w:rPr>
          <w:rFonts w:ascii="Arial" w:hAnsi="Arial" w:cs="Arial"/>
          <w:sz w:val="20"/>
          <w:szCs w:val="20"/>
        </w:rPr>
        <w:t xml:space="preserve">(6041 osob dojíždějících do zaměstnání, a to ještě </w:t>
      </w:r>
      <w:proofErr w:type="gramStart"/>
      <w:r w:rsidR="006D3C16" w:rsidRPr="00BF659F">
        <w:rPr>
          <w:rFonts w:ascii="Arial" w:hAnsi="Arial" w:cs="Arial"/>
          <w:sz w:val="20"/>
          <w:szCs w:val="20"/>
        </w:rPr>
        <w:t xml:space="preserve">musíme </w:t>
      </w:r>
      <w:r w:rsidR="00035E2D">
        <w:rPr>
          <w:rFonts w:ascii="Arial" w:hAnsi="Arial" w:cs="Arial"/>
          <w:sz w:val="20"/>
          <w:szCs w:val="20"/>
        </w:rPr>
        <w:t xml:space="preserve"> vzít</w:t>
      </w:r>
      <w:proofErr w:type="gramEnd"/>
      <w:r w:rsidR="00035E2D">
        <w:rPr>
          <w:rFonts w:ascii="Arial" w:hAnsi="Arial" w:cs="Arial"/>
          <w:sz w:val="20"/>
          <w:szCs w:val="20"/>
        </w:rPr>
        <w:t xml:space="preserve"> v úvahu </w:t>
      </w:r>
      <w:r w:rsidR="006D3C16" w:rsidRPr="00BF659F">
        <w:rPr>
          <w:rFonts w:ascii="Arial" w:hAnsi="Arial" w:cs="Arial"/>
          <w:sz w:val="20"/>
          <w:szCs w:val="20"/>
        </w:rPr>
        <w:t>nezjištěnou dojížďku v řádu stovek osob).</w:t>
      </w:r>
      <w:r w:rsidR="00C3231C" w:rsidRPr="00BF659F">
        <w:rPr>
          <w:rFonts w:ascii="Arial" w:hAnsi="Arial" w:cs="Arial"/>
          <w:sz w:val="20"/>
          <w:szCs w:val="20"/>
        </w:rPr>
        <w:t xml:space="preserve"> Celkem </w:t>
      </w:r>
      <w:r w:rsidR="00833660" w:rsidRPr="00BF659F">
        <w:rPr>
          <w:rFonts w:ascii="Arial" w:hAnsi="Arial" w:cs="Arial"/>
          <w:sz w:val="20"/>
          <w:szCs w:val="20"/>
        </w:rPr>
        <w:t>44</w:t>
      </w:r>
      <w:r w:rsidR="002B0823" w:rsidRPr="00BF65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231C" w:rsidRPr="00BF659F">
        <w:rPr>
          <w:rFonts w:ascii="Arial" w:hAnsi="Arial" w:cs="Arial"/>
          <w:sz w:val="20"/>
          <w:szCs w:val="20"/>
        </w:rPr>
        <w:t>dojížďkových</w:t>
      </w:r>
      <w:proofErr w:type="spellEnd"/>
      <w:r w:rsidR="00C3231C" w:rsidRPr="00BF659F">
        <w:rPr>
          <w:rFonts w:ascii="Arial" w:hAnsi="Arial" w:cs="Arial"/>
          <w:sz w:val="20"/>
          <w:szCs w:val="20"/>
        </w:rPr>
        <w:t xml:space="preserve"> proudů do Prahy má 500 a více dojíždějících</w:t>
      </w:r>
      <w:r w:rsidR="00833660" w:rsidRPr="00BF659F">
        <w:rPr>
          <w:rFonts w:ascii="Arial" w:hAnsi="Arial" w:cs="Arial"/>
          <w:sz w:val="20"/>
          <w:szCs w:val="20"/>
        </w:rPr>
        <w:t xml:space="preserve"> osob</w:t>
      </w:r>
      <w:r w:rsidR="002B0823" w:rsidRPr="00BF659F">
        <w:rPr>
          <w:rFonts w:ascii="Arial" w:hAnsi="Arial" w:cs="Arial"/>
          <w:sz w:val="20"/>
          <w:szCs w:val="20"/>
        </w:rPr>
        <w:t>.</w:t>
      </w:r>
    </w:p>
    <w:p w:rsidR="00833660" w:rsidRDefault="00833660" w:rsidP="00A1239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F659F">
        <w:rPr>
          <w:rFonts w:ascii="Arial" w:hAnsi="Arial" w:cs="Arial"/>
          <w:sz w:val="20"/>
          <w:szCs w:val="20"/>
        </w:rPr>
        <w:t xml:space="preserve">Vyjížďka z Prahy směřuje nejvíce do Říčan a dalších obcí v okolí hlavního města, kde byla vybudována nová výrobní a logistická centra, dále pak zejména do Kladna, Mladé Boleslavi a Brna (viz tabulka </w:t>
      </w:r>
      <w:r w:rsidR="00A1239E">
        <w:rPr>
          <w:rFonts w:ascii="Arial" w:hAnsi="Arial" w:cs="Arial"/>
          <w:sz w:val="20"/>
          <w:szCs w:val="20"/>
        </w:rPr>
        <w:t>7</w:t>
      </w:r>
      <w:r w:rsidRPr="00BF659F">
        <w:rPr>
          <w:rFonts w:ascii="Arial" w:hAnsi="Arial" w:cs="Arial"/>
          <w:sz w:val="20"/>
          <w:szCs w:val="20"/>
        </w:rPr>
        <w:t>).</w:t>
      </w:r>
    </w:p>
    <w:p w:rsidR="00F463D9" w:rsidRPr="00BF659F" w:rsidRDefault="00F463D9" w:rsidP="00F463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779E2">
        <w:rPr>
          <w:rFonts w:ascii="Arial" w:hAnsi="Arial" w:cs="Arial"/>
          <w:sz w:val="20"/>
          <w:szCs w:val="20"/>
        </w:rPr>
        <w:t>Druhým nejsilnějším centrem pracovní dojížďky v ČR</w:t>
      </w:r>
      <w:r w:rsidRPr="003779E2">
        <w:rPr>
          <w:rFonts w:ascii="Arial" w:hAnsi="Arial" w:cs="Arial"/>
          <w:b/>
          <w:sz w:val="20"/>
          <w:szCs w:val="20"/>
        </w:rPr>
        <w:t xml:space="preserve"> </w:t>
      </w:r>
      <w:r w:rsidRPr="003779E2">
        <w:rPr>
          <w:rFonts w:ascii="Arial" w:hAnsi="Arial" w:cs="Arial"/>
          <w:sz w:val="20"/>
          <w:szCs w:val="20"/>
        </w:rPr>
        <w:t>je</w:t>
      </w:r>
      <w:r w:rsidRPr="003779E2">
        <w:rPr>
          <w:rFonts w:ascii="Arial" w:hAnsi="Arial" w:cs="Arial"/>
          <w:b/>
          <w:sz w:val="20"/>
          <w:szCs w:val="20"/>
        </w:rPr>
        <w:t xml:space="preserve"> Brno. </w:t>
      </w:r>
      <w:r w:rsidRPr="003779E2">
        <w:rPr>
          <w:rFonts w:ascii="Arial" w:hAnsi="Arial" w:cs="Arial"/>
          <w:sz w:val="20"/>
          <w:szCs w:val="20"/>
        </w:rPr>
        <w:t>Jeho dojížďkový region zahrnuje 311 obcí a</w:t>
      </w:r>
      <w:r w:rsidRPr="00BF659F">
        <w:rPr>
          <w:rFonts w:ascii="Arial" w:hAnsi="Arial" w:cs="Arial"/>
          <w:sz w:val="20"/>
          <w:szCs w:val="20"/>
        </w:rPr>
        <w:t xml:space="preserve"> zaujímá rozlohu </w:t>
      </w:r>
      <w:r>
        <w:rPr>
          <w:rFonts w:ascii="Arial" w:hAnsi="Arial" w:cs="Arial"/>
          <w:sz w:val="20"/>
          <w:szCs w:val="20"/>
        </w:rPr>
        <w:t>3213</w:t>
      </w:r>
      <w:r w:rsidRPr="009E7C22">
        <w:rPr>
          <w:rFonts w:ascii="Arial" w:hAnsi="Arial" w:cs="Arial"/>
          <w:sz w:val="20"/>
          <w:szCs w:val="20"/>
        </w:rPr>
        <w:t xml:space="preserve"> km</w:t>
      </w:r>
      <w:r w:rsidRPr="009E7C22">
        <w:rPr>
          <w:rFonts w:ascii="Arial" w:hAnsi="Arial" w:cs="Arial"/>
          <w:sz w:val="20"/>
          <w:szCs w:val="20"/>
          <w:vertAlign w:val="superscript"/>
        </w:rPr>
        <w:t>2</w:t>
      </w:r>
      <w:r w:rsidRPr="00BF659F">
        <w:rPr>
          <w:rFonts w:ascii="Arial" w:hAnsi="Arial" w:cs="Arial"/>
          <w:sz w:val="20"/>
          <w:szCs w:val="20"/>
        </w:rPr>
        <w:t xml:space="preserve">, na níž žije </w:t>
      </w:r>
      <w:r w:rsidRPr="00101AD0">
        <w:rPr>
          <w:rFonts w:ascii="Arial" w:hAnsi="Arial" w:cs="Arial"/>
          <w:sz w:val="20"/>
          <w:szCs w:val="20"/>
        </w:rPr>
        <w:t>704 tis.</w:t>
      </w:r>
      <w:r w:rsidRPr="00BF659F">
        <w:rPr>
          <w:rFonts w:ascii="Arial" w:hAnsi="Arial" w:cs="Arial"/>
          <w:sz w:val="20"/>
          <w:szCs w:val="20"/>
        </w:rPr>
        <w:t xml:space="preserve"> obyvatel, z </w:t>
      </w:r>
      <w:r w:rsidRPr="00101AD0">
        <w:rPr>
          <w:rFonts w:ascii="Arial" w:hAnsi="Arial" w:cs="Arial"/>
          <w:sz w:val="20"/>
          <w:szCs w:val="20"/>
        </w:rPr>
        <w:t xml:space="preserve">toho 310 tis. </w:t>
      </w:r>
      <w:r>
        <w:rPr>
          <w:rFonts w:ascii="Arial" w:hAnsi="Arial" w:cs="Arial"/>
          <w:sz w:val="20"/>
          <w:szCs w:val="20"/>
        </w:rPr>
        <w:t>zaměstnaných (bez pracujících studentů a učňů)</w:t>
      </w:r>
      <w:r w:rsidRPr="00BF659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BF659F">
        <w:rPr>
          <w:rFonts w:ascii="Arial" w:hAnsi="Arial" w:cs="Arial"/>
          <w:sz w:val="20"/>
          <w:szCs w:val="20"/>
        </w:rPr>
        <w:t xml:space="preserve">Brněnský region beze zbytku zahrnuje území okresu Brno-venkov a zasahuje dále do okresů Blansko, Břeclav, Hodonín, Třebíč, Vyškov, Žďár nad Sázavou a Znojmo. Vedle dominantního Brna se jako vybraná centra dojížďky neuplatnily Ivančice, Slavkov u Brna, </w:t>
      </w:r>
      <w:proofErr w:type="spellStart"/>
      <w:r w:rsidRPr="00BF659F">
        <w:rPr>
          <w:rFonts w:ascii="Arial" w:hAnsi="Arial" w:cs="Arial"/>
          <w:sz w:val="20"/>
          <w:szCs w:val="20"/>
        </w:rPr>
        <w:t>Kuřim</w:t>
      </w:r>
      <w:proofErr w:type="spellEnd"/>
      <w:r w:rsidRPr="00BF659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F659F">
        <w:rPr>
          <w:rFonts w:ascii="Arial" w:hAnsi="Arial" w:cs="Arial"/>
          <w:sz w:val="20"/>
          <w:szCs w:val="20"/>
        </w:rPr>
        <w:t>Rousínov</w:t>
      </w:r>
      <w:proofErr w:type="spellEnd"/>
      <w:r w:rsidRPr="00BF659F">
        <w:rPr>
          <w:rFonts w:ascii="Arial" w:hAnsi="Arial" w:cs="Arial"/>
          <w:sz w:val="20"/>
          <w:szCs w:val="20"/>
        </w:rPr>
        <w:t xml:space="preserve"> nebo Bučovice. Tišnov je sice převažujícím cílem dojížďky pro několik obcí, takže by zvoleným velikostním kritériím </w:t>
      </w:r>
      <w:r>
        <w:rPr>
          <w:rFonts w:ascii="Arial" w:hAnsi="Arial" w:cs="Arial"/>
          <w:sz w:val="20"/>
          <w:szCs w:val="20"/>
        </w:rPr>
        <w:t xml:space="preserve">pro výběr center dojížďky </w:t>
      </w:r>
      <w:r w:rsidRPr="00BF659F">
        <w:rPr>
          <w:rFonts w:ascii="Arial" w:hAnsi="Arial" w:cs="Arial"/>
          <w:sz w:val="20"/>
          <w:szCs w:val="20"/>
        </w:rPr>
        <w:t xml:space="preserve">vyhovoval, ale tyto obce netvoří souvislé území, takže region nebylo možné vymezit a obce byly přiřazeny podle druhého nejvýznamnějšího vyjížďkového proudu do regionu Brna. K regionu Brna byly přiřazeny územně odtržené obce </w:t>
      </w:r>
      <w:proofErr w:type="spellStart"/>
      <w:r w:rsidRPr="00BF659F">
        <w:rPr>
          <w:rFonts w:ascii="Arial" w:hAnsi="Arial" w:cs="Arial"/>
          <w:sz w:val="20"/>
          <w:szCs w:val="20"/>
        </w:rPr>
        <w:t>Morašice</w:t>
      </w:r>
      <w:proofErr w:type="spellEnd"/>
      <w:r w:rsidRPr="00BF659F">
        <w:rPr>
          <w:rFonts w:ascii="Arial" w:hAnsi="Arial" w:cs="Arial"/>
          <w:sz w:val="20"/>
          <w:szCs w:val="20"/>
        </w:rPr>
        <w:t xml:space="preserve"> a Skalice ležící v okrese Znojmo, které mají na Brno jednoznačnou spádovost za prací.</w:t>
      </w:r>
    </w:p>
    <w:p w:rsidR="00BD68C2" w:rsidRDefault="00F463D9" w:rsidP="00F463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F659F">
        <w:rPr>
          <w:rFonts w:ascii="Arial" w:hAnsi="Arial" w:cs="Arial"/>
          <w:sz w:val="20"/>
          <w:szCs w:val="20"/>
        </w:rPr>
        <w:t xml:space="preserve">Nejsilnější </w:t>
      </w:r>
      <w:proofErr w:type="spellStart"/>
      <w:r w:rsidRPr="00BF659F">
        <w:rPr>
          <w:rFonts w:ascii="Arial" w:hAnsi="Arial" w:cs="Arial"/>
          <w:sz w:val="20"/>
          <w:szCs w:val="20"/>
        </w:rPr>
        <w:t>dojížďkové</w:t>
      </w:r>
      <w:proofErr w:type="spellEnd"/>
      <w:r w:rsidRPr="00BF659F">
        <w:rPr>
          <w:rFonts w:ascii="Arial" w:hAnsi="Arial" w:cs="Arial"/>
          <w:sz w:val="20"/>
          <w:szCs w:val="20"/>
        </w:rPr>
        <w:t xml:space="preserve"> proudy do Brna směřují z </w:t>
      </w:r>
      <w:proofErr w:type="spellStart"/>
      <w:r w:rsidRPr="00BF659F">
        <w:rPr>
          <w:rFonts w:ascii="Arial" w:hAnsi="Arial" w:cs="Arial"/>
          <w:sz w:val="20"/>
          <w:szCs w:val="20"/>
        </w:rPr>
        <w:t>Kuřimi</w:t>
      </w:r>
      <w:proofErr w:type="spellEnd"/>
      <w:r w:rsidRPr="00BF659F">
        <w:rPr>
          <w:rFonts w:ascii="Arial" w:hAnsi="Arial" w:cs="Arial"/>
          <w:sz w:val="20"/>
          <w:szCs w:val="20"/>
        </w:rPr>
        <w:t xml:space="preserve"> (1797 dojíždějících), Blanska (1348), </w:t>
      </w:r>
      <w:proofErr w:type="spellStart"/>
      <w:r w:rsidRPr="00BF659F">
        <w:rPr>
          <w:rFonts w:ascii="Arial" w:hAnsi="Arial" w:cs="Arial"/>
          <w:sz w:val="20"/>
          <w:szCs w:val="20"/>
        </w:rPr>
        <w:t>Šlapanic</w:t>
      </w:r>
      <w:proofErr w:type="spellEnd"/>
      <w:r w:rsidRPr="00BF659F">
        <w:rPr>
          <w:rFonts w:ascii="Arial" w:hAnsi="Arial" w:cs="Arial"/>
          <w:sz w:val="20"/>
          <w:szCs w:val="20"/>
        </w:rPr>
        <w:t xml:space="preserve"> (1337), Vyškova (930), Bílovic na </w:t>
      </w:r>
      <w:proofErr w:type="gramStart"/>
      <w:r w:rsidRPr="00BF659F">
        <w:rPr>
          <w:rFonts w:ascii="Arial" w:hAnsi="Arial" w:cs="Arial"/>
          <w:sz w:val="20"/>
          <w:szCs w:val="20"/>
        </w:rPr>
        <w:t>Svitavou</w:t>
      </w:r>
      <w:proofErr w:type="gramEnd"/>
      <w:r w:rsidRPr="00BF659F">
        <w:rPr>
          <w:rFonts w:ascii="Arial" w:hAnsi="Arial" w:cs="Arial"/>
          <w:sz w:val="20"/>
          <w:szCs w:val="20"/>
        </w:rPr>
        <w:t xml:space="preserve"> (781), Tišnova (777), </w:t>
      </w:r>
      <w:proofErr w:type="spellStart"/>
      <w:r w:rsidRPr="00BF659F">
        <w:rPr>
          <w:rFonts w:ascii="Arial" w:hAnsi="Arial" w:cs="Arial"/>
          <w:sz w:val="20"/>
          <w:szCs w:val="20"/>
        </w:rPr>
        <w:t>Modřic</w:t>
      </w:r>
      <w:proofErr w:type="spellEnd"/>
      <w:r w:rsidRPr="00BF659F">
        <w:rPr>
          <w:rFonts w:ascii="Arial" w:hAnsi="Arial" w:cs="Arial"/>
          <w:sz w:val="20"/>
          <w:szCs w:val="20"/>
        </w:rPr>
        <w:t xml:space="preserve"> (776) a Adamova (736). Dalších 6 </w:t>
      </w:r>
      <w:proofErr w:type="spellStart"/>
      <w:r w:rsidRPr="00BF659F">
        <w:rPr>
          <w:rFonts w:ascii="Arial" w:hAnsi="Arial" w:cs="Arial"/>
          <w:sz w:val="20"/>
          <w:szCs w:val="20"/>
        </w:rPr>
        <w:t>dojížďkových</w:t>
      </w:r>
      <w:proofErr w:type="spellEnd"/>
      <w:r w:rsidRPr="00BF659F">
        <w:rPr>
          <w:rFonts w:ascii="Arial" w:hAnsi="Arial" w:cs="Arial"/>
          <w:sz w:val="20"/>
          <w:szCs w:val="20"/>
        </w:rPr>
        <w:t xml:space="preserve"> proudů tvoří 500 – 699 dojíždějících.</w:t>
      </w:r>
      <w:r>
        <w:rPr>
          <w:rFonts w:ascii="Arial" w:hAnsi="Arial" w:cs="Arial"/>
          <w:sz w:val="20"/>
          <w:szCs w:val="20"/>
        </w:rPr>
        <w:t xml:space="preserve"> </w:t>
      </w:r>
      <w:r w:rsidRPr="00BF659F">
        <w:rPr>
          <w:rFonts w:ascii="Arial" w:hAnsi="Arial" w:cs="Arial"/>
          <w:sz w:val="20"/>
          <w:szCs w:val="20"/>
        </w:rPr>
        <w:t xml:space="preserve">Největším centrem dojížďky v bezprostředním zázemí Brna jsou </w:t>
      </w:r>
      <w:proofErr w:type="spellStart"/>
      <w:r w:rsidRPr="00BF659F">
        <w:rPr>
          <w:rFonts w:ascii="Arial" w:hAnsi="Arial" w:cs="Arial"/>
          <w:sz w:val="20"/>
          <w:szCs w:val="20"/>
        </w:rPr>
        <w:t>Modřice</w:t>
      </w:r>
      <w:proofErr w:type="spellEnd"/>
      <w:r w:rsidRPr="00BF659F">
        <w:rPr>
          <w:rFonts w:ascii="Arial" w:hAnsi="Arial" w:cs="Arial"/>
          <w:sz w:val="20"/>
          <w:szCs w:val="20"/>
        </w:rPr>
        <w:t xml:space="preserve"> s mnoha nově vybudovanými pracovními místy, kam dojíždí do zaměstnání celkem 4 132 osob. Z Brna sem směřuje vyjížďkový proud o mohutnosti 1837 osob. Druhým nečastějším cílem vyjížďky z Brna je však Praha (1089 vyjíždějících). Následují </w:t>
      </w:r>
      <w:proofErr w:type="spellStart"/>
      <w:r w:rsidRPr="00BF659F">
        <w:rPr>
          <w:rFonts w:ascii="Arial" w:hAnsi="Arial" w:cs="Arial"/>
          <w:sz w:val="20"/>
          <w:szCs w:val="20"/>
        </w:rPr>
        <w:t>Kuřim</w:t>
      </w:r>
      <w:proofErr w:type="spellEnd"/>
      <w:r w:rsidRPr="00BF659F">
        <w:rPr>
          <w:rFonts w:ascii="Arial" w:hAnsi="Arial" w:cs="Arial"/>
          <w:sz w:val="20"/>
          <w:szCs w:val="20"/>
        </w:rPr>
        <w:t xml:space="preserve"> (598), </w:t>
      </w:r>
      <w:proofErr w:type="spellStart"/>
      <w:r w:rsidRPr="00BF659F">
        <w:rPr>
          <w:rFonts w:ascii="Arial" w:hAnsi="Arial" w:cs="Arial"/>
          <w:sz w:val="20"/>
          <w:szCs w:val="20"/>
        </w:rPr>
        <w:t>Šlapanice</w:t>
      </w:r>
      <w:proofErr w:type="spellEnd"/>
      <w:r w:rsidRPr="00BF659F">
        <w:rPr>
          <w:rFonts w:ascii="Arial" w:hAnsi="Arial" w:cs="Arial"/>
          <w:sz w:val="20"/>
          <w:szCs w:val="20"/>
        </w:rPr>
        <w:t xml:space="preserve"> (402) a Blansko (249).</w:t>
      </w:r>
    </w:p>
    <w:p w:rsidR="00F463D9" w:rsidRPr="00BF659F" w:rsidRDefault="00F463D9" w:rsidP="00F463D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F659F">
        <w:rPr>
          <w:rFonts w:ascii="Arial" w:hAnsi="Arial" w:cs="Arial"/>
          <w:sz w:val="20"/>
          <w:szCs w:val="20"/>
        </w:rPr>
        <w:t xml:space="preserve">Podobně jako Praha těží Brno jako centrum pracovní dojížďky ze široké nabídky pracovních míst prakticky všech odvětví a oborů a ze své </w:t>
      </w:r>
      <w:proofErr w:type="spellStart"/>
      <w:r w:rsidRPr="00BF659F">
        <w:rPr>
          <w:rFonts w:ascii="Arial" w:hAnsi="Arial" w:cs="Arial"/>
          <w:sz w:val="20"/>
          <w:szCs w:val="20"/>
        </w:rPr>
        <w:t>nadregionální</w:t>
      </w:r>
      <w:proofErr w:type="spellEnd"/>
      <w:r w:rsidRPr="00BF659F">
        <w:rPr>
          <w:rFonts w:ascii="Arial" w:hAnsi="Arial" w:cs="Arial"/>
          <w:sz w:val="20"/>
          <w:szCs w:val="20"/>
        </w:rPr>
        <w:t xml:space="preserve"> administrativně správní funkce. Rovněž brněnský region je provázán hustou dopravní sítí integrované veřejné dopravy.</w:t>
      </w:r>
    </w:p>
    <w:p w:rsidR="00F463D9" w:rsidRDefault="00F463D9" w:rsidP="00560A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659F">
        <w:rPr>
          <w:rFonts w:ascii="Arial" w:hAnsi="Arial" w:cs="Arial"/>
          <w:sz w:val="20"/>
          <w:szCs w:val="20"/>
        </w:rPr>
        <w:t xml:space="preserve">Severomoravsko-slezská konurbace se rozpadá na několik </w:t>
      </w:r>
      <w:proofErr w:type="spellStart"/>
      <w:r w:rsidRPr="00BF659F">
        <w:rPr>
          <w:rFonts w:ascii="Arial" w:hAnsi="Arial" w:cs="Arial"/>
          <w:sz w:val="20"/>
          <w:szCs w:val="20"/>
        </w:rPr>
        <w:t>dojížďkových</w:t>
      </w:r>
      <w:proofErr w:type="spellEnd"/>
      <w:r w:rsidRPr="00BF659F">
        <w:rPr>
          <w:rFonts w:ascii="Arial" w:hAnsi="Arial" w:cs="Arial"/>
          <w:sz w:val="20"/>
          <w:szCs w:val="20"/>
        </w:rPr>
        <w:t xml:space="preserve"> regionů: Ostravský, Opavský, Karvinský, Frýdecko-Místecký a Třinecký. Třetím největším </w:t>
      </w:r>
      <w:proofErr w:type="spellStart"/>
      <w:r w:rsidRPr="00BF659F">
        <w:rPr>
          <w:rFonts w:ascii="Arial" w:hAnsi="Arial" w:cs="Arial"/>
          <w:sz w:val="20"/>
          <w:szCs w:val="20"/>
        </w:rPr>
        <w:t>dojížďkovým</w:t>
      </w:r>
      <w:proofErr w:type="spellEnd"/>
      <w:r w:rsidRPr="00BF659F">
        <w:rPr>
          <w:rFonts w:ascii="Arial" w:hAnsi="Arial" w:cs="Arial"/>
          <w:sz w:val="20"/>
          <w:szCs w:val="20"/>
        </w:rPr>
        <w:t xml:space="preserve"> regionem v ČR je</w:t>
      </w:r>
      <w:r w:rsidRPr="00BF659F">
        <w:rPr>
          <w:rFonts w:ascii="Arial" w:hAnsi="Arial" w:cs="Arial"/>
          <w:b/>
          <w:sz w:val="20"/>
          <w:szCs w:val="20"/>
        </w:rPr>
        <w:t xml:space="preserve"> Ostravsko</w:t>
      </w:r>
      <w:r w:rsidRPr="00BF659F">
        <w:rPr>
          <w:rFonts w:ascii="Arial" w:hAnsi="Arial" w:cs="Arial"/>
          <w:sz w:val="20"/>
          <w:szCs w:val="20"/>
        </w:rPr>
        <w:t>. Náleží sem 73 obcí s</w:t>
      </w:r>
      <w:r>
        <w:rPr>
          <w:rFonts w:ascii="Arial" w:hAnsi="Arial" w:cs="Arial"/>
          <w:sz w:val="20"/>
          <w:szCs w:val="20"/>
        </w:rPr>
        <w:t xml:space="preserve"> více než </w:t>
      </w:r>
      <w:r w:rsidRPr="00BF659F">
        <w:rPr>
          <w:rFonts w:ascii="Arial" w:hAnsi="Arial" w:cs="Arial"/>
          <w:sz w:val="20"/>
          <w:szCs w:val="20"/>
        </w:rPr>
        <w:t xml:space="preserve">půlmiliónem obyvatel </w:t>
      </w:r>
      <w:r w:rsidRPr="00101AD0">
        <w:rPr>
          <w:rFonts w:ascii="Arial" w:hAnsi="Arial" w:cs="Arial"/>
          <w:sz w:val="20"/>
          <w:szCs w:val="20"/>
        </w:rPr>
        <w:t xml:space="preserve">(590 tis., z toho 242 tis. </w:t>
      </w:r>
      <w:r>
        <w:rPr>
          <w:rFonts w:ascii="Arial" w:hAnsi="Arial" w:cs="Arial"/>
          <w:sz w:val="20"/>
          <w:szCs w:val="20"/>
        </w:rPr>
        <w:t>zaměstnaných (bez pracujících studentů a učňů)</w:t>
      </w:r>
      <w:r w:rsidRPr="00BF659F">
        <w:rPr>
          <w:rFonts w:ascii="Arial" w:hAnsi="Arial" w:cs="Arial"/>
          <w:sz w:val="20"/>
          <w:szCs w:val="20"/>
        </w:rPr>
        <w:t>.</w:t>
      </w:r>
      <w:r w:rsidRPr="00101AD0">
        <w:rPr>
          <w:rFonts w:ascii="Arial" w:hAnsi="Arial" w:cs="Arial"/>
          <w:sz w:val="20"/>
          <w:szCs w:val="20"/>
        </w:rPr>
        <w:t xml:space="preserve"> Region má rozlohu 1133 km</w:t>
      </w:r>
      <w:r w:rsidRPr="00101AD0">
        <w:rPr>
          <w:rFonts w:ascii="Arial" w:hAnsi="Arial" w:cs="Arial"/>
          <w:sz w:val="20"/>
          <w:szCs w:val="20"/>
          <w:vertAlign w:val="superscript"/>
        </w:rPr>
        <w:t>2</w:t>
      </w:r>
      <w:r w:rsidRPr="00101AD0">
        <w:rPr>
          <w:rFonts w:ascii="Arial" w:hAnsi="Arial" w:cs="Arial"/>
          <w:sz w:val="20"/>
          <w:szCs w:val="20"/>
        </w:rPr>
        <w:t xml:space="preserve"> a je velmi siln</w:t>
      </w:r>
      <w:r w:rsidRPr="00BF659F">
        <w:rPr>
          <w:rFonts w:ascii="Arial" w:hAnsi="Arial" w:cs="Arial"/>
          <w:sz w:val="20"/>
          <w:szCs w:val="20"/>
        </w:rPr>
        <w:t xml:space="preserve">ě propojen všesměrnými vazbami bydliště a pracoviště. Region zasahuje na území okresů Ostrava-město, </w:t>
      </w:r>
      <w:proofErr w:type="spellStart"/>
      <w:r w:rsidRPr="00BF659F">
        <w:rPr>
          <w:rFonts w:ascii="Arial" w:hAnsi="Arial" w:cs="Arial"/>
          <w:sz w:val="20"/>
          <w:szCs w:val="20"/>
        </w:rPr>
        <w:t>Frýdek</w:t>
      </w:r>
      <w:proofErr w:type="spellEnd"/>
      <w:r w:rsidRPr="00BF659F">
        <w:rPr>
          <w:rFonts w:ascii="Arial" w:hAnsi="Arial" w:cs="Arial"/>
          <w:sz w:val="20"/>
          <w:szCs w:val="20"/>
        </w:rPr>
        <w:t>-Místek, Karviná, Nový Jičín a Opava. Dojížďkový proud Havířov – Ostrava (5396 dojíždějících) je druhý nejmohutnější v</w:t>
      </w:r>
      <w:r>
        <w:rPr>
          <w:rFonts w:ascii="Arial" w:hAnsi="Arial" w:cs="Arial"/>
          <w:sz w:val="20"/>
          <w:szCs w:val="20"/>
        </w:rPr>
        <w:t> celé České republice</w:t>
      </w:r>
      <w:r w:rsidRPr="00BF659F">
        <w:rPr>
          <w:rFonts w:ascii="Arial" w:hAnsi="Arial" w:cs="Arial"/>
          <w:sz w:val="20"/>
          <w:szCs w:val="20"/>
        </w:rPr>
        <w:t>. Dalšími velmi silnými proudy směřujícími do Ostravy jsou relace z </w:t>
      </w:r>
      <w:proofErr w:type="spellStart"/>
      <w:r w:rsidRPr="00BF659F">
        <w:rPr>
          <w:rFonts w:ascii="Arial" w:hAnsi="Arial" w:cs="Arial"/>
          <w:sz w:val="20"/>
          <w:szCs w:val="20"/>
        </w:rPr>
        <w:t>Hlučína</w:t>
      </w:r>
      <w:proofErr w:type="spellEnd"/>
      <w:r w:rsidRPr="00BF659F">
        <w:rPr>
          <w:rFonts w:ascii="Arial" w:hAnsi="Arial" w:cs="Arial"/>
          <w:sz w:val="20"/>
          <w:szCs w:val="20"/>
        </w:rPr>
        <w:t xml:space="preserve"> (1657), Orlové (1425), Bohumína (1039), </w:t>
      </w:r>
      <w:proofErr w:type="spellStart"/>
      <w:r w:rsidRPr="00BF659F">
        <w:rPr>
          <w:rFonts w:ascii="Arial" w:hAnsi="Arial" w:cs="Arial"/>
          <w:sz w:val="20"/>
          <w:szCs w:val="20"/>
        </w:rPr>
        <w:t>Vratimova</w:t>
      </w:r>
      <w:proofErr w:type="spellEnd"/>
      <w:r w:rsidRPr="00BF659F">
        <w:rPr>
          <w:rFonts w:ascii="Arial" w:hAnsi="Arial" w:cs="Arial"/>
          <w:sz w:val="20"/>
          <w:szCs w:val="20"/>
        </w:rPr>
        <w:t xml:space="preserve"> (986) nebo </w:t>
      </w:r>
      <w:proofErr w:type="spellStart"/>
      <w:r w:rsidRPr="00BF659F">
        <w:rPr>
          <w:rFonts w:ascii="Arial" w:hAnsi="Arial" w:cs="Arial"/>
          <w:sz w:val="20"/>
          <w:szCs w:val="20"/>
        </w:rPr>
        <w:t>Rychvaldu</w:t>
      </w:r>
      <w:proofErr w:type="spellEnd"/>
      <w:r w:rsidRPr="00BF659F">
        <w:rPr>
          <w:rFonts w:ascii="Arial" w:hAnsi="Arial" w:cs="Arial"/>
          <w:sz w:val="20"/>
          <w:szCs w:val="20"/>
        </w:rPr>
        <w:t xml:space="preserve"> (811). Z měst mimo hranice regionu je do Ostravy velmi silná dojížďka z </w:t>
      </w:r>
      <w:proofErr w:type="spellStart"/>
      <w:r w:rsidRPr="00BF659F">
        <w:rPr>
          <w:rFonts w:ascii="Arial" w:hAnsi="Arial" w:cs="Arial"/>
          <w:sz w:val="20"/>
          <w:szCs w:val="20"/>
        </w:rPr>
        <w:t>Frýdku</w:t>
      </w:r>
      <w:proofErr w:type="spellEnd"/>
      <w:r w:rsidRPr="00BF659F">
        <w:rPr>
          <w:rFonts w:ascii="Arial" w:hAnsi="Arial" w:cs="Arial"/>
          <w:sz w:val="20"/>
          <w:szCs w:val="20"/>
        </w:rPr>
        <w:t xml:space="preserve">-Místku </w:t>
      </w:r>
      <w:r w:rsidRPr="00BF659F">
        <w:rPr>
          <w:rFonts w:ascii="Arial" w:hAnsi="Arial" w:cs="Arial"/>
          <w:sz w:val="20"/>
          <w:szCs w:val="20"/>
        </w:rPr>
        <w:lastRenderedPageBreak/>
        <w:t xml:space="preserve">(2102 dojíždějících), Karviné (1193), Opavy (754) a Studénky (506 dojíždějících). O silné </w:t>
      </w:r>
      <w:r>
        <w:rPr>
          <w:rFonts w:ascii="Arial" w:hAnsi="Arial" w:cs="Arial"/>
          <w:sz w:val="20"/>
          <w:szCs w:val="20"/>
        </w:rPr>
        <w:t xml:space="preserve">vnitřní </w:t>
      </w:r>
      <w:r w:rsidRPr="00BF659F">
        <w:rPr>
          <w:rFonts w:ascii="Arial" w:hAnsi="Arial" w:cs="Arial"/>
          <w:sz w:val="20"/>
          <w:szCs w:val="20"/>
        </w:rPr>
        <w:t xml:space="preserve">soudržnosti regionu svědčí i poměrně silné </w:t>
      </w:r>
      <w:r>
        <w:rPr>
          <w:rFonts w:ascii="Arial" w:hAnsi="Arial" w:cs="Arial"/>
          <w:sz w:val="20"/>
          <w:szCs w:val="20"/>
        </w:rPr>
        <w:t xml:space="preserve">vzájemné </w:t>
      </w:r>
      <w:proofErr w:type="spellStart"/>
      <w:r w:rsidRPr="00BF659F">
        <w:rPr>
          <w:rFonts w:ascii="Arial" w:hAnsi="Arial" w:cs="Arial"/>
          <w:sz w:val="20"/>
          <w:szCs w:val="20"/>
        </w:rPr>
        <w:t>dojížďko</w:t>
      </w:r>
      <w:r>
        <w:rPr>
          <w:rFonts w:ascii="Arial" w:hAnsi="Arial" w:cs="Arial"/>
          <w:sz w:val="20"/>
          <w:szCs w:val="20"/>
        </w:rPr>
        <w:t>vé</w:t>
      </w:r>
      <w:proofErr w:type="spellEnd"/>
      <w:r w:rsidRPr="00BF659F">
        <w:rPr>
          <w:rFonts w:ascii="Arial" w:hAnsi="Arial" w:cs="Arial"/>
          <w:sz w:val="20"/>
          <w:szCs w:val="20"/>
        </w:rPr>
        <w:t xml:space="preserve"> proudy mezi středisky osídlení nižšího řádu – Bohumínem, Orlovou a Havířovem. Vně regionu pak směřuj</w:t>
      </w:r>
      <w:r>
        <w:rPr>
          <w:rFonts w:ascii="Arial" w:hAnsi="Arial" w:cs="Arial"/>
          <w:sz w:val="20"/>
          <w:szCs w:val="20"/>
        </w:rPr>
        <w:t>e</w:t>
      </w:r>
      <w:r w:rsidRPr="00BF659F">
        <w:rPr>
          <w:rFonts w:ascii="Arial" w:hAnsi="Arial" w:cs="Arial"/>
          <w:sz w:val="20"/>
          <w:szCs w:val="20"/>
        </w:rPr>
        <w:t xml:space="preserve"> hlavní proud Ostrava – Praha (666 vyjíždějících) a vazby mezi Havířovem</w:t>
      </w:r>
      <w:r>
        <w:rPr>
          <w:rFonts w:ascii="Arial" w:hAnsi="Arial" w:cs="Arial"/>
          <w:sz w:val="20"/>
          <w:szCs w:val="20"/>
        </w:rPr>
        <w:t>, Orlovou</w:t>
      </w:r>
      <w:r w:rsidRPr="00BF659F">
        <w:rPr>
          <w:rFonts w:ascii="Arial" w:hAnsi="Arial" w:cs="Arial"/>
          <w:sz w:val="20"/>
          <w:szCs w:val="20"/>
        </w:rPr>
        <w:t xml:space="preserve"> a Karvinou resp. Stonavou.</w:t>
      </w:r>
    </w:p>
    <w:p w:rsidR="00560AAB" w:rsidRPr="00BF659F" w:rsidRDefault="00560AAB" w:rsidP="00560A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36A" w:rsidRPr="003779E2" w:rsidRDefault="005512E5" w:rsidP="0072754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object w:dxaOrig="9083" w:dyaOrig="6846">
          <v:shape id="_x0000_i1031" type="#_x0000_t75" style="width:454.35pt;height:342.6pt" o:ole="">
            <v:imagedata r:id="rId22" o:title=""/>
          </v:shape>
          <o:OLEObject Type="Embed" ProgID="Excel.Sheet.12" ShapeID="_x0000_i1031" DrawAspect="Content" ObjectID="_1479018133" r:id="rId23"/>
        </w:object>
      </w:r>
    </w:p>
    <w:p w:rsidR="00E35194" w:rsidRPr="00BF659F" w:rsidRDefault="00E35194" w:rsidP="00101AD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F659F">
        <w:rPr>
          <w:rFonts w:ascii="Arial" w:hAnsi="Arial" w:cs="Arial"/>
          <w:sz w:val="20"/>
          <w:szCs w:val="20"/>
        </w:rPr>
        <w:t xml:space="preserve">Ostravský region prošel a dosud prochází restrukturalizací vztahů bydliště – pracoviště. Souvisí to s postupným útlumem těžby uhlí </w:t>
      </w:r>
      <w:r w:rsidR="003F70A8" w:rsidRPr="00BF659F">
        <w:rPr>
          <w:rFonts w:ascii="Arial" w:hAnsi="Arial" w:cs="Arial"/>
          <w:sz w:val="20"/>
          <w:szCs w:val="20"/>
        </w:rPr>
        <w:t xml:space="preserve">ve starých lokalitách </w:t>
      </w:r>
      <w:r w:rsidRPr="00BF659F">
        <w:rPr>
          <w:rFonts w:ascii="Arial" w:hAnsi="Arial" w:cs="Arial"/>
          <w:sz w:val="20"/>
          <w:szCs w:val="20"/>
        </w:rPr>
        <w:t xml:space="preserve">a jejím přesunem </w:t>
      </w:r>
      <w:r w:rsidR="003F70A8" w:rsidRPr="00BF659F">
        <w:rPr>
          <w:rFonts w:ascii="Arial" w:hAnsi="Arial" w:cs="Arial"/>
          <w:sz w:val="20"/>
          <w:szCs w:val="20"/>
        </w:rPr>
        <w:t>dále na okraj regionu</w:t>
      </w:r>
      <w:r w:rsidRPr="00BF659F">
        <w:rPr>
          <w:rFonts w:ascii="Arial" w:hAnsi="Arial" w:cs="Arial"/>
          <w:sz w:val="20"/>
          <w:szCs w:val="20"/>
        </w:rPr>
        <w:t xml:space="preserve"> (Paskov, </w:t>
      </w:r>
      <w:proofErr w:type="spellStart"/>
      <w:r w:rsidRPr="00BF659F">
        <w:rPr>
          <w:rFonts w:ascii="Arial" w:hAnsi="Arial" w:cs="Arial"/>
          <w:sz w:val="20"/>
          <w:szCs w:val="20"/>
        </w:rPr>
        <w:t>Staříč</w:t>
      </w:r>
      <w:proofErr w:type="spellEnd"/>
      <w:r w:rsidRPr="00BF659F">
        <w:rPr>
          <w:rFonts w:ascii="Arial" w:hAnsi="Arial" w:cs="Arial"/>
          <w:sz w:val="20"/>
          <w:szCs w:val="20"/>
        </w:rPr>
        <w:t>), přeměnou těžkého průmyslu a růstem podílu nevýrobních odvětví. Nové obytné lokality byly vybudovány v </w:t>
      </w:r>
      <w:proofErr w:type="spellStart"/>
      <w:r w:rsidRPr="00BF659F">
        <w:rPr>
          <w:rFonts w:ascii="Arial" w:hAnsi="Arial" w:cs="Arial"/>
          <w:sz w:val="20"/>
          <w:szCs w:val="20"/>
        </w:rPr>
        <w:t>Ostravě</w:t>
      </w:r>
      <w:proofErr w:type="spellEnd"/>
      <w:r w:rsidRPr="00BF659F">
        <w:rPr>
          <w:rFonts w:ascii="Arial" w:hAnsi="Arial" w:cs="Arial"/>
          <w:sz w:val="20"/>
          <w:szCs w:val="20"/>
        </w:rPr>
        <w:t>-</w:t>
      </w:r>
      <w:proofErr w:type="spellStart"/>
      <w:r w:rsidRPr="00BF659F">
        <w:rPr>
          <w:rFonts w:ascii="Arial" w:hAnsi="Arial" w:cs="Arial"/>
          <w:sz w:val="20"/>
          <w:szCs w:val="20"/>
        </w:rPr>
        <w:t>Porubě</w:t>
      </w:r>
      <w:proofErr w:type="spellEnd"/>
      <w:r w:rsidRPr="00BF659F">
        <w:rPr>
          <w:rFonts w:ascii="Arial" w:hAnsi="Arial" w:cs="Arial"/>
          <w:sz w:val="20"/>
          <w:szCs w:val="20"/>
        </w:rPr>
        <w:t xml:space="preserve">, v jižní části Ostravy, v Havířově, Orlové, za hranicemi regionu pak ve </w:t>
      </w:r>
      <w:proofErr w:type="spellStart"/>
      <w:r w:rsidRPr="00BF659F">
        <w:rPr>
          <w:rFonts w:ascii="Arial" w:hAnsi="Arial" w:cs="Arial"/>
          <w:sz w:val="20"/>
          <w:szCs w:val="20"/>
        </w:rPr>
        <w:t>Frýdku</w:t>
      </w:r>
      <w:proofErr w:type="spellEnd"/>
      <w:r w:rsidRPr="00BF659F">
        <w:rPr>
          <w:rFonts w:ascii="Arial" w:hAnsi="Arial" w:cs="Arial"/>
          <w:sz w:val="20"/>
          <w:szCs w:val="20"/>
        </w:rPr>
        <w:t>-Místku, Českém Těšíně a Třinci. Tím došlo i k</w:t>
      </w:r>
      <w:r w:rsidR="003F70A8" w:rsidRPr="00BF659F">
        <w:rPr>
          <w:rFonts w:ascii="Arial" w:hAnsi="Arial" w:cs="Arial"/>
          <w:sz w:val="20"/>
          <w:szCs w:val="20"/>
        </w:rPr>
        <w:t xml:space="preserve"> určitým změnám v mohutnosti </w:t>
      </w:r>
      <w:proofErr w:type="spellStart"/>
      <w:r w:rsidR="003F70A8" w:rsidRPr="00BF659F">
        <w:rPr>
          <w:rFonts w:ascii="Arial" w:hAnsi="Arial" w:cs="Arial"/>
          <w:sz w:val="20"/>
          <w:szCs w:val="20"/>
        </w:rPr>
        <w:t>dojížďkových</w:t>
      </w:r>
      <w:proofErr w:type="spellEnd"/>
      <w:r w:rsidR="003F70A8" w:rsidRPr="00BF659F">
        <w:rPr>
          <w:rFonts w:ascii="Arial" w:hAnsi="Arial" w:cs="Arial"/>
          <w:sz w:val="20"/>
          <w:szCs w:val="20"/>
        </w:rPr>
        <w:t xml:space="preserve"> proudů v regionu, zatímco směry dojížďky zůstaly v podstatě zachovány. Při analýze těchto vztahů však nelze zapomínat na značnou míru nezodpovězených otázek na dojížďku do zaměstnání.</w:t>
      </w:r>
    </w:p>
    <w:p w:rsidR="003F70A8" w:rsidRPr="00FE538E" w:rsidRDefault="003F70A8" w:rsidP="00FE53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F659F">
        <w:rPr>
          <w:rFonts w:ascii="Arial" w:hAnsi="Arial" w:cs="Arial"/>
          <w:sz w:val="20"/>
          <w:szCs w:val="20"/>
        </w:rPr>
        <w:t xml:space="preserve">S Ostravským regionem bezprostředně sousedí dojížďkový region </w:t>
      </w:r>
      <w:r w:rsidRPr="00BF659F">
        <w:rPr>
          <w:rFonts w:ascii="Arial" w:hAnsi="Arial" w:cs="Arial"/>
          <w:b/>
          <w:sz w:val="20"/>
          <w:szCs w:val="20"/>
        </w:rPr>
        <w:t xml:space="preserve">Karviné </w:t>
      </w:r>
      <w:r w:rsidRPr="00BF659F">
        <w:rPr>
          <w:rFonts w:ascii="Arial" w:hAnsi="Arial" w:cs="Arial"/>
          <w:sz w:val="20"/>
          <w:szCs w:val="20"/>
        </w:rPr>
        <w:t xml:space="preserve">(6 </w:t>
      </w:r>
      <w:r w:rsidRPr="00FE538E">
        <w:rPr>
          <w:rFonts w:ascii="Arial" w:hAnsi="Arial" w:cs="Arial"/>
          <w:sz w:val="20"/>
          <w:szCs w:val="20"/>
        </w:rPr>
        <w:t xml:space="preserve">obcí, 73 tis. obyvatel, </w:t>
      </w:r>
      <w:r w:rsidR="00FE538E">
        <w:rPr>
          <w:rFonts w:ascii="Arial" w:hAnsi="Arial" w:cs="Arial"/>
          <w:sz w:val="20"/>
          <w:szCs w:val="20"/>
        </w:rPr>
        <w:t>27</w:t>
      </w:r>
      <w:r w:rsidRPr="00BF659F">
        <w:rPr>
          <w:rFonts w:ascii="Arial" w:hAnsi="Arial" w:cs="Arial"/>
          <w:sz w:val="20"/>
          <w:szCs w:val="20"/>
        </w:rPr>
        <w:t xml:space="preserve"> tis. </w:t>
      </w:r>
      <w:r w:rsidR="004A3E4B">
        <w:rPr>
          <w:rFonts w:ascii="Arial" w:hAnsi="Arial" w:cs="Arial"/>
          <w:sz w:val="20"/>
          <w:szCs w:val="20"/>
        </w:rPr>
        <w:t>zaměstnaných (bez pracujících studentů a učňů)</w:t>
      </w:r>
      <w:r w:rsidRPr="00BF659F">
        <w:rPr>
          <w:rFonts w:ascii="Arial" w:hAnsi="Arial" w:cs="Arial"/>
          <w:sz w:val="20"/>
          <w:szCs w:val="20"/>
        </w:rPr>
        <w:t xml:space="preserve">, jenž je s užším Ostravskem intenzívně propojen a má vazby i na Český Těšín a Třinec. </w:t>
      </w:r>
      <w:r w:rsidR="0024062C" w:rsidRPr="00BF659F">
        <w:rPr>
          <w:rFonts w:ascii="Arial" w:hAnsi="Arial" w:cs="Arial"/>
          <w:sz w:val="20"/>
          <w:szCs w:val="20"/>
        </w:rPr>
        <w:t>Sousední</w:t>
      </w:r>
      <w:r w:rsidR="0024062C" w:rsidRPr="00BF659F">
        <w:rPr>
          <w:rFonts w:ascii="Arial" w:hAnsi="Arial" w:cs="Arial"/>
          <w:b/>
          <w:sz w:val="20"/>
          <w:szCs w:val="20"/>
        </w:rPr>
        <w:t xml:space="preserve"> </w:t>
      </w:r>
      <w:r w:rsidRPr="00BF659F">
        <w:rPr>
          <w:rFonts w:ascii="Arial" w:hAnsi="Arial" w:cs="Arial"/>
          <w:b/>
          <w:sz w:val="20"/>
          <w:szCs w:val="20"/>
        </w:rPr>
        <w:t>Třinecký</w:t>
      </w:r>
      <w:r w:rsidRPr="00BF659F">
        <w:rPr>
          <w:rFonts w:ascii="Arial" w:hAnsi="Arial" w:cs="Arial"/>
          <w:sz w:val="20"/>
          <w:szCs w:val="20"/>
        </w:rPr>
        <w:t xml:space="preserve"> region patří se </w:t>
      </w:r>
      <w:r w:rsidRPr="00FE538E">
        <w:rPr>
          <w:rFonts w:ascii="Arial" w:hAnsi="Arial" w:cs="Arial"/>
          <w:sz w:val="20"/>
          <w:szCs w:val="20"/>
        </w:rPr>
        <w:t>10</w:t>
      </w:r>
      <w:r w:rsidR="00FE538E" w:rsidRPr="00FE538E">
        <w:rPr>
          <w:rFonts w:ascii="Arial" w:hAnsi="Arial" w:cs="Arial"/>
          <w:sz w:val="20"/>
          <w:szCs w:val="20"/>
        </w:rPr>
        <w:t>3</w:t>
      </w:r>
      <w:r w:rsidRPr="00FE538E">
        <w:rPr>
          <w:rFonts w:ascii="Arial" w:hAnsi="Arial" w:cs="Arial"/>
          <w:sz w:val="20"/>
          <w:szCs w:val="20"/>
        </w:rPr>
        <w:t xml:space="preserve"> tis. obyvateli (4</w:t>
      </w:r>
      <w:r w:rsidR="00FE538E" w:rsidRPr="00FE538E">
        <w:rPr>
          <w:rFonts w:ascii="Arial" w:hAnsi="Arial" w:cs="Arial"/>
          <w:sz w:val="20"/>
          <w:szCs w:val="20"/>
        </w:rPr>
        <w:t>4</w:t>
      </w:r>
      <w:r w:rsidRPr="00FE538E">
        <w:rPr>
          <w:rFonts w:ascii="Arial" w:hAnsi="Arial" w:cs="Arial"/>
          <w:sz w:val="20"/>
          <w:szCs w:val="20"/>
        </w:rPr>
        <w:t xml:space="preserve"> tis. </w:t>
      </w:r>
      <w:r w:rsidR="004A3E4B">
        <w:rPr>
          <w:rFonts w:ascii="Arial" w:hAnsi="Arial" w:cs="Arial"/>
          <w:sz w:val="20"/>
          <w:szCs w:val="20"/>
        </w:rPr>
        <w:t>zaměstnaných (bez pracujících studentů a učňů</w:t>
      </w:r>
      <w:r w:rsidRPr="00FE538E">
        <w:rPr>
          <w:rFonts w:ascii="Arial" w:hAnsi="Arial" w:cs="Arial"/>
          <w:sz w:val="20"/>
          <w:szCs w:val="20"/>
        </w:rPr>
        <w:t>) k nej</w:t>
      </w:r>
      <w:r w:rsidR="007B7661" w:rsidRPr="00FE538E">
        <w:rPr>
          <w:rFonts w:ascii="Arial" w:hAnsi="Arial" w:cs="Arial"/>
          <w:sz w:val="20"/>
          <w:szCs w:val="20"/>
        </w:rPr>
        <w:t>lidnatějším</w:t>
      </w:r>
      <w:r w:rsidRPr="00FE538E">
        <w:rPr>
          <w:rFonts w:ascii="Arial" w:hAnsi="Arial" w:cs="Arial"/>
          <w:sz w:val="20"/>
          <w:szCs w:val="20"/>
        </w:rPr>
        <w:t xml:space="preserve"> v ČR; zahrnuje 2</w:t>
      </w:r>
      <w:r w:rsidR="00FE538E" w:rsidRPr="00FE538E">
        <w:rPr>
          <w:rFonts w:ascii="Arial" w:hAnsi="Arial" w:cs="Arial"/>
          <w:sz w:val="20"/>
          <w:szCs w:val="20"/>
        </w:rPr>
        <w:t>7</w:t>
      </w:r>
      <w:r w:rsidRPr="00FE538E">
        <w:rPr>
          <w:rFonts w:ascii="Arial" w:hAnsi="Arial" w:cs="Arial"/>
          <w:sz w:val="20"/>
          <w:szCs w:val="20"/>
        </w:rPr>
        <w:t xml:space="preserve"> obc</w:t>
      </w:r>
      <w:r w:rsidRPr="00BF659F">
        <w:rPr>
          <w:rFonts w:ascii="Arial" w:hAnsi="Arial" w:cs="Arial"/>
          <w:sz w:val="20"/>
          <w:szCs w:val="20"/>
        </w:rPr>
        <w:t xml:space="preserve">í. Rovněž zde došlo ke koncentraci pracovních příležitostí </w:t>
      </w:r>
      <w:r w:rsidR="004002D3" w:rsidRPr="00BF659F">
        <w:rPr>
          <w:rFonts w:ascii="Arial" w:hAnsi="Arial" w:cs="Arial"/>
          <w:sz w:val="20"/>
          <w:szCs w:val="20"/>
        </w:rPr>
        <w:t xml:space="preserve">i obyvatel </w:t>
      </w:r>
      <w:r w:rsidRPr="00BF659F">
        <w:rPr>
          <w:rFonts w:ascii="Arial" w:hAnsi="Arial" w:cs="Arial"/>
          <w:sz w:val="20"/>
          <w:szCs w:val="20"/>
        </w:rPr>
        <w:t xml:space="preserve">do centra regionu a restrukturalizaci </w:t>
      </w:r>
      <w:r w:rsidR="004002D3" w:rsidRPr="00BF659F">
        <w:rPr>
          <w:rFonts w:ascii="Arial" w:hAnsi="Arial" w:cs="Arial"/>
          <w:sz w:val="20"/>
          <w:szCs w:val="20"/>
        </w:rPr>
        <w:t xml:space="preserve">odvětvové skladby ekonomiky. Dřívější poměrně silná centra dojížďky Český Těšín a </w:t>
      </w:r>
      <w:proofErr w:type="spellStart"/>
      <w:r w:rsidR="004002D3" w:rsidRPr="00BF659F">
        <w:rPr>
          <w:rFonts w:ascii="Arial" w:hAnsi="Arial" w:cs="Arial"/>
          <w:sz w:val="20"/>
          <w:szCs w:val="20"/>
        </w:rPr>
        <w:t>Jablunkov</w:t>
      </w:r>
      <w:proofErr w:type="spellEnd"/>
      <w:r w:rsidR="004002D3" w:rsidRPr="00BF659F">
        <w:rPr>
          <w:rFonts w:ascii="Arial" w:hAnsi="Arial" w:cs="Arial"/>
          <w:sz w:val="20"/>
          <w:szCs w:val="20"/>
        </w:rPr>
        <w:t xml:space="preserve"> se již tak výrazně neuplatňují a vlastní </w:t>
      </w:r>
      <w:proofErr w:type="spellStart"/>
      <w:r w:rsidR="004002D3" w:rsidRPr="00BF659F">
        <w:rPr>
          <w:rFonts w:ascii="Arial" w:hAnsi="Arial" w:cs="Arial"/>
          <w:sz w:val="20"/>
          <w:szCs w:val="20"/>
        </w:rPr>
        <w:t>dojížďkové</w:t>
      </w:r>
      <w:proofErr w:type="spellEnd"/>
      <w:r w:rsidR="004002D3" w:rsidRPr="00BF659F">
        <w:rPr>
          <w:rFonts w:ascii="Arial" w:hAnsi="Arial" w:cs="Arial"/>
          <w:sz w:val="20"/>
          <w:szCs w:val="20"/>
        </w:rPr>
        <w:t xml:space="preserve"> regiony nevytvářejí. Rovněž již prakticky neexistuje dříve velmi silná pracovní dojížďka ze Slovenska (</w:t>
      </w:r>
      <w:proofErr w:type="spellStart"/>
      <w:r w:rsidR="004002D3" w:rsidRPr="00BF659F">
        <w:rPr>
          <w:rFonts w:ascii="Arial" w:hAnsi="Arial" w:cs="Arial"/>
          <w:sz w:val="20"/>
          <w:szCs w:val="20"/>
        </w:rPr>
        <w:t>Kysuce</w:t>
      </w:r>
      <w:proofErr w:type="spellEnd"/>
      <w:r w:rsidR="004002D3" w:rsidRPr="00BF659F">
        <w:rPr>
          <w:rFonts w:ascii="Arial" w:hAnsi="Arial" w:cs="Arial"/>
          <w:sz w:val="20"/>
          <w:szCs w:val="20"/>
        </w:rPr>
        <w:t xml:space="preserve">). Nejsilnějším </w:t>
      </w:r>
      <w:proofErr w:type="spellStart"/>
      <w:r w:rsidR="004002D3" w:rsidRPr="00BF659F">
        <w:rPr>
          <w:rFonts w:ascii="Arial" w:hAnsi="Arial" w:cs="Arial"/>
          <w:sz w:val="20"/>
          <w:szCs w:val="20"/>
        </w:rPr>
        <w:t>dojížďkovým</w:t>
      </w:r>
      <w:proofErr w:type="spellEnd"/>
      <w:r w:rsidR="004002D3" w:rsidRPr="00BF659F">
        <w:rPr>
          <w:rFonts w:ascii="Arial" w:hAnsi="Arial" w:cs="Arial"/>
          <w:sz w:val="20"/>
          <w:szCs w:val="20"/>
        </w:rPr>
        <w:t xml:space="preserve"> proudem je relace Český Těšín – Třinec (1069 dojíždějících), více než 500 dojíždějících mají i proudy z </w:t>
      </w:r>
      <w:proofErr w:type="spellStart"/>
      <w:r w:rsidR="004002D3" w:rsidRPr="00BF659F">
        <w:rPr>
          <w:rFonts w:ascii="Arial" w:hAnsi="Arial" w:cs="Arial"/>
          <w:sz w:val="20"/>
          <w:szCs w:val="20"/>
        </w:rPr>
        <w:t>Jablunkova</w:t>
      </w:r>
      <w:proofErr w:type="spellEnd"/>
      <w:r w:rsidR="004002D3" w:rsidRPr="00BF659F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4002D3" w:rsidRPr="00BF659F">
        <w:rPr>
          <w:rFonts w:ascii="Arial" w:hAnsi="Arial" w:cs="Arial"/>
          <w:sz w:val="20"/>
          <w:szCs w:val="20"/>
        </w:rPr>
        <w:t>Vendryně</w:t>
      </w:r>
      <w:proofErr w:type="spellEnd"/>
      <w:r w:rsidR="004002D3" w:rsidRPr="00BF659F">
        <w:rPr>
          <w:rFonts w:ascii="Arial" w:hAnsi="Arial" w:cs="Arial"/>
          <w:sz w:val="20"/>
          <w:szCs w:val="20"/>
        </w:rPr>
        <w:t xml:space="preserve"> do Třince. </w:t>
      </w:r>
      <w:r w:rsidR="004002D3" w:rsidRPr="00FE538E">
        <w:rPr>
          <w:rFonts w:ascii="Arial" w:hAnsi="Arial" w:cs="Arial"/>
          <w:sz w:val="20"/>
          <w:szCs w:val="20"/>
        </w:rPr>
        <w:t xml:space="preserve">Region </w:t>
      </w:r>
      <w:r w:rsidR="004002D3" w:rsidRPr="00FE538E">
        <w:rPr>
          <w:rFonts w:ascii="Arial" w:hAnsi="Arial" w:cs="Arial"/>
          <w:b/>
          <w:sz w:val="20"/>
          <w:szCs w:val="20"/>
        </w:rPr>
        <w:t>Opavy</w:t>
      </w:r>
      <w:r w:rsidR="004002D3" w:rsidRPr="00FE538E">
        <w:rPr>
          <w:rFonts w:ascii="Arial" w:hAnsi="Arial" w:cs="Arial"/>
          <w:sz w:val="20"/>
          <w:szCs w:val="20"/>
        </w:rPr>
        <w:t xml:space="preserve"> dosahuje 11</w:t>
      </w:r>
      <w:r w:rsidR="00FE538E">
        <w:rPr>
          <w:rFonts w:ascii="Arial" w:hAnsi="Arial" w:cs="Arial"/>
          <w:sz w:val="20"/>
          <w:szCs w:val="20"/>
        </w:rPr>
        <w:t>3</w:t>
      </w:r>
      <w:r w:rsidR="004002D3" w:rsidRPr="00FE538E">
        <w:rPr>
          <w:rFonts w:ascii="Arial" w:hAnsi="Arial" w:cs="Arial"/>
          <w:sz w:val="20"/>
          <w:szCs w:val="20"/>
        </w:rPr>
        <w:t xml:space="preserve"> tis. </w:t>
      </w:r>
      <w:r w:rsidR="00963F9E">
        <w:rPr>
          <w:rFonts w:ascii="Arial" w:hAnsi="Arial" w:cs="Arial"/>
          <w:sz w:val="20"/>
          <w:szCs w:val="20"/>
        </w:rPr>
        <w:t>o</w:t>
      </w:r>
      <w:r w:rsidR="004002D3" w:rsidRPr="00FE538E">
        <w:rPr>
          <w:rFonts w:ascii="Arial" w:hAnsi="Arial" w:cs="Arial"/>
          <w:sz w:val="20"/>
          <w:szCs w:val="20"/>
        </w:rPr>
        <w:t>byvatel</w:t>
      </w:r>
      <w:r w:rsidR="00963F9E">
        <w:rPr>
          <w:rFonts w:ascii="Arial" w:hAnsi="Arial" w:cs="Arial"/>
          <w:sz w:val="20"/>
          <w:szCs w:val="20"/>
        </w:rPr>
        <w:t>,</w:t>
      </w:r>
      <w:r w:rsidR="004002D3" w:rsidRPr="00FE538E">
        <w:rPr>
          <w:rFonts w:ascii="Arial" w:hAnsi="Arial" w:cs="Arial"/>
          <w:sz w:val="20"/>
          <w:szCs w:val="20"/>
        </w:rPr>
        <w:t xml:space="preserve"> </w:t>
      </w:r>
      <w:r w:rsidR="00FE538E">
        <w:rPr>
          <w:rFonts w:ascii="Arial" w:hAnsi="Arial" w:cs="Arial"/>
          <w:sz w:val="20"/>
          <w:szCs w:val="20"/>
        </w:rPr>
        <w:t>49</w:t>
      </w:r>
      <w:r w:rsidR="004002D3" w:rsidRPr="00FE538E">
        <w:rPr>
          <w:rFonts w:ascii="Arial" w:hAnsi="Arial" w:cs="Arial"/>
          <w:sz w:val="20"/>
          <w:szCs w:val="20"/>
        </w:rPr>
        <w:t xml:space="preserve"> tis. </w:t>
      </w:r>
      <w:r w:rsidR="004A3E4B">
        <w:rPr>
          <w:rFonts w:ascii="Arial" w:hAnsi="Arial" w:cs="Arial"/>
          <w:sz w:val="20"/>
          <w:szCs w:val="20"/>
        </w:rPr>
        <w:t>zaměstnaných (bez pracujících studentů a učňů)</w:t>
      </w:r>
      <w:r w:rsidR="004002D3" w:rsidRPr="00FE538E">
        <w:rPr>
          <w:rFonts w:ascii="Arial" w:hAnsi="Arial" w:cs="Arial"/>
          <w:sz w:val="20"/>
          <w:szCs w:val="20"/>
        </w:rPr>
        <w:t xml:space="preserve"> a sahá poměrně daleko na jih a </w:t>
      </w:r>
      <w:r w:rsidR="00521AAC" w:rsidRPr="00FE538E">
        <w:rPr>
          <w:rFonts w:ascii="Arial" w:hAnsi="Arial" w:cs="Arial"/>
          <w:sz w:val="20"/>
          <w:szCs w:val="20"/>
        </w:rPr>
        <w:t xml:space="preserve">na </w:t>
      </w:r>
      <w:r w:rsidR="004002D3" w:rsidRPr="00FE538E">
        <w:rPr>
          <w:rFonts w:ascii="Arial" w:hAnsi="Arial" w:cs="Arial"/>
          <w:sz w:val="20"/>
          <w:szCs w:val="20"/>
        </w:rPr>
        <w:t>západ od svého centra, protože východní část okresu Opava má výrazný dojížďkový spád na Ostravu</w:t>
      </w:r>
      <w:r w:rsidR="00436B01" w:rsidRPr="00FE538E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436B01" w:rsidRPr="00FE538E">
        <w:rPr>
          <w:rFonts w:ascii="Arial" w:hAnsi="Arial" w:cs="Arial"/>
          <w:sz w:val="20"/>
          <w:szCs w:val="20"/>
        </w:rPr>
        <w:t>Hlučínsko</w:t>
      </w:r>
      <w:proofErr w:type="spellEnd"/>
      <w:r w:rsidR="00436B01" w:rsidRPr="00FE538E">
        <w:rPr>
          <w:rFonts w:ascii="Arial" w:hAnsi="Arial" w:cs="Arial"/>
          <w:sz w:val="20"/>
          <w:szCs w:val="20"/>
        </w:rPr>
        <w:t xml:space="preserve">). Samotné město Opava patří k největším centrům dojížďky do zaměstnání v ČR s téměř 7 tisíci dojíždějících (14. místo). Největší </w:t>
      </w:r>
      <w:proofErr w:type="spellStart"/>
      <w:r w:rsidR="00436B01" w:rsidRPr="00FE538E">
        <w:rPr>
          <w:rFonts w:ascii="Arial" w:hAnsi="Arial" w:cs="Arial"/>
          <w:sz w:val="20"/>
          <w:szCs w:val="20"/>
        </w:rPr>
        <w:t>dojížďkové</w:t>
      </w:r>
      <w:proofErr w:type="spellEnd"/>
      <w:r w:rsidR="00436B01" w:rsidRPr="00FE538E">
        <w:rPr>
          <w:rFonts w:ascii="Arial" w:hAnsi="Arial" w:cs="Arial"/>
          <w:sz w:val="20"/>
          <w:szCs w:val="20"/>
        </w:rPr>
        <w:t xml:space="preserve"> proudy sem směřují z Hradce nad Moravicí (449) a </w:t>
      </w:r>
      <w:proofErr w:type="spellStart"/>
      <w:r w:rsidR="00436B01" w:rsidRPr="00FE538E">
        <w:rPr>
          <w:rFonts w:ascii="Arial" w:hAnsi="Arial" w:cs="Arial"/>
          <w:sz w:val="20"/>
          <w:szCs w:val="20"/>
        </w:rPr>
        <w:t>Kravař</w:t>
      </w:r>
      <w:proofErr w:type="spellEnd"/>
      <w:r w:rsidR="00436B01" w:rsidRPr="00FE538E">
        <w:rPr>
          <w:rFonts w:ascii="Arial" w:hAnsi="Arial" w:cs="Arial"/>
          <w:sz w:val="20"/>
          <w:szCs w:val="20"/>
        </w:rPr>
        <w:t xml:space="preserve"> (424 dojíždějících</w:t>
      </w:r>
      <w:r w:rsidR="00D83C89" w:rsidRPr="00FE538E">
        <w:rPr>
          <w:rFonts w:ascii="Arial" w:hAnsi="Arial" w:cs="Arial"/>
          <w:sz w:val="20"/>
          <w:szCs w:val="20"/>
        </w:rPr>
        <w:t>).</w:t>
      </w:r>
    </w:p>
    <w:p w:rsidR="00D83C89" w:rsidRPr="00BF659F" w:rsidRDefault="00D83C89" w:rsidP="00FE53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F659F">
        <w:rPr>
          <w:rFonts w:ascii="Arial" w:hAnsi="Arial" w:cs="Arial"/>
          <w:sz w:val="20"/>
          <w:szCs w:val="20"/>
        </w:rPr>
        <w:t xml:space="preserve">V Moravskoslezském kraji si ještě povšimneme regionu </w:t>
      </w:r>
      <w:proofErr w:type="spellStart"/>
      <w:r w:rsidRPr="00BF659F">
        <w:rPr>
          <w:rFonts w:ascii="Arial" w:hAnsi="Arial" w:cs="Arial"/>
          <w:b/>
          <w:sz w:val="20"/>
          <w:szCs w:val="20"/>
        </w:rPr>
        <w:t>Frýdku</w:t>
      </w:r>
      <w:proofErr w:type="spellEnd"/>
      <w:r w:rsidRPr="00BF659F">
        <w:rPr>
          <w:rFonts w:ascii="Arial" w:hAnsi="Arial" w:cs="Arial"/>
          <w:b/>
          <w:sz w:val="20"/>
          <w:szCs w:val="20"/>
        </w:rPr>
        <w:t>-Místku</w:t>
      </w:r>
      <w:r w:rsidRPr="00BF659F">
        <w:rPr>
          <w:rFonts w:ascii="Arial" w:hAnsi="Arial" w:cs="Arial"/>
          <w:sz w:val="20"/>
          <w:szCs w:val="20"/>
        </w:rPr>
        <w:t xml:space="preserve">, </w:t>
      </w:r>
      <w:r w:rsidR="00FE538E">
        <w:rPr>
          <w:rFonts w:ascii="Arial" w:hAnsi="Arial" w:cs="Arial"/>
          <w:sz w:val="20"/>
          <w:szCs w:val="20"/>
        </w:rPr>
        <w:t xml:space="preserve">tvořeného 26 obcemi, </w:t>
      </w:r>
      <w:r w:rsidRPr="00BF659F">
        <w:rPr>
          <w:rFonts w:ascii="Arial" w:hAnsi="Arial" w:cs="Arial"/>
          <w:sz w:val="20"/>
          <w:szCs w:val="20"/>
        </w:rPr>
        <w:t>opět velmi těsně spjatého s</w:t>
      </w:r>
      <w:r w:rsidR="00A667B0" w:rsidRPr="00BF659F">
        <w:rPr>
          <w:rFonts w:ascii="Arial" w:hAnsi="Arial" w:cs="Arial"/>
          <w:sz w:val="20"/>
          <w:szCs w:val="20"/>
        </w:rPr>
        <w:t> </w:t>
      </w:r>
      <w:r w:rsidRPr="00BF659F">
        <w:rPr>
          <w:rFonts w:ascii="Arial" w:hAnsi="Arial" w:cs="Arial"/>
          <w:sz w:val="20"/>
          <w:szCs w:val="20"/>
        </w:rPr>
        <w:t>Ostravou</w:t>
      </w:r>
      <w:r w:rsidR="00A667B0" w:rsidRPr="00BF659F">
        <w:rPr>
          <w:rFonts w:ascii="Arial" w:hAnsi="Arial" w:cs="Arial"/>
          <w:sz w:val="20"/>
          <w:szCs w:val="20"/>
        </w:rPr>
        <w:t>,</w:t>
      </w:r>
      <w:r w:rsidRPr="00BF659F">
        <w:rPr>
          <w:rFonts w:ascii="Arial" w:hAnsi="Arial" w:cs="Arial"/>
          <w:sz w:val="20"/>
          <w:szCs w:val="20"/>
        </w:rPr>
        <w:t xml:space="preserve"> jižním směrem pak s Frýdlantem nad Ostravicí. </w:t>
      </w:r>
      <w:r w:rsidRPr="00FE538E">
        <w:rPr>
          <w:rFonts w:ascii="Arial" w:hAnsi="Arial" w:cs="Arial"/>
          <w:sz w:val="20"/>
          <w:szCs w:val="20"/>
        </w:rPr>
        <w:t xml:space="preserve">S 90 tis. obyvateli </w:t>
      </w:r>
      <w:r w:rsidR="00963F9E">
        <w:rPr>
          <w:rFonts w:ascii="Arial" w:hAnsi="Arial" w:cs="Arial"/>
          <w:sz w:val="20"/>
          <w:szCs w:val="20"/>
        </w:rPr>
        <w:t xml:space="preserve">a </w:t>
      </w:r>
      <w:r w:rsidR="00FE538E" w:rsidRPr="00FE538E">
        <w:rPr>
          <w:rFonts w:ascii="Arial" w:hAnsi="Arial" w:cs="Arial"/>
          <w:sz w:val="20"/>
          <w:szCs w:val="20"/>
        </w:rPr>
        <w:lastRenderedPageBreak/>
        <w:t>38</w:t>
      </w:r>
      <w:r w:rsidRPr="00FE538E">
        <w:rPr>
          <w:rFonts w:ascii="Arial" w:hAnsi="Arial" w:cs="Arial"/>
          <w:sz w:val="20"/>
          <w:szCs w:val="20"/>
        </w:rPr>
        <w:t xml:space="preserve"> tis. </w:t>
      </w:r>
      <w:r w:rsidR="004A3E4B">
        <w:rPr>
          <w:rFonts w:ascii="Arial" w:hAnsi="Arial" w:cs="Arial"/>
          <w:sz w:val="20"/>
          <w:szCs w:val="20"/>
        </w:rPr>
        <w:t>zaměstnaných (bez pracujících studentů a učňů)</w:t>
      </w:r>
      <w:r w:rsidR="004A3E4B" w:rsidRPr="00BF659F">
        <w:rPr>
          <w:rFonts w:ascii="Arial" w:hAnsi="Arial" w:cs="Arial"/>
          <w:sz w:val="20"/>
          <w:szCs w:val="20"/>
        </w:rPr>
        <w:t xml:space="preserve"> </w:t>
      </w:r>
      <w:r w:rsidRPr="00FE538E">
        <w:rPr>
          <w:rFonts w:ascii="Arial" w:hAnsi="Arial" w:cs="Arial"/>
          <w:sz w:val="20"/>
          <w:szCs w:val="20"/>
        </w:rPr>
        <w:t xml:space="preserve">se řadí rovněž k největším v ČR. Dojížďkový proud </w:t>
      </w:r>
      <w:proofErr w:type="spellStart"/>
      <w:r w:rsidRPr="00FE538E">
        <w:rPr>
          <w:rFonts w:ascii="Arial" w:hAnsi="Arial" w:cs="Arial"/>
          <w:sz w:val="20"/>
          <w:szCs w:val="20"/>
        </w:rPr>
        <w:t>Frýdek</w:t>
      </w:r>
      <w:proofErr w:type="spellEnd"/>
      <w:r w:rsidRPr="00FE538E">
        <w:rPr>
          <w:rFonts w:ascii="Arial" w:hAnsi="Arial" w:cs="Arial"/>
          <w:sz w:val="20"/>
          <w:szCs w:val="20"/>
        </w:rPr>
        <w:t>-</w:t>
      </w:r>
      <w:r w:rsidRPr="00BF659F">
        <w:rPr>
          <w:rFonts w:ascii="Arial" w:hAnsi="Arial" w:cs="Arial"/>
          <w:sz w:val="20"/>
          <w:szCs w:val="20"/>
        </w:rPr>
        <w:t xml:space="preserve">Místek – Ostrava s 2102 dojíždějícími je třetí nejmohutnější v celé ČR. </w:t>
      </w:r>
      <w:r w:rsidR="00A667B0" w:rsidRPr="00BF659F">
        <w:rPr>
          <w:rFonts w:ascii="Arial" w:hAnsi="Arial" w:cs="Arial"/>
          <w:sz w:val="20"/>
          <w:szCs w:val="20"/>
        </w:rPr>
        <w:t xml:space="preserve">Existují i intenzívní vazby centra regionu k pracovištím koncentrovaným v obcích jako jsou Paskov, </w:t>
      </w:r>
      <w:proofErr w:type="spellStart"/>
      <w:r w:rsidR="00A667B0" w:rsidRPr="00BF659F">
        <w:rPr>
          <w:rFonts w:ascii="Arial" w:hAnsi="Arial" w:cs="Arial"/>
          <w:sz w:val="20"/>
          <w:szCs w:val="20"/>
        </w:rPr>
        <w:t>Staříč</w:t>
      </w:r>
      <w:proofErr w:type="spellEnd"/>
      <w:r w:rsidR="00A667B0" w:rsidRPr="00BF659F">
        <w:rPr>
          <w:rFonts w:ascii="Arial" w:hAnsi="Arial" w:cs="Arial"/>
          <w:sz w:val="20"/>
          <w:szCs w:val="20"/>
        </w:rPr>
        <w:t xml:space="preserve">, Dobrá a zejména </w:t>
      </w:r>
      <w:proofErr w:type="spellStart"/>
      <w:r w:rsidR="00A667B0" w:rsidRPr="00BF659F">
        <w:rPr>
          <w:rFonts w:ascii="Arial" w:hAnsi="Arial" w:cs="Arial"/>
          <w:sz w:val="20"/>
          <w:szCs w:val="20"/>
        </w:rPr>
        <w:t>Nošovice</w:t>
      </w:r>
      <w:proofErr w:type="spellEnd"/>
      <w:r w:rsidR="00A667B0" w:rsidRPr="00BF659F">
        <w:rPr>
          <w:rFonts w:ascii="Arial" w:hAnsi="Arial" w:cs="Arial"/>
          <w:sz w:val="20"/>
          <w:szCs w:val="20"/>
        </w:rPr>
        <w:t xml:space="preserve"> (</w:t>
      </w:r>
      <w:r w:rsidR="00C31C36" w:rsidRPr="00BF659F">
        <w:rPr>
          <w:rFonts w:ascii="Arial" w:hAnsi="Arial" w:cs="Arial"/>
          <w:sz w:val="20"/>
          <w:szCs w:val="20"/>
        </w:rPr>
        <w:t xml:space="preserve">celkem 1862 dojíždějících, z toho </w:t>
      </w:r>
      <w:r w:rsidR="00A667B0" w:rsidRPr="00BF659F">
        <w:rPr>
          <w:rFonts w:ascii="Arial" w:hAnsi="Arial" w:cs="Arial"/>
          <w:sz w:val="20"/>
          <w:szCs w:val="20"/>
        </w:rPr>
        <w:t xml:space="preserve">446 </w:t>
      </w:r>
      <w:r w:rsidR="00C31C36" w:rsidRPr="00BF659F">
        <w:rPr>
          <w:rFonts w:ascii="Arial" w:hAnsi="Arial" w:cs="Arial"/>
          <w:sz w:val="20"/>
          <w:szCs w:val="20"/>
        </w:rPr>
        <w:t>z</w:t>
      </w:r>
      <w:r w:rsidR="00FE538E">
        <w:rPr>
          <w:rFonts w:ascii="Arial" w:hAnsi="Arial" w:cs="Arial"/>
          <w:sz w:val="20"/>
          <w:szCs w:val="20"/>
        </w:rPr>
        <w:t xml:space="preserve"> města </w:t>
      </w:r>
      <w:proofErr w:type="spellStart"/>
      <w:r w:rsidR="00C31C36" w:rsidRPr="00BF659F">
        <w:rPr>
          <w:rFonts w:ascii="Arial" w:hAnsi="Arial" w:cs="Arial"/>
          <w:sz w:val="20"/>
          <w:szCs w:val="20"/>
        </w:rPr>
        <w:t>Frýdku</w:t>
      </w:r>
      <w:proofErr w:type="spellEnd"/>
      <w:r w:rsidR="00C31C36" w:rsidRPr="00BF659F">
        <w:rPr>
          <w:rFonts w:ascii="Arial" w:hAnsi="Arial" w:cs="Arial"/>
          <w:sz w:val="20"/>
          <w:szCs w:val="20"/>
        </w:rPr>
        <w:t>-Místku</w:t>
      </w:r>
      <w:r w:rsidR="00A667B0" w:rsidRPr="00BF659F">
        <w:rPr>
          <w:rFonts w:ascii="Arial" w:hAnsi="Arial" w:cs="Arial"/>
          <w:sz w:val="20"/>
          <w:szCs w:val="20"/>
        </w:rPr>
        <w:t>).</w:t>
      </w:r>
    </w:p>
    <w:p w:rsidR="00E35194" w:rsidRPr="00BF659F" w:rsidRDefault="00CE1CA6" w:rsidP="00FE53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F659F">
        <w:rPr>
          <w:rFonts w:ascii="Arial" w:hAnsi="Arial" w:cs="Arial"/>
          <w:sz w:val="20"/>
          <w:szCs w:val="20"/>
        </w:rPr>
        <w:t xml:space="preserve">Čtvrtý nejlidnatější dojížďkový region vytváří západočeská metropole </w:t>
      </w:r>
      <w:r w:rsidRPr="00BF659F">
        <w:rPr>
          <w:rFonts w:ascii="Arial" w:hAnsi="Arial" w:cs="Arial"/>
          <w:b/>
          <w:sz w:val="20"/>
          <w:szCs w:val="20"/>
        </w:rPr>
        <w:t>Plzeň</w:t>
      </w:r>
      <w:r w:rsidRPr="00BF659F">
        <w:rPr>
          <w:rFonts w:ascii="Arial" w:hAnsi="Arial" w:cs="Arial"/>
          <w:sz w:val="20"/>
          <w:szCs w:val="20"/>
        </w:rPr>
        <w:t>. Region</w:t>
      </w:r>
      <w:r w:rsidR="00986299" w:rsidRPr="00BF659F">
        <w:rPr>
          <w:rFonts w:ascii="Arial" w:hAnsi="Arial" w:cs="Arial"/>
          <w:sz w:val="20"/>
          <w:szCs w:val="20"/>
        </w:rPr>
        <w:t xml:space="preserve"> o rozloze </w:t>
      </w:r>
      <w:r w:rsidR="00B74429" w:rsidRPr="00BF659F">
        <w:rPr>
          <w:rFonts w:ascii="Arial" w:hAnsi="Arial" w:cs="Arial"/>
          <w:sz w:val="20"/>
          <w:szCs w:val="20"/>
        </w:rPr>
        <w:t>2151</w:t>
      </w:r>
      <w:r w:rsidR="00986299" w:rsidRPr="00BF659F">
        <w:rPr>
          <w:rFonts w:ascii="Arial" w:hAnsi="Arial" w:cs="Arial"/>
          <w:sz w:val="20"/>
          <w:szCs w:val="20"/>
        </w:rPr>
        <w:t xml:space="preserve"> km</w:t>
      </w:r>
      <w:r w:rsidR="00986299" w:rsidRPr="00BF659F">
        <w:rPr>
          <w:rFonts w:ascii="Arial" w:hAnsi="Arial" w:cs="Arial"/>
          <w:sz w:val="20"/>
          <w:szCs w:val="20"/>
          <w:vertAlign w:val="superscript"/>
        </w:rPr>
        <w:t>2</w:t>
      </w:r>
      <w:r w:rsidRPr="00BF659F">
        <w:rPr>
          <w:rFonts w:ascii="Arial" w:hAnsi="Arial" w:cs="Arial"/>
          <w:sz w:val="20"/>
          <w:szCs w:val="20"/>
        </w:rPr>
        <w:t xml:space="preserve"> tvoří 166 obcí </w:t>
      </w:r>
      <w:r w:rsidRPr="00FE538E">
        <w:rPr>
          <w:rFonts w:ascii="Arial" w:hAnsi="Arial" w:cs="Arial"/>
          <w:sz w:val="20"/>
          <w:szCs w:val="20"/>
        </w:rPr>
        <w:t>s 309 tis. obyvateli (1</w:t>
      </w:r>
      <w:r w:rsidR="00FE538E" w:rsidRPr="00FE538E">
        <w:rPr>
          <w:rFonts w:ascii="Arial" w:hAnsi="Arial" w:cs="Arial"/>
          <w:sz w:val="20"/>
          <w:szCs w:val="20"/>
        </w:rPr>
        <w:t>39</w:t>
      </w:r>
      <w:r w:rsidRPr="00FE538E">
        <w:rPr>
          <w:rFonts w:ascii="Arial" w:hAnsi="Arial" w:cs="Arial"/>
          <w:sz w:val="20"/>
          <w:szCs w:val="20"/>
        </w:rPr>
        <w:t xml:space="preserve"> tis.</w:t>
      </w:r>
      <w:r w:rsidR="00FE538E" w:rsidRPr="00FE538E">
        <w:rPr>
          <w:rFonts w:ascii="Arial" w:hAnsi="Arial" w:cs="Arial"/>
          <w:sz w:val="20"/>
          <w:szCs w:val="20"/>
        </w:rPr>
        <w:t xml:space="preserve"> </w:t>
      </w:r>
      <w:r w:rsidR="004A3E4B">
        <w:rPr>
          <w:rFonts w:ascii="Arial" w:hAnsi="Arial" w:cs="Arial"/>
          <w:sz w:val="20"/>
          <w:szCs w:val="20"/>
        </w:rPr>
        <w:t>zaměstnaných bez pracujících studentů a učňů)</w:t>
      </w:r>
      <w:r w:rsidRPr="00BF659F">
        <w:rPr>
          <w:rFonts w:ascii="Arial" w:hAnsi="Arial" w:cs="Arial"/>
          <w:sz w:val="20"/>
          <w:szCs w:val="20"/>
        </w:rPr>
        <w:t xml:space="preserve"> a kromě převážné části okresů Plzeň-jih a Plzeň-sever zasahuje i na Tachovsko, Domažlicko, Klatovsko a </w:t>
      </w:r>
      <w:proofErr w:type="spellStart"/>
      <w:r w:rsidRPr="00BF659F">
        <w:rPr>
          <w:rFonts w:ascii="Arial" w:hAnsi="Arial" w:cs="Arial"/>
          <w:sz w:val="20"/>
          <w:szCs w:val="20"/>
        </w:rPr>
        <w:t>Rokycansko</w:t>
      </w:r>
      <w:proofErr w:type="spellEnd"/>
      <w:r w:rsidRPr="00BF659F">
        <w:rPr>
          <w:rFonts w:ascii="Arial" w:hAnsi="Arial" w:cs="Arial"/>
          <w:sz w:val="20"/>
          <w:szCs w:val="20"/>
        </w:rPr>
        <w:t>.</w:t>
      </w:r>
      <w:r w:rsidR="005831FA" w:rsidRPr="00BF659F">
        <w:rPr>
          <w:rFonts w:ascii="Arial" w:hAnsi="Arial" w:cs="Arial"/>
          <w:sz w:val="20"/>
          <w:szCs w:val="20"/>
        </w:rPr>
        <w:t xml:space="preserve"> Silná je meziregionální vazba Plzně s Prahou, když do Prahy směřuje proud 1311 vyjíždějících, opačným směrem cestuje za prací 262 osob. Lze očekávat zesílení těchto proudů po dokončení rekonstrukce železničního spojení na vyšší rychlost. Obdobně spjatost </w:t>
      </w:r>
      <w:proofErr w:type="spellStart"/>
      <w:r w:rsidR="005831FA" w:rsidRPr="00BF659F">
        <w:rPr>
          <w:rFonts w:ascii="Arial" w:hAnsi="Arial" w:cs="Arial"/>
          <w:sz w:val="20"/>
          <w:szCs w:val="20"/>
        </w:rPr>
        <w:t>Rokycanska</w:t>
      </w:r>
      <w:proofErr w:type="spellEnd"/>
      <w:r w:rsidR="005831FA" w:rsidRPr="00BF659F">
        <w:rPr>
          <w:rFonts w:ascii="Arial" w:hAnsi="Arial" w:cs="Arial"/>
          <w:sz w:val="20"/>
          <w:szCs w:val="20"/>
        </w:rPr>
        <w:t xml:space="preserve"> s Plzní se bude pravděpodobně zvyšovat.</w:t>
      </w:r>
      <w:r w:rsidR="003732A2" w:rsidRPr="00BF659F">
        <w:rPr>
          <w:rFonts w:ascii="Arial" w:hAnsi="Arial" w:cs="Arial"/>
          <w:sz w:val="20"/>
          <w:szCs w:val="20"/>
        </w:rPr>
        <w:t xml:space="preserve"> Do Plzně směřuje 9 proudů s více než 500 osobami dojíždějícími do</w:t>
      </w:r>
      <w:r w:rsidR="00C0235E" w:rsidRPr="00BF659F">
        <w:rPr>
          <w:rFonts w:ascii="Arial" w:hAnsi="Arial" w:cs="Arial"/>
          <w:sz w:val="20"/>
          <w:szCs w:val="20"/>
        </w:rPr>
        <w:t xml:space="preserve"> </w:t>
      </w:r>
      <w:r w:rsidR="003732A2" w:rsidRPr="00BF659F">
        <w:rPr>
          <w:rFonts w:ascii="Arial" w:hAnsi="Arial" w:cs="Arial"/>
          <w:sz w:val="20"/>
          <w:szCs w:val="20"/>
        </w:rPr>
        <w:t>zaměstnání</w:t>
      </w:r>
      <w:r w:rsidR="00C0235E" w:rsidRPr="00BF659F">
        <w:rPr>
          <w:rFonts w:ascii="Arial" w:hAnsi="Arial" w:cs="Arial"/>
          <w:sz w:val="20"/>
          <w:szCs w:val="20"/>
        </w:rPr>
        <w:t xml:space="preserve">. Nejsilnější z nich vycházejí ze Starého </w:t>
      </w:r>
      <w:proofErr w:type="spellStart"/>
      <w:r w:rsidR="00C0235E" w:rsidRPr="00BF659F">
        <w:rPr>
          <w:rFonts w:ascii="Arial" w:hAnsi="Arial" w:cs="Arial"/>
          <w:sz w:val="20"/>
          <w:szCs w:val="20"/>
        </w:rPr>
        <w:t>Plzence</w:t>
      </w:r>
      <w:proofErr w:type="spellEnd"/>
      <w:r w:rsidR="00C0235E" w:rsidRPr="00BF659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0235E" w:rsidRPr="00BF659F">
        <w:rPr>
          <w:rFonts w:ascii="Arial" w:hAnsi="Arial" w:cs="Arial"/>
          <w:sz w:val="20"/>
          <w:szCs w:val="20"/>
        </w:rPr>
        <w:t>Vejprnic</w:t>
      </w:r>
      <w:proofErr w:type="spellEnd"/>
      <w:r w:rsidR="00C0235E" w:rsidRPr="00BF659F">
        <w:rPr>
          <w:rFonts w:ascii="Arial" w:hAnsi="Arial" w:cs="Arial"/>
          <w:sz w:val="20"/>
          <w:szCs w:val="20"/>
        </w:rPr>
        <w:t xml:space="preserve">, Rokycan a </w:t>
      </w:r>
      <w:proofErr w:type="spellStart"/>
      <w:r w:rsidR="00C0235E" w:rsidRPr="00BF659F">
        <w:rPr>
          <w:rFonts w:ascii="Arial" w:hAnsi="Arial" w:cs="Arial"/>
          <w:sz w:val="20"/>
          <w:szCs w:val="20"/>
        </w:rPr>
        <w:t>Třemošné</w:t>
      </w:r>
      <w:proofErr w:type="spellEnd"/>
      <w:r w:rsidR="00C0235E" w:rsidRPr="00BF659F">
        <w:rPr>
          <w:rFonts w:ascii="Arial" w:hAnsi="Arial" w:cs="Arial"/>
          <w:sz w:val="20"/>
          <w:szCs w:val="20"/>
        </w:rPr>
        <w:t>.</w:t>
      </w:r>
    </w:p>
    <w:p w:rsidR="007F1839" w:rsidRDefault="004A3E4B" w:rsidP="00FE53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České Budějovice patří k nejsilnějším centrům dojížďky v České republice </w:t>
      </w:r>
      <w:r w:rsidRPr="00326F98">
        <w:rPr>
          <w:rFonts w:ascii="Arial" w:hAnsi="Arial" w:cs="Arial"/>
          <w:sz w:val="20"/>
          <w:szCs w:val="20"/>
        </w:rPr>
        <w:t>(</w:t>
      </w:r>
      <w:r w:rsidR="00326F98" w:rsidRPr="00326F98">
        <w:rPr>
          <w:rFonts w:ascii="Arial" w:hAnsi="Arial" w:cs="Arial"/>
          <w:sz w:val="20"/>
          <w:szCs w:val="20"/>
        </w:rPr>
        <w:t>18 tis.</w:t>
      </w:r>
      <w:r w:rsidRPr="00326F98">
        <w:rPr>
          <w:rFonts w:ascii="Arial" w:hAnsi="Arial" w:cs="Arial"/>
          <w:sz w:val="20"/>
          <w:szCs w:val="20"/>
        </w:rPr>
        <w:t xml:space="preserve"> dojíždějících</w:t>
      </w:r>
      <w:r>
        <w:rPr>
          <w:rFonts w:ascii="Arial" w:hAnsi="Arial" w:cs="Arial"/>
          <w:sz w:val="20"/>
          <w:szCs w:val="20"/>
        </w:rPr>
        <w:t xml:space="preserve"> do zaměstnání) a </w:t>
      </w:r>
      <w:r w:rsidR="00326F98">
        <w:rPr>
          <w:rFonts w:ascii="Arial" w:hAnsi="Arial" w:cs="Arial"/>
          <w:sz w:val="20"/>
          <w:szCs w:val="20"/>
        </w:rPr>
        <w:t xml:space="preserve">jsou centrem </w:t>
      </w:r>
      <w:r w:rsidR="007F1839">
        <w:rPr>
          <w:rFonts w:ascii="Arial" w:hAnsi="Arial" w:cs="Arial"/>
          <w:sz w:val="20"/>
          <w:szCs w:val="20"/>
        </w:rPr>
        <w:t>region</w:t>
      </w:r>
      <w:r w:rsidR="00326F98">
        <w:rPr>
          <w:rFonts w:ascii="Arial" w:hAnsi="Arial" w:cs="Arial"/>
          <w:sz w:val="20"/>
          <w:szCs w:val="20"/>
        </w:rPr>
        <w:t>u</w:t>
      </w:r>
      <w:r w:rsidR="007F1839">
        <w:rPr>
          <w:rFonts w:ascii="Arial" w:hAnsi="Arial" w:cs="Arial"/>
          <w:sz w:val="20"/>
          <w:szCs w:val="20"/>
        </w:rPr>
        <w:t xml:space="preserve"> tvořen</w:t>
      </w:r>
      <w:r w:rsidR="00326F98">
        <w:rPr>
          <w:rFonts w:ascii="Arial" w:hAnsi="Arial" w:cs="Arial"/>
          <w:sz w:val="20"/>
          <w:szCs w:val="20"/>
        </w:rPr>
        <w:t>ého</w:t>
      </w:r>
      <w:r w:rsidR="007F1839">
        <w:rPr>
          <w:rFonts w:ascii="Arial" w:hAnsi="Arial" w:cs="Arial"/>
          <w:sz w:val="20"/>
          <w:szCs w:val="20"/>
        </w:rPr>
        <w:t xml:space="preserve"> 116 obcemi se 192 tis.</w:t>
      </w:r>
      <w:r w:rsidR="00963F9E">
        <w:rPr>
          <w:rFonts w:ascii="Arial" w:hAnsi="Arial" w:cs="Arial"/>
          <w:sz w:val="20"/>
          <w:szCs w:val="20"/>
        </w:rPr>
        <w:t xml:space="preserve"> obyvateli</w:t>
      </w:r>
      <w:r w:rsidR="007F1839">
        <w:rPr>
          <w:rFonts w:ascii="Arial" w:hAnsi="Arial" w:cs="Arial"/>
          <w:sz w:val="20"/>
          <w:szCs w:val="20"/>
        </w:rPr>
        <w:t>, z toho je 88 tis. zaměstnaných (bez pracujících studentů a učňů)</w:t>
      </w:r>
      <w:r w:rsidR="007F1839" w:rsidRPr="00BF659F">
        <w:rPr>
          <w:rFonts w:ascii="Arial" w:hAnsi="Arial" w:cs="Arial"/>
          <w:sz w:val="20"/>
          <w:szCs w:val="20"/>
        </w:rPr>
        <w:t xml:space="preserve">. </w:t>
      </w:r>
      <w:r w:rsidR="007F1839">
        <w:rPr>
          <w:rFonts w:ascii="Arial" w:hAnsi="Arial" w:cs="Arial"/>
          <w:sz w:val="20"/>
          <w:szCs w:val="20"/>
        </w:rPr>
        <w:t xml:space="preserve">Rozsáhlý region má rozlohu </w:t>
      </w:r>
      <w:r w:rsidR="00BD68C2" w:rsidRPr="00BD68C2">
        <w:rPr>
          <w:rFonts w:ascii="Arial" w:hAnsi="Arial" w:cs="Arial"/>
          <w:sz w:val="20"/>
          <w:szCs w:val="20"/>
        </w:rPr>
        <w:t>1660</w:t>
      </w:r>
      <w:r w:rsidR="007F1839" w:rsidRPr="00BD68C2">
        <w:rPr>
          <w:rFonts w:ascii="Arial" w:hAnsi="Arial" w:cs="Arial"/>
          <w:sz w:val="20"/>
          <w:szCs w:val="20"/>
        </w:rPr>
        <w:t xml:space="preserve"> km2</w:t>
      </w:r>
      <w:r w:rsidR="007F1839">
        <w:rPr>
          <w:rFonts w:ascii="Arial" w:hAnsi="Arial" w:cs="Arial"/>
          <w:sz w:val="20"/>
          <w:szCs w:val="20"/>
        </w:rPr>
        <w:t xml:space="preserve">, zaujímá celý okres České Budějovice s výjimkou </w:t>
      </w:r>
      <w:proofErr w:type="spellStart"/>
      <w:r w:rsidR="007F1839">
        <w:rPr>
          <w:rFonts w:ascii="Arial" w:hAnsi="Arial" w:cs="Arial"/>
          <w:sz w:val="20"/>
          <w:szCs w:val="20"/>
        </w:rPr>
        <w:t>Vltavskotýnska</w:t>
      </w:r>
      <w:proofErr w:type="spellEnd"/>
      <w:r w:rsidR="007F1839">
        <w:rPr>
          <w:rFonts w:ascii="Arial" w:hAnsi="Arial" w:cs="Arial"/>
          <w:sz w:val="20"/>
          <w:szCs w:val="20"/>
        </w:rPr>
        <w:t xml:space="preserve"> a rovněž </w:t>
      </w:r>
      <w:r w:rsidR="00326F98">
        <w:rPr>
          <w:rFonts w:ascii="Arial" w:hAnsi="Arial" w:cs="Arial"/>
          <w:sz w:val="20"/>
          <w:szCs w:val="20"/>
        </w:rPr>
        <w:t xml:space="preserve">okrajové </w:t>
      </w:r>
      <w:r w:rsidR="007F1839">
        <w:rPr>
          <w:rFonts w:ascii="Arial" w:hAnsi="Arial" w:cs="Arial"/>
          <w:sz w:val="20"/>
          <w:szCs w:val="20"/>
        </w:rPr>
        <w:t xml:space="preserve">části </w:t>
      </w:r>
      <w:r w:rsidR="00BD68C2">
        <w:rPr>
          <w:rFonts w:ascii="Arial" w:hAnsi="Arial" w:cs="Arial"/>
          <w:sz w:val="20"/>
          <w:szCs w:val="20"/>
        </w:rPr>
        <w:t>sousedních</w:t>
      </w:r>
      <w:r w:rsidR="007F1839">
        <w:rPr>
          <w:rFonts w:ascii="Arial" w:hAnsi="Arial" w:cs="Arial"/>
          <w:sz w:val="20"/>
          <w:szCs w:val="20"/>
        </w:rPr>
        <w:t xml:space="preserve"> okresů</w:t>
      </w:r>
      <w:r w:rsidR="00BD68C2">
        <w:rPr>
          <w:rFonts w:ascii="Arial" w:hAnsi="Arial" w:cs="Arial"/>
          <w:sz w:val="20"/>
          <w:szCs w:val="20"/>
        </w:rPr>
        <w:t xml:space="preserve"> Český Krumlov a Prachatice</w:t>
      </w:r>
      <w:r w:rsidR="007F1839">
        <w:rPr>
          <w:rFonts w:ascii="Arial" w:hAnsi="Arial" w:cs="Arial"/>
          <w:sz w:val="20"/>
          <w:szCs w:val="20"/>
        </w:rPr>
        <w:t>.</w:t>
      </w:r>
    </w:p>
    <w:p w:rsidR="005831FA" w:rsidRPr="00BF659F" w:rsidRDefault="005831FA" w:rsidP="00FE53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F659F">
        <w:rPr>
          <w:rFonts w:ascii="Arial" w:hAnsi="Arial" w:cs="Arial"/>
          <w:sz w:val="20"/>
          <w:szCs w:val="20"/>
        </w:rPr>
        <w:t xml:space="preserve">Dalším v pořadí je </w:t>
      </w:r>
      <w:r w:rsidRPr="00BF659F">
        <w:rPr>
          <w:rFonts w:ascii="Arial" w:hAnsi="Arial" w:cs="Arial"/>
          <w:b/>
          <w:sz w:val="20"/>
          <w:szCs w:val="20"/>
        </w:rPr>
        <w:t xml:space="preserve">Olomoucký </w:t>
      </w:r>
      <w:r w:rsidRPr="00BF659F">
        <w:rPr>
          <w:rFonts w:ascii="Arial" w:hAnsi="Arial" w:cs="Arial"/>
          <w:sz w:val="20"/>
          <w:szCs w:val="20"/>
        </w:rPr>
        <w:t xml:space="preserve">region </w:t>
      </w:r>
      <w:r w:rsidRPr="008D6F5B">
        <w:rPr>
          <w:rFonts w:ascii="Arial" w:hAnsi="Arial" w:cs="Arial"/>
          <w:sz w:val="20"/>
          <w:szCs w:val="20"/>
        </w:rPr>
        <w:t>se 18</w:t>
      </w:r>
      <w:r w:rsidR="00FE538E" w:rsidRPr="008D6F5B">
        <w:rPr>
          <w:rFonts w:ascii="Arial" w:hAnsi="Arial" w:cs="Arial"/>
          <w:sz w:val="20"/>
          <w:szCs w:val="20"/>
        </w:rPr>
        <w:t>1</w:t>
      </w:r>
      <w:r w:rsidRPr="008D6F5B">
        <w:rPr>
          <w:rFonts w:ascii="Arial" w:hAnsi="Arial" w:cs="Arial"/>
          <w:sz w:val="20"/>
          <w:szCs w:val="20"/>
        </w:rPr>
        <w:t xml:space="preserve"> tis. obyvateli (</w:t>
      </w:r>
      <w:r w:rsidR="008D6F5B" w:rsidRPr="008D6F5B">
        <w:rPr>
          <w:rFonts w:ascii="Arial" w:hAnsi="Arial" w:cs="Arial"/>
          <w:sz w:val="20"/>
          <w:szCs w:val="20"/>
        </w:rPr>
        <w:t>8</w:t>
      </w:r>
      <w:r w:rsidRPr="008D6F5B">
        <w:rPr>
          <w:rFonts w:ascii="Arial" w:hAnsi="Arial" w:cs="Arial"/>
          <w:sz w:val="20"/>
          <w:szCs w:val="20"/>
        </w:rPr>
        <w:t>1 tis.</w:t>
      </w:r>
      <w:r w:rsidR="008D6F5B" w:rsidRPr="008D6F5B">
        <w:rPr>
          <w:rFonts w:ascii="Arial" w:hAnsi="Arial" w:cs="Arial"/>
          <w:sz w:val="20"/>
          <w:szCs w:val="20"/>
        </w:rPr>
        <w:t xml:space="preserve"> </w:t>
      </w:r>
      <w:r w:rsidR="007F1839">
        <w:rPr>
          <w:rFonts w:ascii="Arial" w:hAnsi="Arial" w:cs="Arial"/>
          <w:sz w:val="20"/>
          <w:szCs w:val="20"/>
        </w:rPr>
        <w:t xml:space="preserve">zaměstnaných bez pracujících studentů a </w:t>
      </w:r>
      <w:proofErr w:type="gramStart"/>
      <w:r w:rsidR="007F1839">
        <w:rPr>
          <w:rFonts w:ascii="Arial" w:hAnsi="Arial" w:cs="Arial"/>
          <w:sz w:val="20"/>
          <w:szCs w:val="20"/>
        </w:rPr>
        <w:t>učňů)</w:t>
      </w:r>
      <w:r w:rsidR="00AC2B72">
        <w:rPr>
          <w:rFonts w:ascii="Arial" w:hAnsi="Arial" w:cs="Arial"/>
          <w:sz w:val="20"/>
          <w:szCs w:val="20"/>
        </w:rPr>
        <w:t>,</w:t>
      </w:r>
      <w:r w:rsidR="007F1839" w:rsidRPr="00BF659F">
        <w:rPr>
          <w:rFonts w:ascii="Arial" w:hAnsi="Arial" w:cs="Arial"/>
          <w:sz w:val="20"/>
          <w:szCs w:val="20"/>
        </w:rPr>
        <w:t xml:space="preserve"> </w:t>
      </w:r>
      <w:r w:rsidRPr="00BF659F">
        <w:rPr>
          <w:rFonts w:ascii="Arial" w:hAnsi="Arial" w:cs="Arial"/>
          <w:sz w:val="20"/>
          <w:szCs w:val="20"/>
        </w:rPr>
        <w:t xml:space="preserve"> žijícími</w:t>
      </w:r>
      <w:proofErr w:type="gramEnd"/>
      <w:r w:rsidRPr="00BF659F">
        <w:rPr>
          <w:rFonts w:ascii="Arial" w:hAnsi="Arial" w:cs="Arial"/>
          <w:sz w:val="20"/>
          <w:szCs w:val="20"/>
        </w:rPr>
        <w:t xml:space="preserve"> </w:t>
      </w:r>
      <w:r w:rsidR="00B74429" w:rsidRPr="00BF659F">
        <w:rPr>
          <w:rFonts w:ascii="Arial" w:hAnsi="Arial" w:cs="Arial"/>
          <w:sz w:val="20"/>
          <w:szCs w:val="20"/>
        </w:rPr>
        <w:t xml:space="preserve">na území </w:t>
      </w:r>
      <w:r w:rsidR="003F3C13" w:rsidRPr="00BF659F">
        <w:rPr>
          <w:rFonts w:ascii="Arial" w:hAnsi="Arial" w:cs="Arial"/>
          <w:sz w:val="20"/>
          <w:szCs w:val="20"/>
        </w:rPr>
        <w:t>1084 km</w:t>
      </w:r>
      <w:r w:rsidR="003F3C13" w:rsidRPr="00BF659F">
        <w:rPr>
          <w:rFonts w:ascii="Arial" w:hAnsi="Arial" w:cs="Arial"/>
          <w:sz w:val="20"/>
          <w:szCs w:val="20"/>
          <w:vertAlign w:val="superscript"/>
        </w:rPr>
        <w:t>2</w:t>
      </w:r>
      <w:r w:rsidR="003F3C13" w:rsidRPr="00BF659F">
        <w:rPr>
          <w:rFonts w:ascii="Arial" w:hAnsi="Arial" w:cs="Arial"/>
          <w:sz w:val="20"/>
          <w:szCs w:val="20"/>
        </w:rPr>
        <w:t xml:space="preserve"> v</w:t>
      </w:r>
      <w:r w:rsidRPr="00BF659F">
        <w:rPr>
          <w:rFonts w:ascii="Arial" w:hAnsi="Arial" w:cs="Arial"/>
          <w:sz w:val="20"/>
          <w:szCs w:val="20"/>
        </w:rPr>
        <w:t> 70 obcí</w:t>
      </w:r>
      <w:r w:rsidR="00B74429" w:rsidRPr="00BF659F">
        <w:rPr>
          <w:rFonts w:ascii="Arial" w:hAnsi="Arial" w:cs="Arial"/>
          <w:sz w:val="20"/>
          <w:szCs w:val="20"/>
        </w:rPr>
        <w:t>ch</w:t>
      </w:r>
      <w:r w:rsidRPr="00BF659F">
        <w:rPr>
          <w:rFonts w:ascii="Arial" w:hAnsi="Arial" w:cs="Arial"/>
          <w:sz w:val="20"/>
          <w:szCs w:val="20"/>
        </w:rPr>
        <w:t xml:space="preserve">. Význam Olomouce jako koncentrace pracovních míst a kulturního a administrativního centra </w:t>
      </w:r>
      <w:r w:rsidR="00FE538E">
        <w:rPr>
          <w:rFonts w:ascii="Arial" w:hAnsi="Arial" w:cs="Arial"/>
          <w:sz w:val="20"/>
          <w:szCs w:val="20"/>
        </w:rPr>
        <w:t xml:space="preserve">Střední </w:t>
      </w:r>
      <w:proofErr w:type="gramStart"/>
      <w:r w:rsidR="00FE538E">
        <w:rPr>
          <w:rFonts w:ascii="Arial" w:hAnsi="Arial" w:cs="Arial"/>
          <w:sz w:val="20"/>
          <w:szCs w:val="20"/>
        </w:rPr>
        <w:t xml:space="preserve">Moravy </w:t>
      </w:r>
      <w:r w:rsidR="0088411A">
        <w:rPr>
          <w:rFonts w:ascii="Arial" w:hAnsi="Arial" w:cs="Arial"/>
          <w:sz w:val="20"/>
          <w:szCs w:val="20"/>
        </w:rPr>
        <w:t xml:space="preserve"> podporuje</w:t>
      </w:r>
      <w:proofErr w:type="gramEnd"/>
      <w:r w:rsidR="0088411A">
        <w:rPr>
          <w:rFonts w:ascii="Arial" w:hAnsi="Arial" w:cs="Arial"/>
          <w:sz w:val="20"/>
          <w:szCs w:val="20"/>
        </w:rPr>
        <w:t xml:space="preserve"> </w:t>
      </w:r>
      <w:r w:rsidRPr="00BF659F">
        <w:rPr>
          <w:rFonts w:ascii="Arial" w:hAnsi="Arial" w:cs="Arial"/>
          <w:sz w:val="20"/>
          <w:szCs w:val="20"/>
        </w:rPr>
        <w:t xml:space="preserve">intenzivní vazby </w:t>
      </w:r>
      <w:r w:rsidR="003F3C13" w:rsidRPr="00BF659F">
        <w:rPr>
          <w:rFonts w:ascii="Arial" w:hAnsi="Arial" w:cs="Arial"/>
          <w:sz w:val="20"/>
          <w:szCs w:val="20"/>
        </w:rPr>
        <w:t xml:space="preserve">i </w:t>
      </w:r>
      <w:r w:rsidR="005D5C9E" w:rsidRPr="00BF659F">
        <w:rPr>
          <w:rFonts w:ascii="Arial" w:hAnsi="Arial" w:cs="Arial"/>
          <w:sz w:val="20"/>
          <w:szCs w:val="20"/>
        </w:rPr>
        <w:t>s</w:t>
      </w:r>
      <w:r w:rsidRPr="00BF659F">
        <w:rPr>
          <w:rFonts w:ascii="Arial" w:hAnsi="Arial" w:cs="Arial"/>
          <w:sz w:val="20"/>
          <w:szCs w:val="20"/>
        </w:rPr>
        <w:t xml:space="preserve"> okolní</w:t>
      </w:r>
      <w:r w:rsidR="005D5C9E" w:rsidRPr="00BF659F">
        <w:rPr>
          <w:rFonts w:ascii="Arial" w:hAnsi="Arial" w:cs="Arial"/>
          <w:sz w:val="20"/>
          <w:szCs w:val="20"/>
        </w:rPr>
        <w:t>mi</w:t>
      </w:r>
      <w:r w:rsidRPr="00BF659F">
        <w:rPr>
          <w:rFonts w:ascii="Arial" w:hAnsi="Arial" w:cs="Arial"/>
          <w:sz w:val="20"/>
          <w:szCs w:val="20"/>
        </w:rPr>
        <w:t xml:space="preserve"> středisk</w:t>
      </w:r>
      <w:r w:rsidR="005D5C9E" w:rsidRPr="00BF659F">
        <w:rPr>
          <w:rFonts w:ascii="Arial" w:hAnsi="Arial" w:cs="Arial"/>
          <w:sz w:val="20"/>
          <w:szCs w:val="20"/>
        </w:rPr>
        <w:t>y</w:t>
      </w:r>
      <w:r w:rsidRPr="00BF659F">
        <w:rPr>
          <w:rFonts w:ascii="Arial" w:hAnsi="Arial" w:cs="Arial"/>
          <w:sz w:val="20"/>
          <w:szCs w:val="20"/>
        </w:rPr>
        <w:t>, jakými jsou Prostějov, Přerov, Šternberk nebo Litovel</w:t>
      </w:r>
      <w:r w:rsidR="00FE538E">
        <w:rPr>
          <w:rFonts w:ascii="Arial" w:hAnsi="Arial" w:cs="Arial"/>
          <w:sz w:val="20"/>
          <w:szCs w:val="20"/>
        </w:rPr>
        <w:t xml:space="preserve">. </w:t>
      </w:r>
      <w:r w:rsidRPr="00BF659F">
        <w:rPr>
          <w:rFonts w:ascii="Arial" w:hAnsi="Arial" w:cs="Arial"/>
          <w:sz w:val="20"/>
          <w:szCs w:val="20"/>
        </w:rPr>
        <w:t xml:space="preserve"> </w:t>
      </w:r>
    </w:p>
    <w:p w:rsidR="003732A2" w:rsidRPr="00BF659F" w:rsidRDefault="005D5C9E" w:rsidP="00FE53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F659F">
        <w:rPr>
          <w:rFonts w:ascii="Arial" w:hAnsi="Arial" w:cs="Arial"/>
          <w:sz w:val="20"/>
          <w:szCs w:val="20"/>
        </w:rPr>
        <w:t>V České republice již historicky dlouhou dobu existuje několik „</w:t>
      </w:r>
      <w:proofErr w:type="spellStart"/>
      <w:r w:rsidRPr="00BF659F">
        <w:rPr>
          <w:rFonts w:ascii="Arial" w:hAnsi="Arial" w:cs="Arial"/>
          <w:sz w:val="20"/>
          <w:szCs w:val="20"/>
        </w:rPr>
        <w:t>dvojregionů</w:t>
      </w:r>
      <w:proofErr w:type="spellEnd"/>
      <w:r w:rsidRPr="00BF659F">
        <w:rPr>
          <w:rFonts w:ascii="Arial" w:hAnsi="Arial" w:cs="Arial"/>
          <w:sz w:val="20"/>
          <w:szCs w:val="20"/>
        </w:rPr>
        <w:t>“,</w:t>
      </w:r>
      <w:r w:rsidR="008D6F5B">
        <w:rPr>
          <w:rFonts w:ascii="Arial" w:hAnsi="Arial" w:cs="Arial"/>
          <w:sz w:val="20"/>
          <w:szCs w:val="20"/>
        </w:rPr>
        <w:t xml:space="preserve"> </w:t>
      </w:r>
      <w:r w:rsidR="00521AAC" w:rsidRPr="00BF659F">
        <w:rPr>
          <w:rFonts w:ascii="Arial" w:hAnsi="Arial" w:cs="Arial"/>
          <w:sz w:val="20"/>
          <w:szCs w:val="20"/>
        </w:rPr>
        <w:t>analyzovaných v řadě</w:t>
      </w:r>
      <w:r w:rsidRPr="00BF659F">
        <w:rPr>
          <w:rFonts w:ascii="Arial" w:hAnsi="Arial" w:cs="Arial"/>
          <w:sz w:val="20"/>
          <w:szCs w:val="20"/>
        </w:rPr>
        <w:t xml:space="preserve"> regionálně geografických studií. Jde o silné póly rozvoje, jejichž vzájemná integrace bude patrně dále vzrůstat. Hovoříme zde zejména o dvojicí</w:t>
      </w:r>
      <w:r w:rsidR="00512BA0" w:rsidRPr="00BF659F">
        <w:rPr>
          <w:rFonts w:ascii="Arial" w:hAnsi="Arial" w:cs="Arial"/>
          <w:sz w:val="20"/>
          <w:szCs w:val="20"/>
        </w:rPr>
        <w:t xml:space="preserve">ch měst (regionů) Hradec Králové - </w:t>
      </w:r>
      <w:r w:rsidRPr="00BF659F">
        <w:rPr>
          <w:rFonts w:ascii="Arial" w:hAnsi="Arial" w:cs="Arial"/>
          <w:sz w:val="20"/>
          <w:szCs w:val="20"/>
        </w:rPr>
        <w:t xml:space="preserve">Pardubice (s propojením </w:t>
      </w:r>
      <w:r w:rsidR="00512BA0" w:rsidRPr="00BF659F">
        <w:rPr>
          <w:rFonts w:ascii="Arial" w:hAnsi="Arial" w:cs="Arial"/>
          <w:sz w:val="20"/>
          <w:szCs w:val="20"/>
        </w:rPr>
        <w:t xml:space="preserve">až </w:t>
      </w:r>
      <w:r w:rsidRPr="00BF659F">
        <w:rPr>
          <w:rFonts w:ascii="Arial" w:hAnsi="Arial" w:cs="Arial"/>
          <w:sz w:val="20"/>
          <w:szCs w:val="20"/>
        </w:rPr>
        <w:t xml:space="preserve">na Chrudim), Liberec – Jablonec nad Nisou, </w:t>
      </w:r>
      <w:r w:rsidR="00F3481A" w:rsidRPr="00BF659F">
        <w:rPr>
          <w:rFonts w:ascii="Arial" w:hAnsi="Arial" w:cs="Arial"/>
          <w:sz w:val="20"/>
          <w:szCs w:val="20"/>
        </w:rPr>
        <w:t xml:space="preserve">Most – Litvínov, </w:t>
      </w:r>
      <w:r w:rsidRPr="00BF659F">
        <w:rPr>
          <w:rFonts w:ascii="Arial" w:hAnsi="Arial" w:cs="Arial"/>
          <w:sz w:val="20"/>
          <w:szCs w:val="20"/>
        </w:rPr>
        <w:t xml:space="preserve">Ústí nad Labem – Teplice a Zlín – Otrokovice. Ve všech těchto případech jde o obousměrné vazby bydliště – pracoviště, které korespondují i s dojížďkou za občanskou vybaveností. </w:t>
      </w:r>
      <w:r w:rsidR="008D6F5B" w:rsidRPr="008D6F5B">
        <w:rPr>
          <w:rFonts w:ascii="Arial" w:hAnsi="Arial" w:cs="Arial"/>
          <w:sz w:val="20"/>
          <w:szCs w:val="20"/>
        </w:rPr>
        <w:t>Často jsou jádra regionů navzájem propojena městskou hromadnou dopravou.</w:t>
      </w:r>
      <w:r w:rsidR="009F077A">
        <w:rPr>
          <w:rFonts w:ascii="Arial" w:hAnsi="Arial" w:cs="Arial"/>
          <w:sz w:val="20"/>
          <w:szCs w:val="20"/>
        </w:rPr>
        <w:t xml:space="preserve"> </w:t>
      </w:r>
      <w:r w:rsidR="003732A2" w:rsidRPr="00BF659F">
        <w:rPr>
          <w:rFonts w:ascii="Arial" w:hAnsi="Arial" w:cs="Arial"/>
          <w:sz w:val="20"/>
          <w:szCs w:val="20"/>
        </w:rPr>
        <w:t>Vyjížďkový proud Zlín – Otrokovice je dokonce o něco silnější než proud opačného směru (1320 resp. 1275 vyjíždějících)</w:t>
      </w:r>
      <w:r w:rsidR="008D6F5B">
        <w:rPr>
          <w:rFonts w:ascii="Arial" w:hAnsi="Arial" w:cs="Arial"/>
          <w:sz w:val="20"/>
          <w:szCs w:val="20"/>
        </w:rPr>
        <w:t>.</w:t>
      </w:r>
      <w:r w:rsidR="00A34891" w:rsidRPr="00BF659F">
        <w:rPr>
          <w:rFonts w:ascii="Arial" w:hAnsi="Arial" w:cs="Arial"/>
          <w:sz w:val="20"/>
          <w:szCs w:val="20"/>
        </w:rPr>
        <w:t xml:space="preserve"> </w:t>
      </w:r>
      <w:r w:rsidR="008D6F5B">
        <w:rPr>
          <w:rFonts w:ascii="Arial" w:hAnsi="Arial" w:cs="Arial"/>
          <w:sz w:val="20"/>
          <w:szCs w:val="20"/>
        </w:rPr>
        <w:t>A</w:t>
      </w:r>
      <w:r w:rsidR="00A34891" w:rsidRPr="00BF659F">
        <w:rPr>
          <w:rFonts w:ascii="Arial" w:hAnsi="Arial" w:cs="Arial"/>
          <w:sz w:val="20"/>
          <w:szCs w:val="20"/>
        </w:rPr>
        <w:t xml:space="preserve">čkoliv Otrokovice jsou </w:t>
      </w:r>
      <w:r w:rsidR="008D6F5B">
        <w:rPr>
          <w:rFonts w:ascii="Arial" w:hAnsi="Arial" w:cs="Arial"/>
          <w:sz w:val="20"/>
          <w:szCs w:val="20"/>
        </w:rPr>
        <w:t xml:space="preserve">počtem obyvatel </w:t>
      </w:r>
      <w:r w:rsidR="00A34891" w:rsidRPr="00BF659F">
        <w:rPr>
          <w:rFonts w:ascii="Arial" w:hAnsi="Arial" w:cs="Arial"/>
          <w:sz w:val="20"/>
          <w:szCs w:val="20"/>
        </w:rPr>
        <w:t>značně menší</w:t>
      </w:r>
      <w:r w:rsidR="008D6F5B">
        <w:rPr>
          <w:rFonts w:ascii="Arial" w:hAnsi="Arial" w:cs="Arial"/>
          <w:sz w:val="20"/>
          <w:szCs w:val="20"/>
        </w:rPr>
        <w:t>, soustřeďují velké množství pracovních příležitostí, zejména ve výrobních odvětvích</w:t>
      </w:r>
      <w:r w:rsidR="003732A2" w:rsidRPr="00BF659F">
        <w:rPr>
          <w:rFonts w:ascii="Arial" w:hAnsi="Arial" w:cs="Arial"/>
          <w:sz w:val="20"/>
          <w:szCs w:val="20"/>
        </w:rPr>
        <w:t xml:space="preserve">. </w:t>
      </w:r>
      <w:r w:rsidR="00F3481A" w:rsidRPr="00BF659F">
        <w:rPr>
          <w:rFonts w:ascii="Arial" w:hAnsi="Arial" w:cs="Arial"/>
          <w:sz w:val="20"/>
          <w:szCs w:val="20"/>
        </w:rPr>
        <w:t xml:space="preserve">Existují však i další dvojice </w:t>
      </w:r>
      <w:r w:rsidR="00521AAC" w:rsidRPr="00BF659F">
        <w:rPr>
          <w:rFonts w:ascii="Arial" w:hAnsi="Arial" w:cs="Arial"/>
          <w:sz w:val="20"/>
          <w:szCs w:val="20"/>
        </w:rPr>
        <w:t xml:space="preserve">menších </w:t>
      </w:r>
      <w:r w:rsidR="00F3481A" w:rsidRPr="00BF659F">
        <w:rPr>
          <w:rFonts w:ascii="Arial" w:hAnsi="Arial" w:cs="Arial"/>
          <w:sz w:val="20"/>
          <w:szCs w:val="20"/>
        </w:rPr>
        <w:t>provázaných regionů dojížďky</w:t>
      </w:r>
      <w:r w:rsidR="00521AAC" w:rsidRPr="00BF659F">
        <w:rPr>
          <w:rFonts w:ascii="Arial" w:hAnsi="Arial" w:cs="Arial"/>
          <w:sz w:val="20"/>
          <w:szCs w:val="20"/>
        </w:rPr>
        <w:t>, například v </w:t>
      </w:r>
      <w:proofErr w:type="spellStart"/>
      <w:r w:rsidR="00521AAC" w:rsidRPr="00BF659F">
        <w:rPr>
          <w:rFonts w:ascii="Arial" w:hAnsi="Arial" w:cs="Arial"/>
          <w:sz w:val="20"/>
          <w:szCs w:val="20"/>
        </w:rPr>
        <w:t>Podkrušnohoří</w:t>
      </w:r>
      <w:proofErr w:type="spellEnd"/>
      <w:r w:rsidR="00521AAC" w:rsidRPr="00BF659F">
        <w:rPr>
          <w:rFonts w:ascii="Arial" w:hAnsi="Arial" w:cs="Arial"/>
          <w:sz w:val="20"/>
          <w:szCs w:val="20"/>
        </w:rPr>
        <w:t>, na Valašsku a jinde</w:t>
      </w:r>
      <w:r w:rsidR="00F3481A" w:rsidRPr="00BF659F">
        <w:rPr>
          <w:rFonts w:ascii="Arial" w:hAnsi="Arial" w:cs="Arial"/>
          <w:sz w:val="20"/>
          <w:szCs w:val="20"/>
        </w:rPr>
        <w:t>.</w:t>
      </w:r>
      <w:r w:rsidR="00702918" w:rsidRPr="00BF659F">
        <w:rPr>
          <w:rFonts w:ascii="Arial" w:hAnsi="Arial" w:cs="Arial"/>
          <w:sz w:val="20"/>
          <w:szCs w:val="20"/>
        </w:rPr>
        <w:t xml:space="preserve"> </w:t>
      </w:r>
    </w:p>
    <w:p w:rsidR="005D5C9E" w:rsidRPr="00BF659F" w:rsidRDefault="003732A2" w:rsidP="00560A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659F">
        <w:rPr>
          <w:rFonts w:ascii="Arial" w:hAnsi="Arial" w:cs="Arial"/>
          <w:sz w:val="20"/>
          <w:szCs w:val="20"/>
        </w:rPr>
        <w:t xml:space="preserve">V případě Uherského Hradiště jde dokonce o trojměstí. Staré Město a Kunovice byly v minulosti administrativními částmi města Uherské Hradiště a opět se osamostatnily až </w:t>
      </w:r>
      <w:r w:rsidR="005C48C5" w:rsidRPr="00BF659F">
        <w:rPr>
          <w:rFonts w:ascii="Arial" w:hAnsi="Arial" w:cs="Arial"/>
          <w:sz w:val="20"/>
          <w:szCs w:val="20"/>
        </w:rPr>
        <w:t>v</w:t>
      </w:r>
      <w:r w:rsidRPr="00BF659F">
        <w:rPr>
          <w:rFonts w:ascii="Arial" w:hAnsi="Arial" w:cs="Arial"/>
          <w:sz w:val="20"/>
          <w:szCs w:val="20"/>
        </w:rPr>
        <w:t xml:space="preserve"> roce 199</w:t>
      </w:r>
      <w:r w:rsidR="005C48C5" w:rsidRPr="00BF659F">
        <w:rPr>
          <w:rFonts w:ascii="Arial" w:hAnsi="Arial" w:cs="Arial"/>
          <w:sz w:val="20"/>
          <w:szCs w:val="20"/>
        </w:rPr>
        <w:t xml:space="preserve">0; od </w:t>
      </w:r>
      <w:r w:rsidR="00702918" w:rsidRPr="00BF659F">
        <w:rPr>
          <w:rFonts w:ascii="Arial" w:hAnsi="Arial" w:cs="Arial"/>
          <w:sz w:val="20"/>
          <w:szCs w:val="20"/>
        </w:rPr>
        <w:t>sčítání 1991</w:t>
      </w:r>
      <w:r w:rsidR="005C48C5" w:rsidRPr="00BF659F">
        <w:rPr>
          <w:rFonts w:ascii="Arial" w:hAnsi="Arial" w:cs="Arial"/>
          <w:sz w:val="20"/>
          <w:szCs w:val="20"/>
        </w:rPr>
        <w:t xml:space="preserve"> lze identifikovat vzájemné </w:t>
      </w:r>
      <w:proofErr w:type="spellStart"/>
      <w:r w:rsidR="005C48C5" w:rsidRPr="00BF659F">
        <w:rPr>
          <w:rFonts w:ascii="Arial" w:hAnsi="Arial" w:cs="Arial"/>
          <w:sz w:val="20"/>
          <w:szCs w:val="20"/>
        </w:rPr>
        <w:t>dojížďkové</w:t>
      </w:r>
      <w:proofErr w:type="spellEnd"/>
      <w:r w:rsidR="005C48C5" w:rsidRPr="00BF659F">
        <w:rPr>
          <w:rFonts w:ascii="Arial" w:hAnsi="Arial" w:cs="Arial"/>
          <w:sz w:val="20"/>
          <w:szCs w:val="20"/>
        </w:rPr>
        <w:t xml:space="preserve"> proudy</w:t>
      </w:r>
      <w:r w:rsidR="00702918" w:rsidRPr="00BF659F">
        <w:rPr>
          <w:rFonts w:ascii="Arial" w:hAnsi="Arial" w:cs="Arial"/>
          <w:sz w:val="20"/>
          <w:szCs w:val="20"/>
        </w:rPr>
        <w:t xml:space="preserve"> mezi těmito sídly, jež jsou velmi intenzívní</w:t>
      </w:r>
      <w:r w:rsidRPr="00BF659F">
        <w:rPr>
          <w:rFonts w:ascii="Arial" w:hAnsi="Arial" w:cs="Arial"/>
          <w:sz w:val="20"/>
          <w:szCs w:val="20"/>
        </w:rPr>
        <w:t xml:space="preserve">. </w:t>
      </w:r>
      <w:r w:rsidR="00F3481A" w:rsidRPr="00BF659F">
        <w:rPr>
          <w:rFonts w:ascii="Arial" w:hAnsi="Arial" w:cs="Arial"/>
          <w:sz w:val="20"/>
          <w:szCs w:val="20"/>
        </w:rPr>
        <w:t xml:space="preserve">Obdobné trojměstí tvoří i Tábor, </w:t>
      </w:r>
      <w:proofErr w:type="spellStart"/>
      <w:r w:rsidR="00F3481A" w:rsidRPr="00BF659F">
        <w:rPr>
          <w:rFonts w:ascii="Arial" w:hAnsi="Arial" w:cs="Arial"/>
          <w:sz w:val="20"/>
          <w:szCs w:val="20"/>
        </w:rPr>
        <w:t>Sezimovo</w:t>
      </w:r>
      <w:proofErr w:type="spellEnd"/>
      <w:r w:rsidR="00F3481A" w:rsidRPr="00BF659F">
        <w:rPr>
          <w:rFonts w:ascii="Arial" w:hAnsi="Arial" w:cs="Arial"/>
          <w:sz w:val="20"/>
          <w:szCs w:val="20"/>
        </w:rPr>
        <w:t xml:space="preserve"> Ústí a Planá nad Lužnicí.</w:t>
      </w:r>
    </w:p>
    <w:p w:rsidR="009C2092" w:rsidRDefault="009C2092" w:rsidP="00560AAB">
      <w:pPr>
        <w:spacing w:after="0" w:line="240" w:lineRule="auto"/>
        <w:rPr>
          <w:rFonts w:ascii="Arial" w:hAnsi="Arial" w:cs="Arial"/>
          <w:b/>
          <w:sz w:val="20"/>
          <w:szCs w:val="20"/>
          <w:highlight w:val="yellow"/>
        </w:rPr>
      </w:pPr>
    </w:p>
    <w:p w:rsidR="00560AAB" w:rsidRPr="00BF659F" w:rsidRDefault="00560AAB" w:rsidP="00560AAB">
      <w:pPr>
        <w:spacing w:after="0" w:line="240" w:lineRule="auto"/>
        <w:rPr>
          <w:rFonts w:ascii="Arial" w:hAnsi="Arial" w:cs="Arial"/>
          <w:b/>
          <w:sz w:val="20"/>
          <w:szCs w:val="20"/>
          <w:highlight w:val="yellow"/>
        </w:rPr>
      </w:pPr>
    </w:p>
    <w:p w:rsidR="001A236A" w:rsidRPr="009C2092" w:rsidRDefault="001A236A" w:rsidP="001A23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C2092">
        <w:rPr>
          <w:rFonts w:ascii="Arial" w:hAnsi="Arial" w:cs="Arial"/>
          <w:b/>
          <w:sz w:val="24"/>
          <w:szCs w:val="24"/>
        </w:rPr>
        <w:t>Závěr</w:t>
      </w:r>
    </w:p>
    <w:p w:rsidR="001A236A" w:rsidRDefault="001A236A" w:rsidP="001A236A">
      <w:pPr>
        <w:spacing w:after="0" w:line="240" w:lineRule="auto"/>
        <w:rPr>
          <w:rFonts w:ascii="Arial" w:hAnsi="Arial" w:cs="Arial"/>
          <w:b/>
          <w:sz w:val="20"/>
          <w:szCs w:val="20"/>
          <w:highlight w:val="yellow"/>
        </w:rPr>
      </w:pPr>
    </w:p>
    <w:p w:rsidR="009C2092" w:rsidRDefault="009C2092" w:rsidP="009C209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C2092">
        <w:rPr>
          <w:rFonts w:ascii="Arial" w:hAnsi="Arial" w:cs="Arial"/>
          <w:sz w:val="20"/>
          <w:szCs w:val="20"/>
        </w:rPr>
        <w:t>Regionalizace pracovní dojížďky</w:t>
      </w:r>
      <w:r>
        <w:rPr>
          <w:rFonts w:ascii="Arial" w:hAnsi="Arial" w:cs="Arial"/>
          <w:sz w:val="20"/>
          <w:szCs w:val="20"/>
        </w:rPr>
        <w:t xml:space="preserve"> přináší údaje o přirozených regionech vzniklých na základě vztahů bydliště – pracoviště. Na území České republiky bylo identifikováno celkem 227 </w:t>
      </w:r>
      <w:proofErr w:type="spellStart"/>
      <w:r>
        <w:rPr>
          <w:rFonts w:ascii="Arial" w:hAnsi="Arial" w:cs="Arial"/>
          <w:sz w:val="20"/>
          <w:szCs w:val="20"/>
        </w:rPr>
        <w:t>dojížďkových</w:t>
      </w:r>
      <w:proofErr w:type="spellEnd"/>
      <w:r>
        <w:rPr>
          <w:rFonts w:ascii="Arial" w:hAnsi="Arial" w:cs="Arial"/>
          <w:sz w:val="20"/>
          <w:szCs w:val="20"/>
        </w:rPr>
        <w:t xml:space="preserve"> regionů. Porovnáním s údaji ze sčítání 1991 a 2001 se – přes metodické rozdíly vymezení regionů – potvrdil trend postupné koncentrace pracovní dojížďky do menšího počtu center dojížďky. Vznik nových cílů pracovní dojížďky v zázemí původních center lze považovat za rozšíření těchto center mimo jejich administrativní hranice. Pět set obcí nebylo možno jednoznačně přiřadit k žádnému centru dojížďky.</w:t>
      </w:r>
    </w:p>
    <w:p w:rsidR="00B87B1A" w:rsidRPr="00BF659F" w:rsidRDefault="00B87B1A" w:rsidP="00B87B1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BF659F">
        <w:rPr>
          <w:rFonts w:ascii="Arial" w:hAnsi="Arial" w:cs="Arial"/>
          <w:sz w:val="20"/>
          <w:szCs w:val="20"/>
        </w:rPr>
        <w:t xml:space="preserve">dentifikace </w:t>
      </w:r>
      <w:r>
        <w:rPr>
          <w:rFonts w:ascii="Arial" w:hAnsi="Arial" w:cs="Arial"/>
          <w:sz w:val="20"/>
          <w:szCs w:val="20"/>
        </w:rPr>
        <w:t xml:space="preserve">a popis </w:t>
      </w:r>
      <w:r w:rsidRPr="00BF659F">
        <w:rPr>
          <w:rFonts w:ascii="Arial" w:hAnsi="Arial" w:cs="Arial"/>
          <w:sz w:val="20"/>
          <w:szCs w:val="20"/>
        </w:rPr>
        <w:t>přirozených územních jednotek, které jsou z hlediska pohybu za prací relativně uzavřené</w:t>
      </w:r>
      <w:r>
        <w:rPr>
          <w:rFonts w:ascii="Arial" w:hAnsi="Arial" w:cs="Arial"/>
          <w:sz w:val="20"/>
          <w:szCs w:val="20"/>
        </w:rPr>
        <w:t xml:space="preserve">, jsou využitelné zejména v regionálních studiích </w:t>
      </w:r>
      <w:r w:rsidRPr="00BF659F">
        <w:rPr>
          <w:rFonts w:ascii="Arial" w:hAnsi="Arial" w:cs="Arial"/>
          <w:sz w:val="20"/>
          <w:szCs w:val="20"/>
        </w:rPr>
        <w:t xml:space="preserve">při </w:t>
      </w:r>
      <w:r>
        <w:rPr>
          <w:rFonts w:ascii="Arial" w:hAnsi="Arial" w:cs="Arial"/>
          <w:sz w:val="20"/>
          <w:szCs w:val="20"/>
        </w:rPr>
        <w:t>tvorbě územně plánovací dokumentace, analýzách</w:t>
      </w:r>
      <w:r w:rsidRPr="00BF65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rozmístění a využití </w:t>
      </w:r>
      <w:r w:rsidRPr="00BF659F">
        <w:rPr>
          <w:rFonts w:ascii="Arial" w:hAnsi="Arial" w:cs="Arial"/>
          <w:sz w:val="20"/>
          <w:szCs w:val="20"/>
        </w:rPr>
        <w:t>zdroj</w:t>
      </w:r>
      <w:r>
        <w:rPr>
          <w:rFonts w:ascii="Arial" w:hAnsi="Arial" w:cs="Arial"/>
          <w:sz w:val="20"/>
          <w:szCs w:val="20"/>
        </w:rPr>
        <w:t>ů</w:t>
      </w:r>
      <w:r w:rsidRPr="00BF659F">
        <w:rPr>
          <w:rFonts w:ascii="Arial" w:hAnsi="Arial" w:cs="Arial"/>
          <w:sz w:val="20"/>
          <w:szCs w:val="20"/>
        </w:rPr>
        <w:t xml:space="preserve"> pracovních sil</w:t>
      </w:r>
      <w:r>
        <w:rPr>
          <w:rFonts w:ascii="Arial" w:hAnsi="Arial" w:cs="Arial"/>
          <w:sz w:val="20"/>
          <w:szCs w:val="20"/>
        </w:rPr>
        <w:t xml:space="preserve"> a </w:t>
      </w:r>
      <w:r w:rsidRPr="00BF659F">
        <w:rPr>
          <w:rFonts w:ascii="Arial" w:hAnsi="Arial" w:cs="Arial"/>
          <w:sz w:val="20"/>
          <w:szCs w:val="20"/>
        </w:rPr>
        <w:t>pro plánování dopravní infrastruktury, zejména veřejné hromadné dopravy</w:t>
      </w:r>
      <w:r>
        <w:rPr>
          <w:rFonts w:ascii="Arial" w:hAnsi="Arial" w:cs="Arial"/>
          <w:sz w:val="20"/>
          <w:szCs w:val="20"/>
        </w:rPr>
        <w:t xml:space="preserve">. </w:t>
      </w:r>
      <w:r w:rsidRPr="00BF659F">
        <w:rPr>
          <w:rFonts w:ascii="Arial" w:hAnsi="Arial" w:cs="Arial"/>
          <w:sz w:val="20"/>
          <w:szCs w:val="20"/>
        </w:rPr>
        <w:t xml:space="preserve">K vymezení regionů pracovní dojížďky jsme použili údaje o vyjížďce a dojížďce </w:t>
      </w:r>
      <w:r>
        <w:rPr>
          <w:rFonts w:ascii="Arial" w:hAnsi="Arial" w:cs="Arial"/>
          <w:sz w:val="20"/>
          <w:szCs w:val="20"/>
        </w:rPr>
        <w:t xml:space="preserve">do zaměstnání zjištěné sčítáním lidu, domů a bytů 2011. Využitelné jsou </w:t>
      </w:r>
      <w:r w:rsidRPr="00BF659F">
        <w:rPr>
          <w:rFonts w:ascii="Arial" w:hAnsi="Arial" w:cs="Arial"/>
          <w:sz w:val="20"/>
          <w:szCs w:val="20"/>
        </w:rPr>
        <w:t xml:space="preserve">počty osob se zjištěnou ekonomickou aktivitou, které byly zaměstnané. </w:t>
      </w:r>
      <w:r w:rsidR="00754BA6">
        <w:rPr>
          <w:rFonts w:ascii="Arial" w:hAnsi="Arial" w:cs="Arial"/>
          <w:sz w:val="20"/>
          <w:szCs w:val="20"/>
        </w:rPr>
        <w:t xml:space="preserve">Velmi rozdrobená sídelní struktura v některých oblastech Čech a Vysočiny způsobuje, že velká řada vyjížďkových proudů z malých obcí zahrnuje jen několik osob a v kombinaci s poměrně značným podílem nezjištěných údajů o dojížďce tak komplikuje jednoznačnost vymezování regionů. </w:t>
      </w:r>
    </w:p>
    <w:p w:rsidR="00754BA6" w:rsidRDefault="00754BA6" w:rsidP="00754BA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lastRenderedPageBreak/>
        <w:t>Dojížďkové</w:t>
      </w:r>
      <w:proofErr w:type="spellEnd"/>
      <w:r>
        <w:rPr>
          <w:rFonts w:ascii="Arial" w:hAnsi="Arial" w:cs="Arial"/>
          <w:sz w:val="20"/>
          <w:szCs w:val="20"/>
        </w:rPr>
        <w:t xml:space="preserve"> regiony se navzájem liší nejen počtem obyvatel a obsazených pracovních míst, ale stupněm jejich vnitřní integrace – spjatosti jádra s obcemi jeho zázemí a propojeností s okolními regiony prostřednictvím pracovní dojížďky/vyjížďky. K ukazatelům vnitřní integrace patří zejména obrat dojížďky region</w:t>
      </w:r>
      <w:r w:rsidR="000A3FA3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v relaci na 1000 bydlících </w:t>
      </w:r>
      <w:r w:rsidR="00AE2A3F">
        <w:rPr>
          <w:rFonts w:ascii="Arial" w:hAnsi="Arial" w:cs="Arial"/>
          <w:sz w:val="20"/>
          <w:szCs w:val="20"/>
        </w:rPr>
        <w:t xml:space="preserve">ekonomicky aktivních </w:t>
      </w:r>
      <w:r>
        <w:rPr>
          <w:rFonts w:ascii="Arial" w:hAnsi="Arial" w:cs="Arial"/>
          <w:sz w:val="20"/>
          <w:szCs w:val="20"/>
        </w:rPr>
        <w:t xml:space="preserve">zaměstnaných obyvatel a počet obsazených pracovních míst vztažený k témuž základu. </w:t>
      </w:r>
    </w:p>
    <w:p w:rsidR="009C2092" w:rsidRDefault="009C2092" w:rsidP="009C209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České republice existuje 17 </w:t>
      </w:r>
      <w:proofErr w:type="spellStart"/>
      <w:r>
        <w:rPr>
          <w:rFonts w:ascii="Arial" w:hAnsi="Arial" w:cs="Arial"/>
          <w:sz w:val="20"/>
          <w:szCs w:val="20"/>
        </w:rPr>
        <w:t>dojížďkových</w:t>
      </w:r>
      <w:proofErr w:type="spellEnd"/>
      <w:r>
        <w:rPr>
          <w:rFonts w:ascii="Arial" w:hAnsi="Arial" w:cs="Arial"/>
          <w:sz w:val="20"/>
          <w:szCs w:val="20"/>
        </w:rPr>
        <w:t xml:space="preserve"> regionů s více než 100 tisíci obyvateli</w:t>
      </w:r>
      <w:r w:rsidR="00B87B1A">
        <w:rPr>
          <w:rFonts w:ascii="Arial" w:hAnsi="Arial" w:cs="Arial"/>
          <w:sz w:val="20"/>
          <w:szCs w:val="20"/>
        </w:rPr>
        <w:t>. Největším z nich je region Prahy integrující 436 obcí s téměř 1,8 mil. obyvatel.</w:t>
      </w:r>
      <w:r w:rsidR="003779E2">
        <w:rPr>
          <w:rFonts w:ascii="Arial" w:hAnsi="Arial" w:cs="Arial"/>
          <w:sz w:val="20"/>
          <w:szCs w:val="20"/>
        </w:rPr>
        <w:t xml:space="preserve"> Kromě krajských měst vytvářejí regiony nad 100 tis. obyvatel i města Opava, Mladá Boleslav, Teplice, Třinec a Jihlava.</w:t>
      </w:r>
    </w:p>
    <w:p w:rsidR="00B87B1A" w:rsidRDefault="00B87B1A" w:rsidP="009C209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B87B1A" w:rsidRDefault="00B87B1A" w:rsidP="009C209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C2092" w:rsidRDefault="009C2092" w:rsidP="009C209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C2092" w:rsidRPr="009C2092" w:rsidRDefault="009C2092" w:rsidP="009C20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092" w:rsidRPr="009C2092" w:rsidRDefault="009C2092" w:rsidP="001A236A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:rsidR="001D78A3" w:rsidRPr="00F24025" w:rsidRDefault="001D78A3" w:rsidP="00F24025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1D78A3" w:rsidRPr="00F24025" w:rsidSect="00673F65"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6B9" w:rsidRDefault="007436B9" w:rsidP="001458C3">
      <w:pPr>
        <w:spacing w:after="0" w:line="240" w:lineRule="auto"/>
      </w:pPr>
      <w:r>
        <w:separator/>
      </w:r>
    </w:p>
  </w:endnote>
  <w:endnote w:type="continuationSeparator" w:id="0">
    <w:p w:rsidR="007436B9" w:rsidRDefault="007436B9" w:rsidP="00145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2751"/>
      <w:docPartObj>
        <w:docPartGallery w:val="Page Numbers (Bottom of Page)"/>
        <w:docPartUnique/>
      </w:docPartObj>
    </w:sdtPr>
    <w:sdtContent>
      <w:p w:rsidR="00560AAB" w:rsidRDefault="00DB693B">
        <w:pPr>
          <w:pStyle w:val="Zpat"/>
          <w:jc w:val="center"/>
        </w:pPr>
        <w:fldSimple w:instr=" PAGE   \* MERGEFORMAT ">
          <w:r w:rsidR="005512E5">
            <w:rPr>
              <w:noProof/>
            </w:rPr>
            <w:t>6</w:t>
          </w:r>
        </w:fldSimple>
      </w:p>
    </w:sdtContent>
  </w:sdt>
  <w:p w:rsidR="00560AAB" w:rsidRDefault="00560AA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6B9" w:rsidRDefault="007436B9" w:rsidP="001458C3">
      <w:pPr>
        <w:spacing w:after="0" w:line="240" w:lineRule="auto"/>
      </w:pPr>
      <w:r>
        <w:separator/>
      </w:r>
    </w:p>
  </w:footnote>
  <w:footnote w:type="continuationSeparator" w:id="0">
    <w:p w:rsidR="007436B9" w:rsidRDefault="007436B9" w:rsidP="001458C3">
      <w:pPr>
        <w:spacing w:after="0" w:line="240" w:lineRule="auto"/>
      </w:pPr>
      <w:r>
        <w:continuationSeparator/>
      </w:r>
    </w:p>
  </w:footnote>
  <w:footnote w:id="1">
    <w:p w:rsidR="001458C3" w:rsidRDefault="001458C3" w:rsidP="00560AA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1458C3">
        <w:rPr>
          <w:rFonts w:ascii="Arial" w:hAnsi="Arial" w:cs="Arial"/>
          <w:sz w:val="18"/>
          <w:szCs w:val="18"/>
        </w:rPr>
        <w:t>Mulíček</w:t>
      </w:r>
      <w:proofErr w:type="spellEnd"/>
      <w:r w:rsidRPr="001458C3">
        <w:rPr>
          <w:rFonts w:ascii="Arial" w:hAnsi="Arial" w:cs="Arial"/>
          <w:sz w:val="18"/>
          <w:szCs w:val="18"/>
        </w:rPr>
        <w:t>, O. a Sýkora, L. (</w:t>
      </w:r>
      <w:proofErr w:type="spellStart"/>
      <w:r w:rsidRPr="001458C3">
        <w:rPr>
          <w:rFonts w:ascii="Arial" w:hAnsi="Arial" w:cs="Arial"/>
          <w:sz w:val="18"/>
          <w:szCs w:val="18"/>
        </w:rPr>
        <w:t>eds</w:t>
      </w:r>
      <w:proofErr w:type="spellEnd"/>
      <w:r w:rsidRPr="001458C3">
        <w:rPr>
          <w:rFonts w:ascii="Arial" w:hAnsi="Arial" w:cs="Arial"/>
          <w:sz w:val="18"/>
          <w:szCs w:val="18"/>
        </w:rPr>
        <w:t>.): Atlas sídelního systému České republiky.  Brno, 2011, 72 str., z toho 32 mapových listů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722B4"/>
    <w:multiLevelType w:val="hybridMultilevel"/>
    <w:tmpl w:val="194AA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C3CA9"/>
    <w:multiLevelType w:val="hybridMultilevel"/>
    <w:tmpl w:val="E5325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6480A"/>
    <w:multiLevelType w:val="hybridMultilevel"/>
    <w:tmpl w:val="1E5E61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A26D1"/>
    <w:multiLevelType w:val="hybridMultilevel"/>
    <w:tmpl w:val="C1E88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242FA"/>
    <w:multiLevelType w:val="hybridMultilevel"/>
    <w:tmpl w:val="7E32C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162D43"/>
    <w:multiLevelType w:val="hybridMultilevel"/>
    <w:tmpl w:val="229CFD4A"/>
    <w:lvl w:ilvl="0" w:tplc="86F4C4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9F315C"/>
    <w:multiLevelType w:val="hybridMultilevel"/>
    <w:tmpl w:val="BAD62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18194F"/>
    <w:multiLevelType w:val="hybridMultilevel"/>
    <w:tmpl w:val="2B802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9626B4"/>
    <w:multiLevelType w:val="hybridMultilevel"/>
    <w:tmpl w:val="105AC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757"/>
    <w:rsid w:val="00014448"/>
    <w:rsid w:val="00035E2D"/>
    <w:rsid w:val="00042C89"/>
    <w:rsid w:val="000526ED"/>
    <w:rsid w:val="0006515E"/>
    <w:rsid w:val="00083129"/>
    <w:rsid w:val="00096134"/>
    <w:rsid w:val="000A06EE"/>
    <w:rsid w:val="000A0C45"/>
    <w:rsid w:val="000A3FA3"/>
    <w:rsid w:val="000C609F"/>
    <w:rsid w:val="000D2DBD"/>
    <w:rsid w:val="000D2FF5"/>
    <w:rsid w:val="000D30B7"/>
    <w:rsid w:val="00101AD0"/>
    <w:rsid w:val="00104D39"/>
    <w:rsid w:val="00123DA3"/>
    <w:rsid w:val="00130CA6"/>
    <w:rsid w:val="001458C3"/>
    <w:rsid w:val="00152F4D"/>
    <w:rsid w:val="0015317B"/>
    <w:rsid w:val="00177701"/>
    <w:rsid w:val="001A236A"/>
    <w:rsid w:val="001A3474"/>
    <w:rsid w:val="001A4F01"/>
    <w:rsid w:val="001A7571"/>
    <w:rsid w:val="001C4A7F"/>
    <w:rsid w:val="001C5223"/>
    <w:rsid w:val="001D78A3"/>
    <w:rsid w:val="001F2ABF"/>
    <w:rsid w:val="00207E41"/>
    <w:rsid w:val="0021302E"/>
    <w:rsid w:val="002177F0"/>
    <w:rsid w:val="00221604"/>
    <w:rsid w:val="00227BE3"/>
    <w:rsid w:val="00230202"/>
    <w:rsid w:val="00236BCA"/>
    <w:rsid w:val="0024062C"/>
    <w:rsid w:val="00265A95"/>
    <w:rsid w:val="00267511"/>
    <w:rsid w:val="002708AB"/>
    <w:rsid w:val="00286053"/>
    <w:rsid w:val="00286692"/>
    <w:rsid w:val="00294136"/>
    <w:rsid w:val="002B0823"/>
    <w:rsid w:val="002C5813"/>
    <w:rsid w:val="002C7EBA"/>
    <w:rsid w:val="00313455"/>
    <w:rsid w:val="00314FB3"/>
    <w:rsid w:val="00324AE1"/>
    <w:rsid w:val="00326F98"/>
    <w:rsid w:val="00361EFC"/>
    <w:rsid w:val="00366D8D"/>
    <w:rsid w:val="003732A2"/>
    <w:rsid w:val="003779E2"/>
    <w:rsid w:val="00392050"/>
    <w:rsid w:val="003A4418"/>
    <w:rsid w:val="003B081A"/>
    <w:rsid w:val="003F0D33"/>
    <w:rsid w:val="003F1297"/>
    <w:rsid w:val="003F163E"/>
    <w:rsid w:val="003F3C13"/>
    <w:rsid w:val="003F70A8"/>
    <w:rsid w:val="004002D3"/>
    <w:rsid w:val="004015C8"/>
    <w:rsid w:val="004074CC"/>
    <w:rsid w:val="00422166"/>
    <w:rsid w:val="00425F0B"/>
    <w:rsid w:val="00436B01"/>
    <w:rsid w:val="00456A61"/>
    <w:rsid w:val="00476D98"/>
    <w:rsid w:val="00477772"/>
    <w:rsid w:val="00485F1F"/>
    <w:rsid w:val="00486E95"/>
    <w:rsid w:val="004922E0"/>
    <w:rsid w:val="004A0C6C"/>
    <w:rsid w:val="004A133D"/>
    <w:rsid w:val="004A2B2A"/>
    <w:rsid w:val="004A3E4B"/>
    <w:rsid w:val="004B2D93"/>
    <w:rsid w:val="004B5717"/>
    <w:rsid w:val="004C0386"/>
    <w:rsid w:val="004C49AC"/>
    <w:rsid w:val="004C7ABF"/>
    <w:rsid w:val="004E3723"/>
    <w:rsid w:val="004F19B2"/>
    <w:rsid w:val="004F2EE7"/>
    <w:rsid w:val="00512BA0"/>
    <w:rsid w:val="00521AAC"/>
    <w:rsid w:val="00522159"/>
    <w:rsid w:val="005354D8"/>
    <w:rsid w:val="005362E6"/>
    <w:rsid w:val="00542426"/>
    <w:rsid w:val="005512E5"/>
    <w:rsid w:val="00553623"/>
    <w:rsid w:val="005560C6"/>
    <w:rsid w:val="00560AAB"/>
    <w:rsid w:val="0056570B"/>
    <w:rsid w:val="0056762B"/>
    <w:rsid w:val="005831FA"/>
    <w:rsid w:val="005C1F7A"/>
    <w:rsid w:val="005C48C5"/>
    <w:rsid w:val="005C7CDB"/>
    <w:rsid w:val="005D5C9E"/>
    <w:rsid w:val="00611FD2"/>
    <w:rsid w:val="00612D03"/>
    <w:rsid w:val="00624EE5"/>
    <w:rsid w:val="006532C6"/>
    <w:rsid w:val="00664A59"/>
    <w:rsid w:val="0066787E"/>
    <w:rsid w:val="0067380B"/>
    <w:rsid w:val="00673F65"/>
    <w:rsid w:val="006840FC"/>
    <w:rsid w:val="00686D3F"/>
    <w:rsid w:val="006B58CC"/>
    <w:rsid w:val="006B6C35"/>
    <w:rsid w:val="006C16B9"/>
    <w:rsid w:val="006D3C16"/>
    <w:rsid w:val="00702918"/>
    <w:rsid w:val="0072754F"/>
    <w:rsid w:val="00730CA0"/>
    <w:rsid w:val="007436B9"/>
    <w:rsid w:val="00745FC8"/>
    <w:rsid w:val="00754BA6"/>
    <w:rsid w:val="0077696E"/>
    <w:rsid w:val="00782B01"/>
    <w:rsid w:val="00790DB6"/>
    <w:rsid w:val="007A000A"/>
    <w:rsid w:val="007A16FA"/>
    <w:rsid w:val="007A74CC"/>
    <w:rsid w:val="007A7EA4"/>
    <w:rsid w:val="007B7661"/>
    <w:rsid w:val="007C5D6C"/>
    <w:rsid w:val="007C7B96"/>
    <w:rsid w:val="007D1FF1"/>
    <w:rsid w:val="007F1839"/>
    <w:rsid w:val="007F19E1"/>
    <w:rsid w:val="00816CE0"/>
    <w:rsid w:val="00833660"/>
    <w:rsid w:val="0084472D"/>
    <w:rsid w:val="00846165"/>
    <w:rsid w:val="00847099"/>
    <w:rsid w:val="0088411A"/>
    <w:rsid w:val="008A56EC"/>
    <w:rsid w:val="008B1FB3"/>
    <w:rsid w:val="008D30D4"/>
    <w:rsid w:val="008D59D6"/>
    <w:rsid w:val="008D6F5B"/>
    <w:rsid w:val="008F6607"/>
    <w:rsid w:val="00910595"/>
    <w:rsid w:val="00917798"/>
    <w:rsid w:val="00930BD5"/>
    <w:rsid w:val="0094538A"/>
    <w:rsid w:val="009500B4"/>
    <w:rsid w:val="00963F9E"/>
    <w:rsid w:val="009822AB"/>
    <w:rsid w:val="00986299"/>
    <w:rsid w:val="009B1B70"/>
    <w:rsid w:val="009B2F2C"/>
    <w:rsid w:val="009C2092"/>
    <w:rsid w:val="009D2349"/>
    <w:rsid w:val="009E1419"/>
    <w:rsid w:val="009E24ED"/>
    <w:rsid w:val="009E71BF"/>
    <w:rsid w:val="009E7C22"/>
    <w:rsid w:val="009F077A"/>
    <w:rsid w:val="009F357A"/>
    <w:rsid w:val="00A1239E"/>
    <w:rsid w:val="00A34891"/>
    <w:rsid w:val="00A34B52"/>
    <w:rsid w:val="00A36B84"/>
    <w:rsid w:val="00A61070"/>
    <w:rsid w:val="00A667B0"/>
    <w:rsid w:val="00A968C0"/>
    <w:rsid w:val="00AA3688"/>
    <w:rsid w:val="00AB651F"/>
    <w:rsid w:val="00AC2B72"/>
    <w:rsid w:val="00AD5167"/>
    <w:rsid w:val="00AE2A3F"/>
    <w:rsid w:val="00B05054"/>
    <w:rsid w:val="00B24D4A"/>
    <w:rsid w:val="00B26180"/>
    <w:rsid w:val="00B32D61"/>
    <w:rsid w:val="00B41FE8"/>
    <w:rsid w:val="00B52873"/>
    <w:rsid w:val="00B74429"/>
    <w:rsid w:val="00B852B0"/>
    <w:rsid w:val="00B87B1A"/>
    <w:rsid w:val="00B9491C"/>
    <w:rsid w:val="00BA315A"/>
    <w:rsid w:val="00BB0B10"/>
    <w:rsid w:val="00BB341C"/>
    <w:rsid w:val="00BB38CD"/>
    <w:rsid w:val="00BD6403"/>
    <w:rsid w:val="00BD68C2"/>
    <w:rsid w:val="00BD7555"/>
    <w:rsid w:val="00BE4950"/>
    <w:rsid w:val="00BF659F"/>
    <w:rsid w:val="00C01760"/>
    <w:rsid w:val="00C0235E"/>
    <w:rsid w:val="00C05DDE"/>
    <w:rsid w:val="00C0765E"/>
    <w:rsid w:val="00C31C36"/>
    <w:rsid w:val="00C3231C"/>
    <w:rsid w:val="00C362BE"/>
    <w:rsid w:val="00C5342A"/>
    <w:rsid w:val="00C62757"/>
    <w:rsid w:val="00C66A70"/>
    <w:rsid w:val="00C80B16"/>
    <w:rsid w:val="00C95AF2"/>
    <w:rsid w:val="00CE1CA6"/>
    <w:rsid w:val="00CF388F"/>
    <w:rsid w:val="00D260BE"/>
    <w:rsid w:val="00D34646"/>
    <w:rsid w:val="00D34FAA"/>
    <w:rsid w:val="00D47FFA"/>
    <w:rsid w:val="00D83C89"/>
    <w:rsid w:val="00D86F8C"/>
    <w:rsid w:val="00D96831"/>
    <w:rsid w:val="00D97E41"/>
    <w:rsid w:val="00DA7315"/>
    <w:rsid w:val="00DA7EE1"/>
    <w:rsid w:val="00DB693B"/>
    <w:rsid w:val="00DB70F5"/>
    <w:rsid w:val="00DD25FA"/>
    <w:rsid w:val="00DD4AAD"/>
    <w:rsid w:val="00DE1AF3"/>
    <w:rsid w:val="00E21756"/>
    <w:rsid w:val="00E251A9"/>
    <w:rsid w:val="00E2713D"/>
    <w:rsid w:val="00E30018"/>
    <w:rsid w:val="00E35194"/>
    <w:rsid w:val="00E53B03"/>
    <w:rsid w:val="00E66008"/>
    <w:rsid w:val="00E675B2"/>
    <w:rsid w:val="00E71273"/>
    <w:rsid w:val="00E765C4"/>
    <w:rsid w:val="00EA16B0"/>
    <w:rsid w:val="00EB5FEE"/>
    <w:rsid w:val="00ED24E8"/>
    <w:rsid w:val="00ED3ACC"/>
    <w:rsid w:val="00EE2DBD"/>
    <w:rsid w:val="00EE2E55"/>
    <w:rsid w:val="00F06057"/>
    <w:rsid w:val="00F161AC"/>
    <w:rsid w:val="00F21298"/>
    <w:rsid w:val="00F21336"/>
    <w:rsid w:val="00F24025"/>
    <w:rsid w:val="00F33DE9"/>
    <w:rsid w:val="00F3481A"/>
    <w:rsid w:val="00F463D9"/>
    <w:rsid w:val="00F63AE5"/>
    <w:rsid w:val="00F868BD"/>
    <w:rsid w:val="00F94552"/>
    <w:rsid w:val="00F960A0"/>
    <w:rsid w:val="00FB4A8A"/>
    <w:rsid w:val="00FD3DD2"/>
    <w:rsid w:val="00FD52B9"/>
    <w:rsid w:val="00FE1BFE"/>
    <w:rsid w:val="00FE538E"/>
    <w:rsid w:val="00FF1A63"/>
    <w:rsid w:val="00FF6A50"/>
    <w:rsid w:val="00FF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3F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2757"/>
    <w:pPr>
      <w:ind w:left="720"/>
      <w:contextualSpacing/>
    </w:pPr>
  </w:style>
  <w:style w:type="paragraph" w:customStyle="1" w:styleId="Texte-publikace">
    <w:name w:val="Text_e-publikace"/>
    <w:basedOn w:val="Normln"/>
    <w:qFormat/>
    <w:rsid w:val="00294136"/>
    <w:pPr>
      <w:spacing w:after="0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F2A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2A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2A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A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2AB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2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AB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458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458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458C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560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60AAB"/>
  </w:style>
  <w:style w:type="paragraph" w:styleId="Zpat">
    <w:name w:val="footer"/>
    <w:basedOn w:val="Normln"/>
    <w:link w:val="ZpatChar"/>
    <w:uiPriority w:val="99"/>
    <w:unhideWhenUsed/>
    <w:rsid w:val="00560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0A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List_aplikace_Microsoft_Office_Excel3.xlsx"/><Relationship Id="rId18" Type="http://schemas.openxmlformats.org/officeDocument/2006/relationships/image" Target="media/image5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package" Target="embeddings/List_aplikace_Microsoft_Office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chart" Target="charts/chart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List_aplikace_Microsoft_Office_Excel4.xlsx"/><Relationship Id="rId20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List_aplikace_Microsoft_Office_Excel2.xlsx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package" Target="embeddings/List_aplikace_Microsoft_Office_Excel7.xlsx"/><Relationship Id="rId10" Type="http://schemas.openxmlformats.org/officeDocument/2006/relationships/image" Target="media/image2.emf"/><Relationship Id="rId19" Type="http://schemas.openxmlformats.org/officeDocument/2006/relationships/package" Target="embeddings/List_aplikace_Microsoft_Office_Excel5.xlsx"/><Relationship Id="rId4" Type="http://schemas.openxmlformats.org/officeDocument/2006/relationships/settings" Target="settings.xml"/><Relationship Id="rId9" Type="http://schemas.openxmlformats.org/officeDocument/2006/relationships/package" Target="embeddings/List_aplikace_Microsoft_Office_Excel1.xlsx"/><Relationship Id="rId14" Type="http://schemas.openxmlformats.org/officeDocument/2006/relationships/chart" Target="charts/chart1.xml"/><Relationship Id="rId22" Type="http://schemas.openxmlformats.org/officeDocument/2006/relationships/image" Target="media/image7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LDB-2011\Doj&#237;&#382;&#271;ka\Anal&#253;za_definitivn&#237;\obr1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F:\SLDB-2011\Doj&#237;&#382;&#271;ka\Anal&#253;za_definitivn&#237;\obr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9.6207280848992632E-2"/>
          <c:y val="2.7951401967277491E-2"/>
          <c:w val="0.85963145421380627"/>
          <c:h val="0.77392159181974762"/>
        </c:manualLayout>
      </c:layout>
      <c:barChart>
        <c:barDir val="col"/>
        <c:grouping val="clustered"/>
        <c:ser>
          <c:idx val="0"/>
          <c:order val="0"/>
          <c:cat>
            <c:strRef>
              <c:f>'F:\Dokumenty\GroupWise\[graf.xlsx]List1'!$E$2:$J$2</c:f>
              <c:strCache>
                <c:ptCount val="6"/>
                <c:pt idx="0">
                  <c:v> do 9 999</c:v>
                </c:pt>
                <c:pt idx="1">
                  <c:v>10 000 - 19 999</c:v>
                </c:pt>
                <c:pt idx="2">
                  <c:v>20 000 - 49 999</c:v>
                </c:pt>
                <c:pt idx="3">
                  <c:v>50 000 - 99 999</c:v>
                </c:pt>
                <c:pt idx="4">
                  <c:v>100 000 - 499 999 </c:v>
                </c:pt>
                <c:pt idx="5">
                  <c:v>500 000 +</c:v>
                </c:pt>
              </c:strCache>
            </c:strRef>
          </c:cat>
          <c:val>
            <c:numRef>
              <c:f>'F:\Dokumenty\GroupWise\[graf.xlsx]List1'!$E$3:$J$3</c:f>
              <c:numCache>
                <c:formatCode>General</c:formatCode>
                <c:ptCount val="6"/>
                <c:pt idx="0">
                  <c:v>57</c:v>
                </c:pt>
                <c:pt idx="1">
                  <c:v>62</c:v>
                </c:pt>
                <c:pt idx="2">
                  <c:v>67</c:v>
                </c:pt>
                <c:pt idx="3">
                  <c:v>24</c:v>
                </c:pt>
                <c:pt idx="4">
                  <c:v>15</c:v>
                </c:pt>
                <c:pt idx="5">
                  <c:v>3</c:v>
                </c:pt>
              </c:numCache>
            </c:numRef>
          </c:val>
        </c:ser>
        <c:axId val="101718656"/>
        <c:axId val="101729024"/>
      </c:barChart>
      <c:catAx>
        <c:axId val="10171865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počet obyvatel regionu</a:t>
                </a:r>
              </a:p>
            </c:rich>
          </c:tx>
          <c:layout>
            <c:manualLayout>
              <c:xMode val="edge"/>
              <c:yMode val="edge"/>
              <c:x val="0.39785422836010398"/>
              <c:y val="0.90297675392056242"/>
            </c:manualLayout>
          </c:layout>
        </c:title>
        <c:numFmt formatCode="#,##0" sourceLinked="1"/>
        <c:tickLblPos val="nextTo"/>
        <c:txPr>
          <a:bodyPr/>
          <a:lstStyle/>
          <a:p>
            <a:pPr>
              <a:defRPr sz="900">
                <a:latin typeface="Arial Narrow" pitchFamily="34" charset="0"/>
                <a:cs typeface="Arial" pitchFamily="34" charset="0"/>
              </a:defRPr>
            </a:pPr>
            <a:endParaRPr lang="cs-CZ"/>
          </a:p>
        </c:txPr>
        <c:crossAx val="101729024"/>
        <c:crosses val="autoZero"/>
        <c:lblAlgn val="ctr"/>
        <c:lblOffset val="100"/>
      </c:catAx>
      <c:valAx>
        <c:axId val="101729024"/>
        <c:scaling>
          <c:orientation val="minMax"/>
          <c:max val="7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počet regionů</a:t>
                </a:r>
              </a:p>
            </c:rich>
          </c:tx>
          <c:layout>
            <c:manualLayout>
              <c:xMode val="edge"/>
              <c:yMode val="edge"/>
              <c:x val="8.1174688519221067E-3"/>
              <c:y val="0.27730384064622854"/>
            </c:manualLayout>
          </c:layout>
        </c:title>
        <c:numFmt formatCode="General" sourceLinked="1"/>
        <c:tickLblPos val="nextTo"/>
        <c:crossAx val="10171865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>
        <c:manualLayout>
          <c:layoutTarget val="inner"/>
          <c:xMode val="edge"/>
          <c:yMode val="edge"/>
          <c:x val="8.6035433070866474E-2"/>
          <c:y val="4.6296296296296426E-2"/>
          <c:w val="0.53888888888888964"/>
          <c:h val="0.89814814814814814"/>
        </c:manualLayout>
      </c:layout>
      <c:pieChart>
        <c:varyColors val="1"/>
        <c:ser>
          <c:idx val="0"/>
          <c:order val="0"/>
          <c:dPt>
            <c:idx val="1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2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3"/>
            <c:spPr>
              <a:solidFill>
                <a:srgbClr val="FFFF00"/>
              </a:solidFill>
            </c:spPr>
          </c:dPt>
          <c:dPt>
            <c:idx val="4"/>
            <c:spPr>
              <a:solidFill>
                <a:schemeClr val="bg1">
                  <a:lumMod val="75000"/>
                </a:schemeClr>
              </a:solidFill>
            </c:spPr>
          </c:dPt>
          <c:cat>
            <c:strRef>
              <c:f>List1!$B$4:$F$4</c:f>
              <c:strCache>
                <c:ptCount val="5"/>
                <c:pt idx="0">
                  <c:v>-24,99</c:v>
                </c:pt>
                <c:pt idx="1">
                  <c:v>25,00 - 49,99 </c:v>
                </c:pt>
                <c:pt idx="2">
                  <c:v>50,00 - 74,99 </c:v>
                </c:pt>
                <c:pt idx="3">
                  <c:v>75,00+  </c:v>
                </c:pt>
                <c:pt idx="4">
                  <c:v>nezařazené obce</c:v>
                </c:pt>
              </c:strCache>
            </c:strRef>
          </c:cat>
          <c:val>
            <c:numRef>
              <c:f>List1!$B$5:$F$5</c:f>
              <c:numCache>
                <c:formatCode>General</c:formatCode>
                <c:ptCount val="5"/>
                <c:pt idx="0">
                  <c:v>620</c:v>
                </c:pt>
                <c:pt idx="1">
                  <c:v>2758</c:v>
                </c:pt>
                <c:pt idx="2">
                  <c:v>1890</c:v>
                </c:pt>
                <c:pt idx="3">
                  <c:v>256</c:v>
                </c:pt>
                <c:pt idx="4">
                  <c:v>500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6571789082712762"/>
          <c:y val="0.27670829939361097"/>
          <c:w val="0.26090412891936898"/>
          <c:h val="0.47917167133769412"/>
        </c:manualLayout>
      </c:layout>
      <c:txPr>
        <a:bodyPr/>
        <a:lstStyle/>
        <a:p>
          <a:pPr rtl="0">
            <a:defRPr sz="1100"/>
          </a:pPr>
          <a:endParaRPr lang="cs-CZ"/>
        </a:p>
      </c:txPr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0.685</cdr:x>
      <cdr:y>0.21111</cdr:y>
    </cdr:from>
    <cdr:to>
      <cdr:x>0.885</cdr:x>
      <cdr:y>0.29444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3131820" y="579120"/>
          <a:ext cx="9144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0.65123</cdr:x>
      <cdr:y>0.06754</cdr:y>
    </cdr:from>
    <cdr:to>
      <cdr:x>0.98123</cdr:x>
      <cdr:y>0.27145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3292545" y="173958"/>
          <a:ext cx="1668437" cy="5251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900">
              <a:latin typeface="Arial" pitchFamily="34" charset="0"/>
              <a:cs typeface="Arial" pitchFamily="34" charset="0"/>
            </a:rPr>
            <a:t>podíl vyjížďky</a:t>
          </a:r>
          <a:r>
            <a:rPr lang="cs-CZ" sz="900" baseline="0">
              <a:latin typeface="Arial" pitchFamily="34" charset="0"/>
              <a:cs typeface="Arial" pitchFamily="34" charset="0"/>
            </a:rPr>
            <a:t> do centra</a:t>
          </a:r>
        </a:p>
        <a:p xmlns:a="http://schemas.openxmlformats.org/drawingml/2006/main">
          <a:r>
            <a:rPr lang="cs-CZ" sz="900" baseline="0">
              <a:latin typeface="Arial" pitchFamily="34" charset="0"/>
              <a:cs typeface="Arial" pitchFamily="34" charset="0"/>
            </a:rPr>
            <a:t>regionu z celk. počtu </a:t>
          </a:r>
        </a:p>
        <a:p xmlns:a="http://schemas.openxmlformats.org/drawingml/2006/main">
          <a:r>
            <a:rPr lang="cs-CZ" sz="900" baseline="0">
              <a:latin typeface="Arial" pitchFamily="34" charset="0"/>
              <a:cs typeface="Arial" pitchFamily="34" charset="0"/>
            </a:rPr>
            <a:t>vyjíždějících z obce v %</a:t>
          </a:r>
          <a:endParaRPr lang="cs-CZ" sz="900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0.8</cdr:x>
      <cdr:y>0.26944</cdr:y>
    </cdr:from>
    <cdr:to>
      <cdr:x>1</cdr:x>
      <cdr:y>0.60278</cdr:y>
    </cdr:to>
    <cdr:sp macro="" textlink="">
      <cdr:nvSpPr>
        <cdr:cNvPr id="4" name="TextovéPole 3"/>
        <cdr:cNvSpPr txBox="1"/>
      </cdr:nvSpPr>
      <cdr:spPr>
        <a:xfrm xmlns:a="http://schemas.openxmlformats.org/drawingml/2006/main">
          <a:off x="3787140" y="73914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0.36706</cdr:x>
      <cdr:y>0.54803</cdr:y>
    </cdr:from>
    <cdr:to>
      <cdr:x>0.56706</cdr:x>
      <cdr:y>0.63415</cdr:y>
    </cdr:to>
    <cdr:sp macro="" textlink="">
      <cdr:nvSpPr>
        <cdr:cNvPr id="6" name="TextovéPole 5"/>
        <cdr:cNvSpPr txBox="1"/>
      </cdr:nvSpPr>
      <cdr:spPr>
        <a:xfrm xmlns:a="http://schemas.openxmlformats.org/drawingml/2006/main">
          <a:off x="1960669" y="1453249"/>
          <a:ext cx="1068324" cy="2283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cs-CZ" sz="900"/>
            <a:t>45,8 % obcí</a:t>
          </a:r>
        </a:p>
      </cdr:txBody>
    </cdr:sp>
  </cdr:relSizeAnchor>
  <cdr:relSizeAnchor xmlns:cdr="http://schemas.openxmlformats.org/drawingml/2006/chartDrawing">
    <cdr:from>
      <cdr:x>0.13772</cdr:x>
      <cdr:y>0.49493</cdr:y>
    </cdr:from>
    <cdr:to>
      <cdr:x>0.33772</cdr:x>
      <cdr:y>0.58104</cdr:y>
    </cdr:to>
    <cdr:sp macro="" textlink="">
      <cdr:nvSpPr>
        <cdr:cNvPr id="7" name="TextovéPole 6"/>
        <cdr:cNvSpPr txBox="1"/>
      </cdr:nvSpPr>
      <cdr:spPr>
        <a:xfrm xmlns:a="http://schemas.openxmlformats.org/drawingml/2006/main">
          <a:off x="735640" y="1312430"/>
          <a:ext cx="1068324" cy="2283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cs-CZ" sz="900"/>
            <a:t>31,4 % obcí</a:t>
          </a:r>
        </a:p>
      </cdr:txBody>
    </cdr:sp>
  </cdr:relSizeAnchor>
  <cdr:relSizeAnchor xmlns:cdr="http://schemas.openxmlformats.org/drawingml/2006/chartDrawing">
    <cdr:from>
      <cdr:x>0.27656</cdr:x>
      <cdr:y>0.094</cdr:y>
    </cdr:from>
    <cdr:to>
      <cdr:x>0.35757</cdr:x>
      <cdr:y>0.23768</cdr:y>
    </cdr:to>
    <cdr:sp macro="" textlink="">
      <cdr:nvSpPr>
        <cdr:cNvPr id="8" name="TextovéPole 7"/>
        <cdr:cNvSpPr txBox="1"/>
      </cdr:nvSpPr>
      <cdr:spPr>
        <a:xfrm xmlns:a="http://schemas.openxmlformats.org/drawingml/2006/main">
          <a:off x="1477298" y="249261"/>
          <a:ext cx="432725" cy="38101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cs-CZ" sz="900"/>
            <a:t>8,3 %</a:t>
          </a:r>
        </a:p>
        <a:p xmlns:a="http://schemas.openxmlformats.org/drawingml/2006/main">
          <a:pPr algn="ctr"/>
          <a:r>
            <a:rPr lang="cs-CZ" sz="900"/>
            <a:t> obcí</a:t>
          </a:r>
        </a:p>
      </cdr:txBody>
    </cdr:sp>
  </cdr:relSizeAnchor>
  <cdr:relSizeAnchor xmlns:cdr="http://schemas.openxmlformats.org/drawingml/2006/chartDrawing">
    <cdr:from>
      <cdr:x>0.35391</cdr:x>
      <cdr:y>0.11509</cdr:y>
    </cdr:from>
    <cdr:to>
      <cdr:x>0.46391</cdr:x>
      <cdr:y>0.27737</cdr:y>
    </cdr:to>
    <cdr:sp macro="" textlink="">
      <cdr:nvSpPr>
        <cdr:cNvPr id="9" name="TextovéPole 8"/>
        <cdr:cNvSpPr txBox="1"/>
      </cdr:nvSpPr>
      <cdr:spPr>
        <a:xfrm xmlns:a="http://schemas.openxmlformats.org/drawingml/2006/main">
          <a:off x="1890454" y="305201"/>
          <a:ext cx="587578" cy="43030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cs-CZ" sz="900"/>
            <a:t>10,3 %</a:t>
          </a:r>
        </a:p>
        <a:p xmlns:a="http://schemas.openxmlformats.org/drawingml/2006/main">
          <a:pPr algn="ctr"/>
          <a:r>
            <a:rPr lang="cs-CZ" sz="900"/>
            <a:t> obcí</a:t>
          </a:r>
        </a:p>
      </cdr:txBody>
    </cdr:sp>
  </cdr:relSizeAnchor>
  <cdr:relSizeAnchor xmlns:cdr="http://schemas.openxmlformats.org/drawingml/2006/chartDrawing">
    <cdr:from>
      <cdr:x>0.19757</cdr:x>
      <cdr:y>0.13782</cdr:y>
    </cdr:from>
    <cdr:to>
      <cdr:x>0.26534</cdr:x>
      <cdr:y>0.2743</cdr:y>
    </cdr:to>
    <cdr:sp macro="" textlink="">
      <cdr:nvSpPr>
        <cdr:cNvPr id="10" name="TextovéPole 9"/>
        <cdr:cNvSpPr txBox="1"/>
      </cdr:nvSpPr>
      <cdr:spPr>
        <a:xfrm xmlns:a="http://schemas.openxmlformats.org/drawingml/2006/main">
          <a:off x="1055370" y="394335"/>
          <a:ext cx="361950" cy="390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cs-CZ" sz="900"/>
            <a:t>4,2 %</a:t>
          </a:r>
        </a:p>
        <a:p xmlns:a="http://schemas.openxmlformats.org/drawingml/2006/main">
          <a:pPr algn="ctr"/>
          <a:r>
            <a:rPr lang="cs-CZ" sz="900"/>
            <a:t>obcí</a:t>
          </a:r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2D7CC-7F89-4818-9476-53AC2C10E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11</Pages>
  <Words>4186</Words>
  <Characters>24703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ctrnact1280</dc:creator>
  <cp:lastModifiedBy>sanda8059</cp:lastModifiedBy>
  <cp:revision>8</cp:revision>
  <cp:lastPrinted>2014-11-13T10:40:00Z</cp:lastPrinted>
  <dcterms:created xsi:type="dcterms:W3CDTF">2014-11-19T12:46:00Z</dcterms:created>
  <dcterms:modified xsi:type="dcterms:W3CDTF">2014-12-02T08:35:00Z</dcterms:modified>
</cp:coreProperties>
</file>