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424" w:rsidRDefault="008E3424">
      <w:pPr>
        <w:pStyle w:val="Normlnweb"/>
        <w:spacing w:before="0" w:beforeAutospacing="0" w:after="0" w:afterAutospacing="0"/>
        <w:jc w:val="center"/>
        <w:rPr>
          <w:rFonts w:ascii="Arial" w:hAnsi="Arial" w:cs="Arial"/>
          <w:color w:val="auto"/>
        </w:rPr>
      </w:pPr>
      <w:r>
        <w:rPr>
          <w:rFonts w:ascii="Arial" w:hAnsi="Arial" w:cs="Arial"/>
          <w:b/>
          <w:bCs/>
          <w:color w:val="auto"/>
        </w:rPr>
        <w:t>9. PŘÍJMY A VÝDAJE DOMÁCNOSTÍ</w:t>
      </w:r>
    </w:p>
    <w:p w:rsidR="008E3424" w:rsidRDefault="008E3424">
      <w:pPr>
        <w:pStyle w:val="Normlnweb"/>
        <w:spacing w:before="0" w:beforeAutospacing="0" w:after="0" w:afterAutospacing="0"/>
        <w:rPr>
          <w:rFonts w:ascii="Arial" w:hAnsi="Arial" w:cs="Arial"/>
          <w:color w:val="auto"/>
          <w:sz w:val="20"/>
          <w:szCs w:val="20"/>
        </w:rPr>
      </w:pPr>
    </w:p>
    <w:p w:rsidR="008E3424" w:rsidRDefault="008E3424">
      <w:pPr>
        <w:pStyle w:val="Normlnweb"/>
        <w:spacing w:before="0" w:beforeAutospacing="0" w:after="0" w:afterAutospacing="0"/>
        <w:ind w:firstLine="709"/>
        <w:jc w:val="both"/>
        <w:rPr>
          <w:rFonts w:ascii="Arial" w:hAnsi="Arial" w:cs="Arial"/>
          <w:color w:val="auto"/>
          <w:sz w:val="20"/>
          <w:szCs w:val="20"/>
        </w:rPr>
      </w:pPr>
      <w:r>
        <w:rPr>
          <w:rFonts w:ascii="Arial" w:hAnsi="Arial" w:cs="Arial"/>
          <w:color w:val="auto"/>
          <w:sz w:val="20"/>
          <w:szCs w:val="20"/>
        </w:rPr>
        <w:t xml:space="preserve">Zdrojem údajů v této kapitole jsou výsledky ze sociálních šetření prováděných u domácností. </w:t>
      </w:r>
    </w:p>
    <w:p w:rsidR="008E3424" w:rsidRDefault="008E3424">
      <w:pPr>
        <w:pStyle w:val="Normlnweb"/>
        <w:spacing w:before="120" w:beforeAutospacing="0" w:after="0" w:afterAutospacing="0"/>
        <w:ind w:firstLine="709"/>
        <w:jc w:val="both"/>
        <w:rPr>
          <w:rFonts w:ascii="Arial" w:hAnsi="Arial" w:cs="Arial"/>
          <w:color w:val="auto"/>
          <w:sz w:val="20"/>
          <w:szCs w:val="20"/>
        </w:rPr>
      </w:pPr>
      <w:r>
        <w:rPr>
          <w:rFonts w:ascii="Arial" w:hAnsi="Arial" w:cs="Arial"/>
          <w:color w:val="auto"/>
          <w:sz w:val="20"/>
          <w:szCs w:val="20"/>
        </w:rPr>
        <w:t xml:space="preserve">Výběrové šetření </w:t>
      </w:r>
      <w:r>
        <w:rPr>
          <w:rFonts w:ascii="Arial" w:hAnsi="Arial" w:cs="Arial"/>
          <w:b/>
          <w:bCs/>
          <w:color w:val="auto"/>
          <w:sz w:val="20"/>
          <w:szCs w:val="20"/>
        </w:rPr>
        <w:t>Životní podmínky</w:t>
      </w:r>
      <w:r>
        <w:rPr>
          <w:rFonts w:ascii="Arial" w:hAnsi="Arial" w:cs="Arial"/>
          <w:color w:val="auto"/>
          <w:sz w:val="20"/>
          <w:szCs w:val="20"/>
        </w:rPr>
        <w:t xml:space="preserve"> probíhá každoročně v rámci programu </w:t>
      </w:r>
      <w:r>
        <w:rPr>
          <w:rFonts w:ascii="Arial" w:hAnsi="Arial" w:cs="Arial"/>
          <w:b/>
          <w:bCs/>
          <w:color w:val="auto"/>
          <w:sz w:val="20"/>
          <w:szCs w:val="20"/>
        </w:rPr>
        <w:t>EU-SILC</w:t>
      </w:r>
      <w:r>
        <w:rPr>
          <w:rFonts w:ascii="Arial" w:hAnsi="Arial" w:cs="Arial"/>
          <w:color w:val="auto"/>
          <w:sz w:val="20"/>
          <w:szCs w:val="20"/>
        </w:rPr>
        <w:t xml:space="preserve"> (</w:t>
      </w:r>
      <w:r>
        <w:rPr>
          <w:rFonts w:ascii="Arial" w:hAnsi="Arial" w:cs="Arial"/>
          <w:i/>
          <w:iCs/>
          <w:color w:val="auto"/>
          <w:sz w:val="20"/>
          <w:szCs w:val="20"/>
        </w:rPr>
        <w:t>European Union – Statistics on Income and Living Conditions</w:t>
      </w:r>
      <w:r>
        <w:rPr>
          <w:rFonts w:ascii="Arial" w:hAnsi="Arial" w:cs="Arial"/>
          <w:color w:val="auto"/>
          <w:sz w:val="20"/>
          <w:szCs w:val="20"/>
        </w:rPr>
        <w:t xml:space="preserve">) u náhodně vybraných bytových domácností České republiky. Realizuje se jako čtyřletý rotační panel, každoročně se čtvrtina domácností obmění. Smyslem šetření je dlouhodobě získávat data o sociální situaci obyvatel srovnatelná s ostatními zeměmi EU. Data uvedená v tabulkách </w:t>
      </w:r>
      <w:r>
        <w:rPr>
          <w:rFonts w:ascii="Arial" w:hAnsi="Arial" w:cs="Arial"/>
          <w:b/>
          <w:bCs/>
          <w:color w:val="auto"/>
          <w:sz w:val="20"/>
          <w:szCs w:val="20"/>
        </w:rPr>
        <w:t>9</w:t>
      </w:r>
      <w:r>
        <w:rPr>
          <w:rFonts w:ascii="Arial" w:hAnsi="Arial" w:cs="Arial"/>
          <w:color w:val="auto"/>
          <w:sz w:val="20"/>
          <w:szCs w:val="20"/>
        </w:rPr>
        <w:t xml:space="preserve">-1. až </w:t>
      </w:r>
      <w:r>
        <w:rPr>
          <w:rFonts w:ascii="Arial" w:hAnsi="Arial" w:cs="Arial"/>
          <w:b/>
          <w:bCs/>
          <w:color w:val="auto"/>
          <w:sz w:val="20"/>
          <w:szCs w:val="20"/>
        </w:rPr>
        <w:t>9</w:t>
      </w:r>
      <w:r>
        <w:rPr>
          <w:rFonts w:ascii="Arial" w:hAnsi="Arial" w:cs="Arial"/>
          <w:color w:val="auto"/>
          <w:sz w:val="20"/>
          <w:szCs w:val="20"/>
        </w:rPr>
        <w:t xml:space="preserve">-4. byla zpracována za </w:t>
      </w:r>
      <w:r w:rsidR="002F72C8" w:rsidRPr="00F95C5C">
        <w:rPr>
          <w:rFonts w:ascii="Arial" w:hAnsi="Arial" w:cs="Arial"/>
          <w:color w:val="auto"/>
          <w:sz w:val="20"/>
          <w:szCs w:val="20"/>
        </w:rPr>
        <w:t>8 </w:t>
      </w:r>
      <w:r w:rsidR="00544890">
        <w:rPr>
          <w:rFonts w:ascii="Arial" w:hAnsi="Arial" w:cs="Arial"/>
          <w:color w:val="auto"/>
          <w:sz w:val="20"/>
          <w:szCs w:val="20"/>
        </w:rPr>
        <w:t>053 </w:t>
      </w:r>
      <w:r>
        <w:rPr>
          <w:rFonts w:ascii="Arial" w:hAnsi="Arial" w:cs="Arial"/>
          <w:color w:val="auto"/>
          <w:sz w:val="20"/>
          <w:szCs w:val="20"/>
        </w:rPr>
        <w:t>hospodařících domácností ze všech krajů České republiky. Příjmy osob a domácností se zjišťovaly za celý rok </w:t>
      </w:r>
      <w:r w:rsidR="00F96A49">
        <w:rPr>
          <w:rFonts w:ascii="Arial" w:hAnsi="Arial" w:cs="Arial"/>
          <w:color w:val="auto"/>
          <w:sz w:val="20"/>
          <w:szCs w:val="20"/>
        </w:rPr>
        <w:t>2013</w:t>
      </w:r>
      <w:r>
        <w:rPr>
          <w:rFonts w:ascii="Arial" w:hAnsi="Arial" w:cs="Arial"/>
          <w:color w:val="auto"/>
          <w:sz w:val="20"/>
          <w:szCs w:val="20"/>
        </w:rPr>
        <w:t>, demografické údaje jsou podle stavu v době šetření v roce </w:t>
      </w:r>
      <w:r w:rsidR="00F96A49">
        <w:rPr>
          <w:rFonts w:ascii="Arial" w:hAnsi="Arial" w:cs="Arial"/>
          <w:color w:val="auto"/>
          <w:sz w:val="20"/>
          <w:szCs w:val="20"/>
        </w:rPr>
        <w:t>2014</w:t>
      </w:r>
      <w:r>
        <w:rPr>
          <w:rFonts w:ascii="Arial" w:hAnsi="Arial" w:cs="Arial"/>
          <w:color w:val="auto"/>
          <w:sz w:val="20"/>
          <w:szCs w:val="20"/>
        </w:rPr>
        <w:t>. Zjištěné údaje se přepočítávají na celou populaci v ČR.</w:t>
      </w:r>
    </w:p>
    <w:p w:rsidR="008E3424" w:rsidRDefault="008E3424">
      <w:pPr>
        <w:pStyle w:val="Normlnweb"/>
        <w:spacing w:before="120" w:beforeAutospacing="0" w:after="0" w:afterAutospacing="0"/>
        <w:ind w:firstLine="709"/>
        <w:jc w:val="both"/>
        <w:rPr>
          <w:rFonts w:ascii="Arial" w:hAnsi="Arial" w:cs="Arial"/>
          <w:color w:val="auto"/>
          <w:sz w:val="20"/>
          <w:szCs w:val="20"/>
        </w:rPr>
      </w:pPr>
      <w:r>
        <w:rPr>
          <w:rFonts w:ascii="Arial" w:hAnsi="Arial" w:cs="Arial"/>
          <w:color w:val="auto"/>
          <w:sz w:val="20"/>
          <w:szCs w:val="20"/>
        </w:rPr>
        <w:t xml:space="preserve">Výběrové šetření </w:t>
      </w:r>
      <w:r>
        <w:rPr>
          <w:rFonts w:ascii="Arial" w:hAnsi="Arial" w:cs="Arial"/>
          <w:b/>
          <w:bCs/>
          <w:color w:val="auto"/>
          <w:sz w:val="20"/>
          <w:szCs w:val="20"/>
        </w:rPr>
        <w:t>statistiky rodinných účtů (SRÚ)</w:t>
      </w:r>
      <w:r>
        <w:rPr>
          <w:rFonts w:ascii="Arial" w:hAnsi="Arial" w:cs="Arial"/>
          <w:color w:val="auto"/>
          <w:sz w:val="20"/>
          <w:szCs w:val="20"/>
        </w:rPr>
        <w:t xml:space="preserve"> sleduje hospodaření domácností a poskytuje informace o výši jejich vydání a struktuře spotřeby. Zpravodajské domácnosti šetření</w:t>
      </w:r>
      <w:r>
        <w:rPr>
          <w:rFonts w:ascii="Arial" w:hAnsi="Arial" w:cs="Arial"/>
          <w:b/>
          <w:bCs/>
          <w:color w:val="auto"/>
          <w:sz w:val="20"/>
          <w:szCs w:val="20"/>
        </w:rPr>
        <w:t xml:space="preserve"> </w:t>
      </w:r>
      <w:r>
        <w:rPr>
          <w:rFonts w:ascii="Arial" w:hAnsi="Arial" w:cs="Arial"/>
          <w:color w:val="auto"/>
          <w:sz w:val="20"/>
          <w:szCs w:val="20"/>
        </w:rPr>
        <w:t>SRÚ jsou v současné době vybírány záměrným kvótním výběrem. Jednotkou výběru a zpravodajskou jednotkou šetření je hospodařící domácnost.</w:t>
      </w:r>
    </w:p>
    <w:p w:rsidR="008E3424" w:rsidRDefault="008E3424">
      <w:pPr>
        <w:pStyle w:val="Text"/>
        <w:spacing w:before="120"/>
        <w:ind w:firstLine="709"/>
      </w:pPr>
      <w:r>
        <w:rPr>
          <w:b/>
          <w:bCs/>
        </w:rPr>
        <w:t>Zpravodajský soubor</w:t>
      </w:r>
      <w:r>
        <w:t xml:space="preserve"> 3 000 domácností byl vybrán tak, aby jeho složení podle zvolených výběrových znaků odpovídalo struktuře domácností v České republice. Oporou pro stanovení kvót byly výsledky šetření Životní podmínky.</w:t>
      </w:r>
    </w:p>
    <w:p w:rsidR="008E3424" w:rsidRDefault="008E3424">
      <w:pPr>
        <w:pStyle w:val="Text"/>
        <w:spacing w:before="120"/>
        <w:ind w:firstLine="709"/>
      </w:pPr>
      <w:r>
        <w:t xml:space="preserve">Od roku 2006 je základním výběrovým znakem </w:t>
      </w:r>
      <w:r>
        <w:rPr>
          <w:b/>
          <w:bCs/>
        </w:rPr>
        <w:t>skupina domácnosti</w:t>
      </w:r>
      <w:r>
        <w:t>, odvozená od ekonomické aktivity a postavení v zaměstnání osoby v čele domácnosti. Osobou v čele je v úplných rodinách vždy muž, v neúplných většinou rodič. V nerodinných domácnostech se za osobu v čele domácnosti považuje osoba s nejvyšším příjmem.</w:t>
      </w:r>
    </w:p>
    <w:p w:rsidR="008E3424" w:rsidRDefault="008E3424">
      <w:pPr>
        <w:spacing w:before="120"/>
        <w:ind w:firstLine="709"/>
        <w:jc w:val="both"/>
        <w:rPr>
          <w:rFonts w:ascii="Arial" w:hAnsi="Arial" w:cs="Arial"/>
          <w:sz w:val="20"/>
          <w:szCs w:val="20"/>
        </w:rPr>
      </w:pPr>
      <w:r>
        <w:rPr>
          <w:rFonts w:ascii="Arial" w:hAnsi="Arial" w:cs="Arial"/>
          <w:sz w:val="20"/>
          <w:szCs w:val="20"/>
        </w:rPr>
        <w:t>Domácnosti s ekonomicky aktivní osobou v čele se třídí podle jejího postavení v zaměstnání, u domácností zaměstnanců i podle jejího vzdělání. Domácnosti s ekonomicky neaktivní osobou v čele se člení v závislosti na tom, zda je některý z dalších členů domácnosti ekonomicky aktivní, příp. zda v čele domácnosti je důchodce.</w:t>
      </w:r>
    </w:p>
    <w:p w:rsidR="008E3424" w:rsidRDefault="008E3424">
      <w:pPr>
        <w:pStyle w:val="Text"/>
        <w:spacing w:before="120"/>
        <w:ind w:firstLine="709"/>
      </w:pPr>
      <w:r>
        <w:t>Pro tři nejvýznamnější skupiny domácností (zaměstnanců, osob samostatně výdělečně činných a důchodců bez ekonomicky aktivních členů) se používají ještě další výběrová kritéria, a to:</w:t>
      </w:r>
    </w:p>
    <w:p w:rsidR="008E3424" w:rsidRDefault="008E3424">
      <w:pPr>
        <w:pStyle w:val="Text"/>
        <w:spacing w:before="120"/>
        <w:ind w:left="170" w:hanging="170"/>
      </w:pPr>
      <w:r>
        <w:t xml:space="preserve">– čistý peněžní příjem na </w:t>
      </w:r>
      <w:r w:rsidR="00C3237B">
        <w:t>jednoho </w:t>
      </w:r>
      <w:r>
        <w:t>člena domácnosti a počet vyživovaných dětí pro domácnosti zaměstnanců a domácnosti osob samostatně výdělečně činných;</w:t>
      </w:r>
    </w:p>
    <w:p w:rsidR="008E3424" w:rsidRDefault="008E3424">
      <w:pPr>
        <w:pStyle w:val="Text"/>
        <w:spacing w:before="120"/>
        <w:ind w:left="170" w:hanging="170"/>
      </w:pPr>
      <w:r>
        <w:t xml:space="preserve">– důchod na </w:t>
      </w:r>
      <w:r w:rsidR="00C3237B">
        <w:t>jednoho </w:t>
      </w:r>
      <w:r>
        <w:t>člena domácnosti a počet členů (u jednočlenných domácností také pohlaví osoby) pro domácnosti důchodců bez ekonomicky aktivních členů.</w:t>
      </w:r>
    </w:p>
    <w:p w:rsidR="008E3424" w:rsidRDefault="008E3424">
      <w:pPr>
        <w:pStyle w:val="Normlnweb"/>
        <w:spacing w:before="120" w:beforeAutospacing="0" w:after="0" w:afterAutospacing="0"/>
        <w:ind w:firstLine="709"/>
        <w:jc w:val="both"/>
        <w:rPr>
          <w:rFonts w:ascii="Arial" w:hAnsi="Arial" w:cs="Arial"/>
          <w:color w:val="auto"/>
          <w:sz w:val="20"/>
          <w:szCs w:val="20"/>
        </w:rPr>
      </w:pPr>
      <w:r>
        <w:rPr>
          <w:rFonts w:ascii="Arial" w:hAnsi="Arial" w:cs="Arial"/>
          <w:color w:val="auto"/>
          <w:sz w:val="20"/>
          <w:szCs w:val="20"/>
        </w:rPr>
        <w:t xml:space="preserve">Výběrový znak </w:t>
      </w:r>
      <w:r>
        <w:rPr>
          <w:rFonts w:ascii="Arial" w:hAnsi="Arial" w:cs="Arial"/>
          <w:b/>
          <w:bCs/>
          <w:color w:val="auto"/>
          <w:sz w:val="20"/>
          <w:szCs w:val="20"/>
        </w:rPr>
        <w:t>velikost obce a druh domu</w:t>
      </w:r>
      <w:r>
        <w:rPr>
          <w:rFonts w:ascii="Arial" w:hAnsi="Arial" w:cs="Arial"/>
          <w:color w:val="auto"/>
          <w:sz w:val="20"/>
          <w:szCs w:val="20"/>
        </w:rPr>
        <w:t xml:space="preserve"> se týká všech skupin domácností, přičemž samostatné kvóty podle velikosti obce a druhu domu jsou předepsány pro výše uvedené nejvýznamnější skupiny domácností.</w:t>
      </w:r>
    </w:p>
    <w:p w:rsidR="008E3424" w:rsidRDefault="008E3424">
      <w:pPr>
        <w:pStyle w:val="Normlnweb"/>
        <w:spacing w:before="0" w:beforeAutospacing="0" w:after="0" w:afterAutospacing="0"/>
        <w:jc w:val="both"/>
        <w:rPr>
          <w:rFonts w:ascii="Arial" w:hAnsi="Arial" w:cs="Arial"/>
          <w:color w:val="auto"/>
          <w:sz w:val="20"/>
          <w:szCs w:val="20"/>
        </w:rPr>
      </w:pPr>
    </w:p>
    <w:p w:rsidR="008E3424" w:rsidRDefault="008E3424">
      <w:pPr>
        <w:pStyle w:val="Normlnweb"/>
        <w:spacing w:before="0" w:beforeAutospacing="0" w:after="0" w:afterAutospacing="0"/>
        <w:jc w:val="both"/>
        <w:rPr>
          <w:rFonts w:ascii="Arial" w:hAnsi="Arial" w:cs="Arial"/>
          <w:color w:val="auto"/>
          <w:sz w:val="20"/>
          <w:szCs w:val="20"/>
        </w:rPr>
      </w:pPr>
    </w:p>
    <w:p w:rsidR="008E3424" w:rsidRDefault="008E3424">
      <w:pPr>
        <w:pStyle w:val="Zkladntext"/>
        <w:widowControl w:val="0"/>
        <w:tabs>
          <w:tab w:val="left" w:pos="0"/>
        </w:tabs>
        <w:rPr>
          <w:rFonts w:ascii="Arial" w:hAnsi="Arial" w:cs="Arial"/>
          <w:b/>
          <w:bCs/>
          <w:sz w:val="20"/>
          <w:szCs w:val="20"/>
        </w:rPr>
      </w:pPr>
      <w:r>
        <w:rPr>
          <w:rFonts w:ascii="Arial" w:hAnsi="Arial" w:cs="Arial"/>
          <w:b/>
          <w:bCs/>
          <w:sz w:val="20"/>
          <w:szCs w:val="20"/>
        </w:rPr>
        <w:t>Vysvětlivky k ukazatelům a tříděním</w:t>
      </w:r>
    </w:p>
    <w:p w:rsidR="008E3424" w:rsidRDefault="008E3424">
      <w:pPr>
        <w:tabs>
          <w:tab w:val="left" w:pos="540"/>
        </w:tabs>
        <w:spacing w:before="120"/>
        <w:ind w:firstLine="709"/>
        <w:jc w:val="both"/>
        <w:rPr>
          <w:rFonts w:ascii="Arial" w:hAnsi="Arial" w:cs="Arial"/>
          <w:sz w:val="20"/>
          <w:szCs w:val="20"/>
        </w:rPr>
      </w:pPr>
      <w:r>
        <w:rPr>
          <w:rFonts w:ascii="Arial" w:hAnsi="Arial" w:cs="Arial"/>
          <w:b/>
          <w:bCs/>
          <w:sz w:val="20"/>
          <w:szCs w:val="20"/>
        </w:rPr>
        <w:t>Hospodařící domácnost</w:t>
      </w:r>
      <w:r>
        <w:rPr>
          <w:rFonts w:ascii="Arial" w:hAnsi="Arial" w:cs="Arial"/>
          <w:sz w:val="20"/>
          <w:szCs w:val="20"/>
        </w:rPr>
        <w:t xml:space="preserve"> je soubor osob společně bydlících, které se společně podílejí na úhradě základních výdajů (na výživu, provoz domácnosti, údržbu bytu apod.).</w:t>
      </w:r>
    </w:p>
    <w:p w:rsidR="008E3424" w:rsidRDefault="008E3424">
      <w:pPr>
        <w:tabs>
          <w:tab w:val="left" w:pos="540"/>
        </w:tabs>
        <w:spacing w:before="120"/>
        <w:ind w:firstLine="709"/>
        <w:jc w:val="both"/>
        <w:rPr>
          <w:rFonts w:ascii="Arial" w:hAnsi="Arial" w:cs="Arial"/>
          <w:sz w:val="20"/>
          <w:szCs w:val="20"/>
        </w:rPr>
      </w:pPr>
      <w:r>
        <w:rPr>
          <w:rFonts w:ascii="Arial" w:hAnsi="Arial" w:cs="Arial"/>
          <w:b/>
          <w:bCs/>
          <w:sz w:val="20"/>
          <w:szCs w:val="20"/>
        </w:rPr>
        <w:t>Pracující</w:t>
      </w:r>
      <w:r>
        <w:rPr>
          <w:rFonts w:ascii="Arial" w:hAnsi="Arial" w:cs="Arial"/>
          <w:sz w:val="20"/>
          <w:szCs w:val="20"/>
        </w:rPr>
        <w:t xml:space="preserve"> jsou osoby, které po celý rok, příp. jeho převážnou část, měly placené zaměstnání (zaměstnanci) nebo byly tzv. sebezaměstnané (samostatně činní, pomáhající rodinní příslušníci). Není rozhodující, zda jejich pracovní aktivita má trvalý, dočasný, sezónní či příležitostný charakter, ale rozhoduje, zda mají formální vazbu k zaměstnání (vč</w:t>
      </w:r>
      <w:r w:rsidR="00C3237B">
        <w:rPr>
          <w:rFonts w:ascii="Arial" w:hAnsi="Arial" w:cs="Arial"/>
          <w:sz w:val="20"/>
          <w:szCs w:val="20"/>
        </w:rPr>
        <w:t>etně</w:t>
      </w:r>
      <w:r>
        <w:rPr>
          <w:rFonts w:ascii="Arial" w:hAnsi="Arial" w:cs="Arial"/>
          <w:sz w:val="20"/>
          <w:szCs w:val="20"/>
        </w:rPr>
        <w:t xml:space="preserve"> případů dovolené, nemoci, řádné mateřské dovolené apod.). Jsou započteni také studenti, důchodci a osoby pobírající rodičovský příspěvek, pokud mají pravidelné příjmy ze zaměstnání nebo podnikání. Naopak nejsou zahrnuty osoby, které byly celý rok, resp. převažující část roku nezaměstnané.</w:t>
      </w:r>
    </w:p>
    <w:p w:rsidR="008E3424" w:rsidRDefault="008E3424">
      <w:pPr>
        <w:tabs>
          <w:tab w:val="left" w:pos="540"/>
          <w:tab w:val="left" w:pos="2340"/>
        </w:tabs>
        <w:spacing w:before="120"/>
        <w:ind w:firstLine="709"/>
        <w:jc w:val="both"/>
        <w:rPr>
          <w:rFonts w:ascii="Arial" w:hAnsi="Arial" w:cs="Arial"/>
          <w:sz w:val="20"/>
          <w:szCs w:val="20"/>
        </w:rPr>
      </w:pPr>
      <w:r>
        <w:rPr>
          <w:rFonts w:ascii="Arial" w:hAnsi="Arial" w:cs="Arial"/>
          <w:b/>
          <w:bCs/>
          <w:sz w:val="20"/>
          <w:szCs w:val="20"/>
        </w:rPr>
        <w:t xml:space="preserve">Vyživované dítě </w:t>
      </w:r>
      <w:r>
        <w:rPr>
          <w:rFonts w:ascii="Arial" w:hAnsi="Arial" w:cs="Arial"/>
          <w:sz w:val="20"/>
          <w:szCs w:val="20"/>
        </w:rPr>
        <w:t>je dítě do 25 let včetně, pokud se soustavně připravuje na budoucí povolání, i</w:t>
      </w:r>
      <w:r w:rsidR="009775A8">
        <w:rPr>
          <w:rFonts w:ascii="Arial" w:hAnsi="Arial" w:cs="Arial"/>
          <w:sz w:val="20"/>
          <w:szCs w:val="20"/>
        </w:rPr>
        <w:t> </w:t>
      </w:r>
      <w:r>
        <w:rPr>
          <w:rFonts w:ascii="Arial" w:hAnsi="Arial" w:cs="Arial"/>
          <w:sz w:val="20"/>
          <w:szCs w:val="20"/>
        </w:rPr>
        <w:t xml:space="preserve">když má vlastní příjem (sirotčí důchod, stipendium, sociální dávky, příjmy z krátkodobé </w:t>
      </w:r>
      <w:r w:rsidR="009775A8">
        <w:rPr>
          <w:rFonts w:ascii="Arial" w:hAnsi="Arial" w:cs="Arial"/>
          <w:sz w:val="20"/>
          <w:szCs w:val="20"/>
        </w:rPr>
        <w:t>pracovní činnosti) a </w:t>
      </w:r>
      <w:r>
        <w:rPr>
          <w:rFonts w:ascii="Arial" w:hAnsi="Arial" w:cs="Arial"/>
          <w:sz w:val="20"/>
          <w:szCs w:val="20"/>
        </w:rPr>
        <w:t>dále dítě, které pro svůj duševní nebo tělesný stav není schopno připravovat se na budoucí povolání ne</w:t>
      </w:r>
      <w:r w:rsidR="009775A8">
        <w:rPr>
          <w:rFonts w:ascii="Arial" w:hAnsi="Arial" w:cs="Arial"/>
          <w:sz w:val="20"/>
          <w:szCs w:val="20"/>
        </w:rPr>
        <w:t>bo si zajistit vlastní obživu a </w:t>
      </w:r>
      <w:r>
        <w:rPr>
          <w:rFonts w:ascii="Arial" w:hAnsi="Arial" w:cs="Arial"/>
          <w:sz w:val="20"/>
          <w:szCs w:val="20"/>
        </w:rPr>
        <w:t xml:space="preserve">dosud nepobírá invalidní důchod. </w:t>
      </w:r>
      <w:r w:rsidR="001147D1" w:rsidRPr="009775A8">
        <w:rPr>
          <w:rFonts w:ascii="Arial" w:hAnsi="Arial" w:cs="Arial"/>
          <w:sz w:val="20"/>
          <w:szCs w:val="20"/>
        </w:rPr>
        <w:t>V šetření SRÚ došlo od roku 2013 v rámci harmonizace se šetřením Životní podmínky k drobné změně ve způsobu posuzování dětí. Zatímco do roku 2012 se používal pojem nezaopatřeného dítěte, nyní se již bere v úvahu tzv. vyživované dítě. Mezi oběma pojmy není významný rozdíl.</w:t>
      </w:r>
    </w:p>
    <w:p w:rsidR="008E3424" w:rsidRDefault="008E3424">
      <w:pPr>
        <w:tabs>
          <w:tab w:val="left" w:pos="540"/>
        </w:tabs>
        <w:spacing w:before="120"/>
        <w:ind w:firstLine="709"/>
        <w:jc w:val="both"/>
        <w:rPr>
          <w:rFonts w:ascii="Arial" w:hAnsi="Arial" w:cs="Arial"/>
          <w:sz w:val="20"/>
          <w:szCs w:val="20"/>
        </w:rPr>
      </w:pPr>
      <w:r>
        <w:rPr>
          <w:rFonts w:ascii="Arial" w:hAnsi="Arial" w:cs="Arial"/>
          <w:b/>
          <w:bCs/>
          <w:sz w:val="20"/>
          <w:szCs w:val="20"/>
        </w:rPr>
        <w:lastRenderedPageBreak/>
        <w:t xml:space="preserve">Počet spotřebních jednotek </w:t>
      </w:r>
      <w:r>
        <w:rPr>
          <w:rFonts w:ascii="Arial" w:hAnsi="Arial" w:cs="Arial"/>
          <w:sz w:val="20"/>
          <w:szCs w:val="20"/>
        </w:rPr>
        <w:t>vyjadřuje složení domácností přepočtené podle vah spotřeby jednotlivých členů domácnosti. Spotřební jednotky podle stupnice OECD mají váhy definovány takto: první dospělý v domácnosti = 1,0; každý další dospělý (osoba starší 13 let) = 0,7; každé dítě (13leté nebo mladší) = 0,5. Spotřební jednotky podle modifikované stupnice OECD jsou definovány takto: první dospělý v domácnosti = 1,0; každý další dospělý (osoba starší 13 let) = 0,5; každé dítě (13leté nebo mladší) = 0,3.</w:t>
      </w:r>
    </w:p>
    <w:p w:rsidR="00C34F4B" w:rsidRDefault="008E3424">
      <w:pPr>
        <w:tabs>
          <w:tab w:val="left" w:pos="540"/>
        </w:tabs>
        <w:spacing w:before="120"/>
        <w:ind w:firstLine="709"/>
        <w:jc w:val="both"/>
        <w:rPr>
          <w:rFonts w:ascii="Arial" w:hAnsi="Arial" w:cs="Arial"/>
          <w:sz w:val="20"/>
          <w:szCs w:val="20"/>
        </w:rPr>
      </w:pPr>
      <w:r>
        <w:rPr>
          <w:rFonts w:ascii="Arial" w:hAnsi="Arial" w:cs="Arial"/>
          <w:b/>
          <w:bCs/>
          <w:sz w:val="20"/>
          <w:szCs w:val="20"/>
        </w:rPr>
        <w:t>Životní minimum domácnosti</w:t>
      </w:r>
      <w:r>
        <w:rPr>
          <w:rFonts w:ascii="Arial" w:hAnsi="Arial" w:cs="Arial"/>
          <w:sz w:val="20"/>
          <w:szCs w:val="20"/>
        </w:rPr>
        <w:t xml:space="preserve"> bylo vypočteno pro každou domácnost zařazenou do zpracování na základě jejího složení, věku dětí a částek platných pro příslušný rok.</w:t>
      </w:r>
      <w:r w:rsidR="00C34F4B">
        <w:rPr>
          <w:rFonts w:ascii="Arial" w:hAnsi="Arial" w:cs="Arial"/>
          <w:sz w:val="20"/>
          <w:szCs w:val="20"/>
        </w:rPr>
        <w:t xml:space="preserve"> Životní minimum (ŽM) domácnosti je součtem všech částek ŽM jejích jednotlivých členů. Výše částek ŽM je dána zákonem</w:t>
      </w:r>
      <w:r w:rsidR="00205C9E">
        <w:rPr>
          <w:rFonts w:ascii="Arial" w:hAnsi="Arial" w:cs="Arial"/>
          <w:sz w:val="20"/>
          <w:szCs w:val="20"/>
        </w:rPr>
        <w:t xml:space="preserve"> </w:t>
      </w:r>
      <w:r w:rsidR="009775A8">
        <w:rPr>
          <w:rFonts w:ascii="Arial" w:hAnsi="Arial" w:cs="Arial"/>
          <w:sz w:val="20"/>
          <w:szCs w:val="20"/>
        </w:rPr>
        <w:t>č. 110/2006 Sb., o životním a </w:t>
      </w:r>
      <w:r w:rsidR="00205C9E" w:rsidRPr="00205C9E">
        <w:rPr>
          <w:rFonts w:ascii="Arial" w:hAnsi="Arial" w:cs="Arial"/>
          <w:sz w:val="20"/>
          <w:szCs w:val="20"/>
        </w:rPr>
        <w:t>existenčním minimu</w:t>
      </w:r>
      <w:r w:rsidR="00C34F4B">
        <w:rPr>
          <w:rFonts w:ascii="Arial" w:hAnsi="Arial" w:cs="Arial"/>
          <w:sz w:val="20"/>
          <w:szCs w:val="20"/>
        </w:rPr>
        <w:t>,</w:t>
      </w:r>
      <w:r w:rsidR="00111368">
        <w:rPr>
          <w:rFonts w:ascii="Arial" w:hAnsi="Arial" w:cs="Arial"/>
          <w:sz w:val="20"/>
          <w:szCs w:val="20"/>
        </w:rPr>
        <w:t xml:space="preserve"> ve znění pozdějších předpisů,</w:t>
      </w:r>
      <w:r w:rsidR="00C34F4B">
        <w:rPr>
          <w:rFonts w:ascii="Arial" w:hAnsi="Arial" w:cs="Arial"/>
          <w:sz w:val="20"/>
          <w:szCs w:val="20"/>
        </w:rPr>
        <w:t xml:space="preserve"> přičemž pro rok </w:t>
      </w:r>
      <w:r w:rsidR="00F96A49">
        <w:rPr>
          <w:rFonts w:ascii="Arial" w:hAnsi="Arial" w:cs="Arial"/>
          <w:sz w:val="20"/>
          <w:szCs w:val="20"/>
        </w:rPr>
        <w:t xml:space="preserve">2014 </w:t>
      </w:r>
      <w:r w:rsidR="00C34F4B">
        <w:rPr>
          <w:rFonts w:ascii="Arial" w:hAnsi="Arial" w:cs="Arial"/>
          <w:sz w:val="20"/>
          <w:szCs w:val="20"/>
        </w:rPr>
        <w:t>byla stanovena takto:</w:t>
      </w:r>
    </w:p>
    <w:p w:rsidR="001147D1" w:rsidRDefault="001147D1" w:rsidP="001147D1">
      <w:pPr>
        <w:tabs>
          <w:tab w:val="left" w:pos="540"/>
        </w:tabs>
        <w:spacing w:before="120"/>
        <w:jc w:val="both"/>
        <w:rPr>
          <w:rFonts w:ascii="Arial" w:hAnsi="Arial" w:cs="Arial"/>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tblPr>
      <w:tblGrid>
        <w:gridCol w:w="6663"/>
        <w:gridCol w:w="2409"/>
      </w:tblGrid>
      <w:tr w:rsidR="00E26915" w:rsidRPr="00E26915" w:rsidTr="00EB7E01">
        <w:trPr>
          <w:trHeight w:val="349"/>
        </w:trPr>
        <w:tc>
          <w:tcPr>
            <w:tcW w:w="9072" w:type="dxa"/>
            <w:gridSpan w:val="2"/>
            <w:tcBorders>
              <w:top w:val="single" w:sz="12" w:space="0" w:color="auto"/>
              <w:bottom w:val="single" w:sz="12" w:space="0" w:color="auto"/>
            </w:tcBorders>
            <w:vAlign w:val="bottom"/>
          </w:tcPr>
          <w:p w:rsidR="001147D1" w:rsidRDefault="0026389D" w:rsidP="001147D1">
            <w:pPr>
              <w:tabs>
                <w:tab w:val="left" w:pos="540"/>
              </w:tabs>
              <w:rPr>
                <w:rFonts w:ascii="Arial" w:eastAsiaTheme="minorEastAsia" w:hAnsi="Arial" w:cs="Arial"/>
                <w:b/>
                <w:sz w:val="20"/>
                <w:szCs w:val="20"/>
              </w:rPr>
            </w:pPr>
            <w:r w:rsidRPr="00E26915">
              <w:rPr>
                <w:rFonts w:ascii="Arial" w:eastAsiaTheme="minorEastAsia" w:hAnsi="Arial" w:cs="Arial"/>
                <w:b/>
                <w:sz w:val="20"/>
                <w:szCs w:val="20"/>
              </w:rPr>
              <w:t>Částky životního minima</w:t>
            </w:r>
            <w:r w:rsidR="001147D1" w:rsidRPr="001147D1">
              <w:rPr>
                <w:rFonts w:ascii="Arial" w:eastAsiaTheme="minorEastAsia" w:hAnsi="Arial" w:cs="Arial"/>
                <w:sz w:val="20"/>
                <w:szCs w:val="20"/>
              </w:rPr>
              <w:t xml:space="preserve"> v Kč za měsíc</w:t>
            </w:r>
          </w:p>
        </w:tc>
      </w:tr>
      <w:tr w:rsidR="00E26915" w:rsidRPr="00E26915" w:rsidTr="0038451A">
        <w:trPr>
          <w:trHeight w:val="349"/>
        </w:trPr>
        <w:tc>
          <w:tcPr>
            <w:tcW w:w="6663" w:type="dxa"/>
            <w:tcBorders>
              <w:top w:val="single" w:sz="12" w:space="0" w:color="auto"/>
              <w:right w:val="single" w:sz="4" w:space="0" w:color="auto"/>
            </w:tcBorders>
            <w:vAlign w:val="bottom"/>
          </w:tcPr>
          <w:p w:rsidR="001147D1" w:rsidRDefault="00AA19FC" w:rsidP="001147D1">
            <w:pPr>
              <w:tabs>
                <w:tab w:val="left" w:pos="540"/>
              </w:tabs>
              <w:ind w:firstLine="284"/>
              <w:rPr>
                <w:rFonts w:ascii="Arial" w:eastAsiaTheme="minorEastAsia" w:hAnsi="Arial" w:cs="Arial"/>
                <w:sz w:val="20"/>
                <w:szCs w:val="20"/>
              </w:rPr>
            </w:pPr>
            <w:r>
              <w:rPr>
                <w:rFonts w:ascii="Arial" w:eastAsiaTheme="minorEastAsia" w:hAnsi="Arial" w:cs="Arial"/>
                <w:sz w:val="20"/>
                <w:szCs w:val="20"/>
              </w:rPr>
              <w:t>Jednotlivec</w:t>
            </w:r>
          </w:p>
        </w:tc>
        <w:tc>
          <w:tcPr>
            <w:tcW w:w="2409" w:type="dxa"/>
            <w:tcBorders>
              <w:top w:val="single" w:sz="12" w:space="0" w:color="auto"/>
              <w:left w:val="single" w:sz="4" w:space="0" w:color="auto"/>
              <w:bottom w:val="single" w:sz="8" w:space="0" w:color="auto"/>
            </w:tcBorders>
          </w:tcPr>
          <w:p w:rsidR="0026389D" w:rsidRPr="00E26915" w:rsidRDefault="0026389D" w:rsidP="00E26915">
            <w:pPr>
              <w:tabs>
                <w:tab w:val="left" w:pos="540"/>
              </w:tabs>
              <w:spacing w:before="120"/>
              <w:jc w:val="center"/>
              <w:rPr>
                <w:rFonts w:ascii="Arial" w:eastAsiaTheme="minorEastAsia" w:hAnsi="Arial" w:cs="Arial"/>
                <w:sz w:val="20"/>
                <w:szCs w:val="20"/>
              </w:rPr>
            </w:pPr>
            <w:r w:rsidRPr="00E26915">
              <w:rPr>
                <w:rFonts w:ascii="Arial" w:eastAsiaTheme="minorEastAsia" w:hAnsi="Arial" w:cs="Arial"/>
                <w:sz w:val="20"/>
                <w:szCs w:val="20"/>
              </w:rPr>
              <w:t>3 410</w:t>
            </w:r>
          </w:p>
        </w:tc>
      </w:tr>
      <w:tr w:rsidR="00E26915" w:rsidRPr="00E26915" w:rsidTr="0038451A">
        <w:trPr>
          <w:trHeight w:val="349"/>
        </w:trPr>
        <w:tc>
          <w:tcPr>
            <w:tcW w:w="6663" w:type="dxa"/>
            <w:tcBorders>
              <w:right w:val="nil"/>
            </w:tcBorders>
            <w:vAlign w:val="bottom"/>
          </w:tcPr>
          <w:p w:rsidR="001147D1" w:rsidRPr="001147D1" w:rsidRDefault="001147D1" w:rsidP="001147D1">
            <w:pPr>
              <w:tabs>
                <w:tab w:val="left" w:pos="540"/>
              </w:tabs>
              <w:ind w:firstLine="284"/>
              <w:rPr>
                <w:rFonts w:ascii="Arial" w:eastAsiaTheme="minorEastAsia" w:hAnsi="Arial" w:cs="Arial"/>
                <w:sz w:val="20"/>
                <w:szCs w:val="20"/>
              </w:rPr>
            </w:pPr>
            <w:r w:rsidRPr="001147D1">
              <w:rPr>
                <w:rFonts w:ascii="Arial" w:eastAsiaTheme="minorEastAsia" w:hAnsi="Arial" w:cs="Arial"/>
                <w:sz w:val="20"/>
                <w:szCs w:val="20"/>
              </w:rPr>
              <w:t>Společně posuzované osoby</w:t>
            </w:r>
          </w:p>
        </w:tc>
        <w:tc>
          <w:tcPr>
            <w:tcW w:w="2409" w:type="dxa"/>
            <w:tcBorders>
              <w:top w:val="single" w:sz="8" w:space="0" w:color="auto"/>
              <w:left w:val="nil"/>
              <w:bottom w:val="single" w:sz="8" w:space="0" w:color="auto"/>
            </w:tcBorders>
          </w:tcPr>
          <w:p w:rsidR="0026389D" w:rsidRPr="00E26915" w:rsidRDefault="0026389D" w:rsidP="00E26915">
            <w:pPr>
              <w:tabs>
                <w:tab w:val="left" w:pos="540"/>
              </w:tabs>
              <w:spacing w:before="120"/>
              <w:jc w:val="center"/>
              <w:rPr>
                <w:rFonts w:ascii="Arial" w:eastAsiaTheme="minorEastAsia" w:hAnsi="Arial" w:cs="Arial"/>
                <w:sz w:val="20"/>
                <w:szCs w:val="20"/>
              </w:rPr>
            </w:pPr>
          </w:p>
        </w:tc>
      </w:tr>
      <w:tr w:rsidR="00E26915" w:rsidRPr="00E26915" w:rsidTr="00EB7E01">
        <w:trPr>
          <w:trHeight w:val="349"/>
        </w:trPr>
        <w:tc>
          <w:tcPr>
            <w:tcW w:w="6663" w:type="dxa"/>
            <w:tcBorders>
              <w:right w:val="single" w:sz="4" w:space="0" w:color="auto"/>
            </w:tcBorders>
            <w:vAlign w:val="bottom"/>
          </w:tcPr>
          <w:p w:rsidR="001147D1" w:rsidRDefault="00AA19FC" w:rsidP="001147D1">
            <w:pPr>
              <w:tabs>
                <w:tab w:val="left" w:pos="284"/>
              </w:tabs>
              <w:ind w:firstLine="454"/>
              <w:rPr>
                <w:rFonts w:ascii="Arial" w:eastAsiaTheme="minorEastAsia" w:hAnsi="Arial" w:cs="Arial"/>
                <w:sz w:val="20"/>
                <w:szCs w:val="20"/>
              </w:rPr>
            </w:pPr>
            <w:r>
              <w:rPr>
                <w:rFonts w:ascii="Arial" w:eastAsiaTheme="minorEastAsia" w:hAnsi="Arial" w:cs="Arial"/>
                <w:sz w:val="20"/>
                <w:szCs w:val="20"/>
              </w:rPr>
              <w:t>pro první dospělou osobu v domácnosti</w:t>
            </w:r>
          </w:p>
        </w:tc>
        <w:tc>
          <w:tcPr>
            <w:tcW w:w="2409" w:type="dxa"/>
            <w:tcBorders>
              <w:top w:val="single" w:sz="8" w:space="0" w:color="auto"/>
              <w:left w:val="single" w:sz="4" w:space="0" w:color="auto"/>
              <w:bottom w:val="single" w:sz="8" w:space="0" w:color="auto"/>
            </w:tcBorders>
          </w:tcPr>
          <w:p w:rsidR="0026389D" w:rsidRPr="00E26915" w:rsidRDefault="0026389D" w:rsidP="00E26915">
            <w:pPr>
              <w:tabs>
                <w:tab w:val="left" w:pos="540"/>
              </w:tabs>
              <w:spacing w:before="120"/>
              <w:jc w:val="center"/>
              <w:rPr>
                <w:rFonts w:ascii="Arial" w:eastAsiaTheme="minorEastAsia" w:hAnsi="Arial" w:cs="Arial"/>
                <w:sz w:val="20"/>
                <w:szCs w:val="20"/>
              </w:rPr>
            </w:pPr>
            <w:r w:rsidRPr="00E26915">
              <w:rPr>
                <w:rFonts w:ascii="Arial" w:eastAsiaTheme="minorEastAsia" w:hAnsi="Arial" w:cs="Arial"/>
                <w:sz w:val="20"/>
                <w:szCs w:val="20"/>
              </w:rPr>
              <w:t>3 140</w:t>
            </w:r>
          </w:p>
        </w:tc>
      </w:tr>
      <w:tr w:rsidR="00E26915" w:rsidRPr="00E26915" w:rsidTr="0038451A">
        <w:trPr>
          <w:trHeight w:val="349"/>
        </w:trPr>
        <w:tc>
          <w:tcPr>
            <w:tcW w:w="6663" w:type="dxa"/>
            <w:tcBorders>
              <w:right w:val="single" w:sz="4" w:space="0" w:color="auto"/>
            </w:tcBorders>
            <w:vAlign w:val="bottom"/>
          </w:tcPr>
          <w:p w:rsidR="001147D1" w:rsidRDefault="00AA19FC" w:rsidP="001147D1">
            <w:pPr>
              <w:tabs>
                <w:tab w:val="left" w:pos="540"/>
              </w:tabs>
              <w:ind w:firstLine="454"/>
              <w:rPr>
                <w:rFonts w:ascii="Arial" w:eastAsiaTheme="minorEastAsia" w:hAnsi="Arial" w:cs="Arial"/>
                <w:sz w:val="20"/>
                <w:szCs w:val="20"/>
              </w:rPr>
            </w:pPr>
            <w:r>
              <w:rPr>
                <w:rFonts w:ascii="Arial" w:eastAsiaTheme="minorEastAsia" w:hAnsi="Arial" w:cs="Arial"/>
                <w:sz w:val="20"/>
                <w:szCs w:val="20"/>
              </w:rPr>
              <w:t>pro druhou a další dospělou osobu v domácnosti</w:t>
            </w:r>
          </w:p>
        </w:tc>
        <w:tc>
          <w:tcPr>
            <w:tcW w:w="2409" w:type="dxa"/>
            <w:tcBorders>
              <w:top w:val="single" w:sz="8" w:space="0" w:color="auto"/>
              <w:left w:val="single" w:sz="4" w:space="0" w:color="auto"/>
              <w:bottom w:val="single" w:sz="8" w:space="0" w:color="auto"/>
            </w:tcBorders>
          </w:tcPr>
          <w:p w:rsidR="0026389D" w:rsidRPr="00E26915" w:rsidRDefault="0026389D" w:rsidP="00E26915">
            <w:pPr>
              <w:tabs>
                <w:tab w:val="left" w:pos="540"/>
              </w:tabs>
              <w:spacing w:before="120"/>
              <w:jc w:val="center"/>
              <w:rPr>
                <w:rFonts w:ascii="Arial" w:eastAsiaTheme="minorEastAsia" w:hAnsi="Arial" w:cs="Arial"/>
                <w:sz w:val="20"/>
                <w:szCs w:val="20"/>
              </w:rPr>
            </w:pPr>
            <w:r w:rsidRPr="00E26915">
              <w:rPr>
                <w:rFonts w:ascii="Arial" w:eastAsiaTheme="minorEastAsia" w:hAnsi="Arial" w:cs="Arial"/>
                <w:sz w:val="20"/>
                <w:szCs w:val="20"/>
              </w:rPr>
              <w:t>2 830</w:t>
            </w:r>
          </w:p>
        </w:tc>
      </w:tr>
      <w:tr w:rsidR="00E26915" w:rsidRPr="00E26915" w:rsidTr="0038451A">
        <w:trPr>
          <w:trHeight w:val="349"/>
        </w:trPr>
        <w:tc>
          <w:tcPr>
            <w:tcW w:w="6663" w:type="dxa"/>
            <w:tcBorders>
              <w:right w:val="nil"/>
            </w:tcBorders>
            <w:vAlign w:val="bottom"/>
          </w:tcPr>
          <w:p w:rsidR="001147D1" w:rsidRPr="001147D1" w:rsidRDefault="00602D16" w:rsidP="001147D1">
            <w:pPr>
              <w:tabs>
                <w:tab w:val="left" w:pos="540"/>
              </w:tabs>
              <w:ind w:firstLine="284"/>
              <w:rPr>
                <w:rFonts w:ascii="Arial" w:eastAsiaTheme="minorEastAsia" w:hAnsi="Arial" w:cs="Arial"/>
                <w:sz w:val="20"/>
                <w:szCs w:val="20"/>
              </w:rPr>
            </w:pPr>
            <w:r>
              <w:rPr>
                <w:rFonts w:ascii="Arial" w:eastAsiaTheme="minorEastAsia" w:hAnsi="Arial" w:cs="Arial"/>
                <w:sz w:val="20"/>
                <w:szCs w:val="20"/>
              </w:rPr>
              <w:t>Vyživované</w:t>
            </w:r>
            <w:r w:rsidR="001147D1" w:rsidRPr="001147D1">
              <w:rPr>
                <w:rFonts w:ascii="Arial" w:eastAsiaTheme="minorEastAsia" w:hAnsi="Arial" w:cs="Arial"/>
                <w:sz w:val="20"/>
                <w:szCs w:val="20"/>
              </w:rPr>
              <w:t xml:space="preserve"> děti</w:t>
            </w:r>
          </w:p>
        </w:tc>
        <w:tc>
          <w:tcPr>
            <w:tcW w:w="2409" w:type="dxa"/>
            <w:tcBorders>
              <w:top w:val="single" w:sz="8" w:space="0" w:color="auto"/>
              <w:left w:val="nil"/>
              <w:bottom w:val="single" w:sz="8" w:space="0" w:color="auto"/>
            </w:tcBorders>
          </w:tcPr>
          <w:p w:rsidR="0026389D" w:rsidRPr="00E26915" w:rsidRDefault="0026389D" w:rsidP="00E26915">
            <w:pPr>
              <w:tabs>
                <w:tab w:val="left" w:pos="540"/>
              </w:tabs>
              <w:spacing w:before="120"/>
              <w:jc w:val="center"/>
              <w:rPr>
                <w:rFonts w:ascii="Arial" w:eastAsiaTheme="minorEastAsia" w:hAnsi="Arial" w:cs="Arial"/>
                <w:sz w:val="20"/>
                <w:szCs w:val="20"/>
              </w:rPr>
            </w:pPr>
          </w:p>
        </w:tc>
      </w:tr>
      <w:tr w:rsidR="00E26915" w:rsidRPr="00E26915" w:rsidTr="00EB7E01">
        <w:trPr>
          <w:trHeight w:val="349"/>
        </w:trPr>
        <w:tc>
          <w:tcPr>
            <w:tcW w:w="6663" w:type="dxa"/>
            <w:tcBorders>
              <w:right w:val="single" w:sz="4" w:space="0" w:color="auto"/>
            </w:tcBorders>
            <w:vAlign w:val="bottom"/>
          </w:tcPr>
          <w:p w:rsidR="001147D1" w:rsidRDefault="00AA19FC" w:rsidP="001147D1">
            <w:pPr>
              <w:tabs>
                <w:tab w:val="left" w:pos="540"/>
              </w:tabs>
              <w:ind w:firstLine="454"/>
              <w:rPr>
                <w:rFonts w:ascii="Arial" w:eastAsiaTheme="minorEastAsia" w:hAnsi="Arial" w:cs="Arial"/>
                <w:sz w:val="20"/>
                <w:szCs w:val="20"/>
              </w:rPr>
            </w:pPr>
            <w:r>
              <w:rPr>
                <w:rFonts w:ascii="Arial" w:eastAsiaTheme="minorEastAsia" w:hAnsi="Arial" w:cs="Arial"/>
                <w:sz w:val="20"/>
                <w:szCs w:val="20"/>
              </w:rPr>
              <w:t>do 6 let</w:t>
            </w:r>
          </w:p>
        </w:tc>
        <w:tc>
          <w:tcPr>
            <w:tcW w:w="2409" w:type="dxa"/>
            <w:tcBorders>
              <w:top w:val="single" w:sz="8" w:space="0" w:color="auto"/>
              <w:left w:val="single" w:sz="4" w:space="0" w:color="auto"/>
              <w:bottom w:val="single" w:sz="8" w:space="0" w:color="auto"/>
            </w:tcBorders>
          </w:tcPr>
          <w:p w:rsidR="0026389D" w:rsidRPr="00E26915" w:rsidRDefault="0026389D" w:rsidP="00E26915">
            <w:pPr>
              <w:tabs>
                <w:tab w:val="left" w:pos="540"/>
              </w:tabs>
              <w:spacing w:before="120"/>
              <w:jc w:val="center"/>
              <w:rPr>
                <w:rFonts w:ascii="Arial" w:eastAsiaTheme="minorEastAsia" w:hAnsi="Arial" w:cs="Arial"/>
                <w:sz w:val="20"/>
                <w:szCs w:val="20"/>
              </w:rPr>
            </w:pPr>
            <w:r w:rsidRPr="00E26915">
              <w:rPr>
                <w:rFonts w:ascii="Arial" w:eastAsiaTheme="minorEastAsia" w:hAnsi="Arial" w:cs="Arial"/>
                <w:sz w:val="20"/>
                <w:szCs w:val="20"/>
              </w:rPr>
              <w:t>1 740</w:t>
            </w:r>
          </w:p>
        </w:tc>
      </w:tr>
      <w:tr w:rsidR="00E26915" w:rsidRPr="00E26915" w:rsidTr="00EB7E01">
        <w:trPr>
          <w:trHeight w:val="349"/>
        </w:trPr>
        <w:tc>
          <w:tcPr>
            <w:tcW w:w="6663" w:type="dxa"/>
            <w:tcBorders>
              <w:right w:val="single" w:sz="4" w:space="0" w:color="auto"/>
            </w:tcBorders>
            <w:vAlign w:val="bottom"/>
          </w:tcPr>
          <w:p w:rsidR="001147D1" w:rsidRDefault="00AA19FC" w:rsidP="001147D1">
            <w:pPr>
              <w:tabs>
                <w:tab w:val="left" w:pos="540"/>
              </w:tabs>
              <w:ind w:firstLine="454"/>
              <w:rPr>
                <w:rFonts w:ascii="Arial" w:eastAsiaTheme="minorEastAsia" w:hAnsi="Arial" w:cs="Arial"/>
                <w:sz w:val="20"/>
                <w:szCs w:val="20"/>
              </w:rPr>
            </w:pPr>
            <w:r>
              <w:rPr>
                <w:rFonts w:ascii="Arial" w:eastAsiaTheme="minorEastAsia" w:hAnsi="Arial" w:cs="Arial"/>
                <w:sz w:val="20"/>
                <w:szCs w:val="20"/>
              </w:rPr>
              <w:t>6 až 15 let</w:t>
            </w:r>
          </w:p>
        </w:tc>
        <w:tc>
          <w:tcPr>
            <w:tcW w:w="2409" w:type="dxa"/>
            <w:tcBorders>
              <w:top w:val="single" w:sz="8" w:space="0" w:color="auto"/>
              <w:left w:val="single" w:sz="4" w:space="0" w:color="auto"/>
              <w:bottom w:val="single" w:sz="8" w:space="0" w:color="auto"/>
            </w:tcBorders>
          </w:tcPr>
          <w:p w:rsidR="0026389D" w:rsidRPr="00E26915" w:rsidRDefault="0026389D" w:rsidP="00E26915">
            <w:pPr>
              <w:tabs>
                <w:tab w:val="left" w:pos="540"/>
              </w:tabs>
              <w:spacing w:before="120"/>
              <w:jc w:val="center"/>
              <w:rPr>
                <w:rFonts w:ascii="Arial" w:eastAsiaTheme="minorEastAsia" w:hAnsi="Arial" w:cs="Arial"/>
                <w:sz w:val="20"/>
                <w:szCs w:val="20"/>
              </w:rPr>
            </w:pPr>
            <w:r w:rsidRPr="00E26915">
              <w:rPr>
                <w:rFonts w:ascii="Arial" w:eastAsiaTheme="minorEastAsia" w:hAnsi="Arial" w:cs="Arial"/>
                <w:sz w:val="20"/>
                <w:szCs w:val="20"/>
              </w:rPr>
              <w:t>2 140</w:t>
            </w:r>
          </w:p>
        </w:tc>
      </w:tr>
      <w:tr w:rsidR="00E26915" w:rsidRPr="00E26915" w:rsidTr="00EB7E01">
        <w:trPr>
          <w:trHeight w:val="349"/>
        </w:trPr>
        <w:tc>
          <w:tcPr>
            <w:tcW w:w="6663" w:type="dxa"/>
            <w:tcBorders>
              <w:right w:val="single" w:sz="4" w:space="0" w:color="auto"/>
            </w:tcBorders>
            <w:vAlign w:val="bottom"/>
          </w:tcPr>
          <w:p w:rsidR="001147D1" w:rsidRDefault="00AA19FC" w:rsidP="001147D1">
            <w:pPr>
              <w:tabs>
                <w:tab w:val="left" w:pos="540"/>
              </w:tabs>
              <w:ind w:firstLine="454"/>
              <w:rPr>
                <w:rFonts w:ascii="Arial" w:eastAsiaTheme="minorEastAsia" w:hAnsi="Arial" w:cs="Arial"/>
                <w:sz w:val="20"/>
                <w:szCs w:val="20"/>
              </w:rPr>
            </w:pPr>
            <w:r>
              <w:rPr>
                <w:rFonts w:ascii="Arial" w:eastAsiaTheme="minorEastAsia" w:hAnsi="Arial" w:cs="Arial"/>
                <w:sz w:val="20"/>
                <w:szCs w:val="20"/>
              </w:rPr>
              <w:t>15 až 26 let</w:t>
            </w:r>
          </w:p>
        </w:tc>
        <w:tc>
          <w:tcPr>
            <w:tcW w:w="2409" w:type="dxa"/>
            <w:tcBorders>
              <w:top w:val="single" w:sz="8" w:space="0" w:color="auto"/>
              <w:left w:val="single" w:sz="4" w:space="0" w:color="auto"/>
              <w:bottom w:val="single" w:sz="12" w:space="0" w:color="auto"/>
            </w:tcBorders>
          </w:tcPr>
          <w:p w:rsidR="0026389D" w:rsidRPr="00E26915" w:rsidRDefault="0026389D" w:rsidP="00E26915">
            <w:pPr>
              <w:tabs>
                <w:tab w:val="left" w:pos="540"/>
              </w:tabs>
              <w:spacing w:before="120"/>
              <w:jc w:val="center"/>
              <w:rPr>
                <w:rFonts w:ascii="Arial" w:eastAsiaTheme="minorEastAsia" w:hAnsi="Arial" w:cs="Arial"/>
                <w:sz w:val="20"/>
                <w:szCs w:val="20"/>
              </w:rPr>
            </w:pPr>
            <w:r w:rsidRPr="00E26915">
              <w:rPr>
                <w:rFonts w:ascii="Arial" w:eastAsiaTheme="minorEastAsia" w:hAnsi="Arial" w:cs="Arial"/>
                <w:sz w:val="20"/>
                <w:szCs w:val="20"/>
              </w:rPr>
              <w:t>2 450</w:t>
            </w:r>
          </w:p>
        </w:tc>
      </w:tr>
    </w:tbl>
    <w:p w:rsidR="00D61026" w:rsidRDefault="00D61026">
      <w:pPr>
        <w:tabs>
          <w:tab w:val="left" w:pos="540"/>
        </w:tabs>
        <w:spacing w:before="120"/>
        <w:jc w:val="both"/>
        <w:rPr>
          <w:rFonts w:ascii="Arial" w:hAnsi="Arial" w:cs="Arial"/>
          <w:sz w:val="20"/>
          <w:szCs w:val="20"/>
        </w:rPr>
      </w:pPr>
    </w:p>
    <w:p w:rsidR="008E3424" w:rsidRDefault="008E3424">
      <w:pPr>
        <w:tabs>
          <w:tab w:val="left" w:pos="540"/>
        </w:tabs>
        <w:ind w:firstLine="709"/>
        <w:jc w:val="both"/>
        <w:rPr>
          <w:rFonts w:ascii="Arial" w:hAnsi="Arial" w:cs="Arial"/>
          <w:sz w:val="20"/>
          <w:szCs w:val="20"/>
        </w:rPr>
      </w:pPr>
      <w:r>
        <w:rPr>
          <w:rFonts w:ascii="Arial" w:hAnsi="Arial" w:cs="Arial"/>
          <w:sz w:val="20"/>
          <w:szCs w:val="20"/>
        </w:rPr>
        <w:t>Základní členění domácností podle</w:t>
      </w:r>
      <w:r>
        <w:rPr>
          <w:rFonts w:ascii="Arial" w:hAnsi="Arial" w:cs="Arial"/>
          <w:b/>
          <w:bCs/>
          <w:sz w:val="20"/>
          <w:szCs w:val="20"/>
        </w:rPr>
        <w:t xml:space="preserve"> postavení osoby v čele</w:t>
      </w:r>
      <w:r>
        <w:rPr>
          <w:rFonts w:ascii="Arial" w:hAnsi="Arial" w:cs="Arial"/>
          <w:sz w:val="20"/>
          <w:szCs w:val="20"/>
        </w:rPr>
        <w:t>:</w:t>
      </w:r>
    </w:p>
    <w:p w:rsidR="008E3424" w:rsidRDefault="008E3424">
      <w:pPr>
        <w:pStyle w:val="Text"/>
        <w:spacing w:before="120"/>
        <w:ind w:firstLine="709"/>
      </w:pPr>
      <w:r>
        <w:rPr>
          <w:b/>
          <w:bCs/>
        </w:rPr>
        <w:t xml:space="preserve">Domácnosti celkem </w:t>
      </w:r>
      <w:r>
        <w:t>v šetření Životní podmínky reprezentují průměrnou domácnost České republiky. Ve zpravodajském souboru SRÚ jsou od roku 2006 již zahrnuty všechny typy domácností zastoupené v populaci. Váha jednotlivých skupin domácností odpovídá jejich podílu zjištěnému v šetření Životní podmínky. Počet domácností důchodců bez ekonomicky aktivních členů byl pro zjišťování SRÚ zredukován, při zpracování se tato disproporce eliminuje převážením.</w:t>
      </w:r>
    </w:p>
    <w:p w:rsidR="008E3424" w:rsidRDefault="008E3424">
      <w:pPr>
        <w:pStyle w:val="Text"/>
        <w:spacing w:before="120"/>
        <w:ind w:firstLine="709"/>
      </w:pPr>
      <w:r>
        <w:rPr>
          <w:b/>
          <w:bCs/>
        </w:rPr>
        <w:t>Domácnosti zaměstnanců</w:t>
      </w:r>
      <w:r>
        <w:t xml:space="preserve"> jsou domácnosti s osobou v čele v pracovním nebo služebním poměru, která pracuje na základě pracovní smlouvy nebo na základě dohody (o pracovní činnosti, o provedení práce). Zaměstnanci jsou i pracující členové produkčních družstev (včetně zemědělských), společníci s. r. o. a komanditisté komanditních společností, kteří pro společnost vykonávají práci na základě pracovní smlouvy a pobírají za ni odměnu, která je příjmem ze závislé činnosti.</w:t>
      </w:r>
    </w:p>
    <w:p w:rsidR="008E3424" w:rsidRDefault="008E3424">
      <w:pPr>
        <w:pStyle w:val="Text"/>
        <w:spacing w:before="120"/>
        <w:ind w:firstLine="709"/>
      </w:pPr>
      <w:r>
        <w:rPr>
          <w:b/>
          <w:bCs/>
        </w:rPr>
        <w:t>Domácnosti samostatně činných osob</w:t>
      </w:r>
      <w:r>
        <w:t xml:space="preserve"> jsou domácnosti s osobou v čele vykonávající samostatně výdělečnou činnost. Jedná se o osoby, které podnikají</w:t>
      </w:r>
      <w:r>
        <w:rPr>
          <w:color w:val="0000FF"/>
        </w:rPr>
        <w:t xml:space="preserve"> </w:t>
      </w:r>
      <w:r>
        <w:t>na základě živnostenského oprávnění nebo na základě zvláštních předpisů, účastníky společného podnikání na základě smlouvy (společnosti s ručením omezeným, obchodní společnosti), pokud nevykonávají pro společnost práci na základě pracovní smlouvy, dále osoby vykonávající nezávislé povolání (lékaři, advokáti, daňoví poradci) a osoby pracující za honoráře (umělci, tlumočníci).</w:t>
      </w:r>
    </w:p>
    <w:p w:rsidR="008E3424" w:rsidRDefault="008E3424">
      <w:pPr>
        <w:pStyle w:val="Text"/>
        <w:spacing w:before="120"/>
        <w:ind w:firstLine="709"/>
      </w:pPr>
      <w:r>
        <w:rPr>
          <w:b/>
          <w:bCs/>
        </w:rPr>
        <w:t xml:space="preserve">Domácnosti nezaměstnaných </w:t>
      </w:r>
      <w:r>
        <w:t>jsou domácnosti v čele s osobou, která nemá žádnou placenou práci, ale pracovat by chtěla, tzn., že si buď aktivně hledá zaměstnání, nebo má v plánu podnikat, případně hodlá zaměstnání hledat. Není rozhodující, zda pobírá hmotné zabezpečení uchazečů o zaměstnání či nikoliv.</w:t>
      </w:r>
    </w:p>
    <w:p w:rsidR="008E3424" w:rsidRDefault="008E3424">
      <w:pPr>
        <w:pStyle w:val="Text"/>
        <w:spacing w:before="120"/>
        <w:ind w:firstLine="709"/>
      </w:pPr>
      <w:r>
        <w:rPr>
          <w:b/>
          <w:bCs/>
        </w:rPr>
        <w:t xml:space="preserve">Domácnosti důchodců </w:t>
      </w:r>
      <w:r>
        <w:t xml:space="preserve">mají v čele osobu, která pobírá důchod (kromě sirotčího) a nepracuje buď vůbec, nebo má její pracovní činnost omezený rozsah. Za šetření Životní podmínky (tab. </w:t>
      </w:r>
      <w:r>
        <w:rPr>
          <w:b/>
          <w:bCs/>
        </w:rPr>
        <w:t>9</w:t>
      </w:r>
      <w:r>
        <w:t xml:space="preserve">-1. až </w:t>
      </w:r>
      <w:r>
        <w:rPr>
          <w:b/>
          <w:bCs/>
        </w:rPr>
        <w:t>9</w:t>
      </w:r>
      <w:r>
        <w:t xml:space="preserve">-4.) jsou publikovány výsledky za </w:t>
      </w:r>
      <w:r>
        <w:rPr>
          <w:b/>
          <w:bCs/>
        </w:rPr>
        <w:t>domácnosti důchodců bez pracujících členů</w:t>
      </w:r>
      <w:r>
        <w:t>. Ty zahrnují všechny domácnosti, kde osoba v čele pobírá důchod a nepracuje (vůbec</w:t>
      </w:r>
      <w:r w:rsidR="00C3237B">
        <w:t>,</w:t>
      </w:r>
      <w:r>
        <w:t xml:space="preserve"> nebo v omezené míře) a zároveň nepracují ani jiní členové domácnosti, přičemž rozhodující je, zda reálně vykonávají nějakou pracovní činnost</w:t>
      </w:r>
      <w:r w:rsidR="00C3237B">
        <w:t>,</w:t>
      </w:r>
      <w:r>
        <w:t xml:space="preserve"> nebo ne (mohou tedy být nezaměstnaní). Naproti tomu v tabulkách s výsledky šetření SRÚ (tab. </w:t>
      </w:r>
      <w:r>
        <w:rPr>
          <w:b/>
          <w:bCs/>
        </w:rPr>
        <w:t>9</w:t>
      </w:r>
      <w:r>
        <w:t xml:space="preserve">-5. až </w:t>
      </w:r>
      <w:r>
        <w:rPr>
          <w:b/>
          <w:bCs/>
        </w:rPr>
        <w:t>9</w:t>
      </w:r>
      <w:r>
        <w:t xml:space="preserve">-8.) jsou jako zvláštní kategorie vyčleněny </w:t>
      </w:r>
      <w:r>
        <w:rPr>
          <w:b/>
          <w:bCs/>
        </w:rPr>
        <w:t xml:space="preserve">domácnosti </w:t>
      </w:r>
      <w:r>
        <w:rPr>
          <w:b/>
          <w:bCs/>
        </w:rPr>
        <w:lastRenderedPageBreak/>
        <w:t>důchodců bez ekonomicky aktivních členů</w:t>
      </w:r>
      <w:r>
        <w:t>, které</w:t>
      </w:r>
      <w:r>
        <w:rPr>
          <w:b/>
          <w:bCs/>
        </w:rPr>
        <w:t xml:space="preserve"> </w:t>
      </w:r>
      <w:r>
        <w:t xml:space="preserve">zahrnují domácnosti, v nichž vedle osoby v čele také ostatní členové nejsou ekonomicky aktivní buď vůbec, nebo jen v omezené míře. </w:t>
      </w:r>
    </w:p>
    <w:p w:rsidR="008E3424" w:rsidRDefault="008E3424">
      <w:pPr>
        <w:pStyle w:val="Normlnweb"/>
        <w:spacing w:before="0" w:beforeAutospacing="0" w:after="0" w:afterAutospacing="0"/>
        <w:jc w:val="both"/>
        <w:rPr>
          <w:rFonts w:ascii="Arial" w:hAnsi="Arial" w:cs="Arial"/>
          <w:b/>
          <w:bCs/>
          <w:color w:val="auto"/>
          <w:sz w:val="20"/>
          <w:szCs w:val="20"/>
        </w:rPr>
      </w:pPr>
    </w:p>
    <w:p w:rsidR="008E3424" w:rsidRDefault="008E3424">
      <w:pPr>
        <w:pStyle w:val="Normlnweb"/>
        <w:spacing w:before="0" w:beforeAutospacing="0" w:after="0" w:afterAutospacing="0"/>
        <w:jc w:val="both"/>
        <w:rPr>
          <w:rFonts w:ascii="Arial" w:hAnsi="Arial" w:cs="Arial"/>
          <w:b/>
          <w:bCs/>
          <w:color w:val="auto"/>
          <w:sz w:val="20"/>
          <w:szCs w:val="20"/>
        </w:rPr>
      </w:pPr>
    </w:p>
    <w:p w:rsidR="008E3424" w:rsidRDefault="008E3424">
      <w:pPr>
        <w:pStyle w:val="Normlnweb"/>
        <w:spacing w:before="0" w:beforeAutospacing="0" w:after="0" w:afterAutospacing="0"/>
        <w:ind w:firstLine="709"/>
        <w:jc w:val="both"/>
        <w:rPr>
          <w:rFonts w:ascii="Arial" w:hAnsi="Arial" w:cs="Arial"/>
          <w:color w:val="auto"/>
          <w:sz w:val="20"/>
          <w:szCs w:val="20"/>
        </w:rPr>
      </w:pPr>
      <w:r>
        <w:rPr>
          <w:rFonts w:ascii="Arial" w:hAnsi="Arial" w:cs="Arial"/>
          <w:b/>
          <w:bCs/>
          <w:color w:val="auto"/>
          <w:sz w:val="20"/>
          <w:szCs w:val="20"/>
        </w:rPr>
        <w:t>Úplné rodiny</w:t>
      </w:r>
      <w:r>
        <w:rPr>
          <w:rFonts w:ascii="Arial" w:hAnsi="Arial" w:cs="Arial"/>
          <w:color w:val="auto"/>
          <w:sz w:val="20"/>
          <w:szCs w:val="20"/>
        </w:rPr>
        <w:t xml:space="preserve"> tvoří manželský (partnerský) pár s vyživovanými dětmi</w:t>
      </w:r>
      <w:r w:rsidR="00C3237B">
        <w:rPr>
          <w:rFonts w:ascii="Arial" w:hAnsi="Arial" w:cs="Arial"/>
          <w:color w:val="auto"/>
          <w:sz w:val="20"/>
          <w:szCs w:val="20"/>
        </w:rPr>
        <w:t>,</w:t>
      </w:r>
      <w:r>
        <w:rPr>
          <w:rFonts w:ascii="Arial" w:hAnsi="Arial" w:cs="Arial"/>
          <w:color w:val="auto"/>
          <w:sz w:val="20"/>
          <w:szCs w:val="20"/>
        </w:rPr>
        <w:t xml:space="preserve"> nebo bez nich, mohou v nich být i další osoby. </w:t>
      </w:r>
      <w:r>
        <w:rPr>
          <w:rFonts w:ascii="Arial" w:hAnsi="Arial" w:cs="Arial"/>
          <w:b/>
          <w:bCs/>
          <w:color w:val="auto"/>
          <w:sz w:val="20"/>
          <w:szCs w:val="20"/>
        </w:rPr>
        <w:t>Úplné čisté rodiny</w:t>
      </w:r>
      <w:r>
        <w:rPr>
          <w:rFonts w:ascii="Arial" w:hAnsi="Arial" w:cs="Arial"/>
          <w:color w:val="auto"/>
          <w:sz w:val="20"/>
          <w:szCs w:val="20"/>
        </w:rPr>
        <w:t xml:space="preserve"> se skládají pouze z rodičů (partnerů) a vyživovaných dětí. </w:t>
      </w:r>
    </w:p>
    <w:p w:rsidR="008E3424" w:rsidRDefault="008E3424">
      <w:pPr>
        <w:pStyle w:val="Normlnweb"/>
        <w:spacing w:before="120" w:beforeAutospacing="0" w:after="0" w:afterAutospacing="0"/>
        <w:ind w:firstLine="709"/>
        <w:jc w:val="both"/>
        <w:rPr>
          <w:rFonts w:ascii="Arial" w:hAnsi="Arial" w:cs="Arial"/>
          <w:color w:val="auto"/>
          <w:sz w:val="20"/>
          <w:szCs w:val="20"/>
        </w:rPr>
      </w:pPr>
      <w:r>
        <w:rPr>
          <w:rFonts w:ascii="Arial" w:hAnsi="Arial" w:cs="Arial"/>
          <w:b/>
          <w:bCs/>
          <w:color w:val="auto"/>
          <w:sz w:val="20"/>
          <w:szCs w:val="20"/>
        </w:rPr>
        <w:t xml:space="preserve">Neúplné rodiny </w:t>
      </w:r>
      <w:r>
        <w:rPr>
          <w:rFonts w:ascii="Arial" w:hAnsi="Arial" w:cs="Arial"/>
          <w:color w:val="auto"/>
          <w:sz w:val="20"/>
          <w:szCs w:val="20"/>
        </w:rPr>
        <w:t xml:space="preserve">tvoří rodič a alespoň jedno dítě, také v nich mohou být další osoby. </w:t>
      </w:r>
      <w:r>
        <w:rPr>
          <w:rFonts w:ascii="Arial" w:hAnsi="Arial" w:cs="Arial"/>
          <w:b/>
          <w:bCs/>
          <w:color w:val="auto"/>
          <w:sz w:val="20"/>
          <w:szCs w:val="20"/>
        </w:rPr>
        <w:t>Neúplné čisté rodiny</w:t>
      </w:r>
      <w:r>
        <w:rPr>
          <w:rFonts w:ascii="Arial" w:hAnsi="Arial" w:cs="Arial"/>
          <w:color w:val="auto"/>
          <w:sz w:val="20"/>
          <w:szCs w:val="20"/>
        </w:rPr>
        <w:t xml:space="preserve"> se skládají z jednoho z rodičů a vyživovaného dítěte (dětí).</w:t>
      </w:r>
    </w:p>
    <w:p w:rsidR="008E3424" w:rsidRDefault="008E3424">
      <w:pPr>
        <w:spacing w:before="120"/>
        <w:ind w:firstLine="709"/>
        <w:jc w:val="both"/>
        <w:rPr>
          <w:rFonts w:ascii="Arial" w:hAnsi="Arial" w:cs="Arial"/>
          <w:sz w:val="20"/>
          <w:szCs w:val="20"/>
        </w:rPr>
      </w:pPr>
      <w:r>
        <w:rPr>
          <w:rFonts w:ascii="Arial" w:hAnsi="Arial" w:cs="Arial"/>
          <w:b/>
          <w:bCs/>
          <w:sz w:val="20"/>
          <w:szCs w:val="20"/>
        </w:rPr>
        <w:t>Hrubé peněžní příjmy</w:t>
      </w:r>
      <w:r>
        <w:rPr>
          <w:rFonts w:ascii="Arial" w:hAnsi="Arial" w:cs="Arial"/>
          <w:sz w:val="20"/>
          <w:szCs w:val="20"/>
        </w:rPr>
        <w:t xml:space="preserve"> zahrnují příjmy ze závislé činnosti a z podnikání v hlavní i vedlejší činnosti, všechny druhy pravidelných i jednorázových sociálních příjmů přiznaných pro domácnosti jako celek i jejich jednotlivé členy a všechny další jednorázové a mimořádné peněžní příjmy (z kapitálového majetku, příležitostných pronájmů, životního a neživotního pojištění, dědictví, soutěží aj.).</w:t>
      </w:r>
    </w:p>
    <w:p w:rsidR="008E3424" w:rsidRDefault="008E3424">
      <w:pPr>
        <w:pStyle w:val="Text"/>
        <w:spacing w:before="120"/>
        <w:ind w:firstLine="709"/>
      </w:pPr>
      <w:r>
        <w:rPr>
          <w:b/>
          <w:bCs/>
        </w:rPr>
        <w:t>Čisté peněžní příjmy</w:t>
      </w:r>
      <w:r>
        <w:t xml:space="preserve"> se získají z hrubých příjmů odečtením odvodů na zdravotní a sociální pojištění a daně z příjmů. Od roku 2009 (příjmy za rok 2008) zahrnuje čistý příjem bonusy daňového zvýhodnění na děti.</w:t>
      </w:r>
    </w:p>
    <w:p w:rsidR="008E3424" w:rsidRDefault="008E3424">
      <w:pPr>
        <w:pStyle w:val="Normlnweb"/>
        <w:spacing w:before="120" w:beforeAutospacing="0" w:after="0" w:afterAutospacing="0"/>
        <w:ind w:firstLine="709"/>
        <w:jc w:val="both"/>
        <w:rPr>
          <w:rFonts w:ascii="Arial" w:hAnsi="Arial" w:cs="Arial"/>
          <w:color w:val="auto"/>
          <w:sz w:val="20"/>
          <w:szCs w:val="20"/>
        </w:rPr>
      </w:pPr>
      <w:r>
        <w:rPr>
          <w:rFonts w:ascii="Arial" w:hAnsi="Arial" w:cs="Arial"/>
          <w:b/>
          <w:bCs/>
          <w:color w:val="auto"/>
          <w:sz w:val="20"/>
          <w:szCs w:val="20"/>
        </w:rPr>
        <w:t xml:space="preserve">Pracovními příjmy </w:t>
      </w:r>
      <w:r>
        <w:rPr>
          <w:rFonts w:ascii="Arial" w:hAnsi="Arial" w:cs="Arial"/>
          <w:color w:val="auto"/>
          <w:sz w:val="20"/>
          <w:szCs w:val="20"/>
        </w:rPr>
        <w:t>se rozumí příjmy z pracovní činnosti v pracovněprávním, služebním a členském poměru a příjmy z podnikání a jiné samostatně výdělečné činnosti.</w:t>
      </w:r>
    </w:p>
    <w:p w:rsidR="008E3424" w:rsidRDefault="008E3424">
      <w:pPr>
        <w:pStyle w:val="Text"/>
        <w:spacing w:before="120"/>
        <w:ind w:firstLine="709"/>
      </w:pPr>
      <w:r>
        <w:t xml:space="preserve">V šetření Životní podmínky představují </w:t>
      </w:r>
      <w:r>
        <w:rPr>
          <w:b/>
          <w:bCs/>
        </w:rPr>
        <w:t>příjmy z podnikání</w:t>
      </w:r>
      <w:r>
        <w:t xml:space="preserve"> hospodářský výsledek (hrubý zisk, ztráta) před zdaněním. V SRÚ jsou v příjmech ze soukromého podnikání zjišťovány pouze částky, které byly z výnosu podnikání převedeny pro potřebu domácnosti a jejích jednotlivých členů. Jedná se tedy o čistý příjem, daň z příjmů ani odvody na zdravotní a sociální pojištění se v těchto případech do výdajů neuvádí.</w:t>
      </w:r>
    </w:p>
    <w:p w:rsidR="008E3424" w:rsidRDefault="008E3424">
      <w:pPr>
        <w:pStyle w:val="Text"/>
        <w:spacing w:before="120"/>
        <w:ind w:firstLine="709"/>
      </w:pPr>
      <w:r>
        <w:rPr>
          <w:b/>
          <w:bCs/>
        </w:rPr>
        <w:t>Hrubá peněžní vydání</w:t>
      </w:r>
      <w:r>
        <w:t xml:space="preserve"> nezahrnují vklady, splacené úvěry a půjčky.</w:t>
      </w:r>
    </w:p>
    <w:p w:rsidR="008E3424" w:rsidRDefault="008E3424">
      <w:pPr>
        <w:pStyle w:val="Text"/>
        <w:spacing w:before="120"/>
        <w:ind w:firstLine="709"/>
      </w:pPr>
      <w:r>
        <w:rPr>
          <w:b/>
          <w:bCs/>
        </w:rPr>
        <w:t>Čistá peněžní vydání</w:t>
      </w:r>
      <w:r>
        <w:t xml:space="preserve"> se od hrubých liší o odvody na zdravotní a sociální pojištění a daň z příjmů. Člení se na tzv. spotřební vydání a vydání neklasifikovaná jako spotřební.</w:t>
      </w:r>
    </w:p>
    <w:p w:rsidR="008E3424" w:rsidRDefault="008E3424">
      <w:pPr>
        <w:pStyle w:val="Normlnweb"/>
        <w:spacing w:before="120" w:beforeAutospacing="0" w:after="0" w:afterAutospacing="0"/>
        <w:ind w:firstLine="709"/>
        <w:jc w:val="both"/>
        <w:rPr>
          <w:rFonts w:ascii="Arial" w:hAnsi="Arial" w:cs="Arial"/>
          <w:color w:val="auto"/>
          <w:sz w:val="20"/>
          <w:szCs w:val="20"/>
        </w:rPr>
      </w:pPr>
      <w:r>
        <w:rPr>
          <w:rFonts w:ascii="Arial" w:hAnsi="Arial" w:cs="Arial"/>
          <w:color w:val="auto"/>
          <w:sz w:val="20"/>
          <w:szCs w:val="20"/>
        </w:rPr>
        <w:t xml:space="preserve">Pro zajištění mezinárodní srovnatelnosti statistických ukazatelů jsou od roku 1999 položky peněžních výdajů uspořádány podle </w:t>
      </w:r>
      <w:r w:rsidR="001147D1" w:rsidRPr="0002713B">
        <w:rPr>
          <w:rFonts w:ascii="Arial" w:hAnsi="Arial" w:cs="Arial"/>
          <w:color w:val="auto"/>
          <w:sz w:val="20"/>
          <w:szCs w:val="20"/>
        </w:rPr>
        <w:t>Klasifikace individuální spotřeby podle účelu CZ-COICOP</w:t>
      </w:r>
      <w:r w:rsidR="00883068">
        <w:rPr>
          <w:rFonts w:ascii="Arial" w:hAnsi="Arial" w:cs="Arial"/>
          <w:color w:val="auto"/>
          <w:sz w:val="20"/>
          <w:szCs w:val="20"/>
        </w:rPr>
        <w:t xml:space="preserve"> </w:t>
      </w:r>
      <w:r w:rsidR="006032D3">
        <w:rPr>
          <w:rFonts w:ascii="Arial" w:hAnsi="Arial" w:cs="Arial"/>
          <w:color w:val="auto"/>
          <w:sz w:val="20"/>
          <w:szCs w:val="20"/>
        </w:rPr>
        <w:t>(viz přehled platných statistických klasifikací a číselníků v úvodu ročenky)</w:t>
      </w:r>
      <w:r>
        <w:rPr>
          <w:rFonts w:ascii="Arial" w:hAnsi="Arial" w:cs="Arial"/>
          <w:color w:val="auto"/>
          <w:sz w:val="20"/>
          <w:szCs w:val="20"/>
        </w:rPr>
        <w:t xml:space="preserve">, která je českou verzí mezinárodního standardu COICOP </w:t>
      </w:r>
      <w:r>
        <w:rPr>
          <w:rFonts w:ascii="Arial" w:hAnsi="Arial" w:cs="Arial"/>
          <w:i/>
          <w:iCs/>
          <w:color w:val="auto"/>
          <w:sz w:val="20"/>
          <w:szCs w:val="20"/>
        </w:rPr>
        <w:t>(Classification of Individual Consumption by Purpose)</w:t>
      </w:r>
      <w:r w:rsidR="00C3237B">
        <w:rPr>
          <w:rFonts w:ascii="Arial" w:hAnsi="Arial" w:cs="Arial"/>
          <w:color w:val="auto"/>
          <w:sz w:val="20"/>
          <w:szCs w:val="20"/>
        </w:rPr>
        <w:t>,</w:t>
      </w:r>
      <w:r>
        <w:rPr>
          <w:rFonts w:ascii="Arial" w:hAnsi="Arial" w:cs="Arial"/>
          <w:color w:val="auto"/>
          <w:sz w:val="20"/>
          <w:szCs w:val="20"/>
        </w:rPr>
        <w:t xml:space="preserve"> a je závazná pro všechna statistická zjišťování. </w:t>
      </w:r>
      <w:r w:rsidR="00883068">
        <w:rPr>
          <w:rFonts w:ascii="Arial" w:hAnsi="Arial" w:cs="Arial"/>
          <w:color w:val="auto"/>
          <w:sz w:val="20"/>
          <w:szCs w:val="20"/>
        </w:rPr>
        <w:t xml:space="preserve">Podrobná náplň </w:t>
      </w:r>
      <w:r w:rsidR="001147E4">
        <w:rPr>
          <w:rFonts w:ascii="Arial" w:hAnsi="Arial" w:cs="Arial"/>
          <w:color w:val="auto"/>
          <w:sz w:val="20"/>
          <w:szCs w:val="20"/>
        </w:rPr>
        <w:t>dvanácti základních oddílů</w:t>
      </w:r>
      <w:r w:rsidR="00883068">
        <w:rPr>
          <w:rFonts w:ascii="Arial" w:hAnsi="Arial" w:cs="Arial"/>
          <w:color w:val="auto"/>
          <w:sz w:val="20"/>
          <w:szCs w:val="20"/>
        </w:rPr>
        <w:t xml:space="preserve"> je dostupná v uvedené klasifikaci. </w:t>
      </w:r>
      <w:r>
        <w:rPr>
          <w:rFonts w:ascii="Arial" w:hAnsi="Arial" w:cs="Arial"/>
          <w:color w:val="auto"/>
          <w:sz w:val="20"/>
          <w:szCs w:val="20"/>
        </w:rPr>
        <w:t>Výdaje, které nejsou v CZ-COICOP zařazeny (investiční výdaje na výstavbu, či rekonstrukci domu nebo bytu, výdaje spojené s péčí o užitkovou zahradu a užitková zvířata apod.) byly vyčleněny do zvláštního oddílu „Vydání neklasifikovaná jako spotřební“.</w:t>
      </w:r>
    </w:p>
    <w:p w:rsidR="008E3424" w:rsidRDefault="008E3424">
      <w:pPr>
        <w:pStyle w:val="Normlnweb"/>
        <w:spacing w:before="0" w:beforeAutospacing="0" w:after="0" w:afterAutospacing="0"/>
        <w:jc w:val="both"/>
        <w:rPr>
          <w:rFonts w:ascii="Arial" w:hAnsi="Arial" w:cs="Arial"/>
          <w:color w:val="auto"/>
          <w:sz w:val="20"/>
          <w:szCs w:val="20"/>
        </w:rPr>
      </w:pPr>
    </w:p>
    <w:p w:rsidR="008E3424" w:rsidRDefault="008E3424">
      <w:pPr>
        <w:pStyle w:val="Normlnweb"/>
        <w:spacing w:before="0" w:beforeAutospacing="0" w:after="0" w:afterAutospacing="0"/>
        <w:jc w:val="both"/>
        <w:rPr>
          <w:rFonts w:ascii="Arial" w:hAnsi="Arial" w:cs="Arial"/>
          <w:color w:val="auto"/>
          <w:sz w:val="20"/>
          <w:szCs w:val="20"/>
        </w:rPr>
      </w:pPr>
    </w:p>
    <w:p w:rsidR="008E3424" w:rsidRDefault="008E3424">
      <w:pPr>
        <w:pStyle w:val="Normlnweb"/>
        <w:spacing w:before="0" w:beforeAutospacing="0" w:after="0" w:afterAutospacing="0"/>
        <w:jc w:val="both"/>
        <w:rPr>
          <w:rFonts w:ascii="Arial" w:hAnsi="Arial" w:cs="Arial"/>
          <w:color w:val="auto"/>
          <w:sz w:val="20"/>
          <w:szCs w:val="20"/>
        </w:rPr>
      </w:pPr>
    </w:p>
    <w:p w:rsidR="008E3424" w:rsidRDefault="008E3424">
      <w:pPr>
        <w:pStyle w:val="Normlnweb"/>
        <w:spacing w:before="0" w:beforeAutospacing="0" w:after="0" w:afterAutospacing="0"/>
        <w:jc w:val="both"/>
        <w:rPr>
          <w:rFonts w:ascii="Arial" w:hAnsi="Arial" w:cs="Arial"/>
          <w:color w:val="auto"/>
          <w:sz w:val="20"/>
          <w:szCs w:val="20"/>
        </w:rPr>
      </w:pPr>
      <w:r>
        <w:rPr>
          <w:rFonts w:ascii="Arial" w:hAnsi="Arial" w:cs="Arial"/>
          <w:b/>
          <w:bCs/>
          <w:color w:val="auto"/>
          <w:sz w:val="20"/>
          <w:szCs w:val="20"/>
        </w:rPr>
        <w:t>Poznámky k tabulkám</w:t>
      </w:r>
      <w:r>
        <w:rPr>
          <w:rFonts w:ascii="Arial" w:hAnsi="Arial" w:cs="Arial"/>
          <w:color w:val="auto"/>
          <w:sz w:val="20"/>
          <w:szCs w:val="20"/>
        </w:rPr>
        <w:t xml:space="preserve"> </w:t>
      </w:r>
    </w:p>
    <w:p w:rsidR="008E3424" w:rsidRDefault="008E3424">
      <w:pPr>
        <w:pStyle w:val="Normlnweb"/>
        <w:spacing w:before="0" w:beforeAutospacing="0" w:after="0" w:afterAutospacing="0"/>
        <w:jc w:val="both"/>
        <w:rPr>
          <w:rFonts w:ascii="Arial" w:hAnsi="Arial" w:cs="Arial"/>
          <w:color w:val="auto"/>
          <w:sz w:val="20"/>
          <w:szCs w:val="20"/>
        </w:rPr>
      </w:pPr>
    </w:p>
    <w:p w:rsidR="008E3424" w:rsidRDefault="008E3424">
      <w:pPr>
        <w:pStyle w:val="Normlnweb"/>
        <w:spacing w:before="0" w:beforeAutospacing="0" w:after="0" w:afterAutospacing="0"/>
        <w:jc w:val="both"/>
        <w:rPr>
          <w:rFonts w:ascii="Arial" w:hAnsi="Arial" w:cs="Arial"/>
          <w:color w:val="auto"/>
          <w:sz w:val="20"/>
          <w:szCs w:val="20"/>
        </w:rPr>
      </w:pPr>
    </w:p>
    <w:p w:rsidR="008E3424" w:rsidRDefault="008E3424">
      <w:pPr>
        <w:pStyle w:val="Normlnweb"/>
        <w:spacing w:before="0" w:beforeAutospacing="0" w:after="0" w:afterAutospacing="0"/>
        <w:jc w:val="both"/>
        <w:rPr>
          <w:rFonts w:ascii="Arial" w:hAnsi="Arial" w:cs="Arial"/>
          <w:b/>
          <w:bCs/>
          <w:color w:val="auto"/>
          <w:sz w:val="20"/>
          <w:szCs w:val="20"/>
          <w:u w:val="single"/>
        </w:rPr>
      </w:pPr>
      <w:r>
        <w:rPr>
          <w:rFonts w:ascii="Arial" w:hAnsi="Arial" w:cs="Arial"/>
          <w:color w:val="auto"/>
          <w:sz w:val="20"/>
          <w:szCs w:val="20"/>
        </w:rPr>
        <w:t xml:space="preserve">Tab. </w:t>
      </w:r>
      <w:r>
        <w:rPr>
          <w:rFonts w:ascii="Arial" w:hAnsi="Arial" w:cs="Arial"/>
          <w:b/>
          <w:bCs/>
          <w:color w:val="auto"/>
          <w:sz w:val="20"/>
          <w:szCs w:val="20"/>
        </w:rPr>
        <w:t>9</w:t>
      </w:r>
      <w:r>
        <w:rPr>
          <w:rFonts w:ascii="Arial" w:hAnsi="Arial" w:cs="Arial"/>
          <w:color w:val="auto"/>
          <w:sz w:val="20"/>
          <w:szCs w:val="20"/>
        </w:rPr>
        <w:t xml:space="preserve">-1. </w:t>
      </w:r>
      <w:r>
        <w:rPr>
          <w:rFonts w:ascii="Arial" w:hAnsi="Arial" w:cs="Arial"/>
          <w:b/>
          <w:bCs/>
          <w:color w:val="auto"/>
          <w:sz w:val="20"/>
          <w:szCs w:val="20"/>
        </w:rPr>
        <w:t>Příjmy hospodařících domácností, míra ohrožení chudobou a náklady na bydlení</w:t>
      </w:r>
    </w:p>
    <w:p w:rsidR="008E3424" w:rsidRDefault="008E3424">
      <w:pPr>
        <w:pStyle w:val="Normlnweb"/>
        <w:spacing w:before="120" w:beforeAutospacing="0" w:after="0" w:afterAutospacing="0"/>
        <w:ind w:firstLine="709"/>
        <w:jc w:val="both"/>
        <w:rPr>
          <w:rFonts w:ascii="Arial" w:hAnsi="Arial" w:cs="Arial"/>
          <w:color w:val="auto"/>
          <w:sz w:val="20"/>
          <w:szCs w:val="20"/>
        </w:rPr>
      </w:pPr>
      <w:r>
        <w:rPr>
          <w:rFonts w:ascii="Arial" w:hAnsi="Arial" w:cs="Arial"/>
          <w:color w:val="auto"/>
          <w:sz w:val="20"/>
          <w:szCs w:val="20"/>
        </w:rPr>
        <w:t>Časová řada údajů ze šetření Životní podmínky uvádí zejména vývoj příjmů a jeho vybraných charakteristik, vývoj příjmové chudoby podle evropské metodiky a vývoj nákladů na bydlení. Hranice příjmové chudoby je stanovena na 60 % mediánu ekvivalizovaného disponibilního příjmu. Z důvodu metodické změny u disponibilního příjmu byla časová řada příjmové chudoby změněna.</w:t>
      </w:r>
    </w:p>
    <w:p w:rsidR="008E3424" w:rsidRDefault="008E3424">
      <w:pPr>
        <w:pStyle w:val="Normlnweb"/>
        <w:spacing w:before="0" w:beforeAutospacing="0" w:after="0" w:afterAutospacing="0"/>
        <w:jc w:val="both"/>
        <w:rPr>
          <w:rFonts w:ascii="Arial" w:hAnsi="Arial" w:cs="Arial"/>
          <w:color w:val="auto"/>
          <w:sz w:val="20"/>
          <w:szCs w:val="20"/>
        </w:rPr>
      </w:pPr>
    </w:p>
    <w:p w:rsidR="008E3424" w:rsidRDefault="008E3424">
      <w:pPr>
        <w:pStyle w:val="Normlnweb"/>
        <w:spacing w:before="0" w:beforeAutospacing="0" w:after="0" w:afterAutospacing="0"/>
        <w:jc w:val="both"/>
        <w:rPr>
          <w:rFonts w:ascii="Arial" w:hAnsi="Arial" w:cs="Arial"/>
          <w:color w:val="auto"/>
          <w:sz w:val="20"/>
          <w:szCs w:val="20"/>
        </w:rPr>
      </w:pPr>
    </w:p>
    <w:p w:rsidR="008E3424" w:rsidRDefault="008E3424">
      <w:pPr>
        <w:jc w:val="both"/>
        <w:rPr>
          <w:rFonts w:ascii="Arial" w:hAnsi="Arial" w:cs="Arial"/>
          <w:b/>
          <w:bCs/>
          <w:sz w:val="20"/>
          <w:szCs w:val="20"/>
        </w:rPr>
      </w:pPr>
      <w:r>
        <w:rPr>
          <w:rFonts w:ascii="Arial" w:hAnsi="Arial" w:cs="Arial"/>
          <w:sz w:val="20"/>
          <w:szCs w:val="20"/>
        </w:rPr>
        <w:t xml:space="preserve">Tab. </w:t>
      </w:r>
      <w:r>
        <w:rPr>
          <w:rFonts w:ascii="Arial" w:hAnsi="Arial" w:cs="Arial"/>
          <w:b/>
          <w:bCs/>
          <w:sz w:val="20"/>
          <w:szCs w:val="20"/>
        </w:rPr>
        <w:t>9</w:t>
      </w:r>
      <w:r>
        <w:rPr>
          <w:rFonts w:ascii="Arial" w:hAnsi="Arial" w:cs="Arial"/>
          <w:sz w:val="20"/>
          <w:szCs w:val="20"/>
        </w:rPr>
        <w:t xml:space="preserve">-2. </w:t>
      </w:r>
      <w:r>
        <w:rPr>
          <w:rFonts w:ascii="Arial" w:hAnsi="Arial" w:cs="Arial"/>
          <w:b/>
          <w:bCs/>
          <w:sz w:val="20"/>
          <w:szCs w:val="20"/>
        </w:rPr>
        <w:t xml:space="preserve">Hospodařící domácnosti podle postavení osoby v čele v roce </w:t>
      </w:r>
      <w:r w:rsidR="00F96A49">
        <w:rPr>
          <w:rFonts w:ascii="Arial" w:hAnsi="Arial" w:cs="Arial"/>
          <w:b/>
          <w:bCs/>
          <w:sz w:val="20"/>
          <w:szCs w:val="20"/>
        </w:rPr>
        <w:t>2014</w:t>
      </w:r>
    </w:p>
    <w:p w:rsidR="008E3424" w:rsidRDefault="008E3424">
      <w:pPr>
        <w:spacing w:before="120"/>
        <w:ind w:firstLine="709"/>
        <w:jc w:val="both"/>
        <w:rPr>
          <w:rFonts w:ascii="Arial" w:hAnsi="Arial" w:cs="Arial"/>
          <w:sz w:val="20"/>
          <w:szCs w:val="20"/>
        </w:rPr>
      </w:pPr>
      <w:r>
        <w:rPr>
          <w:rFonts w:ascii="Arial" w:hAnsi="Arial" w:cs="Arial"/>
          <w:sz w:val="20"/>
          <w:szCs w:val="20"/>
        </w:rPr>
        <w:t>Údaje ze šetření Životní podmínky o</w:t>
      </w:r>
      <w:r>
        <w:rPr>
          <w:rFonts w:ascii="Arial" w:hAnsi="Arial" w:cs="Arial"/>
          <w:b/>
          <w:bCs/>
          <w:sz w:val="20"/>
          <w:szCs w:val="20"/>
        </w:rPr>
        <w:t> </w:t>
      </w:r>
      <w:r>
        <w:rPr>
          <w:rFonts w:ascii="Arial" w:hAnsi="Arial" w:cs="Arial"/>
          <w:sz w:val="20"/>
          <w:szCs w:val="20"/>
        </w:rPr>
        <w:t>složení domácností, struktuře jejich příjmů podle zdrojů a jejich příjmovém rozdělení podle decilů.</w:t>
      </w:r>
    </w:p>
    <w:p w:rsidR="008E3424" w:rsidRDefault="008E3424">
      <w:pPr>
        <w:jc w:val="both"/>
        <w:rPr>
          <w:rFonts w:ascii="Arial" w:hAnsi="Arial" w:cs="Arial"/>
          <w:sz w:val="20"/>
          <w:szCs w:val="20"/>
        </w:rPr>
      </w:pPr>
    </w:p>
    <w:p w:rsidR="008E3424" w:rsidRDefault="008E3424">
      <w:pPr>
        <w:jc w:val="both"/>
        <w:rPr>
          <w:rFonts w:ascii="Arial" w:hAnsi="Arial" w:cs="Arial"/>
          <w:sz w:val="20"/>
          <w:szCs w:val="20"/>
        </w:rPr>
      </w:pPr>
    </w:p>
    <w:p w:rsidR="008E3424" w:rsidRDefault="008E3424">
      <w:pPr>
        <w:ind w:left="709" w:hanging="709"/>
        <w:jc w:val="both"/>
        <w:rPr>
          <w:rFonts w:ascii="Arial" w:hAnsi="Arial" w:cs="Arial"/>
          <w:sz w:val="20"/>
          <w:szCs w:val="20"/>
        </w:rPr>
      </w:pPr>
      <w:r>
        <w:rPr>
          <w:rFonts w:ascii="Arial" w:hAnsi="Arial" w:cs="Arial"/>
          <w:sz w:val="20"/>
          <w:szCs w:val="20"/>
        </w:rPr>
        <w:t xml:space="preserve">Tab. </w:t>
      </w:r>
      <w:r>
        <w:rPr>
          <w:rFonts w:ascii="Arial" w:hAnsi="Arial" w:cs="Arial"/>
          <w:b/>
          <w:bCs/>
          <w:sz w:val="20"/>
          <w:szCs w:val="20"/>
        </w:rPr>
        <w:t>9</w:t>
      </w:r>
      <w:r>
        <w:rPr>
          <w:rFonts w:ascii="Arial" w:hAnsi="Arial" w:cs="Arial"/>
          <w:sz w:val="20"/>
          <w:szCs w:val="20"/>
        </w:rPr>
        <w:t xml:space="preserve">-3. </w:t>
      </w:r>
      <w:r>
        <w:rPr>
          <w:rFonts w:ascii="Arial" w:hAnsi="Arial" w:cs="Arial"/>
          <w:b/>
          <w:bCs/>
          <w:sz w:val="20"/>
          <w:szCs w:val="20"/>
        </w:rPr>
        <w:t xml:space="preserve">Hospodařící domácnosti podle vztahu čistého příjmu k životnímu minimu v roce </w:t>
      </w:r>
      <w:r w:rsidR="00F96A49">
        <w:rPr>
          <w:rFonts w:ascii="Arial" w:hAnsi="Arial" w:cs="Arial"/>
          <w:b/>
          <w:bCs/>
          <w:sz w:val="20"/>
          <w:szCs w:val="20"/>
        </w:rPr>
        <w:t>2014</w:t>
      </w:r>
    </w:p>
    <w:p w:rsidR="008E3424" w:rsidRDefault="008E3424">
      <w:pPr>
        <w:pStyle w:val="Zkladntext3"/>
        <w:spacing w:before="120"/>
        <w:ind w:firstLine="709"/>
      </w:pPr>
      <w:r>
        <w:t xml:space="preserve">Třídění domácností ze šetření Životní podmínky podle vztahu jejich příjmů a příslušného ŽM; násobky navazují na hranice ŽM pro stanovení nároku na dávky státní sociální podpory. Z důvodu </w:t>
      </w:r>
      <w:r>
        <w:lastRenderedPageBreak/>
        <w:t xml:space="preserve">změny koncepce ŽM od roku 2007 jsou údaje v tabulce </w:t>
      </w:r>
      <w:r>
        <w:rPr>
          <w:b/>
          <w:bCs/>
        </w:rPr>
        <w:t>9</w:t>
      </w:r>
      <w:r>
        <w:t>-3. srovnatelné pouze s údaji z ročenek od roku 2009 včetně.</w:t>
      </w:r>
    </w:p>
    <w:p w:rsidR="008E3424" w:rsidRDefault="008E3424">
      <w:pPr>
        <w:tabs>
          <w:tab w:val="left" w:pos="540"/>
        </w:tabs>
        <w:jc w:val="both"/>
        <w:rPr>
          <w:rFonts w:ascii="Arial" w:hAnsi="Arial" w:cs="Arial"/>
          <w:sz w:val="20"/>
          <w:szCs w:val="20"/>
        </w:rPr>
      </w:pPr>
    </w:p>
    <w:p w:rsidR="008E3424" w:rsidRDefault="008E3424">
      <w:pPr>
        <w:tabs>
          <w:tab w:val="left" w:pos="540"/>
        </w:tabs>
        <w:jc w:val="both"/>
        <w:rPr>
          <w:rFonts w:ascii="Arial" w:hAnsi="Arial" w:cs="Arial"/>
          <w:sz w:val="20"/>
          <w:szCs w:val="20"/>
        </w:rPr>
      </w:pPr>
    </w:p>
    <w:p w:rsidR="008E3424" w:rsidRDefault="008E3424">
      <w:pPr>
        <w:tabs>
          <w:tab w:val="left" w:pos="540"/>
        </w:tabs>
        <w:jc w:val="both"/>
        <w:rPr>
          <w:rFonts w:ascii="Arial" w:hAnsi="Arial" w:cs="Arial"/>
          <w:b/>
          <w:bCs/>
          <w:sz w:val="20"/>
          <w:szCs w:val="20"/>
        </w:rPr>
      </w:pPr>
      <w:r>
        <w:rPr>
          <w:rFonts w:ascii="Arial" w:hAnsi="Arial" w:cs="Arial"/>
          <w:sz w:val="20"/>
          <w:szCs w:val="20"/>
        </w:rPr>
        <w:t xml:space="preserve">Tab. </w:t>
      </w:r>
      <w:r>
        <w:rPr>
          <w:rFonts w:ascii="Arial" w:hAnsi="Arial" w:cs="Arial"/>
          <w:b/>
          <w:bCs/>
          <w:sz w:val="20"/>
          <w:szCs w:val="20"/>
        </w:rPr>
        <w:t>9</w:t>
      </w:r>
      <w:r>
        <w:rPr>
          <w:rFonts w:ascii="Arial" w:hAnsi="Arial" w:cs="Arial"/>
          <w:sz w:val="20"/>
          <w:szCs w:val="20"/>
        </w:rPr>
        <w:t xml:space="preserve">-4. </w:t>
      </w:r>
      <w:r>
        <w:rPr>
          <w:rFonts w:ascii="Arial" w:hAnsi="Arial" w:cs="Arial"/>
          <w:b/>
          <w:bCs/>
          <w:sz w:val="20"/>
          <w:szCs w:val="20"/>
        </w:rPr>
        <w:t>Osoby v</w:t>
      </w:r>
      <w:r>
        <w:rPr>
          <w:rFonts w:ascii="Arial" w:hAnsi="Arial" w:cs="Arial"/>
          <w:sz w:val="20"/>
          <w:szCs w:val="20"/>
        </w:rPr>
        <w:t> </w:t>
      </w:r>
      <w:r>
        <w:rPr>
          <w:rFonts w:ascii="Arial" w:hAnsi="Arial" w:cs="Arial"/>
          <w:b/>
          <w:bCs/>
          <w:sz w:val="20"/>
          <w:szCs w:val="20"/>
        </w:rPr>
        <w:t xml:space="preserve">domácnostech s příjmy pod hranicí chudoby </w:t>
      </w:r>
    </w:p>
    <w:p w:rsidR="008E3424" w:rsidRDefault="008E3424">
      <w:pPr>
        <w:pStyle w:val="Zkladntext2"/>
        <w:spacing w:before="120"/>
        <w:ind w:firstLine="709"/>
        <w:jc w:val="both"/>
      </w:pPr>
      <w:r>
        <w:t xml:space="preserve">Údaje ze šetření Životní podmínky </w:t>
      </w:r>
      <w:r w:rsidR="00E01F4D">
        <w:t xml:space="preserve">jsou </w:t>
      </w:r>
      <w:r>
        <w:t>zpracované podle metodiky Eurostatu. Tabulka uvádí podíl osob ohrožených chudobou, přičemž hranice chudoby byla stanovena jako 60 % mediánu ekvivalizovaných disponibilních příjmů za osoby.</w:t>
      </w:r>
    </w:p>
    <w:p w:rsidR="008E3424" w:rsidRDefault="008E3424">
      <w:pPr>
        <w:pStyle w:val="Zkladntext2"/>
        <w:spacing w:before="120"/>
        <w:ind w:firstLine="709"/>
        <w:jc w:val="both"/>
      </w:pPr>
      <w:r>
        <w:t>Tabulka byla pro lepší využitelnost dat v roce 2012 změněna, nenavazuje tedy přímo na tabulky uveřejněné v předcházejících letech. Data jsou uvedena v časové řadě za jednotlivé roky. V prvním řádku jsou celkové počty osob žijících pod hranicí chudoby, v ostatních řádcích jejich procentuální podíl v příslušné podskupině osob.</w:t>
      </w:r>
    </w:p>
    <w:p w:rsidR="008E3424" w:rsidRDefault="008E3424">
      <w:pPr>
        <w:tabs>
          <w:tab w:val="left" w:pos="540"/>
        </w:tabs>
        <w:spacing w:before="120"/>
        <w:ind w:firstLine="709"/>
        <w:jc w:val="both"/>
        <w:rPr>
          <w:rFonts w:ascii="Arial" w:hAnsi="Arial" w:cs="Arial"/>
          <w:sz w:val="20"/>
          <w:szCs w:val="20"/>
        </w:rPr>
      </w:pPr>
      <w:r>
        <w:rPr>
          <w:rFonts w:ascii="Arial" w:hAnsi="Arial" w:cs="Arial"/>
          <w:b/>
          <w:bCs/>
          <w:sz w:val="20"/>
          <w:szCs w:val="20"/>
        </w:rPr>
        <w:t xml:space="preserve">Ekvivalizovaný disponibilní příjem </w:t>
      </w:r>
      <w:r>
        <w:rPr>
          <w:rFonts w:ascii="Arial" w:hAnsi="Arial" w:cs="Arial"/>
          <w:sz w:val="20"/>
          <w:szCs w:val="20"/>
        </w:rPr>
        <w:t>je konstruován jako podíl čistého disponibilního příjmu domácnosti a počtu jejích spotřebních jednotek (vypočteného podle metodiky Eurostatu). Tento příjem je přiřazen všem osobám příslušné domácnosti.</w:t>
      </w:r>
    </w:p>
    <w:p w:rsidR="008E3424" w:rsidRDefault="008E3424">
      <w:pPr>
        <w:tabs>
          <w:tab w:val="left" w:pos="540"/>
        </w:tabs>
        <w:spacing w:before="120"/>
        <w:ind w:firstLine="709"/>
        <w:jc w:val="both"/>
        <w:rPr>
          <w:rFonts w:ascii="Arial" w:hAnsi="Arial" w:cs="Arial"/>
          <w:sz w:val="20"/>
          <w:szCs w:val="20"/>
        </w:rPr>
      </w:pPr>
      <w:r>
        <w:rPr>
          <w:rFonts w:ascii="Arial" w:hAnsi="Arial" w:cs="Arial"/>
          <w:b/>
          <w:bCs/>
          <w:sz w:val="20"/>
          <w:szCs w:val="20"/>
        </w:rPr>
        <w:t xml:space="preserve">Vzdělanostní úroveň domácnosti </w:t>
      </w:r>
      <w:r>
        <w:rPr>
          <w:rFonts w:ascii="Arial" w:hAnsi="Arial" w:cs="Arial"/>
          <w:sz w:val="20"/>
          <w:szCs w:val="20"/>
        </w:rPr>
        <w:t>se určuje podle nejvyšší dosažené úrovně vzdělání osoby v čele domácnosti a jejího partnera. Domácnosti jsou do jednotlivých skupin vzdělání zařazovány následovně:</w:t>
      </w:r>
    </w:p>
    <w:p w:rsidR="008E3424" w:rsidRDefault="008E3424">
      <w:pPr>
        <w:pStyle w:val="Zkladntextodsazen"/>
        <w:spacing w:before="120"/>
        <w:ind w:left="170" w:hanging="170"/>
        <w:jc w:val="both"/>
      </w:pPr>
      <w:r>
        <w:t>– nízká – oba partneři mají nejvýše základní vzdělání, resp. jsou bez ukončeného základního vzdělání;</w:t>
      </w:r>
    </w:p>
    <w:p w:rsidR="008E3424" w:rsidRDefault="008E3424">
      <w:pPr>
        <w:pStyle w:val="Zkladntextodsazen"/>
        <w:spacing w:before="120"/>
        <w:ind w:left="170" w:hanging="170"/>
        <w:jc w:val="both"/>
      </w:pPr>
      <w:r>
        <w:t>– střední – alespoň jeden z partnerů má vyšší vzdělání než základní a zároveň ani jeden z partnerů nemá vzdělání vysokoškolské;</w:t>
      </w:r>
    </w:p>
    <w:p w:rsidR="008E3424" w:rsidRDefault="008E3424">
      <w:pPr>
        <w:pStyle w:val="Zkladntextodsazen"/>
        <w:spacing w:before="120"/>
        <w:ind w:left="170" w:hanging="170"/>
        <w:jc w:val="both"/>
      </w:pPr>
      <w:r>
        <w:t>– vysoká – alespoň jeden z partnerů má vysokoškolské vzdělání (vč</w:t>
      </w:r>
      <w:r w:rsidR="00BC1DDC">
        <w:t>etně</w:t>
      </w:r>
      <w:r>
        <w:t xml:space="preserve"> bakalářského).</w:t>
      </w:r>
    </w:p>
    <w:p w:rsidR="008E3424" w:rsidRDefault="008E3424">
      <w:pPr>
        <w:pStyle w:val="Normlnweb"/>
        <w:spacing w:before="120" w:beforeAutospacing="0" w:after="0" w:afterAutospacing="0"/>
        <w:ind w:firstLine="709"/>
        <w:jc w:val="both"/>
        <w:rPr>
          <w:rFonts w:ascii="Arial" w:hAnsi="Arial" w:cs="Arial"/>
          <w:color w:val="auto"/>
          <w:sz w:val="20"/>
          <w:szCs w:val="20"/>
        </w:rPr>
      </w:pPr>
      <w:r>
        <w:rPr>
          <w:rFonts w:ascii="Arial" w:hAnsi="Arial" w:cs="Arial"/>
          <w:b/>
          <w:bCs/>
          <w:color w:val="auto"/>
          <w:sz w:val="20"/>
          <w:szCs w:val="20"/>
        </w:rPr>
        <w:t xml:space="preserve">Závislé dítě </w:t>
      </w:r>
      <w:r>
        <w:rPr>
          <w:rFonts w:ascii="Arial" w:hAnsi="Arial" w:cs="Arial"/>
          <w:color w:val="auto"/>
          <w:sz w:val="20"/>
          <w:szCs w:val="20"/>
        </w:rPr>
        <w:t>– definice se liší od definice vyživovaného dítěte; zahrnují se všechny děti mladší 18</w:t>
      </w:r>
      <w:r>
        <w:rPr>
          <w:rFonts w:ascii="Arial" w:hAnsi="Arial" w:cs="Arial"/>
          <w:b/>
          <w:bCs/>
          <w:color w:val="auto"/>
          <w:sz w:val="20"/>
          <w:szCs w:val="20"/>
        </w:rPr>
        <w:t> </w:t>
      </w:r>
      <w:r>
        <w:rPr>
          <w:rFonts w:ascii="Arial" w:hAnsi="Arial" w:cs="Arial"/>
          <w:color w:val="auto"/>
          <w:sz w:val="20"/>
          <w:szCs w:val="20"/>
        </w:rPr>
        <w:t>let a dále děti ve věku 18 až 24</w:t>
      </w:r>
      <w:r>
        <w:rPr>
          <w:rFonts w:ascii="Arial" w:hAnsi="Arial" w:cs="Arial"/>
          <w:b/>
          <w:bCs/>
          <w:color w:val="auto"/>
          <w:sz w:val="20"/>
          <w:szCs w:val="20"/>
        </w:rPr>
        <w:t> </w:t>
      </w:r>
      <w:r>
        <w:rPr>
          <w:rFonts w:ascii="Arial" w:hAnsi="Arial" w:cs="Arial"/>
          <w:color w:val="auto"/>
          <w:sz w:val="20"/>
          <w:szCs w:val="20"/>
        </w:rPr>
        <w:t>let, jestliže nejsou ekonomicky aktivní a žijí alespoň s jedním z rodičů.</w:t>
      </w:r>
    </w:p>
    <w:p w:rsidR="008E3424" w:rsidRDefault="008E3424">
      <w:pPr>
        <w:pStyle w:val="Normlnweb"/>
        <w:spacing w:before="0" w:beforeAutospacing="0" w:after="0" w:afterAutospacing="0"/>
        <w:jc w:val="both"/>
        <w:rPr>
          <w:rFonts w:ascii="Arial" w:hAnsi="Arial" w:cs="Arial"/>
          <w:color w:val="auto"/>
          <w:sz w:val="20"/>
          <w:szCs w:val="20"/>
        </w:rPr>
      </w:pPr>
    </w:p>
    <w:p w:rsidR="008E3424" w:rsidRDefault="008E3424">
      <w:pPr>
        <w:pStyle w:val="Normlnweb"/>
        <w:spacing w:before="0" w:beforeAutospacing="0" w:after="0" w:afterAutospacing="0"/>
        <w:jc w:val="both"/>
        <w:rPr>
          <w:rFonts w:ascii="Arial" w:hAnsi="Arial" w:cs="Arial"/>
          <w:color w:val="auto"/>
          <w:sz w:val="20"/>
          <w:szCs w:val="20"/>
        </w:rPr>
      </w:pPr>
    </w:p>
    <w:p w:rsidR="008E3424" w:rsidRDefault="008E3424">
      <w:pPr>
        <w:pStyle w:val="Normlnweb"/>
        <w:spacing w:before="0" w:beforeAutospacing="0" w:after="0" w:afterAutospacing="0"/>
        <w:jc w:val="both"/>
        <w:rPr>
          <w:rFonts w:ascii="Arial" w:hAnsi="Arial" w:cs="Arial"/>
          <w:color w:val="auto"/>
          <w:sz w:val="20"/>
          <w:szCs w:val="20"/>
        </w:rPr>
      </w:pPr>
      <w:r>
        <w:rPr>
          <w:rFonts w:ascii="Arial" w:hAnsi="Arial" w:cs="Arial"/>
          <w:color w:val="auto"/>
          <w:sz w:val="20"/>
          <w:szCs w:val="20"/>
        </w:rPr>
        <w:t xml:space="preserve">Tab. </w:t>
      </w:r>
      <w:r>
        <w:rPr>
          <w:rFonts w:ascii="Arial" w:hAnsi="Arial" w:cs="Arial"/>
          <w:b/>
          <w:bCs/>
          <w:color w:val="auto"/>
          <w:sz w:val="20"/>
          <w:szCs w:val="20"/>
        </w:rPr>
        <w:t>9</w:t>
      </w:r>
      <w:r>
        <w:rPr>
          <w:rFonts w:ascii="Arial" w:hAnsi="Arial" w:cs="Arial"/>
          <w:color w:val="auto"/>
          <w:sz w:val="20"/>
          <w:szCs w:val="20"/>
        </w:rPr>
        <w:t xml:space="preserve">-5. </w:t>
      </w:r>
      <w:r>
        <w:rPr>
          <w:rFonts w:ascii="Arial" w:hAnsi="Arial" w:cs="Arial"/>
          <w:b/>
          <w:bCs/>
          <w:color w:val="auto"/>
          <w:sz w:val="20"/>
          <w:szCs w:val="20"/>
        </w:rPr>
        <w:t xml:space="preserve">Vydání a spotřeba domácností SRÚ </w:t>
      </w:r>
    </w:p>
    <w:p w:rsidR="008E3424" w:rsidRDefault="008E3424">
      <w:pPr>
        <w:pStyle w:val="Normlnweb"/>
        <w:spacing w:before="120" w:beforeAutospacing="0" w:after="0" w:afterAutospacing="0"/>
        <w:ind w:firstLine="709"/>
        <w:jc w:val="both"/>
        <w:rPr>
          <w:rFonts w:ascii="Arial" w:hAnsi="Arial" w:cs="Arial"/>
          <w:color w:val="auto"/>
          <w:sz w:val="20"/>
          <w:szCs w:val="20"/>
        </w:rPr>
      </w:pPr>
      <w:r>
        <w:rPr>
          <w:rFonts w:ascii="Arial" w:hAnsi="Arial" w:cs="Arial"/>
          <w:color w:val="auto"/>
          <w:sz w:val="20"/>
          <w:szCs w:val="20"/>
        </w:rPr>
        <w:t>Obsahuje údaje za domácnosti zpravodajského souboru SRÚ v časové řadě.</w:t>
      </w:r>
    </w:p>
    <w:p w:rsidR="008E3424" w:rsidRDefault="008E3424">
      <w:pPr>
        <w:pStyle w:val="Normlnweb"/>
        <w:spacing w:before="0" w:beforeAutospacing="0" w:after="0" w:afterAutospacing="0"/>
        <w:jc w:val="both"/>
        <w:rPr>
          <w:rFonts w:ascii="Arial" w:hAnsi="Arial" w:cs="Arial"/>
          <w:color w:val="auto"/>
          <w:sz w:val="20"/>
          <w:szCs w:val="20"/>
        </w:rPr>
      </w:pPr>
    </w:p>
    <w:p w:rsidR="008E3424" w:rsidRDefault="008E3424">
      <w:pPr>
        <w:pStyle w:val="Normlnweb"/>
        <w:spacing w:before="0" w:beforeAutospacing="0" w:after="0" w:afterAutospacing="0"/>
        <w:jc w:val="both"/>
        <w:rPr>
          <w:rFonts w:ascii="Arial" w:hAnsi="Arial" w:cs="Arial"/>
          <w:color w:val="auto"/>
          <w:sz w:val="20"/>
          <w:szCs w:val="20"/>
        </w:rPr>
      </w:pPr>
    </w:p>
    <w:p w:rsidR="008E3424" w:rsidRDefault="008E3424">
      <w:pPr>
        <w:pStyle w:val="Normlnweb"/>
        <w:spacing w:before="0" w:beforeAutospacing="0" w:after="0" w:afterAutospacing="0"/>
        <w:ind w:left="709" w:hanging="709"/>
        <w:jc w:val="both"/>
        <w:rPr>
          <w:rFonts w:ascii="Arial" w:hAnsi="Arial" w:cs="Arial"/>
          <w:b/>
          <w:bCs/>
          <w:color w:val="auto"/>
          <w:sz w:val="20"/>
          <w:szCs w:val="20"/>
        </w:rPr>
      </w:pPr>
      <w:r>
        <w:rPr>
          <w:rFonts w:ascii="Arial" w:hAnsi="Arial" w:cs="Arial"/>
          <w:color w:val="auto"/>
          <w:sz w:val="20"/>
          <w:szCs w:val="20"/>
        </w:rPr>
        <w:t xml:space="preserve">Tab. </w:t>
      </w:r>
      <w:r>
        <w:rPr>
          <w:rFonts w:ascii="Arial" w:hAnsi="Arial" w:cs="Arial"/>
          <w:b/>
          <w:bCs/>
          <w:color w:val="auto"/>
          <w:sz w:val="20"/>
          <w:szCs w:val="20"/>
        </w:rPr>
        <w:t>9</w:t>
      </w:r>
      <w:r>
        <w:rPr>
          <w:rFonts w:ascii="Arial" w:hAnsi="Arial" w:cs="Arial"/>
          <w:color w:val="auto"/>
          <w:sz w:val="20"/>
          <w:szCs w:val="20"/>
        </w:rPr>
        <w:t>-6. a </w:t>
      </w:r>
      <w:r>
        <w:rPr>
          <w:rFonts w:ascii="Arial" w:hAnsi="Arial" w:cs="Arial"/>
          <w:b/>
          <w:bCs/>
          <w:color w:val="auto"/>
          <w:sz w:val="20"/>
          <w:szCs w:val="20"/>
        </w:rPr>
        <w:t>9</w:t>
      </w:r>
      <w:r>
        <w:rPr>
          <w:rFonts w:ascii="Arial" w:hAnsi="Arial" w:cs="Arial"/>
          <w:color w:val="auto"/>
          <w:sz w:val="20"/>
          <w:szCs w:val="20"/>
        </w:rPr>
        <w:t xml:space="preserve">-7. </w:t>
      </w:r>
      <w:r>
        <w:rPr>
          <w:rFonts w:ascii="Arial" w:hAnsi="Arial" w:cs="Arial"/>
          <w:b/>
          <w:bCs/>
          <w:color w:val="auto"/>
          <w:sz w:val="20"/>
          <w:szCs w:val="20"/>
        </w:rPr>
        <w:t>Složení domácností SRÚ a struktura peněžních příjmů a vydání domácností SRÚ podle postavení osoby v čele v roce </w:t>
      </w:r>
      <w:r w:rsidR="00F96A49">
        <w:rPr>
          <w:rFonts w:ascii="Arial" w:hAnsi="Arial" w:cs="Arial"/>
          <w:b/>
          <w:bCs/>
          <w:color w:val="auto"/>
          <w:sz w:val="20"/>
          <w:szCs w:val="20"/>
        </w:rPr>
        <w:t xml:space="preserve">2014 </w:t>
      </w:r>
    </w:p>
    <w:p w:rsidR="008E3424" w:rsidRDefault="008E3424">
      <w:pPr>
        <w:pStyle w:val="Normlnweb"/>
        <w:spacing w:before="120" w:beforeAutospacing="0" w:after="0" w:afterAutospacing="0"/>
        <w:ind w:firstLine="709"/>
        <w:jc w:val="both"/>
        <w:rPr>
          <w:rFonts w:ascii="Arial" w:hAnsi="Arial" w:cs="Arial"/>
          <w:color w:val="auto"/>
          <w:sz w:val="20"/>
          <w:szCs w:val="20"/>
        </w:rPr>
      </w:pPr>
      <w:r>
        <w:rPr>
          <w:rFonts w:ascii="Arial" w:hAnsi="Arial" w:cs="Arial"/>
          <w:color w:val="auto"/>
          <w:sz w:val="20"/>
          <w:szCs w:val="20"/>
        </w:rPr>
        <w:t>Obsahují údaje za domácnosti zpravodajského souboru SRÚ v třídění podle postavení osoby v čele.</w:t>
      </w:r>
    </w:p>
    <w:p w:rsidR="008E3424" w:rsidRDefault="008E3424">
      <w:pPr>
        <w:pStyle w:val="Normlnweb"/>
        <w:spacing w:before="0" w:beforeAutospacing="0" w:after="0" w:afterAutospacing="0"/>
        <w:jc w:val="both"/>
        <w:rPr>
          <w:rFonts w:ascii="Arial" w:hAnsi="Arial" w:cs="Arial"/>
          <w:color w:val="auto"/>
          <w:sz w:val="20"/>
          <w:szCs w:val="20"/>
        </w:rPr>
      </w:pPr>
    </w:p>
    <w:p w:rsidR="008E3424" w:rsidRDefault="008E3424">
      <w:pPr>
        <w:pStyle w:val="Normlnweb"/>
        <w:spacing w:before="0" w:beforeAutospacing="0" w:after="0" w:afterAutospacing="0"/>
        <w:jc w:val="both"/>
        <w:rPr>
          <w:rFonts w:ascii="Arial" w:hAnsi="Arial" w:cs="Arial"/>
          <w:color w:val="auto"/>
          <w:sz w:val="20"/>
          <w:szCs w:val="20"/>
        </w:rPr>
      </w:pPr>
    </w:p>
    <w:p w:rsidR="008E3424" w:rsidRDefault="008E3424">
      <w:pPr>
        <w:pStyle w:val="Normlnweb"/>
        <w:spacing w:before="0" w:beforeAutospacing="0" w:after="0" w:afterAutospacing="0"/>
        <w:ind w:left="709" w:hanging="709"/>
        <w:jc w:val="both"/>
        <w:rPr>
          <w:rFonts w:ascii="Arial" w:hAnsi="Arial" w:cs="Arial"/>
          <w:color w:val="auto"/>
          <w:sz w:val="20"/>
          <w:szCs w:val="20"/>
        </w:rPr>
      </w:pPr>
      <w:r>
        <w:rPr>
          <w:rFonts w:ascii="Arial" w:hAnsi="Arial" w:cs="Arial"/>
          <w:color w:val="auto"/>
          <w:sz w:val="20"/>
          <w:szCs w:val="20"/>
        </w:rPr>
        <w:t xml:space="preserve">Tab. </w:t>
      </w:r>
      <w:r>
        <w:rPr>
          <w:rFonts w:ascii="Arial" w:hAnsi="Arial" w:cs="Arial"/>
          <w:b/>
          <w:bCs/>
          <w:color w:val="auto"/>
          <w:sz w:val="20"/>
          <w:szCs w:val="20"/>
        </w:rPr>
        <w:t>9</w:t>
      </w:r>
      <w:r>
        <w:rPr>
          <w:rFonts w:ascii="Arial" w:hAnsi="Arial" w:cs="Arial"/>
          <w:color w:val="auto"/>
          <w:sz w:val="20"/>
          <w:szCs w:val="20"/>
        </w:rPr>
        <w:t xml:space="preserve">-8. </w:t>
      </w:r>
      <w:r>
        <w:rPr>
          <w:rFonts w:ascii="Arial" w:hAnsi="Arial" w:cs="Arial"/>
          <w:b/>
          <w:bCs/>
          <w:color w:val="auto"/>
          <w:sz w:val="20"/>
          <w:szCs w:val="20"/>
        </w:rPr>
        <w:t>Struktura peněžních vydání u vybraných skupin domácností SRÚ s různou příjmovou úrovní</w:t>
      </w:r>
    </w:p>
    <w:p w:rsidR="008E3424" w:rsidRDefault="008E3424">
      <w:pPr>
        <w:pStyle w:val="Normlnweb"/>
        <w:spacing w:before="120" w:beforeAutospacing="0" w:after="0" w:afterAutospacing="0"/>
        <w:ind w:firstLine="709"/>
        <w:jc w:val="both"/>
        <w:rPr>
          <w:rFonts w:ascii="Arial" w:hAnsi="Arial" w:cs="Arial"/>
          <w:color w:val="auto"/>
          <w:sz w:val="20"/>
          <w:szCs w:val="20"/>
        </w:rPr>
      </w:pPr>
      <w:r>
        <w:rPr>
          <w:rFonts w:ascii="Arial" w:hAnsi="Arial" w:cs="Arial"/>
          <w:color w:val="auto"/>
          <w:sz w:val="20"/>
          <w:szCs w:val="20"/>
        </w:rPr>
        <w:t>Obsahuje údaje za domácnosti zpravodajského souboru SRÚ v třídění podle výše čistého ročního peněžního příjmu na jednoho člena domácnosti. Do skupiny domácností s nízkými příjmy bylo v každé skupině zařazeno 20 % domácností s nejnižším čistým peněžním příjmem na jednoho člena; příjmy každé domácnosti v této skupině nepřekročily horní hranici uvedenou v tabulce. Do skupiny domácností s vysokými příjmy bylo analogicky zařazeno 20 % domácností s nejvyšším příjmem na jednoho člena, který byl vyšší než spodní hranice uvedená v tabulce.</w:t>
      </w:r>
    </w:p>
    <w:p w:rsidR="008E3424" w:rsidRDefault="008E3424">
      <w:pPr>
        <w:pStyle w:val="Normlnweb"/>
        <w:spacing w:before="0" w:beforeAutospacing="0" w:after="0" w:afterAutospacing="0"/>
        <w:jc w:val="both"/>
        <w:rPr>
          <w:rFonts w:ascii="Arial" w:hAnsi="Arial" w:cs="Arial"/>
          <w:color w:val="auto"/>
          <w:sz w:val="20"/>
          <w:szCs w:val="20"/>
        </w:rPr>
      </w:pPr>
    </w:p>
    <w:p w:rsidR="008E3424" w:rsidRDefault="008E3424">
      <w:pPr>
        <w:pStyle w:val="Normlnweb"/>
        <w:spacing w:before="0" w:beforeAutospacing="0" w:after="0" w:afterAutospacing="0"/>
        <w:jc w:val="both"/>
        <w:rPr>
          <w:rFonts w:ascii="Arial" w:hAnsi="Arial" w:cs="Arial"/>
          <w:color w:val="auto"/>
          <w:sz w:val="20"/>
          <w:szCs w:val="20"/>
        </w:rPr>
      </w:pPr>
    </w:p>
    <w:p w:rsidR="008E3424" w:rsidRDefault="008E3424">
      <w:pPr>
        <w:jc w:val="center"/>
        <w:rPr>
          <w:rFonts w:ascii="Arial" w:hAnsi="Arial" w:cs="Arial"/>
          <w:sz w:val="20"/>
          <w:szCs w:val="20"/>
        </w:rPr>
      </w:pPr>
      <w:r>
        <w:rPr>
          <w:rFonts w:ascii="Arial" w:hAnsi="Arial" w:cs="Arial"/>
          <w:sz w:val="20"/>
          <w:szCs w:val="20"/>
        </w:rPr>
        <w:t>*          *          *</w:t>
      </w:r>
    </w:p>
    <w:p w:rsidR="008E3424" w:rsidRDefault="008E3424">
      <w:pPr>
        <w:jc w:val="both"/>
        <w:rPr>
          <w:rFonts w:ascii="Arial" w:hAnsi="Arial" w:cs="Arial"/>
          <w:sz w:val="20"/>
          <w:szCs w:val="20"/>
        </w:rPr>
      </w:pPr>
    </w:p>
    <w:p w:rsidR="008E3424" w:rsidRDefault="008E3424">
      <w:pPr>
        <w:jc w:val="both"/>
        <w:rPr>
          <w:rFonts w:ascii="Arial" w:hAnsi="Arial" w:cs="Arial"/>
          <w:sz w:val="20"/>
          <w:szCs w:val="20"/>
        </w:rPr>
      </w:pPr>
    </w:p>
    <w:p w:rsidR="008E3424" w:rsidRDefault="008E3424">
      <w:pPr>
        <w:pStyle w:val="Normlnweb"/>
        <w:widowControl w:val="0"/>
        <w:spacing w:before="0" w:beforeAutospacing="0" w:after="0" w:afterAutospacing="0"/>
        <w:ind w:firstLine="709"/>
        <w:jc w:val="both"/>
        <w:rPr>
          <w:rFonts w:ascii="Arial" w:hAnsi="Arial" w:cs="Arial"/>
          <w:color w:val="auto"/>
          <w:sz w:val="20"/>
          <w:szCs w:val="20"/>
        </w:rPr>
      </w:pPr>
      <w:r>
        <w:rPr>
          <w:rFonts w:ascii="Arial" w:hAnsi="Arial" w:cs="Arial"/>
          <w:color w:val="auto"/>
          <w:sz w:val="20"/>
          <w:szCs w:val="20"/>
        </w:rPr>
        <w:t xml:space="preserve">Další </w:t>
      </w:r>
      <w:r w:rsidR="00DB6585">
        <w:rPr>
          <w:rFonts w:ascii="Arial" w:hAnsi="Arial" w:cs="Arial"/>
          <w:color w:val="auto"/>
          <w:sz w:val="20"/>
          <w:szCs w:val="20"/>
        </w:rPr>
        <w:t xml:space="preserve">informace </w:t>
      </w:r>
      <w:r>
        <w:rPr>
          <w:rFonts w:ascii="Arial" w:hAnsi="Arial" w:cs="Arial"/>
          <w:color w:val="auto"/>
          <w:sz w:val="20"/>
          <w:szCs w:val="20"/>
        </w:rPr>
        <w:t xml:space="preserve">jsou </w:t>
      </w:r>
      <w:r w:rsidR="00DB6585">
        <w:rPr>
          <w:rFonts w:ascii="Arial" w:hAnsi="Arial" w:cs="Arial"/>
          <w:color w:val="auto"/>
          <w:sz w:val="20"/>
          <w:szCs w:val="20"/>
        </w:rPr>
        <w:t xml:space="preserve">dostupné </w:t>
      </w:r>
      <w:r>
        <w:rPr>
          <w:rFonts w:ascii="Arial" w:hAnsi="Arial" w:cs="Arial"/>
          <w:color w:val="auto"/>
          <w:sz w:val="20"/>
          <w:szCs w:val="20"/>
        </w:rPr>
        <w:t>na internetových stránkách Českého statistického úřadu:</w:t>
      </w:r>
    </w:p>
    <w:p w:rsidR="008E3424" w:rsidRDefault="008E3424">
      <w:pPr>
        <w:pStyle w:val="Normlnweb"/>
        <w:spacing w:before="120" w:beforeAutospacing="0" w:after="0" w:afterAutospacing="0"/>
        <w:ind w:left="170" w:hanging="170"/>
        <w:jc w:val="both"/>
        <w:rPr>
          <w:rFonts w:ascii="Arial" w:hAnsi="Arial" w:cs="Arial"/>
          <w:color w:val="auto"/>
          <w:sz w:val="20"/>
          <w:szCs w:val="20"/>
        </w:rPr>
      </w:pPr>
      <w:r>
        <w:rPr>
          <w:rFonts w:ascii="Arial" w:hAnsi="Arial" w:cs="Arial"/>
          <w:color w:val="auto"/>
          <w:sz w:val="20"/>
          <w:szCs w:val="20"/>
        </w:rPr>
        <w:t>– </w:t>
      </w:r>
      <w:hyperlink r:id="rId6" w:history="1">
        <w:r w:rsidR="002F72C8" w:rsidRPr="002F72C8">
          <w:rPr>
            <w:rStyle w:val="Hypertextovodkaz"/>
            <w:rFonts w:ascii="Arial" w:hAnsi="Arial" w:cs="Arial"/>
            <w:sz w:val="20"/>
            <w:szCs w:val="20"/>
          </w:rPr>
          <w:t>www.czso.cz/csu/czso/zivotn</w:t>
        </w:r>
        <w:r w:rsidR="002F72C8" w:rsidRPr="002F72C8">
          <w:rPr>
            <w:rStyle w:val="Hypertextovodkaz"/>
            <w:rFonts w:ascii="Arial" w:hAnsi="Arial" w:cs="Arial"/>
            <w:sz w:val="20"/>
            <w:szCs w:val="20"/>
          </w:rPr>
          <w:t>i</w:t>
        </w:r>
        <w:r w:rsidR="002F72C8" w:rsidRPr="002F72C8">
          <w:rPr>
            <w:rStyle w:val="Hypertextovodkaz"/>
            <w:rFonts w:ascii="Arial" w:hAnsi="Arial" w:cs="Arial"/>
            <w:sz w:val="20"/>
            <w:szCs w:val="20"/>
          </w:rPr>
          <w:t>_uroven_spotreba_domacnosti_prace</w:t>
        </w:r>
      </w:hyperlink>
      <w:r w:rsidR="000E3120">
        <w:rPr>
          <w:rFonts w:ascii="Arial" w:hAnsi="Arial" w:cs="Arial"/>
          <w:sz w:val="20"/>
          <w:szCs w:val="20"/>
        </w:rPr>
        <w:t xml:space="preserve"> </w:t>
      </w:r>
    </w:p>
    <w:sectPr w:rsidR="008E3424" w:rsidSect="008E3424">
      <w:pgSz w:w="11907" w:h="16840"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F1727"/>
    <w:multiLevelType w:val="hybridMultilevel"/>
    <w:tmpl w:val="BCE05ADE"/>
    <w:lvl w:ilvl="0" w:tplc="11BEF358">
      <w:start w:val="1"/>
      <w:numFmt w:val="bullet"/>
      <w:lvlText w:val=""/>
      <w:lvlJc w:val="left"/>
      <w:pPr>
        <w:tabs>
          <w:tab w:val="num" w:pos="417"/>
        </w:tabs>
        <w:ind w:left="397" w:hanging="340"/>
      </w:pPr>
      <w:rPr>
        <w:rFonts w:ascii="Symbol" w:hAnsi="Symbol" w:cs="Symbol" w:hint="default"/>
        <w:sz w:val="16"/>
        <w:szCs w:val="16"/>
      </w:rPr>
    </w:lvl>
    <w:lvl w:ilvl="1" w:tplc="04050003">
      <w:start w:val="1"/>
      <w:numFmt w:val="bullet"/>
      <w:lvlText w:val="o"/>
      <w:lvlJc w:val="left"/>
      <w:pPr>
        <w:tabs>
          <w:tab w:val="num" w:pos="1250"/>
        </w:tabs>
        <w:ind w:left="1250" w:hanging="360"/>
      </w:pPr>
      <w:rPr>
        <w:rFonts w:ascii="Courier New" w:hAnsi="Courier New" w:cs="Courier New" w:hint="default"/>
      </w:rPr>
    </w:lvl>
    <w:lvl w:ilvl="2" w:tplc="04050005">
      <w:start w:val="1"/>
      <w:numFmt w:val="bullet"/>
      <w:lvlText w:val=""/>
      <w:lvlJc w:val="left"/>
      <w:pPr>
        <w:tabs>
          <w:tab w:val="num" w:pos="1970"/>
        </w:tabs>
        <w:ind w:left="1970" w:hanging="360"/>
      </w:pPr>
      <w:rPr>
        <w:rFonts w:ascii="Wingdings" w:hAnsi="Wingdings" w:cs="Wingdings" w:hint="default"/>
      </w:rPr>
    </w:lvl>
    <w:lvl w:ilvl="3" w:tplc="04050001">
      <w:start w:val="1"/>
      <w:numFmt w:val="bullet"/>
      <w:lvlText w:val=""/>
      <w:lvlJc w:val="left"/>
      <w:pPr>
        <w:tabs>
          <w:tab w:val="num" w:pos="2690"/>
        </w:tabs>
        <w:ind w:left="2690" w:hanging="360"/>
      </w:pPr>
      <w:rPr>
        <w:rFonts w:ascii="Symbol" w:hAnsi="Symbol" w:cs="Symbol" w:hint="default"/>
      </w:rPr>
    </w:lvl>
    <w:lvl w:ilvl="4" w:tplc="04050003">
      <w:start w:val="1"/>
      <w:numFmt w:val="bullet"/>
      <w:lvlText w:val="o"/>
      <w:lvlJc w:val="left"/>
      <w:pPr>
        <w:tabs>
          <w:tab w:val="num" w:pos="3410"/>
        </w:tabs>
        <w:ind w:left="3410" w:hanging="360"/>
      </w:pPr>
      <w:rPr>
        <w:rFonts w:ascii="Courier New" w:hAnsi="Courier New" w:cs="Courier New" w:hint="default"/>
      </w:rPr>
    </w:lvl>
    <w:lvl w:ilvl="5" w:tplc="04050005">
      <w:start w:val="1"/>
      <w:numFmt w:val="bullet"/>
      <w:lvlText w:val=""/>
      <w:lvlJc w:val="left"/>
      <w:pPr>
        <w:tabs>
          <w:tab w:val="num" w:pos="4130"/>
        </w:tabs>
        <w:ind w:left="4130" w:hanging="360"/>
      </w:pPr>
      <w:rPr>
        <w:rFonts w:ascii="Wingdings" w:hAnsi="Wingdings" w:cs="Wingdings" w:hint="default"/>
      </w:rPr>
    </w:lvl>
    <w:lvl w:ilvl="6" w:tplc="04050001">
      <w:start w:val="1"/>
      <w:numFmt w:val="bullet"/>
      <w:lvlText w:val=""/>
      <w:lvlJc w:val="left"/>
      <w:pPr>
        <w:tabs>
          <w:tab w:val="num" w:pos="4850"/>
        </w:tabs>
        <w:ind w:left="4850" w:hanging="360"/>
      </w:pPr>
      <w:rPr>
        <w:rFonts w:ascii="Symbol" w:hAnsi="Symbol" w:cs="Symbol" w:hint="default"/>
      </w:rPr>
    </w:lvl>
    <w:lvl w:ilvl="7" w:tplc="04050003">
      <w:start w:val="1"/>
      <w:numFmt w:val="bullet"/>
      <w:lvlText w:val="o"/>
      <w:lvlJc w:val="left"/>
      <w:pPr>
        <w:tabs>
          <w:tab w:val="num" w:pos="5570"/>
        </w:tabs>
        <w:ind w:left="5570" w:hanging="360"/>
      </w:pPr>
      <w:rPr>
        <w:rFonts w:ascii="Courier New" w:hAnsi="Courier New" w:cs="Courier New" w:hint="default"/>
      </w:rPr>
    </w:lvl>
    <w:lvl w:ilvl="8" w:tplc="04050005">
      <w:start w:val="1"/>
      <w:numFmt w:val="bullet"/>
      <w:lvlText w:val=""/>
      <w:lvlJc w:val="left"/>
      <w:pPr>
        <w:tabs>
          <w:tab w:val="num" w:pos="6290"/>
        </w:tabs>
        <w:ind w:left="6290" w:hanging="360"/>
      </w:pPr>
      <w:rPr>
        <w:rFonts w:ascii="Wingdings" w:hAnsi="Wingdings" w:cs="Wingdings" w:hint="default"/>
      </w:rPr>
    </w:lvl>
  </w:abstractNum>
  <w:abstractNum w:abstractNumId="1">
    <w:nsid w:val="150506F8"/>
    <w:multiLevelType w:val="hybridMultilevel"/>
    <w:tmpl w:val="258271E0"/>
    <w:lvl w:ilvl="0" w:tplc="024A24D2">
      <w:numFmt w:val="bullet"/>
      <w:lvlText w:val="-"/>
      <w:lvlJc w:val="left"/>
      <w:pPr>
        <w:tabs>
          <w:tab w:val="num" w:pos="1260"/>
        </w:tabs>
        <w:ind w:left="1260" w:hanging="360"/>
      </w:pPr>
      <w:rPr>
        <w:rFonts w:ascii="Times New Roman" w:eastAsia="Times New Roman" w:hAnsi="Times New Roman" w:hint="default"/>
      </w:rPr>
    </w:lvl>
    <w:lvl w:ilvl="1" w:tplc="04050003">
      <w:start w:val="1"/>
      <w:numFmt w:val="bullet"/>
      <w:lvlText w:val="o"/>
      <w:lvlJc w:val="left"/>
      <w:pPr>
        <w:tabs>
          <w:tab w:val="num" w:pos="1980"/>
        </w:tabs>
        <w:ind w:left="1980" w:hanging="360"/>
      </w:pPr>
      <w:rPr>
        <w:rFonts w:ascii="Courier New" w:hAnsi="Courier New" w:cs="Courier New" w:hint="default"/>
      </w:rPr>
    </w:lvl>
    <w:lvl w:ilvl="2" w:tplc="04050005">
      <w:start w:val="1"/>
      <w:numFmt w:val="bullet"/>
      <w:lvlText w:val=""/>
      <w:lvlJc w:val="left"/>
      <w:pPr>
        <w:tabs>
          <w:tab w:val="num" w:pos="2700"/>
        </w:tabs>
        <w:ind w:left="2700" w:hanging="360"/>
      </w:pPr>
      <w:rPr>
        <w:rFonts w:ascii="Wingdings" w:hAnsi="Wingdings" w:cs="Wingdings" w:hint="default"/>
      </w:rPr>
    </w:lvl>
    <w:lvl w:ilvl="3" w:tplc="04050001">
      <w:start w:val="1"/>
      <w:numFmt w:val="bullet"/>
      <w:lvlText w:val=""/>
      <w:lvlJc w:val="left"/>
      <w:pPr>
        <w:tabs>
          <w:tab w:val="num" w:pos="3420"/>
        </w:tabs>
        <w:ind w:left="3420" w:hanging="360"/>
      </w:pPr>
      <w:rPr>
        <w:rFonts w:ascii="Symbol" w:hAnsi="Symbol" w:cs="Symbol" w:hint="default"/>
      </w:rPr>
    </w:lvl>
    <w:lvl w:ilvl="4" w:tplc="04050003">
      <w:start w:val="1"/>
      <w:numFmt w:val="bullet"/>
      <w:lvlText w:val="o"/>
      <w:lvlJc w:val="left"/>
      <w:pPr>
        <w:tabs>
          <w:tab w:val="num" w:pos="4140"/>
        </w:tabs>
        <w:ind w:left="4140" w:hanging="360"/>
      </w:pPr>
      <w:rPr>
        <w:rFonts w:ascii="Courier New" w:hAnsi="Courier New" w:cs="Courier New" w:hint="default"/>
      </w:rPr>
    </w:lvl>
    <w:lvl w:ilvl="5" w:tplc="04050005">
      <w:start w:val="1"/>
      <w:numFmt w:val="bullet"/>
      <w:lvlText w:val=""/>
      <w:lvlJc w:val="left"/>
      <w:pPr>
        <w:tabs>
          <w:tab w:val="num" w:pos="4860"/>
        </w:tabs>
        <w:ind w:left="4860" w:hanging="360"/>
      </w:pPr>
      <w:rPr>
        <w:rFonts w:ascii="Wingdings" w:hAnsi="Wingdings" w:cs="Wingdings" w:hint="default"/>
      </w:rPr>
    </w:lvl>
    <w:lvl w:ilvl="6" w:tplc="04050001">
      <w:start w:val="1"/>
      <w:numFmt w:val="bullet"/>
      <w:lvlText w:val=""/>
      <w:lvlJc w:val="left"/>
      <w:pPr>
        <w:tabs>
          <w:tab w:val="num" w:pos="5580"/>
        </w:tabs>
        <w:ind w:left="5580" w:hanging="360"/>
      </w:pPr>
      <w:rPr>
        <w:rFonts w:ascii="Symbol" w:hAnsi="Symbol" w:cs="Symbol" w:hint="default"/>
      </w:rPr>
    </w:lvl>
    <w:lvl w:ilvl="7" w:tplc="04050003">
      <w:start w:val="1"/>
      <w:numFmt w:val="bullet"/>
      <w:lvlText w:val="o"/>
      <w:lvlJc w:val="left"/>
      <w:pPr>
        <w:tabs>
          <w:tab w:val="num" w:pos="6300"/>
        </w:tabs>
        <w:ind w:left="6300" w:hanging="360"/>
      </w:pPr>
      <w:rPr>
        <w:rFonts w:ascii="Courier New" w:hAnsi="Courier New" w:cs="Courier New" w:hint="default"/>
      </w:rPr>
    </w:lvl>
    <w:lvl w:ilvl="8" w:tplc="04050005">
      <w:start w:val="1"/>
      <w:numFmt w:val="bullet"/>
      <w:lvlText w:val=""/>
      <w:lvlJc w:val="left"/>
      <w:pPr>
        <w:tabs>
          <w:tab w:val="num" w:pos="7020"/>
        </w:tabs>
        <w:ind w:left="7020" w:hanging="360"/>
      </w:pPr>
      <w:rPr>
        <w:rFonts w:ascii="Wingdings" w:hAnsi="Wingdings" w:cs="Wingdings" w:hint="default"/>
      </w:rPr>
    </w:lvl>
  </w:abstractNum>
  <w:abstractNum w:abstractNumId="2">
    <w:nsid w:val="1A8B7048"/>
    <w:multiLevelType w:val="hybridMultilevel"/>
    <w:tmpl w:val="F1366410"/>
    <w:lvl w:ilvl="0" w:tplc="8E68A972">
      <w:start w:val="1"/>
      <w:numFmt w:val="bullet"/>
      <w:lvlText w:val="-"/>
      <w:lvlJc w:val="left"/>
      <w:pPr>
        <w:tabs>
          <w:tab w:val="num" w:pos="900"/>
        </w:tabs>
        <w:ind w:left="900" w:hanging="360"/>
      </w:pPr>
      <w:rPr>
        <w:rFonts w:ascii="Times New Roman" w:eastAsia="Times New Roman" w:hAnsi="Times New Roman" w:hint="default"/>
      </w:rPr>
    </w:lvl>
    <w:lvl w:ilvl="1" w:tplc="04050003">
      <w:start w:val="1"/>
      <w:numFmt w:val="bullet"/>
      <w:lvlText w:val="o"/>
      <w:lvlJc w:val="left"/>
      <w:pPr>
        <w:tabs>
          <w:tab w:val="num" w:pos="1620"/>
        </w:tabs>
        <w:ind w:left="1620" w:hanging="360"/>
      </w:pPr>
      <w:rPr>
        <w:rFonts w:ascii="Courier New" w:hAnsi="Courier New" w:cs="Courier New" w:hint="default"/>
      </w:rPr>
    </w:lvl>
    <w:lvl w:ilvl="2" w:tplc="04050005">
      <w:start w:val="1"/>
      <w:numFmt w:val="bullet"/>
      <w:lvlText w:val=""/>
      <w:lvlJc w:val="left"/>
      <w:pPr>
        <w:tabs>
          <w:tab w:val="num" w:pos="2340"/>
        </w:tabs>
        <w:ind w:left="2340" w:hanging="360"/>
      </w:pPr>
      <w:rPr>
        <w:rFonts w:ascii="Wingdings" w:hAnsi="Wingdings" w:cs="Wingdings" w:hint="default"/>
      </w:rPr>
    </w:lvl>
    <w:lvl w:ilvl="3" w:tplc="04050001">
      <w:start w:val="1"/>
      <w:numFmt w:val="bullet"/>
      <w:lvlText w:val=""/>
      <w:lvlJc w:val="left"/>
      <w:pPr>
        <w:tabs>
          <w:tab w:val="num" w:pos="3060"/>
        </w:tabs>
        <w:ind w:left="3060" w:hanging="360"/>
      </w:pPr>
      <w:rPr>
        <w:rFonts w:ascii="Symbol" w:hAnsi="Symbol" w:cs="Symbol" w:hint="default"/>
      </w:rPr>
    </w:lvl>
    <w:lvl w:ilvl="4" w:tplc="04050003">
      <w:start w:val="1"/>
      <w:numFmt w:val="bullet"/>
      <w:lvlText w:val="o"/>
      <w:lvlJc w:val="left"/>
      <w:pPr>
        <w:tabs>
          <w:tab w:val="num" w:pos="3780"/>
        </w:tabs>
        <w:ind w:left="3780" w:hanging="360"/>
      </w:pPr>
      <w:rPr>
        <w:rFonts w:ascii="Courier New" w:hAnsi="Courier New" w:cs="Courier New" w:hint="default"/>
      </w:rPr>
    </w:lvl>
    <w:lvl w:ilvl="5" w:tplc="04050005">
      <w:start w:val="1"/>
      <w:numFmt w:val="bullet"/>
      <w:lvlText w:val=""/>
      <w:lvlJc w:val="left"/>
      <w:pPr>
        <w:tabs>
          <w:tab w:val="num" w:pos="4500"/>
        </w:tabs>
        <w:ind w:left="4500" w:hanging="360"/>
      </w:pPr>
      <w:rPr>
        <w:rFonts w:ascii="Wingdings" w:hAnsi="Wingdings" w:cs="Wingdings" w:hint="default"/>
      </w:rPr>
    </w:lvl>
    <w:lvl w:ilvl="6" w:tplc="04050001">
      <w:start w:val="1"/>
      <w:numFmt w:val="bullet"/>
      <w:lvlText w:val=""/>
      <w:lvlJc w:val="left"/>
      <w:pPr>
        <w:tabs>
          <w:tab w:val="num" w:pos="5220"/>
        </w:tabs>
        <w:ind w:left="5220" w:hanging="360"/>
      </w:pPr>
      <w:rPr>
        <w:rFonts w:ascii="Symbol" w:hAnsi="Symbol" w:cs="Symbol" w:hint="default"/>
      </w:rPr>
    </w:lvl>
    <w:lvl w:ilvl="7" w:tplc="04050003">
      <w:start w:val="1"/>
      <w:numFmt w:val="bullet"/>
      <w:lvlText w:val="o"/>
      <w:lvlJc w:val="left"/>
      <w:pPr>
        <w:tabs>
          <w:tab w:val="num" w:pos="5940"/>
        </w:tabs>
        <w:ind w:left="5940" w:hanging="360"/>
      </w:pPr>
      <w:rPr>
        <w:rFonts w:ascii="Courier New" w:hAnsi="Courier New" w:cs="Courier New" w:hint="default"/>
      </w:rPr>
    </w:lvl>
    <w:lvl w:ilvl="8" w:tplc="04050005">
      <w:start w:val="1"/>
      <w:numFmt w:val="bullet"/>
      <w:lvlText w:val=""/>
      <w:lvlJc w:val="left"/>
      <w:pPr>
        <w:tabs>
          <w:tab w:val="num" w:pos="6660"/>
        </w:tabs>
        <w:ind w:left="6660" w:hanging="360"/>
      </w:pPr>
      <w:rPr>
        <w:rFonts w:ascii="Wingdings" w:hAnsi="Wingdings" w:cs="Wingdings" w:hint="default"/>
      </w:rPr>
    </w:lvl>
  </w:abstractNum>
  <w:abstractNum w:abstractNumId="3">
    <w:nsid w:val="1CD72A61"/>
    <w:multiLevelType w:val="hybridMultilevel"/>
    <w:tmpl w:val="22E02DA0"/>
    <w:lvl w:ilvl="0" w:tplc="024A24D2">
      <w:numFmt w:val="bullet"/>
      <w:lvlText w:val="-"/>
      <w:lvlJc w:val="left"/>
      <w:pPr>
        <w:tabs>
          <w:tab w:val="num" w:pos="1260"/>
        </w:tabs>
        <w:ind w:left="1260" w:hanging="360"/>
      </w:pPr>
      <w:rPr>
        <w:rFonts w:ascii="Times New Roman" w:eastAsia="Times New Roman" w:hAnsi="Times New Roman" w:hint="default"/>
      </w:rPr>
    </w:lvl>
    <w:lvl w:ilvl="1" w:tplc="04050003">
      <w:start w:val="1"/>
      <w:numFmt w:val="bullet"/>
      <w:lvlText w:val="o"/>
      <w:lvlJc w:val="left"/>
      <w:pPr>
        <w:tabs>
          <w:tab w:val="num" w:pos="1980"/>
        </w:tabs>
        <w:ind w:left="1980" w:hanging="360"/>
      </w:pPr>
      <w:rPr>
        <w:rFonts w:ascii="Courier New" w:hAnsi="Courier New" w:cs="Courier New" w:hint="default"/>
      </w:rPr>
    </w:lvl>
    <w:lvl w:ilvl="2" w:tplc="04050005">
      <w:start w:val="1"/>
      <w:numFmt w:val="bullet"/>
      <w:lvlText w:val=""/>
      <w:lvlJc w:val="left"/>
      <w:pPr>
        <w:tabs>
          <w:tab w:val="num" w:pos="2700"/>
        </w:tabs>
        <w:ind w:left="2700" w:hanging="360"/>
      </w:pPr>
      <w:rPr>
        <w:rFonts w:ascii="Wingdings" w:hAnsi="Wingdings" w:cs="Wingdings" w:hint="default"/>
      </w:rPr>
    </w:lvl>
    <w:lvl w:ilvl="3" w:tplc="04050001">
      <w:start w:val="1"/>
      <w:numFmt w:val="bullet"/>
      <w:lvlText w:val=""/>
      <w:lvlJc w:val="left"/>
      <w:pPr>
        <w:tabs>
          <w:tab w:val="num" w:pos="3420"/>
        </w:tabs>
        <w:ind w:left="3420" w:hanging="360"/>
      </w:pPr>
      <w:rPr>
        <w:rFonts w:ascii="Symbol" w:hAnsi="Symbol" w:cs="Symbol" w:hint="default"/>
      </w:rPr>
    </w:lvl>
    <w:lvl w:ilvl="4" w:tplc="04050003">
      <w:start w:val="1"/>
      <w:numFmt w:val="bullet"/>
      <w:lvlText w:val="o"/>
      <w:lvlJc w:val="left"/>
      <w:pPr>
        <w:tabs>
          <w:tab w:val="num" w:pos="4140"/>
        </w:tabs>
        <w:ind w:left="4140" w:hanging="360"/>
      </w:pPr>
      <w:rPr>
        <w:rFonts w:ascii="Courier New" w:hAnsi="Courier New" w:cs="Courier New" w:hint="default"/>
      </w:rPr>
    </w:lvl>
    <w:lvl w:ilvl="5" w:tplc="04050005">
      <w:start w:val="1"/>
      <w:numFmt w:val="bullet"/>
      <w:lvlText w:val=""/>
      <w:lvlJc w:val="left"/>
      <w:pPr>
        <w:tabs>
          <w:tab w:val="num" w:pos="4860"/>
        </w:tabs>
        <w:ind w:left="4860" w:hanging="360"/>
      </w:pPr>
      <w:rPr>
        <w:rFonts w:ascii="Wingdings" w:hAnsi="Wingdings" w:cs="Wingdings" w:hint="default"/>
      </w:rPr>
    </w:lvl>
    <w:lvl w:ilvl="6" w:tplc="04050001">
      <w:start w:val="1"/>
      <w:numFmt w:val="bullet"/>
      <w:lvlText w:val=""/>
      <w:lvlJc w:val="left"/>
      <w:pPr>
        <w:tabs>
          <w:tab w:val="num" w:pos="5580"/>
        </w:tabs>
        <w:ind w:left="5580" w:hanging="360"/>
      </w:pPr>
      <w:rPr>
        <w:rFonts w:ascii="Symbol" w:hAnsi="Symbol" w:cs="Symbol" w:hint="default"/>
      </w:rPr>
    </w:lvl>
    <w:lvl w:ilvl="7" w:tplc="04050003">
      <w:start w:val="1"/>
      <w:numFmt w:val="bullet"/>
      <w:lvlText w:val="o"/>
      <w:lvlJc w:val="left"/>
      <w:pPr>
        <w:tabs>
          <w:tab w:val="num" w:pos="6300"/>
        </w:tabs>
        <w:ind w:left="6300" w:hanging="360"/>
      </w:pPr>
      <w:rPr>
        <w:rFonts w:ascii="Courier New" w:hAnsi="Courier New" w:cs="Courier New" w:hint="default"/>
      </w:rPr>
    </w:lvl>
    <w:lvl w:ilvl="8" w:tplc="04050005">
      <w:start w:val="1"/>
      <w:numFmt w:val="bullet"/>
      <w:lvlText w:val=""/>
      <w:lvlJc w:val="left"/>
      <w:pPr>
        <w:tabs>
          <w:tab w:val="num" w:pos="7020"/>
        </w:tabs>
        <w:ind w:left="7020" w:hanging="360"/>
      </w:pPr>
      <w:rPr>
        <w:rFonts w:ascii="Wingdings" w:hAnsi="Wingdings" w:cs="Wingdings" w:hint="default"/>
      </w:rPr>
    </w:lvl>
  </w:abstractNum>
  <w:abstractNum w:abstractNumId="4">
    <w:nsid w:val="25E86BE2"/>
    <w:multiLevelType w:val="hybridMultilevel"/>
    <w:tmpl w:val="0C30DBF8"/>
    <w:lvl w:ilvl="0" w:tplc="EBE45242">
      <w:numFmt w:val="bullet"/>
      <w:lvlText w:val="-"/>
      <w:lvlJc w:val="left"/>
      <w:pPr>
        <w:tabs>
          <w:tab w:val="num" w:pos="720"/>
        </w:tabs>
        <w:ind w:left="720" w:hanging="360"/>
      </w:pPr>
      <w:rPr>
        <w:rFonts w:ascii="Times New Roman" w:eastAsia="Times New Roman" w:hAnsi="Times New Roman" w:hint="default"/>
        <w:b/>
        <w:bCs/>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
    <w:nsid w:val="33463629"/>
    <w:multiLevelType w:val="hybridMultilevel"/>
    <w:tmpl w:val="BCE05ADE"/>
    <w:lvl w:ilvl="0" w:tplc="69B4BBC8">
      <w:start w:val="1"/>
      <w:numFmt w:val="bullet"/>
      <w:lvlText w:val=""/>
      <w:lvlJc w:val="left"/>
      <w:pPr>
        <w:tabs>
          <w:tab w:val="num" w:pos="530"/>
        </w:tabs>
        <w:ind w:left="530" w:hanging="360"/>
      </w:pPr>
      <w:rPr>
        <w:rFonts w:ascii="Symbol" w:eastAsia="Times New Roman" w:hAnsi="Symbol" w:hint="default"/>
      </w:rPr>
    </w:lvl>
    <w:lvl w:ilvl="1" w:tplc="04050003">
      <w:start w:val="1"/>
      <w:numFmt w:val="bullet"/>
      <w:lvlText w:val="o"/>
      <w:lvlJc w:val="left"/>
      <w:pPr>
        <w:tabs>
          <w:tab w:val="num" w:pos="1250"/>
        </w:tabs>
        <w:ind w:left="1250" w:hanging="360"/>
      </w:pPr>
      <w:rPr>
        <w:rFonts w:ascii="Courier New" w:hAnsi="Courier New" w:cs="Courier New" w:hint="default"/>
      </w:rPr>
    </w:lvl>
    <w:lvl w:ilvl="2" w:tplc="04050005">
      <w:start w:val="1"/>
      <w:numFmt w:val="bullet"/>
      <w:lvlText w:val=""/>
      <w:lvlJc w:val="left"/>
      <w:pPr>
        <w:tabs>
          <w:tab w:val="num" w:pos="1970"/>
        </w:tabs>
        <w:ind w:left="1970" w:hanging="360"/>
      </w:pPr>
      <w:rPr>
        <w:rFonts w:ascii="Wingdings" w:hAnsi="Wingdings" w:cs="Wingdings" w:hint="default"/>
      </w:rPr>
    </w:lvl>
    <w:lvl w:ilvl="3" w:tplc="04050001">
      <w:start w:val="1"/>
      <w:numFmt w:val="bullet"/>
      <w:lvlText w:val=""/>
      <w:lvlJc w:val="left"/>
      <w:pPr>
        <w:tabs>
          <w:tab w:val="num" w:pos="2690"/>
        </w:tabs>
        <w:ind w:left="2690" w:hanging="360"/>
      </w:pPr>
      <w:rPr>
        <w:rFonts w:ascii="Symbol" w:hAnsi="Symbol" w:cs="Symbol" w:hint="default"/>
      </w:rPr>
    </w:lvl>
    <w:lvl w:ilvl="4" w:tplc="04050003">
      <w:start w:val="1"/>
      <w:numFmt w:val="bullet"/>
      <w:lvlText w:val="o"/>
      <w:lvlJc w:val="left"/>
      <w:pPr>
        <w:tabs>
          <w:tab w:val="num" w:pos="3410"/>
        </w:tabs>
        <w:ind w:left="3410" w:hanging="360"/>
      </w:pPr>
      <w:rPr>
        <w:rFonts w:ascii="Courier New" w:hAnsi="Courier New" w:cs="Courier New" w:hint="default"/>
      </w:rPr>
    </w:lvl>
    <w:lvl w:ilvl="5" w:tplc="04050005">
      <w:start w:val="1"/>
      <w:numFmt w:val="bullet"/>
      <w:lvlText w:val=""/>
      <w:lvlJc w:val="left"/>
      <w:pPr>
        <w:tabs>
          <w:tab w:val="num" w:pos="4130"/>
        </w:tabs>
        <w:ind w:left="4130" w:hanging="360"/>
      </w:pPr>
      <w:rPr>
        <w:rFonts w:ascii="Wingdings" w:hAnsi="Wingdings" w:cs="Wingdings" w:hint="default"/>
      </w:rPr>
    </w:lvl>
    <w:lvl w:ilvl="6" w:tplc="04050001">
      <w:start w:val="1"/>
      <w:numFmt w:val="bullet"/>
      <w:lvlText w:val=""/>
      <w:lvlJc w:val="left"/>
      <w:pPr>
        <w:tabs>
          <w:tab w:val="num" w:pos="4850"/>
        </w:tabs>
        <w:ind w:left="4850" w:hanging="360"/>
      </w:pPr>
      <w:rPr>
        <w:rFonts w:ascii="Symbol" w:hAnsi="Symbol" w:cs="Symbol" w:hint="default"/>
      </w:rPr>
    </w:lvl>
    <w:lvl w:ilvl="7" w:tplc="04050003">
      <w:start w:val="1"/>
      <w:numFmt w:val="bullet"/>
      <w:lvlText w:val="o"/>
      <w:lvlJc w:val="left"/>
      <w:pPr>
        <w:tabs>
          <w:tab w:val="num" w:pos="5570"/>
        </w:tabs>
        <w:ind w:left="5570" w:hanging="360"/>
      </w:pPr>
      <w:rPr>
        <w:rFonts w:ascii="Courier New" w:hAnsi="Courier New" w:cs="Courier New" w:hint="default"/>
      </w:rPr>
    </w:lvl>
    <w:lvl w:ilvl="8" w:tplc="04050005">
      <w:start w:val="1"/>
      <w:numFmt w:val="bullet"/>
      <w:lvlText w:val=""/>
      <w:lvlJc w:val="left"/>
      <w:pPr>
        <w:tabs>
          <w:tab w:val="num" w:pos="6290"/>
        </w:tabs>
        <w:ind w:left="6290" w:hanging="360"/>
      </w:pPr>
      <w:rPr>
        <w:rFonts w:ascii="Wingdings" w:hAnsi="Wingdings" w:cs="Wingdings" w:hint="default"/>
      </w:rPr>
    </w:lvl>
  </w:abstractNum>
  <w:abstractNum w:abstractNumId="6">
    <w:nsid w:val="3C7F24A9"/>
    <w:multiLevelType w:val="hybridMultilevel"/>
    <w:tmpl w:val="3B3E04CA"/>
    <w:lvl w:ilvl="0" w:tplc="84F4EAA4">
      <w:start w:val="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
    <w:nsid w:val="3CC46A40"/>
    <w:multiLevelType w:val="hybridMultilevel"/>
    <w:tmpl w:val="5AFCD042"/>
    <w:lvl w:ilvl="0" w:tplc="99A037CE">
      <w:numFmt w:val="bullet"/>
      <w:lvlText w:val="-"/>
      <w:lvlJc w:val="left"/>
      <w:pPr>
        <w:tabs>
          <w:tab w:val="num" w:pos="720"/>
        </w:tabs>
        <w:ind w:left="720" w:hanging="360"/>
      </w:pPr>
      <w:rPr>
        <w:rFonts w:ascii="Times New Roman" w:eastAsia="Times New Roman" w:hAnsi="Times New Roman" w:hint="default"/>
        <w:b/>
        <w:bCs/>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nsid w:val="5D500812"/>
    <w:multiLevelType w:val="hybridMultilevel"/>
    <w:tmpl w:val="BCE05ADE"/>
    <w:lvl w:ilvl="0" w:tplc="EA30E23C">
      <w:start w:val="1"/>
      <w:numFmt w:val="bullet"/>
      <w:lvlText w:val=""/>
      <w:lvlJc w:val="left"/>
      <w:pPr>
        <w:tabs>
          <w:tab w:val="num" w:pos="530"/>
        </w:tabs>
        <w:ind w:left="454" w:hanging="284"/>
      </w:pPr>
      <w:rPr>
        <w:rFonts w:ascii="Symbol" w:hAnsi="Symbol" w:cs="Symbol" w:hint="default"/>
        <w:sz w:val="16"/>
        <w:szCs w:val="16"/>
      </w:rPr>
    </w:lvl>
    <w:lvl w:ilvl="1" w:tplc="04050003">
      <w:start w:val="1"/>
      <w:numFmt w:val="bullet"/>
      <w:lvlText w:val="o"/>
      <w:lvlJc w:val="left"/>
      <w:pPr>
        <w:tabs>
          <w:tab w:val="num" w:pos="1250"/>
        </w:tabs>
        <w:ind w:left="1250" w:hanging="360"/>
      </w:pPr>
      <w:rPr>
        <w:rFonts w:ascii="Courier New" w:hAnsi="Courier New" w:cs="Courier New" w:hint="default"/>
      </w:rPr>
    </w:lvl>
    <w:lvl w:ilvl="2" w:tplc="04050005">
      <w:start w:val="1"/>
      <w:numFmt w:val="bullet"/>
      <w:lvlText w:val=""/>
      <w:lvlJc w:val="left"/>
      <w:pPr>
        <w:tabs>
          <w:tab w:val="num" w:pos="1970"/>
        </w:tabs>
        <w:ind w:left="1970" w:hanging="360"/>
      </w:pPr>
      <w:rPr>
        <w:rFonts w:ascii="Wingdings" w:hAnsi="Wingdings" w:cs="Wingdings" w:hint="default"/>
      </w:rPr>
    </w:lvl>
    <w:lvl w:ilvl="3" w:tplc="04050001">
      <w:start w:val="1"/>
      <w:numFmt w:val="bullet"/>
      <w:lvlText w:val=""/>
      <w:lvlJc w:val="left"/>
      <w:pPr>
        <w:tabs>
          <w:tab w:val="num" w:pos="2690"/>
        </w:tabs>
        <w:ind w:left="2690" w:hanging="360"/>
      </w:pPr>
      <w:rPr>
        <w:rFonts w:ascii="Symbol" w:hAnsi="Symbol" w:cs="Symbol" w:hint="default"/>
      </w:rPr>
    </w:lvl>
    <w:lvl w:ilvl="4" w:tplc="04050003">
      <w:start w:val="1"/>
      <w:numFmt w:val="bullet"/>
      <w:lvlText w:val="o"/>
      <w:lvlJc w:val="left"/>
      <w:pPr>
        <w:tabs>
          <w:tab w:val="num" w:pos="3410"/>
        </w:tabs>
        <w:ind w:left="3410" w:hanging="360"/>
      </w:pPr>
      <w:rPr>
        <w:rFonts w:ascii="Courier New" w:hAnsi="Courier New" w:cs="Courier New" w:hint="default"/>
      </w:rPr>
    </w:lvl>
    <w:lvl w:ilvl="5" w:tplc="04050005">
      <w:start w:val="1"/>
      <w:numFmt w:val="bullet"/>
      <w:lvlText w:val=""/>
      <w:lvlJc w:val="left"/>
      <w:pPr>
        <w:tabs>
          <w:tab w:val="num" w:pos="4130"/>
        </w:tabs>
        <w:ind w:left="4130" w:hanging="360"/>
      </w:pPr>
      <w:rPr>
        <w:rFonts w:ascii="Wingdings" w:hAnsi="Wingdings" w:cs="Wingdings" w:hint="default"/>
      </w:rPr>
    </w:lvl>
    <w:lvl w:ilvl="6" w:tplc="04050001">
      <w:start w:val="1"/>
      <w:numFmt w:val="bullet"/>
      <w:lvlText w:val=""/>
      <w:lvlJc w:val="left"/>
      <w:pPr>
        <w:tabs>
          <w:tab w:val="num" w:pos="4850"/>
        </w:tabs>
        <w:ind w:left="4850" w:hanging="360"/>
      </w:pPr>
      <w:rPr>
        <w:rFonts w:ascii="Symbol" w:hAnsi="Symbol" w:cs="Symbol" w:hint="default"/>
      </w:rPr>
    </w:lvl>
    <w:lvl w:ilvl="7" w:tplc="04050003">
      <w:start w:val="1"/>
      <w:numFmt w:val="bullet"/>
      <w:lvlText w:val="o"/>
      <w:lvlJc w:val="left"/>
      <w:pPr>
        <w:tabs>
          <w:tab w:val="num" w:pos="5570"/>
        </w:tabs>
        <w:ind w:left="5570" w:hanging="360"/>
      </w:pPr>
      <w:rPr>
        <w:rFonts w:ascii="Courier New" w:hAnsi="Courier New" w:cs="Courier New" w:hint="default"/>
      </w:rPr>
    </w:lvl>
    <w:lvl w:ilvl="8" w:tplc="04050005">
      <w:start w:val="1"/>
      <w:numFmt w:val="bullet"/>
      <w:lvlText w:val=""/>
      <w:lvlJc w:val="left"/>
      <w:pPr>
        <w:tabs>
          <w:tab w:val="num" w:pos="6290"/>
        </w:tabs>
        <w:ind w:left="6290" w:hanging="360"/>
      </w:pPr>
      <w:rPr>
        <w:rFonts w:ascii="Wingdings" w:hAnsi="Wingdings" w:cs="Wingdings" w:hint="default"/>
      </w:rPr>
    </w:lvl>
  </w:abstractNum>
  <w:abstractNum w:abstractNumId="9">
    <w:nsid w:val="630D3799"/>
    <w:multiLevelType w:val="hybridMultilevel"/>
    <w:tmpl w:val="BCE05ADE"/>
    <w:lvl w:ilvl="0" w:tplc="A6D49C88">
      <w:start w:val="1"/>
      <w:numFmt w:val="bullet"/>
      <w:lvlText w:val="–"/>
      <w:lvlJc w:val="left"/>
      <w:pPr>
        <w:tabs>
          <w:tab w:val="num" w:pos="530"/>
        </w:tabs>
        <w:ind w:left="530" w:hanging="360"/>
      </w:pPr>
      <w:rPr>
        <w:rFonts w:ascii="Times New Roman" w:eastAsia="Times New Roman" w:hAnsi="Times New Roman" w:hint="default"/>
      </w:rPr>
    </w:lvl>
    <w:lvl w:ilvl="1" w:tplc="04050003">
      <w:start w:val="1"/>
      <w:numFmt w:val="bullet"/>
      <w:lvlText w:val="o"/>
      <w:lvlJc w:val="left"/>
      <w:pPr>
        <w:tabs>
          <w:tab w:val="num" w:pos="1250"/>
        </w:tabs>
        <w:ind w:left="1250" w:hanging="360"/>
      </w:pPr>
      <w:rPr>
        <w:rFonts w:ascii="Courier New" w:hAnsi="Courier New" w:cs="Courier New" w:hint="default"/>
      </w:rPr>
    </w:lvl>
    <w:lvl w:ilvl="2" w:tplc="04050005">
      <w:start w:val="1"/>
      <w:numFmt w:val="bullet"/>
      <w:lvlText w:val=""/>
      <w:lvlJc w:val="left"/>
      <w:pPr>
        <w:tabs>
          <w:tab w:val="num" w:pos="1970"/>
        </w:tabs>
        <w:ind w:left="1970" w:hanging="360"/>
      </w:pPr>
      <w:rPr>
        <w:rFonts w:ascii="Wingdings" w:hAnsi="Wingdings" w:cs="Wingdings" w:hint="default"/>
      </w:rPr>
    </w:lvl>
    <w:lvl w:ilvl="3" w:tplc="04050001">
      <w:start w:val="1"/>
      <w:numFmt w:val="bullet"/>
      <w:lvlText w:val=""/>
      <w:lvlJc w:val="left"/>
      <w:pPr>
        <w:tabs>
          <w:tab w:val="num" w:pos="2690"/>
        </w:tabs>
        <w:ind w:left="2690" w:hanging="360"/>
      </w:pPr>
      <w:rPr>
        <w:rFonts w:ascii="Symbol" w:hAnsi="Symbol" w:cs="Symbol" w:hint="default"/>
      </w:rPr>
    </w:lvl>
    <w:lvl w:ilvl="4" w:tplc="04050003">
      <w:start w:val="1"/>
      <w:numFmt w:val="bullet"/>
      <w:lvlText w:val="o"/>
      <w:lvlJc w:val="left"/>
      <w:pPr>
        <w:tabs>
          <w:tab w:val="num" w:pos="3410"/>
        </w:tabs>
        <w:ind w:left="3410" w:hanging="360"/>
      </w:pPr>
      <w:rPr>
        <w:rFonts w:ascii="Courier New" w:hAnsi="Courier New" w:cs="Courier New" w:hint="default"/>
      </w:rPr>
    </w:lvl>
    <w:lvl w:ilvl="5" w:tplc="04050005">
      <w:start w:val="1"/>
      <w:numFmt w:val="bullet"/>
      <w:lvlText w:val=""/>
      <w:lvlJc w:val="left"/>
      <w:pPr>
        <w:tabs>
          <w:tab w:val="num" w:pos="4130"/>
        </w:tabs>
        <w:ind w:left="4130" w:hanging="360"/>
      </w:pPr>
      <w:rPr>
        <w:rFonts w:ascii="Wingdings" w:hAnsi="Wingdings" w:cs="Wingdings" w:hint="default"/>
      </w:rPr>
    </w:lvl>
    <w:lvl w:ilvl="6" w:tplc="04050001">
      <w:start w:val="1"/>
      <w:numFmt w:val="bullet"/>
      <w:lvlText w:val=""/>
      <w:lvlJc w:val="left"/>
      <w:pPr>
        <w:tabs>
          <w:tab w:val="num" w:pos="4850"/>
        </w:tabs>
        <w:ind w:left="4850" w:hanging="360"/>
      </w:pPr>
      <w:rPr>
        <w:rFonts w:ascii="Symbol" w:hAnsi="Symbol" w:cs="Symbol" w:hint="default"/>
      </w:rPr>
    </w:lvl>
    <w:lvl w:ilvl="7" w:tplc="04050003">
      <w:start w:val="1"/>
      <w:numFmt w:val="bullet"/>
      <w:lvlText w:val="o"/>
      <w:lvlJc w:val="left"/>
      <w:pPr>
        <w:tabs>
          <w:tab w:val="num" w:pos="5570"/>
        </w:tabs>
        <w:ind w:left="5570" w:hanging="360"/>
      </w:pPr>
      <w:rPr>
        <w:rFonts w:ascii="Courier New" w:hAnsi="Courier New" w:cs="Courier New" w:hint="default"/>
      </w:rPr>
    </w:lvl>
    <w:lvl w:ilvl="8" w:tplc="04050005">
      <w:start w:val="1"/>
      <w:numFmt w:val="bullet"/>
      <w:lvlText w:val=""/>
      <w:lvlJc w:val="left"/>
      <w:pPr>
        <w:tabs>
          <w:tab w:val="num" w:pos="6290"/>
        </w:tabs>
        <w:ind w:left="6290" w:hanging="360"/>
      </w:pPr>
      <w:rPr>
        <w:rFonts w:ascii="Wingdings" w:hAnsi="Wingdings" w:cs="Wingdings" w:hint="default"/>
      </w:rPr>
    </w:lvl>
  </w:abstractNum>
  <w:abstractNum w:abstractNumId="10">
    <w:nsid w:val="7EB36C5B"/>
    <w:multiLevelType w:val="hybridMultilevel"/>
    <w:tmpl w:val="528A0A74"/>
    <w:lvl w:ilvl="0" w:tplc="BAD85EEC">
      <w:start w:val="1"/>
      <w:numFmt w:val="bullet"/>
      <w:lvlText w:val=""/>
      <w:lvlJc w:val="left"/>
      <w:pPr>
        <w:tabs>
          <w:tab w:val="num" w:pos="1494"/>
        </w:tabs>
        <w:ind w:left="1134"/>
      </w:pPr>
      <w:rPr>
        <w:rFonts w:ascii="Symbol" w:hAnsi="Symbol" w:cs="Symbol" w:hint="default"/>
      </w:rPr>
    </w:lvl>
    <w:lvl w:ilvl="1" w:tplc="04050003">
      <w:start w:val="1"/>
      <w:numFmt w:val="bullet"/>
      <w:lvlText w:val="o"/>
      <w:lvlJc w:val="left"/>
      <w:pPr>
        <w:tabs>
          <w:tab w:val="num" w:pos="2007"/>
        </w:tabs>
        <w:ind w:left="2007" w:hanging="360"/>
      </w:pPr>
      <w:rPr>
        <w:rFonts w:ascii="Courier New" w:hAnsi="Courier New" w:cs="Courier New" w:hint="default"/>
      </w:rPr>
    </w:lvl>
    <w:lvl w:ilvl="2" w:tplc="04050005">
      <w:start w:val="1"/>
      <w:numFmt w:val="bullet"/>
      <w:lvlText w:val=""/>
      <w:lvlJc w:val="left"/>
      <w:pPr>
        <w:tabs>
          <w:tab w:val="num" w:pos="2727"/>
        </w:tabs>
        <w:ind w:left="2727" w:hanging="360"/>
      </w:pPr>
      <w:rPr>
        <w:rFonts w:ascii="Wingdings" w:hAnsi="Wingdings" w:cs="Wingdings" w:hint="default"/>
      </w:rPr>
    </w:lvl>
    <w:lvl w:ilvl="3" w:tplc="04050001">
      <w:start w:val="1"/>
      <w:numFmt w:val="bullet"/>
      <w:lvlText w:val=""/>
      <w:lvlJc w:val="left"/>
      <w:pPr>
        <w:tabs>
          <w:tab w:val="num" w:pos="3447"/>
        </w:tabs>
        <w:ind w:left="3447" w:hanging="360"/>
      </w:pPr>
      <w:rPr>
        <w:rFonts w:ascii="Symbol" w:hAnsi="Symbol" w:cs="Symbol" w:hint="default"/>
      </w:rPr>
    </w:lvl>
    <w:lvl w:ilvl="4" w:tplc="04050003">
      <w:start w:val="1"/>
      <w:numFmt w:val="bullet"/>
      <w:lvlText w:val="o"/>
      <w:lvlJc w:val="left"/>
      <w:pPr>
        <w:tabs>
          <w:tab w:val="num" w:pos="4167"/>
        </w:tabs>
        <w:ind w:left="4167" w:hanging="360"/>
      </w:pPr>
      <w:rPr>
        <w:rFonts w:ascii="Courier New" w:hAnsi="Courier New" w:cs="Courier New" w:hint="default"/>
      </w:rPr>
    </w:lvl>
    <w:lvl w:ilvl="5" w:tplc="04050005">
      <w:start w:val="1"/>
      <w:numFmt w:val="bullet"/>
      <w:lvlText w:val=""/>
      <w:lvlJc w:val="left"/>
      <w:pPr>
        <w:tabs>
          <w:tab w:val="num" w:pos="4887"/>
        </w:tabs>
        <w:ind w:left="4887" w:hanging="360"/>
      </w:pPr>
      <w:rPr>
        <w:rFonts w:ascii="Wingdings" w:hAnsi="Wingdings" w:cs="Wingdings" w:hint="default"/>
      </w:rPr>
    </w:lvl>
    <w:lvl w:ilvl="6" w:tplc="04050001">
      <w:start w:val="1"/>
      <w:numFmt w:val="bullet"/>
      <w:lvlText w:val=""/>
      <w:lvlJc w:val="left"/>
      <w:pPr>
        <w:tabs>
          <w:tab w:val="num" w:pos="5607"/>
        </w:tabs>
        <w:ind w:left="5607" w:hanging="360"/>
      </w:pPr>
      <w:rPr>
        <w:rFonts w:ascii="Symbol" w:hAnsi="Symbol" w:cs="Symbol" w:hint="default"/>
      </w:rPr>
    </w:lvl>
    <w:lvl w:ilvl="7" w:tplc="04050003">
      <w:start w:val="1"/>
      <w:numFmt w:val="bullet"/>
      <w:lvlText w:val="o"/>
      <w:lvlJc w:val="left"/>
      <w:pPr>
        <w:tabs>
          <w:tab w:val="num" w:pos="6327"/>
        </w:tabs>
        <w:ind w:left="6327" w:hanging="360"/>
      </w:pPr>
      <w:rPr>
        <w:rFonts w:ascii="Courier New" w:hAnsi="Courier New" w:cs="Courier New" w:hint="default"/>
      </w:rPr>
    </w:lvl>
    <w:lvl w:ilvl="8" w:tplc="04050005">
      <w:start w:val="1"/>
      <w:numFmt w:val="bullet"/>
      <w:lvlText w:val=""/>
      <w:lvlJc w:val="left"/>
      <w:pPr>
        <w:tabs>
          <w:tab w:val="num" w:pos="7047"/>
        </w:tabs>
        <w:ind w:left="7047" w:hanging="360"/>
      </w:pPr>
      <w:rPr>
        <w:rFonts w:ascii="Wingdings" w:hAnsi="Wingdings" w:cs="Wingdings" w:hint="default"/>
      </w:rPr>
    </w:lvl>
  </w:abstractNum>
  <w:num w:numId="1">
    <w:abstractNumId w:val="2"/>
  </w:num>
  <w:num w:numId="2">
    <w:abstractNumId w:val="4"/>
  </w:num>
  <w:num w:numId="3">
    <w:abstractNumId w:val="7"/>
  </w:num>
  <w:num w:numId="4">
    <w:abstractNumId w:val="1"/>
  </w:num>
  <w:num w:numId="5">
    <w:abstractNumId w:val="3"/>
  </w:num>
  <w:num w:numId="6">
    <w:abstractNumId w:val="10"/>
  </w:num>
  <w:num w:numId="7">
    <w:abstractNumId w:val="9"/>
  </w:num>
  <w:num w:numId="8">
    <w:abstractNumId w:val="5"/>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9"/>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3424"/>
    <w:rsid w:val="00003A5D"/>
    <w:rsid w:val="00007475"/>
    <w:rsid w:val="0002713B"/>
    <w:rsid w:val="00092BF3"/>
    <w:rsid w:val="00093065"/>
    <w:rsid w:val="000E3120"/>
    <w:rsid w:val="00111368"/>
    <w:rsid w:val="001147D1"/>
    <w:rsid w:val="001147E4"/>
    <w:rsid w:val="00185B3D"/>
    <w:rsid w:val="001B1788"/>
    <w:rsid w:val="00205C9E"/>
    <w:rsid w:val="0026389D"/>
    <w:rsid w:val="002F22CF"/>
    <w:rsid w:val="002F72C8"/>
    <w:rsid w:val="00345A9B"/>
    <w:rsid w:val="0038451A"/>
    <w:rsid w:val="003B3736"/>
    <w:rsid w:val="003D7443"/>
    <w:rsid w:val="0040015A"/>
    <w:rsid w:val="00455C4F"/>
    <w:rsid w:val="004822D0"/>
    <w:rsid w:val="004E0BD9"/>
    <w:rsid w:val="00544890"/>
    <w:rsid w:val="00577D36"/>
    <w:rsid w:val="00591873"/>
    <w:rsid w:val="005F3B36"/>
    <w:rsid w:val="00602D16"/>
    <w:rsid w:val="006032D3"/>
    <w:rsid w:val="00607119"/>
    <w:rsid w:val="00624135"/>
    <w:rsid w:val="006A662D"/>
    <w:rsid w:val="006A6FE1"/>
    <w:rsid w:val="006C6844"/>
    <w:rsid w:val="006D5E11"/>
    <w:rsid w:val="006D5EC9"/>
    <w:rsid w:val="00714EEC"/>
    <w:rsid w:val="00783E97"/>
    <w:rsid w:val="00826B38"/>
    <w:rsid w:val="00861C53"/>
    <w:rsid w:val="00883068"/>
    <w:rsid w:val="008E3424"/>
    <w:rsid w:val="0093035A"/>
    <w:rsid w:val="00933568"/>
    <w:rsid w:val="009531D8"/>
    <w:rsid w:val="00961629"/>
    <w:rsid w:val="0097176B"/>
    <w:rsid w:val="009775A8"/>
    <w:rsid w:val="009B1B9D"/>
    <w:rsid w:val="00A43000"/>
    <w:rsid w:val="00A9191A"/>
    <w:rsid w:val="00AA19FC"/>
    <w:rsid w:val="00B076ED"/>
    <w:rsid w:val="00B86B1A"/>
    <w:rsid w:val="00BC1DDC"/>
    <w:rsid w:val="00C0330D"/>
    <w:rsid w:val="00C3237B"/>
    <w:rsid w:val="00C34F4B"/>
    <w:rsid w:val="00C75412"/>
    <w:rsid w:val="00C938FB"/>
    <w:rsid w:val="00CD5B3E"/>
    <w:rsid w:val="00D61026"/>
    <w:rsid w:val="00DB6585"/>
    <w:rsid w:val="00E01F4D"/>
    <w:rsid w:val="00E26915"/>
    <w:rsid w:val="00E2778B"/>
    <w:rsid w:val="00EB7E01"/>
    <w:rsid w:val="00ED7A79"/>
    <w:rsid w:val="00F0562E"/>
    <w:rsid w:val="00F85F0F"/>
    <w:rsid w:val="00F95C5C"/>
    <w:rsid w:val="00F96A49"/>
    <w:rsid w:val="00FC1088"/>
    <w:rsid w:val="00FC14A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5E11"/>
    <w:rPr>
      <w:rFonts w:ascii="Times New Roman" w:hAnsi="Times New Roman"/>
      <w:sz w:val="24"/>
      <w:szCs w:val="24"/>
    </w:rPr>
  </w:style>
  <w:style w:type="paragraph" w:styleId="Nadpis2">
    <w:name w:val="heading 2"/>
    <w:basedOn w:val="Normln"/>
    <w:next w:val="Normln"/>
    <w:link w:val="Nadpis2Char1"/>
    <w:uiPriority w:val="99"/>
    <w:qFormat/>
    <w:rsid w:val="006D5E11"/>
    <w:pPr>
      <w:keepNext/>
      <w:outlineLvl w:val="1"/>
    </w:pPr>
    <w:rPr>
      <w:b/>
      <w:bCs/>
    </w:rPr>
  </w:style>
  <w:style w:type="paragraph" w:styleId="Nadpis3">
    <w:name w:val="heading 3"/>
    <w:basedOn w:val="Normln"/>
    <w:link w:val="Nadpis3Char1"/>
    <w:uiPriority w:val="99"/>
    <w:qFormat/>
    <w:rsid w:val="006D5E11"/>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1">
    <w:name w:val="Nadpis 2 Char1"/>
    <w:basedOn w:val="Standardnpsmoodstavce"/>
    <w:link w:val="Nadpis2"/>
    <w:uiPriority w:val="99"/>
    <w:rsid w:val="006D5E11"/>
    <w:rPr>
      <w:rFonts w:ascii="Cambria" w:hAnsi="Cambria" w:cs="Cambria"/>
      <w:b/>
      <w:bCs/>
      <w:i/>
      <w:iCs/>
      <w:sz w:val="28"/>
      <w:szCs w:val="28"/>
    </w:rPr>
  </w:style>
  <w:style w:type="character" w:customStyle="1" w:styleId="Nadpis3Char1">
    <w:name w:val="Nadpis 3 Char1"/>
    <w:basedOn w:val="Standardnpsmoodstavce"/>
    <w:link w:val="Nadpis3"/>
    <w:uiPriority w:val="99"/>
    <w:rsid w:val="006D5E11"/>
    <w:rPr>
      <w:rFonts w:ascii="Cambria" w:hAnsi="Cambria" w:cs="Cambria"/>
      <w:b/>
      <w:bCs/>
      <w:sz w:val="26"/>
      <w:szCs w:val="26"/>
    </w:rPr>
  </w:style>
  <w:style w:type="character" w:customStyle="1" w:styleId="Nadpis2Char">
    <w:name w:val="Nadpis 2 Char"/>
    <w:basedOn w:val="Standardnpsmoodstavce"/>
    <w:uiPriority w:val="99"/>
    <w:rsid w:val="006D5E11"/>
    <w:rPr>
      <w:rFonts w:ascii="Cambria" w:hAnsi="Cambria" w:cs="Cambria"/>
      <w:b/>
      <w:bCs/>
      <w:i/>
      <w:iCs/>
      <w:sz w:val="28"/>
      <w:szCs w:val="28"/>
    </w:rPr>
  </w:style>
  <w:style w:type="character" w:customStyle="1" w:styleId="Nadpis3Char">
    <w:name w:val="Nadpis 3 Char"/>
    <w:basedOn w:val="Standardnpsmoodstavce"/>
    <w:uiPriority w:val="99"/>
    <w:rsid w:val="006D5E11"/>
    <w:rPr>
      <w:rFonts w:ascii="Cambria" w:hAnsi="Cambria" w:cs="Cambria"/>
      <w:b/>
      <w:bCs/>
      <w:sz w:val="26"/>
      <w:szCs w:val="26"/>
    </w:rPr>
  </w:style>
  <w:style w:type="paragraph" w:styleId="Normlnweb">
    <w:name w:val="Normal (Web)"/>
    <w:basedOn w:val="Normln"/>
    <w:uiPriority w:val="99"/>
    <w:rsid w:val="006D5E11"/>
    <w:pPr>
      <w:spacing w:before="100" w:beforeAutospacing="1" w:after="100" w:afterAutospacing="1"/>
    </w:pPr>
    <w:rPr>
      <w:color w:val="0078B3"/>
    </w:rPr>
  </w:style>
  <w:style w:type="paragraph" w:styleId="Zkladntext">
    <w:name w:val="Body Text"/>
    <w:basedOn w:val="Normln"/>
    <w:link w:val="ZkladntextChar1"/>
    <w:uiPriority w:val="99"/>
    <w:rsid w:val="006D5E11"/>
    <w:pPr>
      <w:jc w:val="both"/>
    </w:pPr>
  </w:style>
  <w:style w:type="character" w:customStyle="1" w:styleId="ZkladntextChar1">
    <w:name w:val="Základní text Char1"/>
    <w:basedOn w:val="Standardnpsmoodstavce"/>
    <w:link w:val="Zkladntext"/>
    <w:uiPriority w:val="99"/>
    <w:rsid w:val="006D5E11"/>
    <w:rPr>
      <w:rFonts w:ascii="Times New Roman" w:hAnsi="Times New Roman" w:cs="Times New Roman"/>
      <w:sz w:val="24"/>
      <w:szCs w:val="24"/>
    </w:rPr>
  </w:style>
  <w:style w:type="character" w:customStyle="1" w:styleId="ZkladntextChar">
    <w:name w:val="Základní text Char"/>
    <w:basedOn w:val="Standardnpsmoodstavce"/>
    <w:uiPriority w:val="99"/>
    <w:rsid w:val="006D5E11"/>
    <w:rPr>
      <w:rFonts w:ascii="Times New Roman" w:hAnsi="Times New Roman" w:cs="Times New Roman"/>
      <w:sz w:val="24"/>
      <w:szCs w:val="24"/>
    </w:rPr>
  </w:style>
  <w:style w:type="paragraph" w:styleId="Rozvrendokumentu">
    <w:name w:val="Document Map"/>
    <w:basedOn w:val="Normln"/>
    <w:link w:val="RozvrendokumentuChar1"/>
    <w:uiPriority w:val="99"/>
    <w:rsid w:val="006D5E11"/>
    <w:pPr>
      <w:shd w:val="clear" w:color="auto" w:fill="000080"/>
    </w:pPr>
    <w:rPr>
      <w:rFonts w:ascii="Tahoma" w:hAnsi="Tahoma" w:cs="Tahoma"/>
    </w:rPr>
  </w:style>
  <w:style w:type="character" w:customStyle="1" w:styleId="RozvrendokumentuChar1">
    <w:name w:val="Rozvržení dokumentu Char1"/>
    <w:basedOn w:val="Standardnpsmoodstavce"/>
    <w:link w:val="Rozvrendokumentu"/>
    <w:uiPriority w:val="99"/>
    <w:rsid w:val="006D5E11"/>
    <w:rPr>
      <w:rFonts w:ascii="Times New Roman" w:hAnsi="Times New Roman" w:cs="Times New Roman"/>
      <w:sz w:val="2"/>
      <w:szCs w:val="2"/>
    </w:rPr>
  </w:style>
  <w:style w:type="character" w:customStyle="1" w:styleId="RozvrendokumentuChar">
    <w:name w:val="Rozvržení dokumentu Char"/>
    <w:basedOn w:val="Standardnpsmoodstavce"/>
    <w:uiPriority w:val="99"/>
    <w:rsid w:val="006D5E11"/>
    <w:rPr>
      <w:rFonts w:ascii="Times New Roman" w:hAnsi="Times New Roman" w:cs="Times New Roman"/>
      <w:sz w:val="2"/>
      <w:szCs w:val="2"/>
    </w:rPr>
  </w:style>
  <w:style w:type="paragraph" w:styleId="Zkladntextodsazen">
    <w:name w:val="Body Text Indent"/>
    <w:basedOn w:val="Normln"/>
    <w:link w:val="ZkladntextodsazenChar1"/>
    <w:uiPriority w:val="99"/>
    <w:rsid w:val="006D5E11"/>
    <w:pPr>
      <w:ind w:firstLine="708"/>
    </w:pPr>
    <w:rPr>
      <w:rFonts w:ascii="Arial" w:hAnsi="Arial" w:cs="Arial"/>
      <w:sz w:val="20"/>
      <w:szCs w:val="20"/>
    </w:rPr>
  </w:style>
  <w:style w:type="character" w:customStyle="1" w:styleId="ZkladntextodsazenChar1">
    <w:name w:val="Základní text odsazený Char1"/>
    <w:basedOn w:val="Standardnpsmoodstavce"/>
    <w:link w:val="Zkladntextodsazen"/>
    <w:uiPriority w:val="99"/>
    <w:rsid w:val="006D5E11"/>
    <w:rPr>
      <w:rFonts w:ascii="Times New Roman" w:hAnsi="Times New Roman" w:cs="Times New Roman"/>
      <w:sz w:val="24"/>
      <w:szCs w:val="24"/>
    </w:rPr>
  </w:style>
  <w:style w:type="character" w:customStyle="1" w:styleId="ZkladntextodsazenChar">
    <w:name w:val="Základní text odsazený Char"/>
    <w:basedOn w:val="Standardnpsmoodstavce"/>
    <w:uiPriority w:val="99"/>
    <w:rsid w:val="006D5E11"/>
    <w:rPr>
      <w:rFonts w:ascii="Times New Roman" w:hAnsi="Times New Roman" w:cs="Times New Roman"/>
      <w:sz w:val="24"/>
      <w:szCs w:val="24"/>
    </w:rPr>
  </w:style>
  <w:style w:type="character" w:styleId="Hypertextovodkaz">
    <w:name w:val="Hyperlink"/>
    <w:basedOn w:val="Standardnpsmoodstavce"/>
    <w:uiPriority w:val="99"/>
    <w:rsid w:val="006D5E11"/>
    <w:rPr>
      <w:rFonts w:ascii="Times New Roman" w:hAnsi="Times New Roman" w:cs="Times New Roman"/>
      <w:color w:val="0000FF"/>
      <w:u w:val="single"/>
    </w:rPr>
  </w:style>
  <w:style w:type="character" w:styleId="Sledovanodkaz">
    <w:name w:val="FollowedHyperlink"/>
    <w:basedOn w:val="Standardnpsmoodstavce"/>
    <w:uiPriority w:val="99"/>
    <w:rsid w:val="006D5E11"/>
    <w:rPr>
      <w:rFonts w:ascii="Times New Roman" w:hAnsi="Times New Roman" w:cs="Times New Roman"/>
      <w:color w:val="800080"/>
      <w:u w:val="single"/>
    </w:rPr>
  </w:style>
  <w:style w:type="paragraph" w:customStyle="1" w:styleId="Meze">
    <w:name w:val="Meze"/>
    <w:uiPriority w:val="99"/>
    <w:rsid w:val="006D5E11"/>
    <w:pPr>
      <w:widowControl w:val="0"/>
    </w:pPr>
    <w:rPr>
      <w:rFonts w:ascii="Arial" w:eastAsia="Arial Unicode MS" w:hAnsi="Arial" w:cs="Arial"/>
      <w:sz w:val="8"/>
      <w:szCs w:val="8"/>
    </w:rPr>
  </w:style>
  <w:style w:type="paragraph" w:customStyle="1" w:styleId="Text">
    <w:name w:val="Text"/>
    <w:uiPriority w:val="99"/>
    <w:rsid w:val="006D5E11"/>
    <w:pPr>
      <w:ind w:firstLine="567"/>
      <w:jc w:val="both"/>
    </w:pPr>
    <w:rPr>
      <w:rFonts w:ascii="Arial" w:hAnsi="Arial" w:cs="Arial"/>
    </w:rPr>
  </w:style>
  <w:style w:type="paragraph" w:styleId="Zkladntextodsazen2">
    <w:name w:val="Body Text Indent 2"/>
    <w:basedOn w:val="Normln"/>
    <w:link w:val="Zkladntextodsazen2Char1"/>
    <w:uiPriority w:val="99"/>
    <w:rsid w:val="006D5E11"/>
    <w:pPr>
      <w:ind w:firstLine="709"/>
      <w:jc w:val="both"/>
    </w:pPr>
    <w:rPr>
      <w:rFonts w:ascii="Arial" w:hAnsi="Arial" w:cs="Arial"/>
      <w:sz w:val="20"/>
      <w:szCs w:val="20"/>
    </w:rPr>
  </w:style>
  <w:style w:type="character" w:customStyle="1" w:styleId="Zkladntextodsazen2Char1">
    <w:name w:val="Základní text odsazený 2 Char1"/>
    <w:basedOn w:val="Standardnpsmoodstavce"/>
    <w:link w:val="Zkladntextodsazen2"/>
    <w:uiPriority w:val="99"/>
    <w:rsid w:val="006D5E11"/>
    <w:rPr>
      <w:rFonts w:ascii="Times New Roman" w:hAnsi="Times New Roman" w:cs="Times New Roman"/>
      <w:sz w:val="24"/>
      <w:szCs w:val="24"/>
    </w:rPr>
  </w:style>
  <w:style w:type="character" w:customStyle="1" w:styleId="Zkladntextodsazen2Char">
    <w:name w:val="Základní text odsazený 2 Char"/>
    <w:basedOn w:val="Standardnpsmoodstavce"/>
    <w:uiPriority w:val="99"/>
    <w:rsid w:val="006D5E11"/>
    <w:rPr>
      <w:rFonts w:ascii="Times New Roman" w:hAnsi="Times New Roman" w:cs="Times New Roman"/>
      <w:sz w:val="24"/>
      <w:szCs w:val="24"/>
    </w:rPr>
  </w:style>
  <w:style w:type="paragraph" w:styleId="Zkladntextodsazen3">
    <w:name w:val="Body Text Indent 3"/>
    <w:basedOn w:val="Normln"/>
    <w:link w:val="Zkladntextodsazen3Char1"/>
    <w:uiPriority w:val="99"/>
    <w:rsid w:val="006D5E11"/>
    <w:pPr>
      <w:ind w:left="709"/>
    </w:pPr>
    <w:rPr>
      <w:rFonts w:ascii="Arial" w:hAnsi="Arial" w:cs="Arial"/>
      <w:b/>
      <w:bCs/>
      <w:sz w:val="20"/>
      <w:szCs w:val="20"/>
    </w:rPr>
  </w:style>
  <w:style w:type="character" w:customStyle="1" w:styleId="Zkladntextodsazen3Char1">
    <w:name w:val="Základní text odsazený 3 Char1"/>
    <w:basedOn w:val="Standardnpsmoodstavce"/>
    <w:link w:val="Zkladntextodsazen3"/>
    <w:uiPriority w:val="99"/>
    <w:rsid w:val="006D5E11"/>
    <w:rPr>
      <w:rFonts w:ascii="Times New Roman" w:hAnsi="Times New Roman" w:cs="Times New Roman"/>
      <w:sz w:val="16"/>
      <w:szCs w:val="16"/>
    </w:rPr>
  </w:style>
  <w:style w:type="character" w:customStyle="1" w:styleId="Zkladntextodsazen3Char">
    <w:name w:val="Základní text odsazený 3 Char"/>
    <w:basedOn w:val="Standardnpsmoodstavce"/>
    <w:uiPriority w:val="99"/>
    <w:rsid w:val="006D5E11"/>
    <w:rPr>
      <w:rFonts w:ascii="Times New Roman" w:hAnsi="Times New Roman" w:cs="Times New Roman"/>
      <w:sz w:val="16"/>
      <w:szCs w:val="16"/>
    </w:rPr>
  </w:style>
  <w:style w:type="paragraph" w:styleId="Zkladntext2">
    <w:name w:val="Body Text 2"/>
    <w:basedOn w:val="Normln"/>
    <w:link w:val="Zkladntext2Char1"/>
    <w:uiPriority w:val="99"/>
    <w:rsid w:val="006D5E11"/>
    <w:rPr>
      <w:rFonts w:ascii="Arial" w:hAnsi="Arial" w:cs="Arial"/>
      <w:sz w:val="20"/>
      <w:szCs w:val="20"/>
    </w:rPr>
  </w:style>
  <w:style w:type="character" w:customStyle="1" w:styleId="Zkladntext2Char1">
    <w:name w:val="Základní text 2 Char1"/>
    <w:basedOn w:val="Standardnpsmoodstavce"/>
    <w:link w:val="Zkladntext2"/>
    <w:uiPriority w:val="99"/>
    <w:rsid w:val="006D5E11"/>
    <w:rPr>
      <w:rFonts w:ascii="Times New Roman" w:hAnsi="Times New Roman" w:cs="Times New Roman"/>
      <w:sz w:val="24"/>
      <w:szCs w:val="24"/>
    </w:rPr>
  </w:style>
  <w:style w:type="character" w:customStyle="1" w:styleId="Zkladntext2Char">
    <w:name w:val="Základní text 2 Char"/>
    <w:basedOn w:val="Standardnpsmoodstavce"/>
    <w:uiPriority w:val="99"/>
    <w:rsid w:val="006D5E11"/>
    <w:rPr>
      <w:rFonts w:ascii="Times New Roman" w:hAnsi="Times New Roman" w:cs="Times New Roman"/>
      <w:sz w:val="24"/>
      <w:szCs w:val="24"/>
    </w:rPr>
  </w:style>
  <w:style w:type="paragraph" w:styleId="Zkladntext3">
    <w:name w:val="Body Text 3"/>
    <w:basedOn w:val="Normln"/>
    <w:link w:val="Zkladntext3Char1"/>
    <w:uiPriority w:val="99"/>
    <w:rsid w:val="006D5E11"/>
    <w:pPr>
      <w:tabs>
        <w:tab w:val="left" w:pos="540"/>
      </w:tabs>
      <w:jc w:val="both"/>
    </w:pPr>
    <w:rPr>
      <w:rFonts w:ascii="Arial" w:hAnsi="Arial" w:cs="Arial"/>
      <w:sz w:val="20"/>
      <w:szCs w:val="20"/>
    </w:rPr>
  </w:style>
  <w:style w:type="character" w:customStyle="1" w:styleId="Zkladntext3Char1">
    <w:name w:val="Základní text 3 Char1"/>
    <w:basedOn w:val="Standardnpsmoodstavce"/>
    <w:link w:val="Zkladntext3"/>
    <w:uiPriority w:val="99"/>
    <w:rsid w:val="006D5E11"/>
    <w:rPr>
      <w:rFonts w:ascii="Times New Roman" w:hAnsi="Times New Roman" w:cs="Times New Roman"/>
      <w:sz w:val="16"/>
      <w:szCs w:val="16"/>
    </w:rPr>
  </w:style>
  <w:style w:type="character" w:customStyle="1" w:styleId="Zkladntext3Char">
    <w:name w:val="Základní text 3 Char"/>
    <w:basedOn w:val="Standardnpsmoodstavce"/>
    <w:uiPriority w:val="99"/>
    <w:rsid w:val="006D5E11"/>
    <w:rPr>
      <w:rFonts w:ascii="Times New Roman" w:hAnsi="Times New Roman" w:cs="Times New Roman"/>
      <w:sz w:val="16"/>
      <w:szCs w:val="16"/>
    </w:rPr>
  </w:style>
  <w:style w:type="paragraph" w:styleId="Textbubliny">
    <w:name w:val="Balloon Text"/>
    <w:basedOn w:val="Normln"/>
    <w:link w:val="TextbublinyChar2"/>
    <w:uiPriority w:val="99"/>
    <w:rsid w:val="006D5E11"/>
    <w:rPr>
      <w:rFonts w:ascii="Tahoma" w:hAnsi="Tahoma" w:cs="Tahoma"/>
      <w:sz w:val="16"/>
      <w:szCs w:val="16"/>
    </w:rPr>
  </w:style>
  <w:style w:type="character" w:customStyle="1" w:styleId="TextbublinyChar2">
    <w:name w:val="Text bubliny Char2"/>
    <w:basedOn w:val="Standardnpsmoodstavce"/>
    <w:link w:val="Textbubliny"/>
    <w:uiPriority w:val="99"/>
    <w:rsid w:val="006D5E11"/>
    <w:rPr>
      <w:rFonts w:ascii="Times New Roman" w:hAnsi="Times New Roman" w:cs="Times New Roman"/>
      <w:sz w:val="2"/>
      <w:szCs w:val="2"/>
    </w:rPr>
  </w:style>
  <w:style w:type="character" w:customStyle="1" w:styleId="TextbublinyChar1">
    <w:name w:val="Text bubliny Char1"/>
    <w:basedOn w:val="Standardnpsmoodstavce"/>
    <w:uiPriority w:val="99"/>
    <w:rsid w:val="006D5E11"/>
    <w:rPr>
      <w:rFonts w:ascii="Times New Roman" w:hAnsi="Times New Roman" w:cs="Times New Roman"/>
      <w:sz w:val="2"/>
      <w:szCs w:val="2"/>
    </w:rPr>
  </w:style>
  <w:style w:type="character" w:customStyle="1" w:styleId="TextbublinyChar">
    <w:name w:val="Text bubliny Char"/>
    <w:basedOn w:val="Standardnpsmoodstavce"/>
    <w:uiPriority w:val="99"/>
    <w:rsid w:val="006D5E11"/>
    <w:rPr>
      <w:rFonts w:ascii="Tahoma" w:hAnsi="Tahoma" w:cs="Tahoma"/>
      <w:sz w:val="16"/>
      <w:szCs w:val="16"/>
    </w:rPr>
  </w:style>
  <w:style w:type="character" w:styleId="Odkaznakoment">
    <w:name w:val="annotation reference"/>
    <w:basedOn w:val="Standardnpsmoodstavce"/>
    <w:uiPriority w:val="99"/>
    <w:rsid w:val="006D5E11"/>
    <w:rPr>
      <w:rFonts w:ascii="Times New Roman" w:hAnsi="Times New Roman" w:cs="Times New Roman"/>
      <w:sz w:val="16"/>
      <w:szCs w:val="16"/>
    </w:rPr>
  </w:style>
  <w:style w:type="paragraph" w:styleId="Textkomente">
    <w:name w:val="annotation text"/>
    <w:basedOn w:val="Normln"/>
    <w:link w:val="TextkomenteChar1"/>
    <w:uiPriority w:val="99"/>
    <w:rsid w:val="006D5E11"/>
    <w:rPr>
      <w:sz w:val="20"/>
      <w:szCs w:val="20"/>
    </w:rPr>
  </w:style>
  <w:style w:type="character" w:customStyle="1" w:styleId="TextkomenteChar1">
    <w:name w:val="Text komentáře Char1"/>
    <w:basedOn w:val="Standardnpsmoodstavce"/>
    <w:link w:val="Textkomente"/>
    <w:uiPriority w:val="99"/>
    <w:rsid w:val="006D5E11"/>
    <w:rPr>
      <w:rFonts w:ascii="Times New Roman" w:hAnsi="Times New Roman" w:cs="Times New Roman"/>
      <w:sz w:val="20"/>
      <w:szCs w:val="20"/>
    </w:rPr>
  </w:style>
  <w:style w:type="character" w:customStyle="1" w:styleId="TextkomenteChar">
    <w:name w:val="Text komentáře Char"/>
    <w:basedOn w:val="Standardnpsmoodstavce"/>
    <w:uiPriority w:val="99"/>
    <w:rsid w:val="006D5E11"/>
    <w:rPr>
      <w:rFonts w:ascii="Times New Roman" w:hAnsi="Times New Roman" w:cs="Times New Roman"/>
      <w:sz w:val="20"/>
      <w:szCs w:val="20"/>
    </w:rPr>
  </w:style>
  <w:style w:type="table" w:styleId="Mkatabulky">
    <w:name w:val="Table Grid"/>
    <w:basedOn w:val="Normlntabulka"/>
    <w:uiPriority w:val="59"/>
    <w:rsid w:val="002638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edmtkomente">
    <w:name w:val="annotation subject"/>
    <w:basedOn w:val="Textkomente"/>
    <w:next w:val="Textkomente"/>
    <w:link w:val="PedmtkomenteChar"/>
    <w:uiPriority w:val="99"/>
    <w:semiHidden/>
    <w:unhideWhenUsed/>
    <w:rsid w:val="00C3237B"/>
    <w:rPr>
      <w:b/>
      <w:bCs/>
    </w:rPr>
  </w:style>
  <w:style w:type="character" w:customStyle="1" w:styleId="PedmtkomenteChar">
    <w:name w:val="Předmět komentáře Char"/>
    <w:basedOn w:val="TextkomenteChar1"/>
    <w:link w:val="Pedmtkomente"/>
    <w:uiPriority w:val="99"/>
    <w:semiHidden/>
    <w:rsid w:val="00C3237B"/>
    <w:rPr>
      <w:b/>
      <w:bCs/>
    </w:rPr>
  </w:style>
  <w:style w:type="paragraph" w:styleId="Revize">
    <w:name w:val="Revision"/>
    <w:hidden/>
    <w:uiPriority w:val="99"/>
    <w:semiHidden/>
    <w:rsid w:val="00C3237B"/>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zso.cz/csu/czso/zivotni_uroven_spotreba_domacnosti_pra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E3FF9-07A7-4BD5-86CC-8382EB32D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2081</Words>
  <Characters>12284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Poznámky k tabulkám</vt:lpstr>
    </vt:vector>
  </TitlesOfParts>
  <Company>CSU</Company>
  <LinksUpToDate>false</LinksUpToDate>
  <CharactersWithSpaces>14337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Poznámky k tabulkám</dc:title>
  <dc:creator>Lenka Machackova</dc:creator>
  <cp:lastModifiedBy>novotna17122</cp:lastModifiedBy>
  <cp:revision>6</cp:revision>
  <cp:lastPrinted>2015-08-26T05:08:00Z</cp:lastPrinted>
  <dcterms:created xsi:type="dcterms:W3CDTF">2015-08-26T05:05:00Z</dcterms:created>
  <dcterms:modified xsi:type="dcterms:W3CDTF">2016-06-03T08:16:00Z</dcterms:modified>
</cp:coreProperties>
</file>