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4DB" w:rsidRPr="00641938" w:rsidRDefault="00BB64DB" w:rsidP="00694914">
      <w:pPr>
        <w:pStyle w:val="Nadpis1"/>
        <w:numPr>
          <w:ilvl w:val="0"/>
          <w:numId w:val="17"/>
        </w:numPr>
      </w:pPr>
      <w:bookmarkStart w:id="0" w:name="_Toc430189814"/>
      <w:bookmarkStart w:id="1" w:name="_Toc431475042"/>
      <w:r w:rsidRPr="00641938">
        <w:t>VIDEOHRY</w:t>
      </w:r>
      <w:bookmarkEnd w:id="0"/>
      <w:bookmarkEnd w:id="1"/>
    </w:p>
    <w:p w:rsidR="00BB64DB" w:rsidRPr="00942F60" w:rsidRDefault="00BB64DB" w:rsidP="00BB64DB">
      <w:pPr>
        <w:pStyle w:val="Titulek"/>
        <w:keepNext/>
        <w:jc w:val="right"/>
        <w:rPr>
          <w:color w:val="auto"/>
        </w:rPr>
      </w:pPr>
      <w:r w:rsidRPr="00942F60">
        <w:rPr>
          <w:color w:val="auto"/>
          <w:sz w:val="22"/>
          <w:szCs w:val="22"/>
        </w:rPr>
        <w:t xml:space="preserve">Tabulka </w:t>
      </w:r>
      <w:r w:rsidR="00A94A53" w:rsidRPr="00942F60">
        <w:rPr>
          <w:color w:val="auto"/>
          <w:sz w:val="22"/>
          <w:szCs w:val="22"/>
        </w:rPr>
        <w:fldChar w:fldCharType="begin"/>
      </w:r>
      <w:r w:rsidRPr="00942F60">
        <w:rPr>
          <w:color w:val="auto"/>
          <w:sz w:val="22"/>
          <w:szCs w:val="22"/>
        </w:rPr>
        <w:instrText xml:space="preserve"> SEQ Tabulka \* ARABIC </w:instrText>
      </w:r>
      <w:r w:rsidR="00A94A53" w:rsidRPr="00942F60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8</w:t>
      </w:r>
      <w:r w:rsidR="00A94A53" w:rsidRPr="00942F60">
        <w:rPr>
          <w:color w:val="auto"/>
          <w:sz w:val="22"/>
          <w:szCs w:val="22"/>
        </w:rPr>
        <w:fldChar w:fldCharType="end"/>
      </w:r>
      <w:r w:rsidRPr="00942F60">
        <w:rPr>
          <w:color w:val="auto"/>
        </w:rPr>
        <w:t xml:space="preserve"> </w:t>
      </w:r>
      <w:r w:rsidRPr="00942F60">
        <w:rPr>
          <w:b w:val="0"/>
          <w:color w:val="auto"/>
          <w:sz w:val="22"/>
          <w:szCs w:val="22"/>
        </w:rPr>
        <w:t>Vymezení oblasti videoher podle klasifikace NACE</w:t>
      </w:r>
    </w:p>
    <w:tbl>
      <w:tblPr>
        <w:tblW w:w="6377" w:type="dxa"/>
        <w:jc w:val="right"/>
        <w:tblInd w:w="4781" w:type="dxa"/>
        <w:tblCellMar>
          <w:left w:w="70" w:type="dxa"/>
          <w:right w:w="70" w:type="dxa"/>
        </w:tblCellMar>
        <w:tblLook w:val="04A0"/>
      </w:tblPr>
      <w:tblGrid>
        <w:gridCol w:w="1009"/>
        <w:gridCol w:w="5368"/>
      </w:tblGrid>
      <w:tr w:rsidR="00BB64DB" w:rsidRPr="00521A9C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942F60" w:rsidRDefault="00BB64DB" w:rsidP="00942F60">
            <w:pPr>
              <w:pStyle w:val="Box"/>
              <w:ind w:hanging="1133"/>
              <w:rPr>
                <w:rFonts w:asciiTheme="minorHAnsi" w:hAnsiTheme="minorHAnsi"/>
                <w:sz w:val="20"/>
                <w:szCs w:val="20"/>
              </w:rPr>
            </w:pPr>
            <w:r w:rsidRPr="00942F60">
              <w:rPr>
                <w:rFonts w:asciiTheme="minorHAnsi" w:hAnsiTheme="minorHAnsi"/>
                <w:sz w:val="20"/>
                <w:szCs w:val="20"/>
              </w:rPr>
              <w:t>NACE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2DBDB" w:themeFill="accent2" w:themeFillTint="33"/>
            <w:hideMark/>
          </w:tcPr>
          <w:p w:rsidR="00BB64DB" w:rsidRPr="00942F60" w:rsidRDefault="00BB64DB" w:rsidP="00942F60">
            <w:pPr>
              <w:pStyle w:val="Box"/>
              <w:ind w:hanging="1134"/>
              <w:rPr>
                <w:rFonts w:asciiTheme="minorHAnsi" w:hAnsiTheme="minorHAnsi"/>
                <w:sz w:val="20"/>
                <w:szCs w:val="20"/>
              </w:rPr>
            </w:pPr>
            <w:r w:rsidRPr="00942F60">
              <w:rPr>
                <w:rFonts w:asciiTheme="minorHAnsi" w:hAnsiTheme="minorHAnsi"/>
                <w:sz w:val="20"/>
                <w:szCs w:val="20"/>
              </w:rPr>
              <w:t>EKONOMICKÁ ČINNOST</w:t>
            </w:r>
          </w:p>
        </w:tc>
      </w:tr>
      <w:tr w:rsidR="00BB64DB" w:rsidRPr="00521A9C" w:rsidTr="00942F60">
        <w:trPr>
          <w:trHeight w:val="255"/>
          <w:jc w:val="right"/>
        </w:trPr>
        <w:tc>
          <w:tcPr>
            <w:tcW w:w="10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942F60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942F60">
              <w:rPr>
                <w:rFonts w:asciiTheme="minorHAnsi" w:hAnsiTheme="minorHAnsi"/>
                <w:szCs w:val="20"/>
              </w:rPr>
              <w:t>58.21</w:t>
            </w:r>
          </w:p>
        </w:tc>
        <w:tc>
          <w:tcPr>
            <w:tcW w:w="536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BB64DB" w:rsidRPr="00942F60" w:rsidRDefault="00BB64DB" w:rsidP="00942F60">
            <w:pPr>
              <w:spacing w:after="0" w:line="276" w:lineRule="auto"/>
              <w:jc w:val="left"/>
              <w:rPr>
                <w:rFonts w:asciiTheme="minorHAnsi" w:hAnsiTheme="minorHAnsi"/>
                <w:szCs w:val="20"/>
              </w:rPr>
            </w:pPr>
            <w:r w:rsidRPr="00942F60">
              <w:rPr>
                <w:rFonts w:asciiTheme="minorHAnsi" w:hAnsiTheme="minorHAnsi"/>
                <w:szCs w:val="20"/>
              </w:rPr>
              <w:t>Vydávání počítačových her</w:t>
            </w:r>
          </w:p>
        </w:tc>
      </w:tr>
    </w:tbl>
    <w:p w:rsidR="00BB64DB" w:rsidRDefault="00BB64DB" w:rsidP="00BB64DB"/>
    <w:p w:rsidR="00BA44D7" w:rsidRDefault="00BB64DB" w:rsidP="00BB64DB">
      <w:r>
        <w:t>Trh s videohrami je nejmladší oblastí audio</w:t>
      </w:r>
      <w:r w:rsidR="00942F60">
        <w:t>vizuálního a mediálního sektoru</w:t>
      </w:r>
      <w:r>
        <w:t>. Herní průmysl je celosvětově rychle se rozvíjejícím odvětvím a je ve velké míře ovlivněn technologickém vývojem. Proto se také forma hraní her a návyky spotřebitelů mění rychleji než v ostatních audiovizuálních oblastech a vedle klasických počítačových her a videoher se stále rychleji rozvíjí trh s mobilními herními aplikacemi a hrami přes sociální sítě</w:t>
      </w:r>
      <w:r w:rsidR="00BA44D7">
        <w:t>.</w:t>
      </w:r>
      <w:r>
        <w:t xml:space="preserve"> (ESA, 2014</w:t>
      </w:r>
      <w:r>
        <w:rPr>
          <w:lang w:val="en-US"/>
        </w:rPr>
        <w:t xml:space="preserve">; </w:t>
      </w:r>
      <w:r w:rsidR="00BA44D7">
        <w:t>PWC, 2014)</w:t>
      </w:r>
    </w:p>
    <w:p w:rsidR="00BB64DB" w:rsidRDefault="00BA44D7" w:rsidP="00BB64DB">
      <w:r>
        <w:tab/>
      </w:r>
      <w:r w:rsidR="00BB64DB">
        <w:t xml:space="preserve"> Údaje o herním průmyslu v ČR a SR sbírá </w:t>
      </w:r>
      <w:r w:rsidR="00BB64DB" w:rsidRPr="00942F60">
        <w:t>Asociace herního průmyslu, která</w:t>
      </w:r>
      <w:r w:rsidR="00BB64DB">
        <w:t xml:space="preserve"> v době psaní této analýzy zveřejnila údaje do roku 2013. Šetření o podnikatelských aktivitách v oblasti videoher </w:t>
      </w:r>
      <w:r w:rsidR="00BC0761">
        <w:t>prováděl</w:t>
      </w:r>
      <w:r w:rsidR="00BB64DB">
        <w:t xml:space="preserve"> také </w:t>
      </w:r>
      <w:r w:rsidR="00BB64DB" w:rsidRPr="00942F60">
        <w:t>Institut umění – Divadelní ústav.</w:t>
      </w:r>
      <w:r w:rsidR="00BB64DB">
        <w:t xml:space="preserve"> Pro účely tohoto textu je pojem počítačová hra volně nahrazován pojmem videohra a zahrnuje veškeré aplikace a software, který je používaný ke hře na zmiňovaných zařízeních (počítač, tablet, telefon, přenosná herní zařízení apod.).</w:t>
      </w:r>
    </w:p>
    <w:p w:rsidR="00BB64DB" w:rsidRPr="00E23A58" w:rsidRDefault="00B414F8" w:rsidP="00694914">
      <w:pPr>
        <w:pStyle w:val="Nadpis2"/>
        <w:numPr>
          <w:ilvl w:val="1"/>
          <w:numId w:val="17"/>
        </w:numPr>
      </w:pPr>
      <w:bookmarkStart w:id="2" w:name="_Toc430189815"/>
      <w:bookmarkStart w:id="3" w:name="_Toc431475043"/>
      <w:r>
        <w:t>PŘÍJMY</w:t>
      </w:r>
      <w:r w:rsidR="00BB64DB" w:rsidRPr="00E23A58">
        <w:t xml:space="preserve"> A ZAMĚSTNANOST</w:t>
      </w:r>
      <w:bookmarkEnd w:id="2"/>
      <w:bookmarkEnd w:id="3"/>
    </w:p>
    <w:p w:rsidR="00BB64DB" w:rsidRDefault="00BB64DB" w:rsidP="00BB64DB">
      <w:r>
        <w:t xml:space="preserve">Údaje o </w:t>
      </w:r>
      <w:r w:rsidR="002A1980">
        <w:t>příjmech</w:t>
      </w:r>
      <w:r>
        <w:t xml:space="preserve"> a zaměstn</w:t>
      </w:r>
      <w:r w:rsidR="00BA44D7">
        <w:t>anosti v herním průmyslu pocházejí</w:t>
      </w:r>
      <w:r>
        <w:t xml:space="preserve"> z</w:t>
      </w:r>
      <w:r w:rsidR="00BA44D7">
        <w:t> dat, která shromaž</w:t>
      </w:r>
      <w:r w:rsidR="00406BC3">
        <w:t>ďoval</w:t>
      </w:r>
      <w:r w:rsidR="00BA44D7">
        <w:t xml:space="preserve"> </w:t>
      </w:r>
      <w:r w:rsidR="00BA44D7" w:rsidRPr="00942F60">
        <w:t xml:space="preserve">Institut umění – </w:t>
      </w:r>
      <w:r w:rsidR="000624C6">
        <w:t>Divadelní Institut a která jsou vzhledem k tomuto velmi úzce vymezenému subjektu vhodnější.</w:t>
      </w:r>
      <w:r>
        <w:t xml:space="preserve"> </w:t>
      </w:r>
      <w:r w:rsidR="00406BC3">
        <w:t>Proto také končí časová řada v Grafu 52 rokem 2012 – v tomto roce byla k nalezení poslední dostupná data z</w:t>
      </w:r>
      <w:r w:rsidR="000624C6">
        <w:t> tohoto zdroje</w:t>
      </w:r>
      <w:r w:rsidR="00406BC3">
        <w:t>.</w:t>
      </w:r>
      <w:r w:rsidR="000624C6">
        <w:t xml:space="preserve"> Konkrétní údaje jsou převzaté ze Satelitního účtu kultury pro referenční období 2010 – 2012.</w:t>
      </w:r>
    </w:p>
    <w:p w:rsidR="00BB64DB" w:rsidRPr="009D5ECE" w:rsidRDefault="00BB64DB" w:rsidP="00BB64DB">
      <w:pPr>
        <w:ind w:firstLine="708"/>
      </w:pPr>
      <w:r>
        <w:t xml:space="preserve">Celkové </w:t>
      </w:r>
      <w:r w:rsidR="002A1980">
        <w:t xml:space="preserve">příjmy </w:t>
      </w:r>
      <w:r w:rsidR="00406BC3">
        <w:t>se mezi lety 2010 a 2012</w:t>
      </w:r>
      <w:r>
        <w:t xml:space="preserve"> podle dostupných</w:t>
      </w:r>
      <w:r w:rsidR="00406BC3">
        <w:t xml:space="preserve"> údajů pohybovaly mezi 0,6 a 1,1</w:t>
      </w:r>
      <w:r>
        <w:t xml:space="preserve"> mld. Kč. Pro srovnání </w:t>
      </w:r>
      <w:r w:rsidR="002A1980">
        <w:t>lze</w:t>
      </w:r>
      <w:r>
        <w:t xml:space="preserve"> zmínit také poslední dostupná data </w:t>
      </w:r>
      <w:r w:rsidRPr="002A1980">
        <w:t>Asociace herního průmyslu</w:t>
      </w:r>
      <w:r>
        <w:t>. Podle AHP dosahoval v roce 2013 obrat herního průmyslu v ČR a SR výše 2,</w:t>
      </w:r>
      <w:r w:rsidR="002A1980">
        <w:t>6</w:t>
      </w:r>
      <w:r>
        <w:t xml:space="preserve"> mld. Kč včetně prodeje herních konzolí a jejich příslušenství, které by však dle vymezení NACE neměly spadat do zkoumané oblasti (AHP, 2014). </w:t>
      </w:r>
      <w:r w:rsidR="00406BC3">
        <w:t>P</w:t>
      </w:r>
      <w:r>
        <w:t>řepočtená výše zaměstnanosti na plné pracovní úvazky se</w:t>
      </w:r>
      <w:r w:rsidR="00406BC3">
        <w:t xml:space="preserve"> pohybovala v letech 2010 a 2012</w:t>
      </w:r>
      <w:r>
        <w:t xml:space="preserve"> mezi </w:t>
      </w:r>
      <w:r w:rsidR="00406BC3">
        <w:t>0,4</w:t>
      </w:r>
      <w:r>
        <w:t xml:space="preserve"> a 1</w:t>
      </w:r>
      <w:r w:rsidR="002A1980">
        <w:t>,4 tis.</w:t>
      </w:r>
      <w:r>
        <w:t xml:space="preserve"> zaměstnanci na plný pracovní úvazek.</w:t>
      </w:r>
    </w:p>
    <w:p w:rsidR="00BB64DB" w:rsidRPr="002A1980" w:rsidRDefault="00BB64DB" w:rsidP="00BB64DB">
      <w:pPr>
        <w:pStyle w:val="Titulek"/>
        <w:keepNext/>
        <w:rPr>
          <w:color w:val="auto"/>
        </w:rPr>
      </w:pPr>
      <w:r w:rsidRPr="002A1980">
        <w:rPr>
          <w:color w:val="auto"/>
          <w:sz w:val="22"/>
          <w:szCs w:val="22"/>
        </w:rPr>
        <w:t xml:space="preserve">Graf </w:t>
      </w:r>
      <w:r w:rsidR="00A94A53" w:rsidRPr="002A1980">
        <w:rPr>
          <w:color w:val="auto"/>
          <w:sz w:val="22"/>
          <w:szCs w:val="22"/>
        </w:rPr>
        <w:fldChar w:fldCharType="begin"/>
      </w:r>
      <w:r w:rsidRPr="002A1980">
        <w:rPr>
          <w:color w:val="auto"/>
          <w:sz w:val="22"/>
          <w:szCs w:val="22"/>
        </w:rPr>
        <w:instrText xml:space="preserve"> SEQ Obrázek \* ARABIC </w:instrText>
      </w:r>
      <w:r w:rsidR="00A94A53" w:rsidRPr="002A1980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52</w:t>
      </w:r>
      <w:r w:rsidR="00A94A53" w:rsidRPr="002A1980">
        <w:rPr>
          <w:color w:val="auto"/>
          <w:sz w:val="22"/>
          <w:szCs w:val="22"/>
        </w:rPr>
        <w:fldChar w:fldCharType="end"/>
      </w:r>
      <w:r w:rsidRPr="002A1980">
        <w:rPr>
          <w:color w:val="auto"/>
        </w:rPr>
        <w:t xml:space="preserve"> </w:t>
      </w:r>
      <w:r w:rsidR="002B7E46" w:rsidRPr="002B7E46">
        <w:rPr>
          <w:b w:val="0"/>
          <w:color w:val="auto"/>
          <w:sz w:val="22"/>
          <w:szCs w:val="22"/>
        </w:rPr>
        <w:t>P</w:t>
      </w:r>
      <w:r w:rsidR="002B7E46">
        <w:rPr>
          <w:b w:val="0"/>
          <w:color w:val="auto"/>
          <w:sz w:val="22"/>
          <w:szCs w:val="22"/>
        </w:rPr>
        <w:t>říjmy</w:t>
      </w:r>
      <w:r w:rsidRPr="002A1980">
        <w:rPr>
          <w:b w:val="0"/>
          <w:color w:val="auto"/>
          <w:sz w:val="22"/>
          <w:szCs w:val="22"/>
        </w:rPr>
        <w:t xml:space="preserve"> a </w:t>
      </w:r>
      <w:r w:rsidR="002B7E46">
        <w:rPr>
          <w:b w:val="0"/>
          <w:color w:val="auto"/>
          <w:sz w:val="22"/>
          <w:szCs w:val="22"/>
        </w:rPr>
        <w:t>počet</w:t>
      </w:r>
      <w:r w:rsidR="002A1980" w:rsidRPr="002A1980">
        <w:rPr>
          <w:b w:val="0"/>
          <w:color w:val="auto"/>
          <w:sz w:val="22"/>
          <w:szCs w:val="22"/>
        </w:rPr>
        <w:t xml:space="preserve"> zaměstnanců</w:t>
      </w:r>
      <w:r w:rsidR="00406BC3">
        <w:rPr>
          <w:b w:val="0"/>
          <w:color w:val="auto"/>
          <w:sz w:val="22"/>
          <w:szCs w:val="22"/>
        </w:rPr>
        <w:t xml:space="preserve"> v oblasti videoher</w:t>
      </w:r>
    </w:p>
    <w:p w:rsidR="00BB64DB" w:rsidRDefault="002A1980" w:rsidP="00BB64DB">
      <w:pPr>
        <w:keepNext/>
      </w:pPr>
      <w:r w:rsidRPr="002A1980">
        <w:rPr>
          <w:noProof/>
        </w:rPr>
        <w:drawing>
          <wp:inline distT="0" distB="0" distL="0" distR="0">
            <wp:extent cx="6276975" cy="1562100"/>
            <wp:effectExtent l="0" t="0" r="0" b="0"/>
            <wp:docPr id="25" name="Graf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B64DB" w:rsidRPr="002A1980" w:rsidRDefault="00BB64DB" w:rsidP="00BB64DB">
      <w:pPr>
        <w:pStyle w:val="Titulek"/>
        <w:rPr>
          <w:b w:val="0"/>
          <w:color w:val="auto"/>
          <w:sz w:val="22"/>
          <w:szCs w:val="22"/>
        </w:rPr>
      </w:pPr>
      <w:r w:rsidRPr="002A1980">
        <w:rPr>
          <w:b w:val="0"/>
          <w:color w:val="auto"/>
          <w:sz w:val="22"/>
          <w:szCs w:val="22"/>
        </w:rPr>
        <w:t xml:space="preserve">Zdroj: </w:t>
      </w:r>
      <w:r w:rsidR="00882967">
        <w:rPr>
          <w:b w:val="0"/>
          <w:color w:val="auto"/>
          <w:sz w:val="22"/>
          <w:szCs w:val="22"/>
        </w:rPr>
        <w:t xml:space="preserve">Satelitní účet kultury, </w:t>
      </w:r>
      <w:r w:rsidR="002A1980" w:rsidRPr="002A1980">
        <w:rPr>
          <w:b w:val="0"/>
          <w:color w:val="auto"/>
          <w:sz w:val="22"/>
          <w:szCs w:val="22"/>
        </w:rPr>
        <w:t>ČSÚ, NIPOS</w:t>
      </w:r>
    </w:p>
    <w:p w:rsidR="00BB64DB" w:rsidRPr="00E23A58" w:rsidRDefault="00BB64DB" w:rsidP="00694914">
      <w:pPr>
        <w:pStyle w:val="Nadpis2"/>
        <w:numPr>
          <w:ilvl w:val="1"/>
          <w:numId w:val="17"/>
        </w:numPr>
      </w:pPr>
      <w:bookmarkStart w:id="4" w:name="_Toc430189816"/>
      <w:bookmarkStart w:id="5" w:name="_Toc431475044"/>
      <w:r w:rsidRPr="00E23A58">
        <w:lastRenderedPageBreak/>
        <w:t>POHLED SPOTŘEBITELE</w:t>
      </w:r>
      <w:bookmarkEnd w:id="4"/>
      <w:bookmarkEnd w:id="5"/>
    </w:p>
    <w:p w:rsidR="00BB64DB" w:rsidRPr="00430E4E" w:rsidRDefault="00BB64DB" w:rsidP="00BB64DB">
      <w:pPr>
        <w:rPr>
          <w:rFonts w:cs="Arial"/>
          <w:szCs w:val="20"/>
        </w:rPr>
      </w:pPr>
      <w:r w:rsidRPr="00430E4E">
        <w:rPr>
          <w:rFonts w:cs="Arial"/>
          <w:szCs w:val="20"/>
        </w:rPr>
        <w:t>O spotřebitelských návycích posledních let existuje podrobnější evidence než u ekonomických ukazatelů. Výstupy z šetření VŠIT odhalují velké rozdíly ve využití internetu ke hře</w:t>
      </w:r>
      <w:r w:rsidR="000624C6">
        <w:rPr>
          <w:rFonts w:cs="Arial"/>
          <w:szCs w:val="20"/>
        </w:rPr>
        <w:t xml:space="preserve"> či stahování</w:t>
      </w:r>
      <w:r w:rsidRPr="00430E4E">
        <w:rPr>
          <w:rFonts w:cs="Arial"/>
          <w:szCs w:val="20"/>
        </w:rPr>
        <w:t xml:space="preserve"> počítačových her podle věkové struktury. Hry prostřednictvím internetu hrálo</w:t>
      </w:r>
      <w:r w:rsidR="000624C6">
        <w:rPr>
          <w:rFonts w:cs="Arial"/>
          <w:szCs w:val="20"/>
        </w:rPr>
        <w:t xml:space="preserve"> či stahovalo</w:t>
      </w:r>
      <w:r w:rsidRPr="00430E4E">
        <w:rPr>
          <w:rFonts w:cs="Arial"/>
          <w:szCs w:val="20"/>
        </w:rPr>
        <w:t xml:space="preserve"> v roce 2014 více než 60 </w:t>
      </w:r>
      <w:r w:rsidRPr="00430E4E">
        <w:rPr>
          <w:rFonts w:cs="Arial"/>
          <w:szCs w:val="20"/>
          <w:lang w:val="en-US"/>
        </w:rPr>
        <w:t>% v</w:t>
      </w:r>
      <w:r w:rsidRPr="00430E4E">
        <w:rPr>
          <w:rFonts w:cs="Arial"/>
          <w:szCs w:val="20"/>
        </w:rPr>
        <w:t>šech jednotlivců ve věku 16 – 24 let. Četnost této činnosti však poklesla o polovinu u věkové kategorie 25 – 34 let a dále klesala s přib</w:t>
      </w:r>
      <w:r w:rsidR="000624C6">
        <w:rPr>
          <w:rFonts w:cs="Arial"/>
          <w:szCs w:val="20"/>
        </w:rPr>
        <w:t>ývajícím věkem v populaci. Stahování či hraní</w:t>
      </w:r>
      <w:r w:rsidRPr="00430E4E">
        <w:rPr>
          <w:rFonts w:cs="Arial"/>
          <w:szCs w:val="20"/>
        </w:rPr>
        <w:t xml:space="preserve"> počítačových her online je tedy doménou zejména mladých lidí a s přibývajícím věkem výrazně ubývá jednotlivců, kteří tuto činnost provozují.</w:t>
      </w:r>
    </w:p>
    <w:p w:rsidR="00BB64DB" w:rsidRPr="00793BA5" w:rsidRDefault="00BB64DB" w:rsidP="00BB64DB">
      <w:pPr>
        <w:pStyle w:val="Titulek"/>
        <w:keepNext/>
        <w:rPr>
          <w:color w:val="auto"/>
        </w:rPr>
      </w:pPr>
      <w:r w:rsidRPr="00793BA5">
        <w:rPr>
          <w:color w:val="auto"/>
          <w:sz w:val="22"/>
          <w:szCs w:val="22"/>
        </w:rPr>
        <w:t xml:space="preserve">Graf </w:t>
      </w:r>
      <w:r w:rsidR="00A94A53" w:rsidRPr="00793BA5">
        <w:rPr>
          <w:color w:val="auto"/>
          <w:sz w:val="22"/>
          <w:szCs w:val="22"/>
        </w:rPr>
        <w:fldChar w:fldCharType="begin"/>
      </w:r>
      <w:r w:rsidRPr="00793BA5">
        <w:rPr>
          <w:color w:val="auto"/>
          <w:sz w:val="22"/>
          <w:szCs w:val="22"/>
        </w:rPr>
        <w:instrText xml:space="preserve"> SEQ Obrázek \* ARABIC </w:instrText>
      </w:r>
      <w:r w:rsidR="00A94A53" w:rsidRPr="00793BA5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53</w:t>
      </w:r>
      <w:r w:rsidR="00A94A53" w:rsidRPr="00793BA5">
        <w:rPr>
          <w:color w:val="auto"/>
          <w:sz w:val="22"/>
          <w:szCs w:val="22"/>
        </w:rPr>
        <w:fldChar w:fldCharType="end"/>
      </w:r>
      <w:r w:rsidRPr="00793BA5">
        <w:rPr>
          <w:color w:val="auto"/>
        </w:rPr>
        <w:t xml:space="preserve"> </w:t>
      </w:r>
      <w:r w:rsidR="002B7E46">
        <w:rPr>
          <w:b w:val="0"/>
          <w:color w:val="auto"/>
          <w:sz w:val="22"/>
          <w:szCs w:val="22"/>
        </w:rPr>
        <w:t xml:space="preserve">Využití internetu </w:t>
      </w:r>
      <w:r w:rsidRPr="00793BA5">
        <w:rPr>
          <w:b w:val="0"/>
          <w:color w:val="auto"/>
          <w:sz w:val="22"/>
          <w:szCs w:val="22"/>
        </w:rPr>
        <w:t>ke hře</w:t>
      </w:r>
      <w:r w:rsidR="000624C6">
        <w:rPr>
          <w:b w:val="0"/>
          <w:color w:val="auto"/>
          <w:sz w:val="22"/>
          <w:szCs w:val="22"/>
        </w:rPr>
        <w:t xml:space="preserve"> či stahování</w:t>
      </w:r>
      <w:r w:rsidRPr="00793BA5">
        <w:rPr>
          <w:b w:val="0"/>
          <w:color w:val="auto"/>
          <w:sz w:val="22"/>
          <w:szCs w:val="22"/>
        </w:rPr>
        <w:t xml:space="preserve"> počítačových her v roce 2014</w:t>
      </w:r>
    </w:p>
    <w:p w:rsidR="00BB64DB" w:rsidRPr="00AB3052" w:rsidRDefault="00793BA5" w:rsidP="00BB64DB">
      <w:pPr>
        <w:keepNext/>
        <w:jc w:val="center"/>
        <w:rPr>
          <w:color w:val="17365D" w:themeColor="text2" w:themeShade="BF"/>
        </w:rPr>
      </w:pPr>
      <w:r w:rsidRPr="00793BA5">
        <w:rPr>
          <w:noProof/>
          <w:color w:val="17365D" w:themeColor="text2" w:themeShade="BF"/>
        </w:rPr>
        <w:drawing>
          <wp:inline distT="0" distB="0" distL="0" distR="0">
            <wp:extent cx="5876925" cy="3228975"/>
            <wp:effectExtent l="0" t="0" r="0" b="0"/>
            <wp:docPr id="26" name="Graf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B64DB" w:rsidRPr="00793BA5" w:rsidRDefault="00793BA5" w:rsidP="00BB64DB">
      <w:pPr>
        <w:pStyle w:val="Titulek"/>
        <w:rPr>
          <w:b w:val="0"/>
          <w:color w:val="auto"/>
          <w:sz w:val="22"/>
          <w:szCs w:val="22"/>
        </w:rPr>
      </w:pPr>
      <w:r w:rsidRPr="00793BA5">
        <w:rPr>
          <w:b w:val="0"/>
          <w:color w:val="auto"/>
          <w:sz w:val="22"/>
          <w:szCs w:val="22"/>
        </w:rPr>
        <w:t xml:space="preserve">Zdroj: </w:t>
      </w:r>
      <w:r w:rsidR="00882967">
        <w:rPr>
          <w:b w:val="0"/>
          <w:color w:val="auto"/>
          <w:sz w:val="22"/>
          <w:szCs w:val="22"/>
        </w:rPr>
        <w:t xml:space="preserve">VŠIT, </w:t>
      </w:r>
      <w:r w:rsidRPr="00793BA5">
        <w:rPr>
          <w:b w:val="0"/>
          <w:color w:val="auto"/>
          <w:sz w:val="22"/>
          <w:szCs w:val="22"/>
        </w:rPr>
        <w:t>ČSÚ</w:t>
      </w:r>
    </w:p>
    <w:p w:rsidR="00BB64DB" w:rsidRDefault="00BB64DB" w:rsidP="00BB64DB">
      <w:r w:rsidRPr="00880296">
        <w:t>Oblíbenost hraní počítačových her přes internet mezi českými hráči dokládají také výsledky rozsáhlého šetření organizace ISFE</w:t>
      </w:r>
      <w:r w:rsidRPr="00880296">
        <w:rPr>
          <w:rStyle w:val="Znakapoznpodarou"/>
        </w:rPr>
        <w:footnoteReference w:id="1"/>
      </w:r>
      <w:r w:rsidRPr="00880296">
        <w:t xml:space="preserve"> </w:t>
      </w:r>
      <w:r w:rsidRPr="00880296">
        <w:rPr>
          <w:i/>
        </w:rPr>
        <w:t>Videogames in Europe</w:t>
      </w:r>
      <w:r w:rsidRPr="00880296">
        <w:t xml:space="preserve"> z roku 2012, které mapuje spotřebitelské chování hráčů ve vybraných evropských zemích. V mezinárodním srovnání oblíbenosti hraní her online jsou čeští hráči na prvním místě </w:t>
      </w:r>
      <w:r w:rsidR="000624C6">
        <w:t>s 90 % jednotlivců</w:t>
      </w:r>
      <w:r>
        <w:t xml:space="preserve"> z celkového počtu hráčů. </w:t>
      </w:r>
    </w:p>
    <w:p w:rsidR="00BB64DB" w:rsidRPr="00880296" w:rsidRDefault="00BB64DB" w:rsidP="00BB64DB">
      <w:pPr>
        <w:ind w:firstLine="708"/>
      </w:pPr>
      <w:r w:rsidRPr="00880296">
        <w:t xml:space="preserve">Šetření mapuje populaci </w:t>
      </w:r>
      <w:r w:rsidR="00323843">
        <w:t>uživatelů internetu</w:t>
      </w:r>
      <w:r w:rsidRPr="00880296">
        <w:t xml:space="preserve"> v ČR ve věku 1</w:t>
      </w:r>
      <w:r w:rsidR="00323843">
        <w:t xml:space="preserve">6 – 64 let, ve které se </w:t>
      </w:r>
      <w:r w:rsidRPr="00880296">
        <w:t xml:space="preserve">podle prezentovaných výsledků vyskytovalo 56 % jednotlivců, kteří v uplynulém roce hráli počítačovou hru. Alespoň jednou měsíčně pak hrálo 39 % a méně často 17 % </w:t>
      </w:r>
      <w:r w:rsidR="00323843">
        <w:t xml:space="preserve">zmíněné </w:t>
      </w:r>
      <w:r w:rsidR="00793BA5">
        <w:t>populace</w:t>
      </w:r>
      <w:r w:rsidRPr="00880296">
        <w:t xml:space="preserve">. Toto procentní rozdělení ukazuje </w:t>
      </w:r>
      <w:r>
        <w:t>také</w:t>
      </w:r>
      <w:r w:rsidRPr="00880296">
        <w:t xml:space="preserve"> Graf 54.</w:t>
      </w:r>
    </w:p>
    <w:p w:rsidR="00BB64DB" w:rsidRPr="00793BA5" w:rsidRDefault="00BB64DB" w:rsidP="00BB64DB">
      <w:pPr>
        <w:pStyle w:val="Titulek"/>
        <w:keepNext/>
        <w:rPr>
          <w:b w:val="0"/>
          <w:color w:val="auto"/>
          <w:sz w:val="22"/>
          <w:szCs w:val="22"/>
        </w:rPr>
      </w:pPr>
      <w:r w:rsidRPr="00793BA5">
        <w:rPr>
          <w:color w:val="auto"/>
          <w:sz w:val="22"/>
          <w:szCs w:val="22"/>
        </w:rPr>
        <w:lastRenderedPageBreak/>
        <w:t xml:space="preserve">Graf </w:t>
      </w:r>
      <w:r w:rsidR="00A94A53" w:rsidRPr="00793BA5">
        <w:rPr>
          <w:color w:val="auto"/>
          <w:sz w:val="22"/>
          <w:szCs w:val="22"/>
        </w:rPr>
        <w:fldChar w:fldCharType="begin"/>
      </w:r>
      <w:r w:rsidRPr="00793BA5">
        <w:rPr>
          <w:color w:val="auto"/>
          <w:sz w:val="22"/>
          <w:szCs w:val="22"/>
        </w:rPr>
        <w:instrText xml:space="preserve"> SEQ Obrázek \* ARABIC </w:instrText>
      </w:r>
      <w:r w:rsidR="00A94A53" w:rsidRPr="00793BA5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54</w:t>
      </w:r>
      <w:r w:rsidR="00A94A53" w:rsidRPr="00793BA5">
        <w:rPr>
          <w:color w:val="auto"/>
          <w:sz w:val="22"/>
          <w:szCs w:val="22"/>
        </w:rPr>
        <w:fldChar w:fldCharType="end"/>
      </w:r>
      <w:r w:rsidRPr="00793BA5">
        <w:rPr>
          <w:b w:val="0"/>
          <w:color w:val="auto"/>
          <w:sz w:val="22"/>
          <w:szCs w:val="22"/>
        </w:rPr>
        <w:t xml:space="preserve"> Rozdělení českých uživatelů internetu ve věku 16 – 64 let podle četnosti hraní počítačových her v roce 2012</w:t>
      </w:r>
    </w:p>
    <w:p w:rsidR="00BB64DB" w:rsidRDefault="00BB64DB" w:rsidP="00BB64DB">
      <w:pPr>
        <w:keepNext/>
        <w:jc w:val="center"/>
      </w:pPr>
      <w:r w:rsidRPr="00FC0FFA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4641011" cy="2743200"/>
            <wp:effectExtent l="0" t="0" r="0" b="0"/>
            <wp:docPr id="172" name="Graf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64DB" w:rsidRPr="00793BA5" w:rsidRDefault="00882967" w:rsidP="00BB64DB">
      <w:pPr>
        <w:pStyle w:val="Titulek"/>
        <w:rPr>
          <w:b w:val="0"/>
          <w:color w:val="auto"/>
          <w:sz w:val="22"/>
          <w:szCs w:val="22"/>
        </w:rPr>
      </w:pPr>
      <w:r>
        <w:rPr>
          <w:b w:val="0"/>
          <w:color w:val="auto"/>
          <w:sz w:val="22"/>
          <w:szCs w:val="22"/>
        </w:rPr>
        <w:t>Zdroj:</w:t>
      </w:r>
      <w:r w:rsidR="004D5A93">
        <w:rPr>
          <w:b w:val="0"/>
          <w:color w:val="auto"/>
          <w:sz w:val="22"/>
          <w:szCs w:val="22"/>
        </w:rPr>
        <w:t xml:space="preserve"> </w:t>
      </w:r>
      <w:r w:rsidR="004D5A93" w:rsidRPr="004D5A93">
        <w:rPr>
          <w:b w:val="0"/>
          <w:color w:val="auto"/>
          <w:sz w:val="22"/>
          <w:szCs w:val="22"/>
        </w:rPr>
        <w:t>Videogames in Europe</w:t>
      </w:r>
      <w:r w:rsidR="004D5A93">
        <w:rPr>
          <w:b w:val="0"/>
          <w:color w:val="auto"/>
          <w:sz w:val="22"/>
          <w:szCs w:val="22"/>
        </w:rPr>
        <w:t>,</w:t>
      </w:r>
      <w:r w:rsidR="002D0CCB">
        <w:rPr>
          <w:b w:val="0"/>
          <w:color w:val="auto"/>
          <w:sz w:val="22"/>
          <w:szCs w:val="22"/>
        </w:rPr>
        <w:t xml:space="preserve"> ISF</w:t>
      </w:r>
      <w:r>
        <w:rPr>
          <w:b w:val="0"/>
          <w:color w:val="auto"/>
          <w:sz w:val="22"/>
          <w:szCs w:val="22"/>
        </w:rPr>
        <w:t>E</w:t>
      </w:r>
    </w:p>
    <w:p w:rsidR="00BB64DB" w:rsidRPr="00943B62" w:rsidRDefault="00BB64DB" w:rsidP="00BB64DB">
      <w:r w:rsidRPr="00943B62">
        <w:t xml:space="preserve">Studie </w:t>
      </w:r>
      <w:r w:rsidRPr="00943B62">
        <w:rPr>
          <w:i/>
        </w:rPr>
        <w:t xml:space="preserve">Videogames in Europe </w:t>
      </w:r>
      <w:r w:rsidRPr="00943B62">
        <w:t xml:space="preserve">se zaměřila také na zařízení, která byla ke hraní her použita. Čeští uživatelé internetu nejčastěji používali </w:t>
      </w:r>
      <w:r w:rsidR="00A64348">
        <w:t>ke hraní</w:t>
      </w:r>
      <w:r w:rsidRPr="00943B62">
        <w:t xml:space="preserve"> počítač (stolní počítač či laptop) a nejméně často pak přenosná herní za</w:t>
      </w:r>
      <w:r>
        <w:t>řízení. V mezinárodním srovnání</w:t>
      </w:r>
      <w:r w:rsidRPr="00943B62">
        <w:t xml:space="preserve"> se jeví čeští jednotlivci jako poměrně konzervativní hráči, kteří se 49 % </w:t>
      </w:r>
      <w:r w:rsidR="00A64348">
        <w:t>hráčů přes počítač</w:t>
      </w:r>
      <w:r w:rsidRPr="00943B62">
        <w:t xml:space="preserve"> vedou evropský žebříček. Naopak v intenzitě využití herních konzolí jsou čeští uživatelé v rámci evropského srovnání s 16 % jednotlivců využívajících to</w:t>
      </w:r>
      <w:r w:rsidR="00A64348">
        <w:t>ho</w:t>
      </w:r>
      <w:r w:rsidRPr="00943B62">
        <w:t xml:space="preserve">to zařízení na posledním místě. </w:t>
      </w:r>
      <w:r w:rsidR="00A64348">
        <w:t>Zmíněné</w:t>
      </w:r>
      <w:r>
        <w:t xml:space="preserve"> údaje zobrazuje Graf 55.</w:t>
      </w:r>
    </w:p>
    <w:p w:rsidR="00BB64DB" w:rsidRPr="00A64348" w:rsidRDefault="00BB64DB" w:rsidP="00BB64DB">
      <w:pPr>
        <w:pStyle w:val="Titulek"/>
        <w:keepNext/>
        <w:rPr>
          <w:color w:val="auto"/>
          <w:sz w:val="22"/>
          <w:szCs w:val="22"/>
        </w:rPr>
      </w:pPr>
      <w:r w:rsidRPr="00A64348">
        <w:rPr>
          <w:color w:val="auto"/>
          <w:sz w:val="22"/>
          <w:szCs w:val="22"/>
        </w:rPr>
        <w:t xml:space="preserve">Graf </w:t>
      </w:r>
      <w:r w:rsidR="00A94A53" w:rsidRPr="00A64348">
        <w:rPr>
          <w:color w:val="auto"/>
          <w:sz w:val="22"/>
          <w:szCs w:val="22"/>
        </w:rPr>
        <w:fldChar w:fldCharType="begin"/>
      </w:r>
      <w:r w:rsidRPr="00A64348">
        <w:rPr>
          <w:color w:val="auto"/>
          <w:sz w:val="22"/>
          <w:szCs w:val="22"/>
        </w:rPr>
        <w:instrText xml:space="preserve"> SEQ Obrázek \* ARABIC </w:instrText>
      </w:r>
      <w:r w:rsidR="00A94A53" w:rsidRPr="00A64348">
        <w:rPr>
          <w:color w:val="auto"/>
          <w:sz w:val="22"/>
          <w:szCs w:val="22"/>
        </w:rPr>
        <w:fldChar w:fldCharType="separate"/>
      </w:r>
      <w:r w:rsidR="00583523">
        <w:rPr>
          <w:noProof/>
          <w:color w:val="auto"/>
          <w:sz w:val="22"/>
          <w:szCs w:val="22"/>
        </w:rPr>
        <w:t>55</w:t>
      </w:r>
      <w:r w:rsidR="00A94A53" w:rsidRPr="00A64348">
        <w:rPr>
          <w:color w:val="auto"/>
          <w:sz w:val="22"/>
          <w:szCs w:val="22"/>
        </w:rPr>
        <w:fldChar w:fldCharType="end"/>
      </w:r>
      <w:r w:rsidRPr="00A64348">
        <w:rPr>
          <w:color w:val="auto"/>
          <w:sz w:val="22"/>
          <w:szCs w:val="22"/>
        </w:rPr>
        <w:t xml:space="preserve"> </w:t>
      </w:r>
      <w:r w:rsidRPr="00A64348">
        <w:rPr>
          <w:b w:val="0"/>
          <w:color w:val="auto"/>
          <w:sz w:val="22"/>
          <w:szCs w:val="22"/>
        </w:rPr>
        <w:t>Využití herních zařízení mezi českými uživateli internetu ve věku 16 – 64 v roce 2012</w:t>
      </w:r>
    </w:p>
    <w:p w:rsidR="00BB64DB" w:rsidRDefault="00BB64DB" w:rsidP="00BB64DB">
      <w:pPr>
        <w:keepNext/>
        <w:jc w:val="center"/>
      </w:pPr>
      <w:r w:rsidRPr="00FC0FFA">
        <w:rPr>
          <w:b/>
          <w:noProof/>
          <w:color w:val="C00000"/>
          <w:sz w:val="28"/>
          <w:szCs w:val="28"/>
        </w:rPr>
        <w:drawing>
          <wp:inline distT="0" distB="0" distL="0" distR="0">
            <wp:extent cx="4572000" cy="2743200"/>
            <wp:effectExtent l="0" t="0" r="0" b="0"/>
            <wp:docPr id="173" name="Graf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B64DB" w:rsidRPr="00C82C2E" w:rsidRDefault="00BB64DB" w:rsidP="00C82C2E">
      <w:pPr>
        <w:pStyle w:val="Titulek"/>
        <w:rPr>
          <w:b w:val="0"/>
          <w:color w:val="auto"/>
          <w:sz w:val="22"/>
          <w:szCs w:val="22"/>
        </w:rPr>
      </w:pPr>
      <w:r w:rsidRPr="00A64348">
        <w:rPr>
          <w:b w:val="0"/>
          <w:color w:val="auto"/>
          <w:sz w:val="22"/>
          <w:szCs w:val="22"/>
        </w:rPr>
        <w:t xml:space="preserve">Zdroj: </w:t>
      </w:r>
      <w:proofErr w:type="spellStart"/>
      <w:r w:rsidR="004D5A93" w:rsidRPr="004D5A93">
        <w:rPr>
          <w:b w:val="0"/>
          <w:color w:val="auto"/>
          <w:sz w:val="22"/>
          <w:szCs w:val="22"/>
        </w:rPr>
        <w:t>Videogames</w:t>
      </w:r>
      <w:proofErr w:type="spellEnd"/>
      <w:r w:rsidR="004D5A93" w:rsidRPr="004D5A93">
        <w:rPr>
          <w:b w:val="0"/>
          <w:color w:val="auto"/>
          <w:sz w:val="22"/>
          <w:szCs w:val="22"/>
        </w:rPr>
        <w:t xml:space="preserve"> in </w:t>
      </w:r>
      <w:proofErr w:type="spellStart"/>
      <w:r w:rsidR="004D5A93" w:rsidRPr="004D5A93">
        <w:rPr>
          <w:b w:val="0"/>
          <w:color w:val="auto"/>
          <w:sz w:val="22"/>
          <w:szCs w:val="22"/>
        </w:rPr>
        <w:t>Europe</w:t>
      </w:r>
      <w:proofErr w:type="spellEnd"/>
      <w:r w:rsidR="004D5A93">
        <w:rPr>
          <w:b w:val="0"/>
          <w:color w:val="auto"/>
          <w:sz w:val="22"/>
          <w:szCs w:val="22"/>
        </w:rPr>
        <w:t>,</w:t>
      </w:r>
      <w:r w:rsidR="004D5A93" w:rsidRPr="004D5A93">
        <w:rPr>
          <w:b w:val="0"/>
          <w:color w:val="auto"/>
          <w:sz w:val="22"/>
          <w:szCs w:val="22"/>
        </w:rPr>
        <w:t xml:space="preserve"> </w:t>
      </w:r>
      <w:r w:rsidR="002D0CCB">
        <w:rPr>
          <w:b w:val="0"/>
          <w:color w:val="auto"/>
          <w:sz w:val="22"/>
          <w:szCs w:val="22"/>
        </w:rPr>
        <w:t>ISF</w:t>
      </w:r>
      <w:r w:rsidRPr="00A64348">
        <w:rPr>
          <w:b w:val="0"/>
          <w:color w:val="auto"/>
          <w:sz w:val="22"/>
          <w:szCs w:val="22"/>
        </w:rPr>
        <w:t>E</w:t>
      </w:r>
    </w:p>
    <w:sectPr w:rsidR="00BB64DB" w:rsidRPr="00C82C2E" w:rsidSect="00C82C2E">
      <w:headerReference w:type="even" r:id="rId12"/>
      <w:headerReference w:type="default" r:id="rId13"/>
      <w:footerReference w:type="even" r:id="rId14"/>
      <w:footerReference w:type="default" r:id="rId15"/>
      <w:footnotePr>
        <w:numStart w:val="12"/>
      </w:footnotePr>
      <w:pgSz w:w="11906" w:h="16838" w:code="9"/>
      <w:pgMar w:top="1134" w:right="1134" w:bottom="1418" w:left="1134" w:header="680" w:footer="680" w:gutter="0"/>
      <w:pgNumType w:start="4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7423" w:rsidRDefault="00BE7423" w:rsidP="00E71A58">
      <w:r>
        <w:separator/>
      </w:r>
    </w:p>
  </w:endnote>
  <w:endnote w:type="continuationSeparator" w:id="0">
    <w:p w:rsidR="00BE7423" w:rsidRDefault="00BE7423" w:rsidP="00E71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641938" w:rsidRDefault="00DE4E41" w:rsidP="003A6B38">
    <w:pPr>
      <w:pStyle w:val="Zpat"/>
      <w:tabs>
        <w:tab w:val="clear" w:pos="4536"/>
        <w:tab w:val="clear" w:pos="9072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5660390</wp:posOffset>
          </wp:positionH>
          <wp:positionV relativeFrom="paragraph">
            <wp:posOffset>-52070</wp:posOffset>
          </wp:positionV>
          <wp:extent cx="466725" cy="219075"/>
          <wp:effectExtent l="19050" t="0" r="9525" b="0"/>
          <wp:wrapNone/>
          <wp:docPr id="2" name="obrázek 4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19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94A53" w:rsidRPr="005A21E0">
      <w:rPr>
        <w:rFonts w:ascii="Arial" w:hAnsi="Arial" w:cs="Arial"/>
        <w:sz w:val="16"/>
        <w:szCs w:val="16"/>
      </w:rPr>
      <w:fldChar w:fldCharType="begin"/>
    </w:r>
    <w:r w:rsidRPr="005A21E0">
      <w:rPr>
        <w:rFonts w:ascii="Arial" w:hAnsi="Arial" w:cs="Arial"/>
        <w:sz w:val="16"/>
        <w:szCs w:val="16"/>
      </w:rPr>
      <w:instrText>PAGE   \* MERGEFORMAT</w:instrText>
    </w:r>
    <w:r w:rsidR="00A94A53" w:rsidRPr="005A21E0">
      <w:rPr>
        <w:rFonts w:ascii="Arial" w:hAnsi="Arial" w:cs="Arial"/>
        <w:sz w:val="16"/>
        <w:szCs w:val="16"/>
      </w:rPr>
      <w:fldChar w:fldCharType="separate"/>
    </w:r>
    <w:r w:rsidR="00C82C2E">
      <w:rPr>
        <w:rFonts w:ascii="Arial" w:hAnsi="Arial" w:cs="Arial"/>
        <w:noProof/>
        <w:sz w:val="16"/>
        <w:szCs w:val="16"/>
      </w:rPr>
      <w:t>46</w:t>
    </w:r>
    <w:r w:rsidR="00A94A53" w:rsidRPr="005A21E0"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Default="00DE4E41" w:rsidP="003A6B3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right" w:pos="9639"/>
      </w:tabs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90170</wp:posOffset>
          </wp:positionV>
          <wp:extent cx="495300" cy="266700"/>
          <wp:effectExtent l="19050" t="0" r="0" b="0"/>
          <wp:wrapNone/>
          <wp:docPr id="1" name="obrázek 3" descr="Description: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Description: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  <w:r w:rsidRPr="00DC5B3B">
      <w:t xml:space="preserve">                              </w:t>
    </w:r>
  </w:p>
  <w:p w:rsidR="00DE4E41" w:rsidRDefault="00DE4E41" w:rsidP="00EE3E78">
    <w:pPr>
      <w:pStyle w:val="Zpat"/>
      <w:tabs>
        <w:tab w:val="clear" w:pos="4536"/>
        <w:tab w:val="clear" w:pos="9072"/>
        <w:tab w:val="left" w:pos="1134"/>
        <w:tab w:val="left" w:pos="1920"/>
        <w:tab w:val="center" w:pos="4820"/>
        <w:tab w:val="left" w:pos="9495"/>
        <w:tab w:val="right" w:pos="9639"/>
      </w:tabs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2014</w:t>
    </w:r>
    <w:r>
      <w:tab/>
    </w:r>
    <w:r>
      <w:tab/>
    </w:r>
    <w:r w:rsidR="00A94A53" w:rsidRPr="00B6608F">
      <w:rPr>
        <w:rFonts w:ascii="Arial" w:hAnsi="Arial" w:cs="Arial"/>
        <w:sz w:val="16"/>
        <w:szCs w:val="16"/>
      </w:rPr>
      <w:fldChar w:fldCharType="begin"/>
    </w:r>
    <w:r w:rsidRPr="00B6608F">
      <w:rPr>
        <w:rFonts w:ascii="Arial" w:hAnsi="Arial" w:cs="Arial"/>
        <w:sz w:val="16"/>
        <w:szCs w:val="16"/>
      </w:rPr>
      <w:instrText>PAGE   \* MERGEFORMAT</w:instrText>
    </w:r>
    <w:r w:rsidR="00A94A53" w:rsidRPr="00B6608F">
      <w:rPr>
        <w:rFonts w:ascii="Arial" w:hAnsi="Arial" w:cs="Arial"/>
        <w:sz w:val="16"/>
        <w:szCs w:val="16"/>
      </w:rPr>
      <w:fldChar w:fldCharType="separate"/>
    </w:r>
    <w:r w:rsidR="00C82C2E">
      <w:rPr>
        <w:rFonts w:ascii="Arial" w:hAnsi="Arial" w:cs="Arial"/>
        <w:noProof/>
        <w:sz w:val="16"/>
        <w:szCs w:val="16"/>
      </w:rPr>
      <w:t>45</w:t>
    </w:r>
    <w:r w:rsidR="00A94A53" w:rsidRPr="00B6608F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7423" w:rsidRDefault="00BE7423" w:rsidP="00E71A58">
      <w:r>
        <w:separator/>
      </w:r>
    </w:p>
  </w:footnote>
  <w:footnote w:type="continuationSeparator" w:id="0">
    <w:p w:rsidR="00BE7423" w:rsidRDefault="00BE7423" w:rsidP="00E71A58">
      <w:r>
        <w:continuationSeparator/>
      </w:r>
    </w:p>
  </w:footnote>
  <w:footnote w:id="1">
    <w:p w:rsidR="00DE4E41" w:rsidRDefault="00DE4E41" w:rsidP="00BB64D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proofErr w:type="spellStart"/>
      <w:r>
        <w:t>Interactive</w:t>
      </w:r>
      <w:proofErr w:type="spellEnd"/>
      <w:r>
        <w:t xml:space="preserve"> software </w:t>
      </w:r>
      <w:proofErr w:type="spellStart"/>
      <w:r>
        <w:t>federation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Europe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AD306C" w:rsidRDefault="00DE4E41" w:rsidP="00AD306C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41" w:rsidRPr="00DC5B3B" w:rsidRDefault="00DE4E41" w:rsidP="00476265">
    <w:pPr>
      <w:pStyle w:val="Zhlav"/>
      <w:tabs>
        <w:tab w:val="clear" w:pos="4536"/>
        <w:tab w:val="clear" w:pos="9072"/>
        <w:tab w:val="left" w:pos="-6379"/>
        <w:tab w:val="center" w:pos="4820"/>
        <w:tab w:val="right" w:pos="9639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Kulturní průmysly v ČR: Audiovizuální a mediální sektor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B1A"/>
    <w:multiLevelType w:val="multilevel"/>
    <w:tmpl w:val="39665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4637F36"/>
    <w:multiLevelType w:val="hybridMultilevel"/>
    <w:tmpl w:val="B8066EBC"/>
    <w:lvl w:ilvl="0" w:tplc="D6B2F11E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324FE"/>
    <w:multiLevelType w:val="hybridMultilevel"/>
    <w:tmpl w:val="78EED370"/>
    <w:lvl w:ilvl="0" w:tplc="9C1EB78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967AB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A0114CF"/>
    <w:multiLevelType w:val="multilevel"/>
    <w:tmpl w:val="0B9A8BE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B0D11A2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44A6449C"/>
    <w:multiLevelType w:val="multilevel"/>
    <w:tmpl w:val="A5A68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60F69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548D7DD8"/>
    <w:multiLevelType w:val="hybridMultilevel"/>
    <w:tmpl w:val="B3C4DB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DC0730"/>
    <w:multiLevelType w:val="multilevel"/>
    <w:tmpl w:val="7FEC17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17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5F271D44"/>
    <w:multiLevelType w:val="hybridMultilevel"/>
    <w:tmpl w:val="E558E4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9C0C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421201"/>
    <w:multiLevelType w:val="hybridMultilevel"/>
    <w:tmpl w:val="DDB033B6"/>
    <w:lvl w:ilvl="0" w:tplc="53E83B1E">
      <w:start w:val="1"/>
      <w:numFmt w:val="decimal"/>
      <w:lvlText w:val="%1)"/>
      <w:lvlJc w:val="left"/>
      <w:pPr>
        <w:ind w:left="786" w:hanging="360"/>
      </w:pPr>
      <w:rPr>
        <w:rFonts w:hint="default"/>
        <w:color w:val="0066FF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6F2B19CA"/>
    <w:multiLevelType w:val="hybridMultilevel"/>
    <w:tmpl w:val="887A4EB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C0B2F43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FF5ECB"/>
    <w:multiLevelType w:val="hybridMultilevel"/>
    <w:tmpl w:val="D5EA16B8"/>
    <w:lvl w:ilvl="0" w:tplc="E99CACE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2233D9"/>
    <w:multiLevelType w:val="hybridMultilevel"/>
    <w:tmpl w:val="F2FE90D2"/>
    <w:lvl w:ilvl="0" w:tplc="D5BAC638">
      <w:start w:val="8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0"/>
  </w:num>
  <w:num w:numId="5">
    <w:abstractNumId w:val="16"/>
  </w:num>
  <w:num w:numId="6">
    <w:abstractNumId w:val="2"/>
  </w:num>
  <w:num w:numId="7">
    <w:abstractNumId w:val="1"/>
  </w:num>
  <w:num w:numId="8">
    <w:abstractNumId w:val="14"/>
  </w:num>
  <w:num w:numId="9">
    <w:abstractNumId w:val="15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0"/>
  </w:num>
  <w:num w:numId="15">
    <w:abstractNumId w:val="8"/>
  </w:num>
  <w:num w:numId="16">
    <w:abstractNumId w:val="3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6626">
      <o:colormru v:ext="edit" colors="#ecf4dd,#eaecee,#fcec0a,#fcecdb,#f1daf5"/>
    </o:shapedefaults>
  </w:hdrShapeDefaults>
  <w:footnotePr>
    <w:numStart w:val="12"/>
    <w:footnote w:id="-1"/>
    <w:footnote w:id="0"/>
  </w:footnotePr>
  <w:endnotePr>
    <w:endnote w:id="-1"/>
    <w:endnote w:id="0"/>
  </w:endnotePr>
  <w:compat/>
  <w:rsids>
    <w:rsidRoot w:val="00F2719E"/>
    <w:rsid w:val="00005C1A"/>
    <w:rsid w:val="0000767A"/>
    <w:rsid w:val="00010702"/>
    <w:rsid w:val="00020722"/>
    <w:rsid w:val="00033CE1"/>
    <w:rsid w:val="00042B50"/>
    <w:rsid w:val="00042E63"/>
    <w:rsid w:val="0004694F"/>
    <w:rsid w:val="000624C6"/>
    <w:rsid w:val="00062EC5"/>
    <w:rsid w:val="00070E6A"/>
    <w:rsid w:val="000728C1"/>
    <w:rsid w:val="00075BB9"/>
    <w:rsid w:val="00084A0D"/>
    <w:rsid w:val="00087634"/>
    <w:rsid w:val="000A1183"/>
    <w:rsid w:val="000B3FA5"/>
    <w:rsid w:val="000C3408"/>
    <w:rsid w:val="000D21E1"/>
    <w:rsid w:val="000E4FAD"/>
    <w:rsid w:val="00104257"/>
    <w:rsid w:val="00105D5C"/>
    <w:rsid w:val="00114A3F"/>
    <w:rsid w:val="00114BE5"/>
    <w:rsid w:val="00126F11"/>
    <w:rsid w:val="00134579"/>
    <w:rsid w:val="00136A04"/>
    <w:rsid w:val="0014040A"/>
    <w:rsid w:val="001405FA"/>
    <w:rsid w:val="00141FE5"/>
    <w:rsid w:val="001425C3"/>
    <w:rsid w:val="001471DB"/>
    <w:rsid w:val="00150D41"/>
    <w:rsid w:val="00163793"/>
    <w:rsid w:val="00170E8B"/>
    <w:rsid w:val="001714F2"/>
    <w:rsid w:val="00185010"/>
    <w:rsid w:val="001919CC"/>
    <w:rsid w:val="00193560"/>
    <w:rsid w:val="001A552F"/>
    <w:rsid w:val="001A7DF6"/>
    <w:rsid w:val="001B3110"/>
    <w:rsid w:val="001B5EAE"/>
    <w:rsid w:val="001B6DBF"/>
    <w:rsid w:val="001C378C"/>
    <w:rsid w:val="001C5D40"/>
    <w:rsid w:val="001D41F6"/>
    <w:rsid w:val="001D4ECA"/>
    <w:rsid w:val="001E0AA5"/>
    <w:rsid w:val="001F4597"/>
    <w:rsid w:val="00210AA5"/>
    <w:rsid w:val="002130C8"/>
    <w:rsid w:val="0022139E"/>
    <w:rsid w:val="002252E0"/>
    <w:rsid w:val="002255F6"/>
    <w:rsid w:val="00236443"/>
    <w:rsid w:val="002436BA"/>
    <w:rsid w:val="00244A15"/>
    <w:rsid w:val="002473D9"/>
    <w:rsid w:val="0024799E"/>
    <w:rsid w:val="0025640A"/>
    <w:rsid w:val="00264C1E"/>
    <w:rsid w:val="00282CCA"/>
    <w:rsid w:val="00291420"/>
    <w:rsid w:val="002A0381"/>
    <w:rsid w:val="002A1980"/>
    <w:rsid w:val="002A32D6"/>
    <w:rsid w:val="002B1997"/>
    <w:rsid w:val="002B6FCF"/>
    <w:rsid w:val="002B7E46"/>
    <w:rsid w:val="002C3743"/>
    <w:rsid w:val="002C3AEA"/>
    <w:rsid w:val="002C43BD"/>
    <w:rsid w:val="002D0CCB"/>
    <w:rsid w:val="002D12FB"/>
    <w:rsid w:val="002E02A1"/>
    <w:rsid w:val="00304771"/>
    <w:rsid w:val="00306C5B"/>
    <w:rsid w:val="003209D6"/>
    <w:rsid w:val="00323843"/>
    <w:rsid w:val="00354201"/>
    <w:rsid w:val="003657F3"/>
    <w:rsid w:val="00377195"/>
    <w:rsid w:val="00385D98"/>
    <w:rsid w:val="00393CDB"/>
    <w:rsid w:val="003A2B4D"/>
    <w:rsid w:val="003A478C"/>
    <w:rsid w:val="003A5525"/>
    <w:rsid w:val="003A6B38"/>
    <w:rsid w:val="003A6B7F"/>
    <w:rsid w:val="003B588B"/>
    <w:rsid w:val="003B5A32"/>
    <w:rsid w:val="003C03EB"/>
    <w:rsid w:val="003C6CC2"/>
    <w:rsid w:val="003C7985"/>
    <w:rsid w:val="003F313C"/>
    <w:rsid w:val="004004F4"/>
    <w:rsid w:val="00405FEB"/>
    <w:rsid w:val="00406BC3"/>
    <w:rsid w:val="00421D77"/>
    <w:rsid w:val="00425125"/>
    <w:rsid w:val="004271DC"/>
    <w:rsid w:val="00430E4E"/>
    <w:rsid w:val="0044303F"/>
    <w:rsid w:val="00476265"/>
    <w:rsid w:val="0048086F"/>
    <w:rsid w:val="0048139F"/>
    <w:rsid w:val="00493CD1"/>
    <w:rsid w:val="004A77DF"/>
    <w:rsid w:val="004B55B7"/>
    <w:rsid w:val="004C05A9"/>
    <w:rsid w:val="004C3867"/>
    <w:rsid w:val="004C4CD0"/>
    <w:rsid w:val="004C70DC"/>
    <w:rsid w:val="004D0211"/>
    <w:rsid w:val="004D3A66"/>
    <w:rsid w:val="004D5A93"/>
    <w:rsid w:val="004E419B"/>
    <w:rsid w:val="004F06F5"/>
    <w:rsid w:val="0050025B"/>
    <w:rsid w:val="005101BF"/>
    <w:rsid w:val="005108C0"/>
    <w:rsid w:val="00511873"/>
    <w:rsid w:val="00511E36"/>
    <w:rsid w:val="00513B7E"/>
    <w:rsid w:val="00522F08"/>
    <w:rsid w:val="00525137"/>
    <w:rsid w:val="005251DD"/>
    <w:rsid w:val="00530D45"/>
    <w:rsid w:val="0053607C"/>
    <w:rsid w:val="005366C7"/>
    <w:rsid w:val="0056006C"/>
    <w:rsid w:val="00560B0A"/>
    <w:rsid w:val="005639DB"/>
    <w:rsid w:val="00564762"/>
    <w:rsid w:val="005670CC"/>
    <w:rsid w:val="005771D3"/>
    <w:rsid w:val="00583523"/>
    <w:rsid w:val="00583FFD"/>
    <w:rsid w:val="00593152"/>
    <w:rsid w:val="0059779F"/>
    <w:rsid w:val="005A21E0"/>
    <w:rsid w:val="005A282E"/>
    <w:rsid w:val="005B1EDC"/>
    <w:rsid w:val="005B63CE"/>
    <w:rsid w:val="005C19FC"/>
    <w:rsid w:val="005D1937"/>
    <w:rsid w:val="005D5802"/>
    <w:rsid w:val="005E0178"/>
    <w:rsid w:val="00604307"/>
    <w:rsid w:val="0060487F"/>
    <w:rsid w:val="006103FD"/>
    <w:rsid w:val="00612473"/>
    <w:rsid w:val="00624093"/>
    <w:rsid w:val="00625534"/>
    <w:rsid w:val="006404A7"/>
    <w:rsid w:val="00641938"/>
    <w:rsid w:val="00643AF5"/>
    <w:rsid w:val="006451E4"/>
    <w:rsid w:val="006571EA"/>
    <w:rsid w:val="00657E87"/>
    <w:rsid w:val="0066739F"/>
    <w:rsid w:val="006710C9"/>
    <w:rsid w:val="00673941"/>
    <w:rsid w:val="00673A17"/>
    <w:rsid w:val="00675E37"/>
    <w:rsid w:val="00681439"/>
    <w:rsid w:val="0068260E"/>
    <w:rsid w:val="00683DBB"/>
    <w:rsid w:val="00694914"/>
    <w:rsid w:val="00695BEF"/>
    <w:rsid w:val="006977F6"/>
    <w:rsid w:val="00697A13"/>
    <w:rsid w:val="006A109C"/>
    <w:rsid w:val="006B565D"/>
    <w:rsid w:val="006B78D8"/>
    <w:rsid w:val="006C113F"/>
    <w:rsid w:val="006D61F6"/>
    <w:rsid w:val="006E279A"/>
    <w:rsid w:val="006E313B"/>
    <w:rsid w:val="00711D9A"/>
    <w:rsid w:val="007211F5"/>
    <w:rsid w:val="00730AE8"/>
    <w:rsid w:val="00731CAB"/>
    <w:rsid w:val="00740F4A"/>
    <w:rsid w:val="00741493"/>
    <w:rsid w:val="00752180"/>
    <w:rsid w:val="00755D3A"/>
    <w:rsid w:val="007609C6"/>
    <w:rsid w:val="00772DA1"/>
    <w:rsid w:val="007764CA"/>
    <w:rsid w:val="00776527"/>
    <w:rsid w:val="00793BA5"/>
    <w:rsid w:val="00794608"/>
    <w:rsid w:val="007A39D9"/>
    <w:rsid w:val="007B47EE"/>
    <w:rsid w:val="007B60D9"/>
    <w:rsid w:val="007C4074"/>
    <w:rsid w:val="007D12C6"/>
    <w:rsid w:val="007E12CE"/>
    <w:rsid w:val="007E7E61"/>
    <w:rsid w:val="008018B7"/>
    <w:rsid w:val="008134C4"/>
    <w:rsid w:val="00821FF6"/>
    <w:rsid w:val="0082466D"/>
    <w:rsid w:val="0083143E"/>
    <w:rsid w:val="00834FAA"/>
    <w:rsid w:val="00836086"/>
    <w:rsid w:val="00857BB4"/>
    <w:rsid w:val="00876086"/>
    <w:rsid w:val="00882967"/>
    <w:rsid w:val="008905EC"/>
    <w:rsid w:val="008B7C02"/>
    <w:rsid w:val="008C0E88"/>
    <w:rsid w:val="008D2A16"/>
    <w:rsid w:val="008E31FF"/>
    <w:rsid w:val="008E49E1"/>
    <w:rsid w:val="009003A8"/>
    <w:rsid w:val="0090098A"/>
    <w:rsid w:val="00902EFF"/>
    <w:rsid w:val="00903051"/>
    <w:rsid w:val="0090382A"/>
    <w:rsid w:val="00921F14"/>
    <w:rsid w:val="009253A5"/>
    <w:rsid w:val="00932900"/>
    <w:rsid w:val="009421B4"/>
    <w:rsid w:val="00942F60"/>
    <w:rsid w:val="0094427A"/>
    <w:rsid w:val="00973454"/>
    <w:rsid w:val="00974923"/>
    <w:rsid w:val="009B2F33"/>
    <w:rsid w:val="009B6FD3"/>
    <w:rsid w:val="009D29C0"/>
    <w:rsid w:val="009D572F"/>
    <w:rsid w:val="009F4056"/>
    <w:rsid w:val="00A10D66"/>
    <w:rsid w:val="00A11B36"/>
    <w:rsid w:val="00A20AC3"/>
    <w:rsid w:val="00A23E43"/>
    <w:rsid w:val="00A33EFD"/>
    <w:rsid w:val="00A35033"/>
    <w:rsid w:val="00A35492"/>
    <w:rsid w:val="00A35B08"/>
    <w:rsid w:val="00A46DE0"/>
    <w:rsid w:val="00A5138E"/>
    <w:rsid w:val="00A62302"/>
    <w:rsid w:val="00A62CE1"/>
    <w:rsid w:val="00A64348"/>
    <w:rsid w:val="00A7537C"/>
    <w:rsid w:val="00A75E40"/>
    <w:rsid w:val="00A857C0"/>
    <w:rsid w:val="00A92865"/>
    <w:rsid w:val="00A94A53"/>
    <w:rsid w:val="00A96EFF"/>
    <w:rsid w:val="00AA559A"/>
    <w:rsid w:val="00AB2AF1"/>
    <w:rsid w:val="00AC7B21"/>
    <w:rsid w:val="00AD306C"/>
    <w:rsid w:val="00B00577"/>
    <w:rsid w:val="00B01CAD"/>
    <w:rsid w:val="00B17E71"/>
    <w:rsid w:val="00B17FDE"/>
    <w:rsid w:val="00B32DDB"/>
    <w:rsid w:val="00B34A56"/>
    <w:rsid w:val="00B374C5"/>
    <w:rsid w:val="00B414F8"/>
    <w:rsid w:val="00B508F7"/>
    <w:rsid w:val="00B54975"/>
    <w:rsid w:val="00B554C6"/>
    <w:rsid w:val="00B6608F"/>
    <w:rsid w:val="00B76D1E"/>
    <w:rsid w:val="00B90C58"/>
    <w:rsid w:val="00B94374"/>
    <w:rsid w:val="00B95940"/>
    <w:rsid w:val="00B97BEC"/>
    <w:rsid w:val="00BA414E"/>
    <w:rsid w:val="00BA44D7"/>
    <w:rsid w:val="00BA493B"/>
    <w:rsid w:val="00BB64DB"/>
    <w:rsid w:val="00BC0761"/>
    <w:rsid w:val="00BC3543"/>
    <w:rsid w:val="00BD2F1E"/>
    <w:rsid w:val="00BD366B"/>
    <w:rsid w:val="00BD6D50"/>
    <w:rsid w:val="00BE7423"/>
    <w:rsid w:val="00BE7BBE"/>
    <w:rsid w:val="00BF33BA"/>
    <w:rsid w:val="00C174DD"/>
    <w:rsid w:val="00C21F94"/>
    <w:rsid w:val="00C30C52"/>
    <w:rsid w:val="00C47F27"/>
    <w:rsid w:val="00C522C1"/>
    <w:rsid w:val="00C53DDA"/>
    <w:rsid w:val="00C80F44"/>
    <w:rsid w:val="00C82C2E"/>
    <w:rsid w:val="00C8582D"/>
    <w:rsid w:val="00C90CF4"/>
    <w:rsid w:val="00C93389"/>
    <w:rsid w:val="00CB5E1F"/>
    <w:rsid w:val="00CB6787"/>
    <w:rsid w:val="00CB7B8F"/>
    <w:rsid w:val="00CD69AB"/>
    <w:rsid w:val="00CE762C"/>
    <w:rsid w:val="00CF3AF7"/>
    <w:rsid w:val="00CF51EC"/>
    <w:rsid w:val="00D040DD"/>
    <w:rsid w:val="00D15C62"/>
    <w:rsid w:val="00D32AAF"/>
    <w:rsid w:val="00D8144F"/>
    <w:rsid w:val="00DC5B3B"/>
    <w:rsid w:val="00DD3310"/>
    <w:rsid w:val="00DE4E41"/>
    <w:rsid w:val="00DE61D7"/>
    <w:rsid w:val="00DF2BE0"/>
    <w:rsid w:val="00E01C0E"/>
    <w:rsid w:val="00E04694"/>
    <w:rsid w:val="00E069D1"/>
    <w:rsid w:val="00E32551"/>
    <w:rsid w:val="00E71A58"/>
    <w:rsid w:val="00E93E77"/>
    <w:rsid w:val="00E95ED4"/>
    <w:rsid w:val="00EA0C68"/>
    <w:rsid w:val="00ED0206"/>
    <w:rsid w:val="00ED286F"/>
    <w:rsid w:val="00ED437A"/>
    <w:rsid w:val="00EE3E78"/>
    <w:rsid w:val="00EE504E"/>
    <w:rsid w:val="00EE7545"/>
    <w:rsid w:val="00EF194E"/>
    <w:rsid w:val="00EF1F5A"/>
    <w:rsid w:val="00EF4D97"/>
    <w:rsid w:val="00F04811"/>
    <w:rsid w:val="00F0488C"/>
    <w:rsid w:val="00F07CC0"/>
    <w:rsid w:val="00F100E0"/>
    <w:rsid w:val="00F12145"/>
    <w:rsid w:val="00F15BEF"/>
    <w:rsid w:val="00F1651D"/>
    <w:rsid w:val="00F24FAA"/>
    <w:rsid w:val="00F2719E"/>
    <w:rsid w:val="00F2751B"/>
    <w:rsid w:val="00F3364D"/>
    <w:rsid w:val="00F63DDE"/>
    <w:rsid w:val="00F63FB7"/>
    <w:rsid w:val="00F72FAA"/>
    <w:rsid w:val="00F73A0C"/>
    <w:rsid w:val="00FA6A70"/>
    <w:rsid w:val="00FB6DE3"/>
    <w:rsid w:val="00FC0E5F"/>
    <w:rsid w:val="00FC54BF"/>
    <w:rsid w:val="00FC56DE"/>
    <w:rsid w:val="00FE26AC"/>
    <w:rsid w:val="00FE2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39" w:qFormat="1"/>
  </w:latentStyles>
  <w:style w:type="paragraph" w:default="1" w:styleId="Normln">
    <w:name w:val="Normal"/>
    <w:qFormat/>
    <w:rsid w:val="00B414F8"/>
    <w:pPr>
      <w:spacing w:after="120" w:line="360" w:lineRule="auto"/>
      <w:jc w:val="both"/>
    </w:pPr>
    <w:rPr>
      <w:rFonts w:ascii="Arial" w:eastAsia="Times New Roman" w:hAnsi="Arial"/>
      <w:szCs w:val="24"/>
    </w:rPr>
  </w:style>
  <w:style w:type="paragraph" w:styleId="Nadpis1">
    <w:name w:val="heading 1"/>
    <w:next w:val="Normln"/>
    <w:link w:val="Nadpis1Char"/>
    <w:uiPriority w:val="9"/>
    <w:qFormat/>
    <w:rsid w:val="00BC3543"/>
    <w:pPr>
      <w:keepNext/>
      <w:keepLines/>
      <w:spacing w:after="200" w:line="288" w:lineRule="auto"/>
      <w:outlineLvl w:val="0"/>
    </w:pPr>
    <w:rPr>
      <w:rFonts w:ascii="Arial" w:eastAsia="MS Gothic" w:hAnsi="Arial"/>
      <w:b/>
      <w:bCs/>
      <w:color w:val="BC091B"/>
      <w:sz w:val="32"/>
      <w:szCs w:val="28"/>
    </w:rPr>
  </w:style>
  <w:style w:type="paragraph" w:styleId="Nadpis2">
    <w:name w:val="heading 2"/>
    <w:next w:val="Normln"/>
    <w:link w:val="Nadpis2Char"/>
    <w:uiPriority w:val="9"/>
    <w:qFormat/>
    <w:rsid w:val="00694914"/>
    <w:pPr>
      <w:keepNext/>
      <w:keepLines/>
      <w:spacing w:before="60" w:after="60" w:line="288" w:lineRule="auto"/>
      <w:outlineLvl w:val="1"/>
    </w:pPr>
    <w:rPr>
      <w:rFonts w:ascii="Arial" w:eastAsia="MS Gothic" w:hAnsi="Arial"/>
      <w:b/>
      <w:bCs/>
      <w:color w:val="BC091B"/>
      <w:sz w:val="28"/>
      <w:szCs w:val="26"/>
    </w:rPr>
  </w:style>
  <w:style w:type="paragraph" w:styleId="Nadpis3">
    <w:name w:val="heading 3"/>
    <w:next w:val="Normln"/>
    <w:link w:val="Nadpis3Char"/>
    <w:uiPriority w:val="9"/>
    <w:qFormat/>
    <w:rsid w:val="00694914"/>
    <w:pPr>
      <w:keepNext/>
      <w:keepLines/>
      <w:spacing w:before="60" w:after="60" w:line="288" w:lineRule="auto"/>
      <w:outlineLvl w:val="2"/>
    </w:pPr>
    <w:rPr>
      <w:rFonts w:ascii="Arial" w:eastAsia="MS Gothic" w:hAnsi="Arial"/>
      <w:b/>
      <w:bCs/>
      <w:color w:val="BC091B"/>
      <w:sz w:val="24"/>
      <w:szCs w:val="24"/>
    </w:rPr>
  </w:style>
  <w:style w:type="paragraph" w:styleId="Nadpis4">
    <w:name w:val="heading 4"/>
    <w:next w:val="Normln"/>
    <w:link w:val="Nadpis4Char"/>
    <w:uiPriority w:val="9"/>
    <w:qFormat/>
    <w:rsid w:val="005108C0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customStyle="1" w:styleId="Styl1">
    <w:name w:val="Styl1"/>
    <w:rsid w:val="00E71A58"/>
    <w:pPr>
      <w:suppressAutoHyphens/>
      <w:autoSpaceDE w:val="0"/>
    </w:pPr>
    <w:rPr>
      <w:rFonts w:ascii="Arial" w:eastAsia="Times New Roman" w:hAnsi="Arial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71A58"/>
  </w:style>
  <w:style w:type="paragraph" w:styleId="Zpat">
    <w:name w:val="footer"/>
    <w:basedOn w:val="Normln"/>
    <w:link w:val="ZpatChar"/>
    <w:uiPriority w:val="99"/>
    <w:unhideWhenUsed/>
    <w:rsid w:val="00E71A58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71A58"/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link w:val="ZkladnodstavecChar"/>
    <w:uiPriority w:val="99"/>
    <w:rsid w:val="001714F2"/>
    <w:pPr>
      <w:autoSpaceDE w:val="0"/>
      <w:autoSpaceDN w:val="0"/>
      <w:adjustRightInd w:val="0"/>
      <w:textAlignment w:val="center"/>
    </w:pPr>
    <w:rPr>
      <w:rFonts w:ascii="Minion Pro" w:eastAsia="Calibri" w:hAnsi="Minion Pro"/>
      <w:color w:val="000000"/>
      <w:sz w:val="24"/>
    </w:rPr>
  </w:style>
  <w:style w:type="paragraph" w:styleId="Nzev">
    <w:name w:val="Title"/>
    <w:next w:val="Normln"/>
    <w:link w:val="NzevChar"/>
    <w:uiPriority w:val="10"/>
    <w:qFormat/>
    <w:rsid w:val="0048086F"/>
    <w:pPr>
      <w:spacing w:line="288" w:lineRule="auto"/>
      <w:contextualSpacing/>
      <w:outlineLvl w:val="0"/>
    </w:pPr>
    <w:rPr>
      <w:rFonts w:ascii="Arial" w:eastAsia="MS Gothic" w:hAnsi="Arial"/>
      <w:b/>
      <w:caps/>
      <w:color w:val="BC091B"/>
      <w:sz w:val="56"/>
      <w:szCs w:val="52"/>
    </w:rPr>
  </w:style>
  <w:style w:type="character" w:customStyle="1" w:styleId="NzevChar">
    <w:name w:val="Název Char"/>
    <w:link w:val="Nzev"/>
    <w:uiPriority w:val="10"/>
    <w:rsid w:val="0048086F"/>
    <w:rPr>
      <w:rFonts w:ascii="Arial" w:eastAsia="MS Gothic" w:hAnsi="Arial"/>
      <w:b/>
      <w:caps/>
      <w:color w:val="BC091B"/>
      <w:sz w:val="56"/>
      <w:szCs w:val="52"/>
      <w:lang w:bidi="ar-SA"/>
    </w:rPr>
  </w:style>
  <w:style w:type="paragraph" w:styleId="Podtitul">
    <w:name w:val="Subtitle"/>
    <w:next w:val="Normln"/>
    <w:link w:val="PodtitulChar"/>
    <w:uiPriority w:val="11"/>
    <w:qFormat/>
    <w:rsid w:val="00BC3543"/>
    <w:pPr>
      <w:numPr>
        <w:ilvl w:val="1"/>
      </w:numPr>
      <w:spacing w:line="288" w:lineRule="auto"/>
    </w:pPr>
    <w:rPr>
      <w:rFonts w:ascii="Arial" w:eastAsia="MS Gothic" w:hAnsi="Arial"/>
      <w:b/>
      <w:iCs/>
      <w:color w:val="BC091B"/>
      <w:sz w:val="28"/>
      <w:szCs w:val="24"/>
    </w:rPr>
  </w:style>
  <w:style w:type="character" w:customStyle="1" w:styleId="PodtitulChar">
    <w:name w:val="Podtitul Char"/>
    <w:link w:val="Podtitul"/>
    <w:uiPriority w:val="11"/>
    <w:rsid w:val="00BC3543"/>
    <w:rPr>
      <w:rFonts w:ascii="Arial" w:eastAsia="MS Gothic" w:hAnsi="Arial"/>
      <w:b/>
      <w:iCs/>
      <w:color w:val="BC091B"/>
      <w:sz w:val="28"/>
      <w:szCs w:val="24"/>
      <w:lang w:bidi="ar-SA"/>
    </w:rPr>
  </w:style>
  <w:style w:type="character" w:customStyle="1" w:styleId="Nadpis1Char">
    <w:name w:val="Nadpis 1 Char"/>
    <w:link w:val="Nadpis1"/>
    <w:uiPriority w:val="9"/>
    <w:rsid w:val="00BC3543"/>
    <w:rPr>
      <w:rFonts w:ascii="Arial" w:eastAsia="MS Gothic" w:hAnsi="Arial"/>
      <w:b/>
      <w:bCs/>
      <w:color w:val="BC091B"/>
      <w:sz w:val="32"/>
      <w:szCs w:val="28"/>
      <w:lang w:bidi="ar-SA"/>
    </w:rPr>
  </w:style>
  <w:style w:type="character" w:customStyle="1" w:styleId="Nadpis2Char">
    <w:name w:val="Nadpis 2 Char"/>
    <w:link w:val="Nadpis2"/>
    <w:uiPriority w:val="9"/>
    <w:rsid w:val="00694914"/>
    <w:rPr>
      <w:rFonts w:ascii="Arial" w:eastAsia="MS Gothic" w:hAnsi="Arial"/>
      <w:b/>
      <w:bCs/>
      <w:color w:val="BC091B"/>
      <w:sz w:val="28"/>
      <w:szCs w:val="26"/>
    </w:rPr>
  </w:style>
  <w:style w:type="character" w:customStyle="1" w:styleId="Nadpis3Char">
    <w:name w:val="Nadpis 3 Char"/>
    <w:link w:val="Nadpis3"/>
    <w:uiPriority w:val="9"/>
    <w:rsid w:val="00694914"/>
    <w:rPr>
      <w:rFonts w:ascii="Arial" w:eastAsia="MS Gothic" w:hAnsi="Arial"/>
      <w:b/>
      <w:bCs/>
      <w:color w:val="BC091B"/>
      <w:sz w:val="24"/>
      <w:szCs w:val="24"/>
    </w:rPr>
  </w:style>
  <w:style w:type="character" w:customStyle="1" w:styleId="Nadpis4Char">
    <w:name w:val="Nadpis 4 Char"/>
    <w:link w:val="Nadpis4"/>
    <w:uiPriority w:val="9"/>
    <w:rsid w:val="005108C0"/>
    <w:rPr>
      <w:rFonts w:ascii="Arial" w:eastAsia="MS Gothic" w:hAnsi="Arial"/>
      <w:b/>
      <w:bCs/>
      <w:iCs/>
      <w:szCs w:val="24"/>
      <w:lang w:bidi="ar-SA"/>
    </w:rPr>
  </w:style>
  <w:style w:type="paragraph" w:customStyle="1" w:styleId="Stednmka21">
    <w:name w:val="Střední mřížka 21"/>
    <w:aliases w:val="Bez zarážky"/>
    <w:link w:val="Stednmka2Char"/>
    <w:uiPriority w:val="1"/>
    <w:qFormat/>
    <w:rsid w:val="008D2A16"/>
    <w:pPr>
      <w:spacing w:line="288" w:lineRule="auto"/>
    </w:pPr>
    <w:rPr>
      <w:rFonts w:ascii="Arial" w:eastAsia="Times New Roman" w:hAnsi="Arial"/>
      <w:szCs w:val="24"/>
    </w:rPr>
  </w:style>
  <w:style w:type="paragraph" w:customStyle="1" w:styleId="Box1">
    <w:name w:val="Box 1"/>
    <w:basedOn w:val="Zkladnodstavec"/>
    <w:next w:val="Normln"/>
    <w:qFormat/>
    <w:rsid w:val="00BC3543"/>
    <w:pPr>
      <w:ind w:left="1134"/>
    </w:pPr>
    <w:rPr>
      <w:rFonts w:ascii="Arial" w:hAnsi="Arial" w:cs="Arial"/>
      <w:color w:val="BC091B"/>
      <w:sz w:val="20"/>
      <w:szCs w:val="20"/>
    </w:rPr>
  </w:style>
  <w:style w:type="paragraph" w:customStyle="1" w:styleId="Box2">
    <w:name w:val="Box 2"/>
    <w:basedOn w:val="Zkladnodstavec"/>
    <w:link w:val="Box2Char"/>
    <w:rsid w:val="00010702"/>
    <w:pPr>
      <w:shd w:val="clear" w:color="auto" w:fill="CCC0D9"/>
      <w:tabs>
        <w:tab w:val="left" w:pos="9638"/>
      </w:tabs>
      <w:ind w:left="1134" w:right="-1"/>
    </w:pPr>
    <w:rPr>
      <w:rFonts w:ascii="Arial" w:hAnsi="Arial"/>
      <w:b/>
    </w:rPr>
  </w:style>
  <w:style w:type="paragraph" w:customStyle="1" w:styleId="Box">
    <w:name w:val="Box"/>
    <w:next w:val="Normln"/>
    <w:link w:val="BoxChar"/>
    <w:qFormat/>
    <w:rsid w:val="00210AA5"/>
    <w:pPr>
      <w:shd w:val="clear" w:color="auto" w:fill="F5DADD"/>
      <w:spacing w:line="288" w:lineRule="auto"/>
      <w:ind w:left="1134"/>
    </w:pPr>
    <w:rPr>
      <w:rFonts w:ascii="Arial" w:hAnsi="Arial"/>
      <w:color w:val="000000"/>
      <w:sz w:val="24"/>
      <w:szCs w:val="24"/>
    </w:rPr>
  </w:style>
  <w:style w:type="paragraph" w:customStyle="1" w:styleId="TL-Kontakty">
    <w:name w:val="TL - Kontakty"/>
    <w:next w:val="Normln"/>
    <w:link w:val="TL-KontaktyChar"/>
    <w:qFormat/>
    <w:rsid w:val="004F06F5"/>
    <w:pPr>
      <w:spacing w:after="80"/>
    </w:pPr>
    <w:rPr>
      <w:rFonts w:ascii="Arial" w:eastAsia="Times New Roman" w:hAnsi="Arial"/>
      <w:b/>
      <w:caps/>
      <w:color w:val="BD1B21"/>
      <w:sz w:val="24"/>
      <w:szCs w:val="24"/>
    </w:rPr>
  </w:style>
  <w:style w:type="character" w:customStyle="1" w:styleId="ZkladnodstavecChar">
    <w:name w:val="[Základní odstavec] Char"/>
    <w:link w:val="Zkladnodstavec"/>
    <w:uiPriority w:val="99"/>
    <w:rsid w:val="006710C9"/>
    <w:rPr>
      <w:rFonts w:ascii="Minion Pro" w:hAnsi="Minion Pro" w:cs="Minion Pro"/>
      <w:color w:val="000000"/>
      <w:sz w:val="24"/>
      <w:szCs w:val="24"/>
    </w:rPr>
  </w:style>
  <w:style w:type="character" w:customStyle="1" w:styleId="Box2Char">
    <w:name w:val="Box 2 Char"/>
    <w:link w:val="Box2"/>
    <w:rsid w:val="006710C9"/>
    <w:rPr>
      <w:rFonts w:ascii="Arial" w:hAnsi="Arial" w:cs="Arial"/>
      <w:b/>
      <w:color w:val="000000"/>
      <w:sz w:val="24"/>
      <w:szCs w:val="24"/>
      <w:shd w:val="clear" w:color="auto" w:fill="CCC0D9"/>
    </w:rPr>
  </w:style>
  <w:style w:type="character" w:customStyle="1" w:styleId="BoxChar">
    <w:name w:val="Box Char"/>
    <w:link w:val="Box"/>
    <w:rsid w:val="00210AA5"/>
    <w:rPr>
      <w:rFonts w:ascii="Arial" w:hAnsi="Arial"/>
      <w:color w:val="000000"/>
      <w:sz w:val="24"/>
      <w:szCs w:val="24"/>
      <w:shd w:val="clear" w:color="auto" w:fill="F5DADD"/>
      <w:lang w:bidi="ar-SA"/>
    </w:rPr>
  </w:style>
  <w:style w:type="paragraph" w:customStyle="1" w:styleId="TL-Identifikace">
    <w:name w:val="TL - Identifikace"/>
    <w:next w:val="Normln"/>
    <w:link w:val="TL-IdentifikaceChar"/>
    <w:qFormat/>
    <w:rsid w:val="004F06F5"/>
    <w:pPr>
      <w:spacing w:after="200" w:line="288" w:lineRule="auto"/>
    </w:pPr>
    <w:rPr>
      <w:rFonts w:ascii="Arial" w:eastAsia="Times New Roman" w:hAnsi="Arial"/>
      <w:sz w:val="24"/>
      <w:szCs w:val="24"/>
    </w:rPr>
  </w:style>
  <w:style w:type="character" w:customStyle="1" w:styleId="TL-KontaktyChar">
    <w:name w:val="TL - Kontakty Char"/>
    <w:link w:val="TL-Kontakty"/>
    <w:rsid w:val="004F06F5"/>
    <w:rPr>
      <w:rFonts w:ascii="Arial" w:eastAsia="Times New Roman" w:hAnsi="Arial"/>
      <w:b/>
      <w:caps/>
      <w:color w:val="BD1B21"/>
      <w:sz w:val="24"/>
      <w:szCs w:val="24"/>
      <w:lang w:bidi="ar-SA"/>
    </w:rPr>
  </w:style>
  <w:style w:type="character" w:customStyle="1" w:styleId="TL-IdentifikaceChar">
    <w:name w:val="TL - Identifikace Char"/>
    <w:link w:val="TL-Identifikace"/>
    <w:rsid w:val="004F06F5"/>
    <w:rPr>
      <w:rFonts w:ascii="Arial" w:eastAsia="Times New Roman" w:hAnsi="Arial"/>
      <w:sz w:val="24"/>
      <w:szCs w:val="24"/>
      <w:lang w:bidi="ar-SA"/>
    </w:rPr>
  </w:style>
  <w:style w:type="paragraph" w:customStyle="1" w:styleId="3372873BB58A4DED866D2BE34882C06C">
    <w:name w:val="3372873BB58A4DED866D2BE34882C06C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233E5CD5853943F4BD7E8C4B124C0E1D">
    <w:name w:val="233E5CD5853943F4BD7E8C4B124C0E1D"/>
    <w:rsid w:val="00EE3E78"/>
    <w:pPr>
      <w:spacing w:after="200" w:line="276" w:lineRule="auto"/>
    </w:pPr>
    <w:rPr>
      <w:rFonts w:eastAsia="MS Mincho"/>
      <w:sz w:val="22"/>
      <w:szCs w:val="22"/>
    </w:rPr>
  </w:style>
  <w:style w:type="paragraph" w:customStyle="1" w:styleId="D345FF3D873148C5AE3FBF3267827368">
    <w:name w:val="D345FF3D873148C5AE3FBF3267827368"/>
    <w:rsid w:val="00EE3E78"/>
    <w:pPr>
      <w:spacing w:after="200" w:line="276" w:lineRule="auto"/>
    </w:pPr>
    <w:rPr>
      <w:rFonts w:eastAsia="MS Mincho"/>
      <w:sz w:val="22"/>
      <w:szCs w:val="22"/>
    </w:rPr>
  </w:style>
  <w:style w:type="character" w:customStyle="1" w:styleId="Stednmka2Char">
    <w:name w:val="Střední mřížka 2 Char"/>
    <w:aliases w:val="Bez zarážky Char"/>
    <w:link w:val="Stednmka21"/>
    <w:uiPriority w:val="1"/>
    <w:rsid w:val="00EE3E78"/>
    <w:rPr>
      <w:rFonts w:ascii="Arial" w:eastAsia="Times New Roman" w:hAnsi="Arial"/>
      <w:szCs w:val="24"/>
      <w:lang w:bidi="ar-SA"/>
    </w:rPr>
  </w:style>
  <w:style w:type="paragraph" w:customStyle="1" w:styleId="TL-identifikace-sted">
    <w:name w:val="TL - identifikace - střed"/>
    <w:basedOn w:val="Normln"/>
    <w:link w:val="TL-identifikace-stedChar"/>
    <w:qFormat/>
    <w:rsid w:val="006C113F"/>
    <w:pPr>
      <w:spacing w:after="200"/>
    </w:pPr>
    <w:rPr>
      <w:sz w:val="24"/>
    </w:rPr>
  </w:style>
  <w:style w:type="paragraph" w:customStyle="1" w:styleId="TL-Identifikace-dole">
    <w:name w:val="TL - Identifikace - dole"/>
    <w:basedOn w:val="Normln"/>
    <w:link w:val="TL-Identifikace-doleChar"/>
    <w:qFormat/>
    <w:rsid w:val="006C113F"/>
    <w:pPr>
      <w:spacing w:after="200"/>
    </w:pPr>
    <w:rPr>
      <w:szCs w:val="20"/>
      <w:lang w:eastAsia="ar-SA"/>
    </w:rPr>
  </w:style>
  <w:style w:type="character" w:customStyle="1" w:styleId="TL-identifikace-stedChar">
    <w:name w:val="TL - identifikace - střed Char"/>
    <w:link w:val="TL-identifikace-sted"/>
    <w:rsid w:val="006C113F"/>
    <w:rPr>
      <w:rFonts w:ascii="Arial" w:eastAsia="Times New Roman" w:hAnsi="Arial"/>
      <w:sz w:val="24"/>
      <w:szCs w:val="24"/>
    </w:rPr>
  </w:style>
  <w:style w:type="character" w:customStyle="1" w:styleId="TL-Identifikace-doleChar">
    <w:name w:val="TL - Identifikace - dole Char"/>
    <w:link w:val="TL-Identifikace-dole"/>
    <w:rsid w:val="006C113F"/>
    <w:rPr>
      <w:rFonts w:ascii="Arial" w:eastAsia="Times New Roman" w:hAnsi="Arial" w:cs="Arial"/>
      <w:lang w:eastAsia="ar-SA"/>
    </w:rPr>
  </w:style>
  <w:style w:type="paragraph" w:customStyle="1" w:styleId="Box-Lideaspolecnost">
    <w:name w:val="Box - Lide a spolecnost"/>
    <w:next w:val="Normln"/>
    <w:link w:val="Box-LideaspolecnostChar"/>
    <w:rsid w:val="00BC3543"/>
    <w:pPr>
      <w:shd w:val="clear" w:color="auto" w:fill="F5DADD"/>
      <w:spacing w:line="288" w:lineRule="auto"/>
      <w:ind w:left="1134"/>
    </w:pPr>
    <w:rPr>
      <w:rFonts w:ascii="Arial" w:hAnsi="Arial" w:cs="Arial"/>
    </w:rPr>
  </w:style>
  <w:style w:type="character" w:customStyle="1" w:styleId="Box-LideaspolecnostChar">
    <w:name w:val="Box - Lide a spolecnost Char"/>
    <w:link w:val="Box-Lideaspolecnost"/>
    <w:rsid w:val="00BC3543"/>
    <w:rPr>
      <w:rFonts w:ascii="Arial" w:hAnsi="Arial" w:cs="Arial"/>
      <w:shd w:val="clear" w:color="auto" w:fill="F5DADD"/>
      <w:lang w:val="cs-CZ" w:eastAsia="cs-CZ" w:bidi="ar-SA"/>
    </w:rPr>
  </w:style>
  <w:style w:type="paragraph" w:customStyle="1" w:styleId="Obsah">
    <w:name w:val="Obsah"/>
    <w:next w:val="Normln"/>
    <w:link w:val="ObsahChar"/>
    <w:qFormat/>
    <w:rsid w:val="007B47EE"/>
    <w:pPr>
      <w:spacing w:after="200"/>
    </w:pPr>
    <w:rPr>
      <w:rFonts w:ascii="Arial" w:eastAsia="MS Gothic" w:hAnsi="Arial"/>
      <w:b/>
      <w:bCs/>
      <w:color w:val="BC091B"/>
      <w:sz w:val="32"/>
      <w:szCs w:val="28"/>
    </w:rPr>
  </w:style>
  <w:style w:type="character" w:customStyle="1" w:styleId="ObsahChar">
    <w:name w:val="Obsah Char"/>
    <w:link w:val="Obsah"/>
    <w:rsid w:val="007B47EE"/>
    <w:rPr>
      <w:rFonts w:ascii="Arial" w:eastAsia="MS Gothic" w:hAnsi="Arial"/>
      <w:b/>
      <w:bCs/>
      <w:color w:val="BC091B"/>
      <w:sz w:val="32"/>
      <w:szCs w:val="28"/>
      <w:lang w:bidi="ar-SA"/>
    </w:rPr>
  </w:style>
  <w:style w:type="paragraph" w:styleId="Odstavecseseznamem">
    <w:name w:val="List Paragraph"/>
    <w:basedOn w:val="Normln"/>
    <w:uiPriority w:val="34"/>
    <w:qFormat/>
    <w:rsid w:val="00BB6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4DB"/>
    <w:pPr>
      <w:spacing w:line="240" w:lineRule="auto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4DB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BB64DB"/>
    <w:rPr>
      <w:vertAlign w:val="superscript"/>
    </w:rPr>
  </w:style>
  <w:style w:type="paragraph" w:styleId="Titulek">
    <w:name w:val="caption"/>
    <w:basedOn w:val="Normln"/>
    <w:next w:val="Normln"/>
    <w:uiPriority w:val="35"/>
    <w:unhideWhenUsed/>
    <w:qFormat/>
    <w:rsid w:val="00BB64DB"/>
    <w:pPr>
      <w:spacing w:after="200"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table" w:customStyle="1" w:styleId="Svtlstnovn1">
    <w:name w:val="Světlé stínování1"/>
    <w:basedOn w:val="Normlntabulka"/>
    <w:uiPriority w:val="60"/>
    <w:rsid w:val="00BB64DB"/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katabulky">
    <w:name w:val="Table Grid"/>
    <w:basedOn w:val="Normlntabulka"/>
    <w:uiPriority w:val="59"/>
    <w:rsid w:val="00BB64D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22"/>
    <w:qFormat/>
    <w:rsid w:val="00BB64DB"/>
    <w:rPr>
      <w:b/>
      <w:bCs/>
    </w:rPr>
  </w:style>
  <w:style w:type="paragraph" w:customStyle="1" w:styleId="Default">
    <w:name w:val="Default"/>
    <w:rsid w:val="00BB64D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BB64DB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BB64DB"/>
    <w:rPr>
      <w:color w:val="800080" w:themeColor="followedHyperlink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B64DB"/>
    <w:p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rsid w:val="00694914"/>
    <w:pPr>
      <w:tabs>
        <w:tab w:val="left" w:pos="440"/>
        <w:tab w:val="right" w:leader="dot" w:pos="9062"/>
      </w:tabs>
      <w:spacing w:after="100" w:line="276" w:lineRule="auto"/>
    </w:pPr>
    <w:rPr>
      <w:rFonts w:asciiTheme="minorHAnsi" w:eastAsiaTheme="minorHAnsi" w:hAnsiTheme="minorHAnsi" w:cstheme="minorBidi"/>
      <w:noProof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B414F8"/>
    <w:pPr>
      <w:spacing w:after="100"/>
      <w:ind w:left="200"/>
    </w:pPr>
  </w:style>
  <w:style w:type="character" w:customStyle="1" w:styleId="st">
    <w:name w:val="st"/>
    <w:basedOn w:val="Standardnpsmoodstavce"/>
    <w:rsid w:val="00FA6A70"/>
  </w:style>
  <w:style w:type="character" w:styleId="Zvraznn">
    <w:name w:val="Emphasis"/>
    <w:basedOn w:val="Standardnpsmoodstavce"/>
    <w:uiPriority w:val="20"/>
    <w:qFormat/>
    <w:rsid w:val="00FA6A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DERA~1\AppData\Local\Temp\publikace%20bar_lide%20a%20spolecnost-1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_videohry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ublikace%20Kulturn&#237;%20pr&#367;mysly%20v%20&#268;R\Ostatn&#237;%20zdroje%20-%20tabulky\V&#253;stupy_videohry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Se&#353;it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>
        <c:manualLayout>
          <c:layoutTarget val="inner"/>
          <c:xMode val="edge"/>
          <c:yMode val="edge"/>
          <c:x val="7.8919072615923014E-2"/>
          <c:y val="0.19103603984985748"/>
          <c:w val="0.86149759405074366"/>
          <c:h val="0.66522450822679569"/>
        </c:manualLayout>
      </c:layout>
      <c:lineChart>
        <c:grouping val="standard"/>
        <c:ser>
          <c:idx val="0"/>
          <c:order val="0"/>
          <c:tx>
            <c:strRef>
              <c:f>List1!$B$9</c:f>
              <c:strCache>
                <c:ptCount val="1"/>
                <c:pt idx="0">
                  <c:v>tržby (v mil. Kč)</c:v>
                </c:pt>
              </c:strCache>
            </c:strRef>
          </c:tx>
          <c:spPr>
            <a:ln>
              <a:solidFill>
                <a:srgbClr val="1F497D">
                  <a:lumMod val="75000"/>
                </a:srgbClr>
              </a:solidFill>
            </a:ln>
          </c:spPr>
          <c:marker>
            <c:spPr>
              <a:solidFill>
                <a:schemeClr val="tx2">
                  <a:lumMod val="75000"/>
                </a:schemeClr>
              </a:solidFill>
              <a:ln>
                <a:solidFill>
                  <a:srgbClr val="1F497D">
                    <a:lumMod val="75000"/>
                  </a:srgbClr>
                </a:solidFill>
              </a:ln>
            </c:spPr>
          </c:marker>
          <c:dLbls>
            <c:numFmt formatCode="#,##0.0" sourceLinked="0"/>
            <c:dLblPos val="t"/>
            <c:showVal val="1"/>
          </c:dLbls>
          <c:cat>
            <c:numRef>
              <c:f>List1!$C$8:$E$8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List1!$C$9:$E$9</c:f>
              <c:numCache>
                <c:formatCode>General</c:formatCode>
                <c:ptCount val="3"/>
                <c:pt idx="0">
                  <c:v>1.761347</c:v>
                </c:pt>
                <c:pt idx="1">
                  <c:v>0.6178500000000009</c:v>
                </c:pt>
                <c:pt idx="2">
                  <c:v>1.1216089999999999</c:v>
                </c:pt>
              </c:numCache>
            </c:numRef>
          </c:val>
        </c:ser>
        <c:ser>
          <c:idx val="1"/>
          <c:order val="1"/>
          <c:tx>
            <c:strRef>
              <c:f>List1!$B$10</c:f>
              <c:strCache>
                <c:ptCount val="1"/>
                <c:pt idx="0">
                  <c:v>zaměstnanost</c:v>
                </c:pt>
              </c:strCache>
            </c:strRef>
          </c:tx>
          <c:dLbls>
            <c:dLbl>
              <c:idx val="3"/>
              <c:dLblPos val="t"/>
              <c:showVal val="1"/>
            </c:dLbl>
            <c:numFmt formatCode="#,##0.0" sourceLinked="0"/>
            <c:dLblPos val="b"/>
            <c:showVal val="1"/>
          </c:dLbls>
          <c:cat>
            <c:numRef>
              <c:f>List1!$C$8:$E$8</c:f>
              <c:numCache>
                <c:formatCode>General</c:formatCode>
                <c:ptCount val="3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</c:numCache>
            </c:numRef>
          </c:cat>
          <c:val>
            <c:numRef>
              <c:f>List1!$C$10:$E$10</c:f>
              <c:numCache>
                <c:formatCode>General</c:formatCode>
                <c:ptCount val="3"/>
                <c:pt idx="0">
                  <c:v>1.375</c:v>
                </c:pt>
                <c:pt idx="1">
                  <c:v>0.43800000000000039</c:v>
                </c:pt>
                <c:pt idx="2">
                  <c:v>0.73600000000000065</c:v>
                </c:pt>
              </c:numCache>
            </c:numRef>
          </c:val>
        </c:ser>
        <c:marker val="1"/>
        <c:axId val="100453760"/>
        <c:axId val="100500992"/>
      </c:lineChart>
      <c:catAx>
        <c:axId val="100453760"/>
        <c:scaling>
          <c:orientation val="minMax"/>
        </c:scaling>
        <c:axPos val="b"/>
        <c:numFmt formatCode="General" sourceLinked="1"/>
        <c:tickLblPos val="nextTo"/>
        <c:crossAx val="100500992"/>
        <c:crosses val="autoZero"/>
        <c:auto val="1"/>
        <c:lblAlgn val="ctr"/>
        <c:lblOffset val="100"/>
      </c:catAx>
      <c:valAx>
        <c:axId val="100500992"/>
        <c:scaling>
          <c:orientation val="minMax"/>
        </c:scaling>
        <c:axPos val="l"/>
        <c:majorGridlines/>
        <c:numFmt formatCode="General" sourceLinked="1"/>
        <c:tickLblPos val="nextTo"/>
        <c:crossAx val="1004537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875000000000024"/>
          <c:y val="4.2457713619131121E-3"/>
          <c:w val="0.76513888888889048"/>
          <c:h val="0.1674343832021003"/>
        </c:manualLayout>
      </c:layout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style val="3"/>
  <c:chart>
    <c:plotArea>
      <c:layout>
        <c:manualLayout>
          <c:layoutTarget val="inner"/>
          <c:xMode val="edge"/>
          <c:yMode val="edge"/>
          <c:x val="0.17811351706036746"/>
          <c:y val="0.14814814814814847"/>
          <c:w val="0.77040179352581095"/>
          <c:h val="0.73587197433654306"/>
        </c:manualLayout>
      </c:layout>
      <c:barChart>
        <c:barDir val="bar"/>
        <c:grouping val="clustered"/>
        <c:ser>
          <c:idx val="0"/>
          <c:order val="0"/>
          <c:tx>
            <c:strRef>
              <c:f>List2!$M$1</c:f>
              <c:strCache>
                <c:ptCount val="1"/>
                <c:pt idx="0">
                  <c:v>jednotlivci 16+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List2!$L$2:$L$7</c:f>
              <c:strCache>
                <c:ptCount val="6"/>
                <c:pt idx="0">
                  <c:v>65 let a více</c:v>
                </c:pt>
                <c:pt idx="1">
                  <c:v>55-64 let</c:v>
                </c:pt>
                <c:pt idx="2">
                  <c:v>45-54 let</c:v>
                </c:pt>
                <c:pt idx="3">
                  <c:v>35-44 let</c:v>
                </c:pt>
                <c:pt idx="4">
                  <c:v>25 - 34 let</c:v>
                </c:pt>
                <c:pt idx="5">
                  <c:v>16-24 let</c:v>
                </c:pt>
              </c:strCache>
            </c:strRef>
          </c:cat>
          <c:val>
            <c:numRef>
              <c:f>List2!$M$2:$M$7</c:f>
              <c:numCache>
                <c:formatCode>General</c:formatCode>
                <c:ptCount val="6"/>
                <c:pt idx="0">
                  <c:v>2.4E-2</c:v>
                </c:pt>
                <c:pt idx="1">
                  <c:v>7.5000000000000011E-2</c:v>
                </c:pt>
                <c:pt idx="2">
                  <c:v>0.111</c:v>
                </c:pt>
                <c:pt idx="3">
                  <c:v>0.17700000000000018</c:v>
                </c:pt>
                <c:pt idx="4">
                  <c:v>0.30100000000000032</c:v>
                </c:pt>
                <c:pt idx="5">
                  <c:v>0.60500000000000065</c:v>
                </c:pt>
              </c:numCache>
            </c:numRef>
          </c:val>
        </c:ser>
        <c:ser>
          <c:idx val="1"/>
          <c:order val="1"/>
          <c:tx>
            <c:strRef>
              <c:f>List2!$N$1</c:f>
              <c:strCache>
                <c:ptCount val="1"/>
                <c:pt idx="0">
                  <c:v>jednotlivci 16+ používající internet</c:v>
                </c:pt>
              </c:strCache>
            </c:strRef>
          </c:tx>
          <c:dLbls>
            <c:numFmt formatCode="0%" sourceLinked="0"/>
            <c:showVal val="1"/>
          </c:dLbls>
          <c:cat>
            <c:strRef>
              <c:f>List2!$L$2:$L$7</c:f>
              <c:strCache>
                <c:ptCount val="6"/>
                <c:pt idx="0">
                  <c:v>65 let a více</c:v>
                </c:pt>
                <c:pt idx="1">
                  <c:v>55-64 let</c:v>
                </c:pt>
                <c:pt idx="2">
                  <c:v>45-54 let</c:v>
                </c:pt>
                <c:pt idx="3">
                  <c:v>35-44 let</c:v>
                </c:pt>
                <c:pt idx="4">
                  <c:v>25 - 34 let</c:v>
                </c:pt>
                <c:pt idx="5">
                  <c:v>16-24 let</c:v>
                </c:pt>
              </c:strCache>
            </c:strRef>
          </c:cat>
          <c:val>
            <c:numRef>
              <c:f>List2!$N$2:$N$7</c:f>
              <c:numCache>
                <c:formatCode>General</c:formatCode>
                <c:ptCount val="6"/>
                <c:pt idx="0">
                  <c:v>9.1000000000000025E-2</c:v>
                </c:pt>
                <c:pt idx="1">
                  <c:v>0.11699999999999998</c:v>
                </c:pt>
                <c:pt idx="2">
                  <c:v>0.13100000000000001</c:v>
                </c:pt>
                <c:pt idx="3">
                  <c:v>0.192</c:v>
                </c:pt>
                <c:pt idx="4">
                  <c:v>0.31400000000000039</c:v>
                </c:pt>
                <c:pt idx="5">
                  <c:v>0.61700000000000077</c:v>
                </c:pt>
              </c:numCache>
            </c:numRef>
          </c:val>
        </c:ser>
        <c:axId val="100617216"/>
        <c:axId val="100668160"/>
      </c:barChart>
      <c:catAx>
        <c:axId val="100617216"/>
        <c:scaling>
          <c:orientation val="minMax"/>
        </c:scaling>
        <c:axPos val="l"/>
        <c:tickLblPos val="nextTo"/>
        <c:crossAx val="100668160"/>
        <c:crosses val="autoZero"/>
        <c:auto val="1"/>
        <c:lblAlgn val="ctr"/>
        <c:lblOffset val="100"/>
      </c:catAx>
      <c:valAx>
        <c:axId val="100668160"/>
        <c:scaling>
          <c:orientation val="minMax"/>
        </c:scaling>
        <c:axPos val="b"/>
        <c:majorGridlines/>
        <c:numFmt formatCode="General" sourceLinked="1"/>
        <c:tickLblPos val="nextTo"/>
        <c:crossAx val="1006172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8.2723534558180253E-2"/>
          <c:y val="1.8134660250801987E-2"/>
          <c:w val="0.85894313210848927"/>
          <c:h val="0.11650845727617397"/>
        </c:manualLayout>
      </c:layout>
    </c:legend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spPr>
            <a:solidFill>
              <a:schemeClr val="tx2">
                <a:lumMod val="75000"/>
              </a:schemeClr>
            </a:solidFill>
          </c:spPr>
          <c:dLbls>
            <c:numFmt formatCode="0%" sourceLinked="0"/>
            <c:showVal val="1"/>
          </c:dLbls>
          <c:cat>
            <c:strRef>
              <c:f>List3!$C$1:$F$1</c:f>
              <c:strCache>
                <c:ptCount val="4"/>
                <c:pt idx="0">
                  <c:v>Nehraje</c:v>
                </c:pt>
                <c:pt idx="1">
                  <c:v>Hraje týdně</c:v>
                </c:pt>
                <c:pt idx="2">
                  <c:v>hraje měsíčně</c:v>
                </c:pt>
                <c:pt idx="3">
                  <c:v>hraje méně často</c:v>
                </c:pt>
              </c:strCache>
            </c:strRef>
          </c:cat>
          <c:val>
            <c:numRef>
              <c:f>List3!$C$2:$F$2</c:f>
              <c:numCache>
                <c:formatCode>General</c:formatCode>
                <c:ptCount val="4"/>
                <c:pt idx="0">
                  <c:v>0.44</c:v>
                </c:pt>
                <c:pt idx="1">
                  <c:v>0.27</c:v>
                </c:pt>
                <c:pt idx="2">
                  <c:v>0.12000000000000002</c:v>
                </c:pt>
                <c:pt idx="3">
                  <c:v>0.17</c:v>
                </c:pt>
              </c:numCache>
            </c:numRef>
          </c:val>
        </c:ser>
        <c:gapWidth val="259"/>
        <c:axId val="101353344"/>
        <c:axId val="101864960"/>
      </c:barChart>
      <c:catAx>
        <c:axId val="101353344"/>
        <c:scaling>
          <c:orientation val="minMax"/>
        </c:scaling>
        <c:axPos val="b"/>
        <c:tickLblPos val="nextTo"/>
        <c:crossAx val="101864960"/>
        <c:crosses val="autoZero"/>
        <c:auto val="1"/>
        <c:lblAlgn val="ctr"/>
        <c:lblOffset val="100"/>
      </c:catAx>
      <c:valAx>
        <c:axId val="101864960"/>
        <c:scaling>
          <c:orientation val="minMax"/>
        </c:scaling>
        <c:axPos val="l"/>
        <c:majorGridlines/>
        <c:numFmt formatCode="0%" sourceLinked="0"/>
        <c:tickLblPos val="nextTo"/>
        <c:crossAx val="101353344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cs-CZ"/>
  <c:style val="3"/>
  <c:chart>
    <c:plotArea>
      <c:layout/>
      <c:barChart>
        <c:barDir val="col"/>
        <c:grouping val="clustered"/>
        <c:ser>
          <c:idx val="0"/>
          <c:order val="0"/>
          <c:dPt>
            <c:idx val="0"/>
            <c:spPr>
              <a:solidFill>
                <a:schemeClr val="tx2">
                  <a:lumMod val="75000"/>
                </a:schemeClr>
              </a:solidFill>
            </c:spPr>
          </c:dPt>
          <c:dPt>
            <c:idx val="1"/>
            <c:spPr>
              <a:solidFill>
                <a:schemeClr val="tx2">
                  <a:lumMod val="75000"/>
                </a:schemeClr>
              </a:solidFill>
            </c:spPr>
          </c:dPt>
          <c:dPt>
            <c:idx val="2"/>
            <c:spPr>
              <a:solidFill>
                <a:schemeClr val="tx2">
                  <a:lumMod val="75000"/>
                </a:schemeClr>
              </a:solidFill>
            </c:spPr>
          </c:dPt>
          <c:dPt>
            <c:idx val="3"/>
            <c:spPr>
              <a:solidFill>
                <a:schemeClr val="tx2">
                  <a:lumMod val="75000"/>
                </a:schemeClr>
              </a:solidFill>
            </c:spPr>
          </c:dPt>
          <c:dLbls>
            <c:numFmt formatCode="0%" sourceLinked="0"/>
            <c:showVal val="1"/>
          </c:dLbls>
          <c:cat>
            <c:strRef>
              <c:f>List4!$C$2:$F$2</c:f>
              <c:strCache>
                <c:ptCount val="4"/>
                <c:pt idx="0">
                  <c:v>herní konzole</c:v>
                </c:pt>
                <c:pt idx="1">
                  <c:v>přenosné herní zařízení</c:v>
                </c:pt>
                <c:pt idx="2">
                  <c:v>počítač</c:v>
                </c:pt>
                <c:pt idx="3">
                  <c:v>mobilní telefon</c:v>
                </c:pt>
              </c:strCache>
            </c:strRef>
          </c:cat>
          <c:val>
            <c:numRef>
              <c:f>List4!$C$3:$F$3</c:f>
              <c:numCache>
                <c:formatCode>General</c:formatCode>
                <c:ptCount val="4"/>
                <c:pt idx="0">
                  <c:v>0.16</c:v>
                </c:pt>
                <c:pt idx="1">
                  <c:v>8.0000000000000043E-2</c:v>
                </c:pt>
                <c:pt idx="2">
                  <c:v>0.49000000000000032</c:v>
                </c:pt>
                <c:pt idx="3">
                  <c:v>0.25</c:v>
                </c:pt>
              </c:numCache>
            </c:numRef>
          </c:val>
        </c:ser>
        <c:gapWidth val="251"/>
        <c:axId val="102986112"/>
        <c:axId val="102987648"/>
      </c:barChart>
      <c:catAx>
        <c:axId val="102986112"/>
        <c:scaling>
          <c:orientation val="minMax"/>
        </c:scaling>
        <c:axPos val="b"/>
        <c:tickLblPos val="nextTo"/>
        <c:crossAx val="102987648"/>
        <c:crosses val="autoZero"/>
        <c:auto val="1"/>
        <c:lblAlgn val="ctr"/>
        <c:lblOffset val="100"/>
      </c:catAx>
      <c:valAx>
        <c:axId val="102987648"/>
        <c:scaling>
          <c:orientation val="minMax"/>
        </c:scaling>
        <c:axPos val="l"/>
        <c:majorGridlines/>
        <c:numFmt formatCode="0%" sourceLinked="0"/>
        <c:tickLblPos val="nextTo"/>
        <c:crossAx val="10298611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5822E-E0AB-4FFE-ACE6-110263BC0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bar_lide a spolecnost-1</Template>
  <TotalTime>5</TotalTime>
  <Pages>3</Pages>
  <Words>654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Dedera</dc:creator>
  <cp:lastModifiedBy>Milan Dedera</cp:lastModifiedBy>
  <cp:revision>3</cp:revision>
  <cp:lastPrinted>2015-10-22T10:02:00Z</cp:lastPrinted>
  <dcterms:created xsi:type="dcterms:W3CDTF">2015-10-23T08:27:00Z</dcterms:created>
  <dcterms:modified xsi:type="dcterms:W3CDTF">2015-10-23T08:30:00Z</dcterms:modified>
</cp:coreProperties>
</file>