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8F189" w14:textId="77777777" w:rsidR="00F204DA" w:rsidRDefault="00F204DA" w:rsidP="00F204DA">
      <w:pPr>
        <w:pStyle w:val="Nadpis11"/>
      </w:pPr>
      <w:bookmarkStart w:id="0" w:name="_Toc169258120"/>
      <w:bookmarkStart w:id="1" w:name="_GoBack"/>
      <w:bookmarkEnd w:id="1"/>
      <w:r>
        <w:rPr>
          <w:szCs w:val="32"/>
        </w:rPr>
        <w:t>8</w:t>
      </w:r>
      <w:r>
        <w:t>. Státní rozpočet</w:t>
      </w:r>
      <w:bookmarkEnd w:id="0"/>
    </w:p>
    <w:tbl>
      <w:tblPr>
        <w:tblW w:w="0" w:type="dxa"/>
        <w:tblInd w:w="-20" w:type="dxa"/>
        <w:tblLayout w:type="fixed"/>
        <w:tblCellMar>
          <w:left w:w="0" w:type="dxa"/>
          <w:right w:w="0" w:type="dxa"/>
        </w:tblCellMar>
        <w:tblLook w:val="00A0" w:firstRow="1" w:lastRow="0" w:firstColumn="1" w:lastColumn="0" w:noHBand="0" w:noVBand="0"/>
      </w:tblPr>
      <w:tblGrid>
        <w:gridCol w:w="1792"/>
        <w:gridCol w:w="203"/>
        <w:gridCol w:w="7674"/>
      </w:tblGrid>
      <w:tr w:rsidR="00F204DA" w14:paraId="447765F5" w14:textId="77777777" w:rsidTr="00F204DA">
        <w:trPr>
          <w:trHeight w:val="60"/>
        </w:trPr>
        <w:tc>
          <w:tcPr>
            <w:tcW w:w="1792" w:type="dxa"/>
            <w:hideMark/>
          </w:tcPr>
          <w:p w14:paraId="46270CA8" w14:textId="77777777" w:rsidR="00F204DA" w:rsidRDefault="00F204DA">
            <w:pPr>
              <w:pStyle w:val="Marginlie"/>
              <w:rPr>
                <w:lang w:eastAsia="en-US"/>
              </w:rPr>
            </w:pPr>
            <w:r>
              <w:rPr>
                <w:lang w:eastAsia="en-US"/>
              </w:rPr>
              <w:t>Hluboký rozpočtový schodek přetrvával, meziročně se ale o více než třetinu zmírnil.</w:t>
            </w:r>
          </w:p>
        </w:tc>
        <w:tc>
          <w:tcPr>
            <w:tcW w:w="203" w:type="dxa"/>
          </w:tcPr>
          <w:p w14:paraId="631D547B" w14:textId="77777777" w:rsidR="00F204DA" w:rsidRDefault="00F204DA">
            <w:pPr>
              <w:pStyle w:val="Textpoznpodarou"/>
              <w:jc w:val="both"/>
              <w:rPr>
                <w:spacing w:val="-4"/>
                <w:lang w:eastAsia="en-US"/>
              </w:rPr>
            </w:pPr>
          </w:p>
        </w:tc>
        <w:tc>
          <w:tcPr>
            <w:tcW w:w="7674" w:type="dxa"/>
            <w:hideMark/>
          </w:tcPr>
          <w:p w14:paraId="773EEF83" w14:textId="77777777" w:rsidR="00F204DA" w:rsidRDefault="00F204DA">
            <w:pPr>
              <w:spacing w:after="200"/>
              <w:rPr>
                <w:spacing w:val="-4"/>
                <w:lang w:eastAsia="en-US"/>
              </w:rPr>
            </w:pPr>
            <w:r>
              <w:rPr>
                <w:spacing w:val="-4"/>
                <w:lang w:eastAsia="en-US"/>
              </w:rPr>
              <w:t>Hospodaření státního rozpočtu</w:t>
            </w:r>
            <w:r>
              <w:rPr>
                <w:rStyle w:val="Znakapoznpodarou"/>
                <w:spacing w:val="-4"/>
                <w:lang w:eastAsia="en-US"/>
              </w:rPr>
              <w:footnoteReference w:id="1"/>
            </w:r>
            <w:r>
              <w:rPr>
                <w:spacing w:val="-4"/>
                <w:lang w:eastAsia="en-US"/>
              </w:rPr>
              <w:t xml:space="preserve"> ČR vyústilo na konci 1. čtvrtletí 2024 v deficit ve výši </w:t>
            </w:r>
            <w:r>
              <w:rPr>
                <w:spacing w:val="-4"/>
                <w:lang w:eastAsia="en-US"/>
              </w:rPr>
              <w:br/>
              <w:t>105 mld. korun</w:t>
            </w:r>
            <w:r>
              <w:rPr>
                <w:rStyle w:val="Znakapoznpodarou"/>
                <w:spacing w:val="-4"/>
                <w:lang w:eastAsia="en-US"/>
              </w:rPr>
              <w:footnoteReference w:id="2"/>
            </w:r>
            <w:r>
              <w:rPr>
                <w:spacing w:val="-4"/>
                <w:lang w:eastAsia="en-US"/>
              </w:rPr>
              <w:t>. Ten byl na počátku roku vykázán pošesté v řadě, přičemž od roku 2020 se jednalo o významný schodek. Do bilance se stále negativně promítá jen slabý hospodářský růst i přetrvávající vysoký podíl mandatorních výdajů. Meziročně se ovšem rozpočtový schodek snížil o více než třetinu</w:t>
            </w:r>
            <w:r>
              <w:rPr>
                <w:rStyle w:val="Znakapoznpodarou"/>
                <w:spacing w:val="-4"/>
                <w:lang w:eastAsia="en-US"/>
              </w:rPr>
              <w:footnoteReference w:id="3"/>
            </w:r>
            <w:r>
              <w:rPr>
                <w:spacing w:val="-4"/>
                <w:lang w:eastAsia="en-US"/>
              </w:rPr>
              <w:t>, což z velké části souvisí s odezníváním potřeby mimořádných výdajů domácnostem i firmám zasažených dopady vysoké inflace. Ta stále ještě ovlivňuje příjmovou stránku rozpočtu, a to včetně mimořádných daní dočasně uvalených na vybrané sektory ekonomiky. SR začíná velmi pozvolna pociťovat pozitivní dopady mírně se zotavující spotřeby domácností související s jejich zlepšující se finanční situací a celkovou důvěrou v ekonomiku. Vedle toho se v inkasu některých příjmových daní již na počátku roku projevují první dopady schváleného konsolidačního balíčku k ozdravení veřejných financí (např. nárůst inkasa některých spotřebních daní vlivem předzásobení motivovaném blížícím se zvýšením sazby daně). S legislativními úpravami souvisí i změna rozpočtového určení daní, které od ledna 2024 zvyšuje podíl na výnosu některých váhově významných daní ve prospěch SR</w:t>
            </w:r>
            <w:r>
              <w:rPr>
                <w:rStyle w:val="Znakapoznpodarou"/>
                <w:spacing w:val="-4"/>
                <w:lang w:eastAsia="en-US"/>
              </w:rPr>
              <w:footnoteReference w:id="4"/>
            </w:r>
            <w:r>
              <w:rPr>
                <w:spacing w:val="-4"/>
                <w:lang w:eastAsia="en-US"/>
              </w:rPr>
              <w:t>.</w:t>
            </w:r>
          </w:p>
        </w:tc>
      </w:tr>
      <w:tr w:rsidR="00F204DA" w14:paraId="7F9E1291" w14:textId="77777777" w:rsidTr="00F204DA">
        <w:trPr>
          <w:trHeight w:val="60"/>
        </w:trPr>
        <w:tc>
          <w:tcPr>
            <w:tcW w:w="1792" w:type="dxa"/>
            <w:hideMark/>
          </w:tcPr>
          <w:p w14:paraId="338F3B1A" w14:textId="77777777" w:rsidR="00F204DA" w:rsidRDefault="00F204DA">
            <w:pPr>
              <w:pStyle w:val="Marginlie"/>
              <w:rPr>
                <w:lang w:eastAsia="en-US"/>
              </w:rPr>
            </w:pPr>
            <w:r>
              <w:rPr>
                <w:lang w:eastAsia="en-US"/>
              </w:rPr>
              <w:t>K růstu celkových příjmů zásadně přispělo vyšší daňové inkaso.</w:t>
            </w:r>
          </w:p>
        </w:tc>
        <w:tc>
          <w:tcPr>
            <w:tcW w:w="203" w:type="dxa"/>
          </w:tcPr>
          <w:p w14:paraId="18DB18C8" w14:textId="77777777" w:rsidR="00F204DA" w:rsidRDefault="00F204DA">
            <w:pPr>
              <w:pStyle w:val="Textpoznpodarou"/>
              <w:jc w:val="both"/>
              <w:rPr>
                <w:spacing w:val="-4"/>
                <w:lang w:eastAsia="en-US"/>
              </w:rPr>
            </w:pPr>
          </w:p>
        </w:tc>
        <w:tc>
          <w:tcPr>
            <w:tcW w:w="7674" w:type="dxa"/>
            <w:hideMark/>
          </w:tcPr>
          <w:p w14:paraId="28527D4F" w14:textId="77777777" w:rsidR="00F204DA" w:rsidRDefault="00F204DA">
            <w:pPr>
              <w:spacing w:after="200"/>
              <w:rPr>
                <w:color w:val="0D0D0D" w:themeColor="text1" w:themeTint="F2"/>
                <w:spacing w:val="-4"/>
                <w:lang w:eastAsia="en-US"/>
              </w:rPr>
            </w:pPr>
            <w:r>
              <w:rPr>
                <w:color w:val="0D0D0D" w:themeColor="text1" w:themeTint="F2"/>
                <w:spacing w:val="-4"/>
                <w:lang w:eastAsia="en-US"/>
              </w:rPr>
              <w:t xml:space="preserve">Celkové příjmy SR vzrostly v 1. čtvrtletí meziročně o 11,6 % (resp. o 46,6 mld. korun). Přestože posílily všechny významnější příjmové položky, k celkovému růstu více než z poloviny přispělo vyšší daňové inkaso (s růstem o 14,1 %, resp. o 12,1 % </w:t>
            </w:r>
            <w:r>
              <w:rPr>
                <w:spacing w:val="-4"/>
                <w:lang w:eastAsia="en-US"/>
              </w:rPr>
              <w:t>po odečtení mimořádných firemních daní</w:t>
            </w:r>
            <w:r>
              <w:rPr>
                <w:color w:val="0D0D0D" w:themeColor="text1" w:themeTint="F2"/>
                <w:spacing w:val="-4"/>
                <w:lang w:eastAsia="en-US"/>
              </w:rPr>
              <w:t xml:space="preserve">), ze čtvrtiny pak příjmy </w:t>
            </w:r>
            <w:r>
              <w:rPr>
                <w:spacing w:val="-4"/>
                <w:lang w:eastAsia="en-US"/>
              </w:rPr>
              <w:t>z povinného pojistného</w:t>
            </w:r>
            <w:r>
              <w:rPr>
                <w:rStyle w:val="Znakapoznpodarou"/>
                <w:spacing w:val="-4"/>
                <w:lang w:eastAsia="en-US"/>
              </w:rPr>
              <w:footnoteReference w:id="5"/>
            </w:r>
            <w:r>
              <w:rPr>
                <w:spacing w:val="-4"/>
                <w:lang w:eastAsia="en-US"/>
              </w:rPr>
              <w:t xml:space="preserve"> (+7,9 %). Zvolňování růstu výběru pojistného, jež bylo patrné po celý loňský rok, se na počátku roku 2024 zastavilo. Projevily se v něm nejen aktuální oživení na trhu práce vlivem mírně zlepšeného výkonu ekonomiky, ale i dopady legislativních změn</w:t>
            </w:r>
            <w:r>
              <w:rPr>
                <w:rStyle w:val="Znakapoznpodarou"/>
                <w:spacing w:val="-4"/>
                <w:lang w:eastAsia="en-US"/>
              </w:rPr>
              <w:footnoteReference w:id="6"/>
            </w:r>
            <w:r>
              <w:rPr>
                <w:spacing w:val="-4"/>
                <w:lang w:eastAsia="en-US"/>
              </w:rPr>
              <w:t xml:space="preserve">.    </w:t>
            </w:r>
          </w:p>
        </w:tc>
      </w:tr>
      <w:tr w:rsidR="00F204DA" w14:paraId="58C8BAE1" w14:textId="77777777" w:rsidTr="00F204DA">
        <w:trPr>
          <w:trHeight w:val="60"/>
        </w:trPr>
        <w:tc>
          <w:tcPr>
            <w:tcW w:w="1792" w:type="dxa"/>
            <w:hideMark/>
          </w:tcPr>
          <w:p w14:paraId="6E3B40D4" w14:textId="77777777" w:rsidR="00F204DA" w:rsidRDefault="00F204DA">
            <w:pPr>
              <w:pStyle w:val="Marginlie"/>
              <w:rPr>
                <w:lang w:eastAsia="en-US"/>
              </w:rPr>
            </w:pPr>
            <w:r>
              <w:rPr>
                <w:lang w:eastAsia="en-US"/>
              </w:rPr>
              <w:t>Růst celostátního inkasa DPH od poloviny loňského roku mírně zrychloval.</w:t>
            </w:r>
          </w:p>
        </w:tc>
        <w:tc>
          <w:tcPr>
            <w:tcW w:w="203" w:type="dxa"/>
          </w:tcPr>
          <w:p w14:paraId="72330477" w14:textId="77777777" w:rsidR="00F204DA" w:rsidRDefault="00F204DA">
            <w:pPr>
              <w:pStyle w:val="Textpoznpodarou"/>
              <w:jc w:val="both"/>
              <w:rPr>
                <w:spacing w:val="-4"/>
                <w:lang w:eastAsia="en-US"/>
              </w:rPr>
            </w:pPr>
          </w:p>
        </w:tc>
        <w:tc>
          <w:tcPr>
            <w:tcW w:w="7674" w:type="dxa"/>
            <w:hideMark/>
          </w:tcPr>
          <w:p w14:paraId="2A3F4863" w14:textId="77777777" w:rsidR="00F204DA" w:rsidRDefault="00F204DA">
            <w:pPr>
              <w:spacing w:after="200"/>
              <w:rPr>
                <w:spacing w:val="-4"/>
                <w:lang w:eastAsia="en-US"/>
              </w:rPr>
            </w:pPr>
            <w:r>
              <w:rPr>
                <w:spacing w:val="-4"/>
                <w:lang w:eastAsia="en-US"/>
              </w:rPr>
              <w:t>Růst celkového daňového inkasa v 1. čtvrtletí podpořily vcelku rovnoměrně všechny klíčové položky. Nejvýznamnější úlohu hrála tradičně váhově dominantní daň – DPH – z níž SR získal meziročně o 8,7 % více (+6,9 mld. korun). Na úrovni všech veřejných rozpočtů dosáhl růst 6,8 % a jeho tempo se zvyšovalo třetí kvartál v řadě. Inkaso pozitivně ovlivnila pozvolna se zotavující spotřeba domácností</w:t>
            </w:r>
            <w:r>
              <w:rPr>
                <w:rStyle w:val="Znakapoznpodarou"/>
                <w:spacing w:val="-4"/>
                <w:lang w:eastAsia="en-US"/>
              </w:rPr>
              <w:footnoteReference w:id="7"/>
            </w:r>
            <w:r>
              <w:rPr>
                <w:spacing w:val="-4"/>
                <w:lang w:eastAsia="en-US"/>
              </w:rPr>
              <w:t>. V inkasu se navíc od počátku roku postupně začínají projevovat dopady úpravy sazeb daně</w:t>
            </w:r>
            <w:r>
              <w:rPr>
                <w:rStyle w:val="Znakapoznpodarou"/>
                <w:spacing w:val="-4"/>
                <w:lang w:eastAsia="en-US"/>
              </w:rPr>
              <w:footnoteReference w:id="8"/>
            </w:r>
            <w:r>
              <w:rPr>
                <w:spacing w:val="-4"/>
                <w:lang w:eastAsia="en-US"/>
              </w:rPr>
              <w:t xml:space="preserve"> v souvislosti s účinností konsolidačního balíčku. </w:t>
            </w:r>
          </w:p>
        </w:tc>
      </w:tr>
      <w:tr w:rsidR="00F204DA" w14:paraId="1D5BA373" w14:textId="77777777" w:rsidTr="00F204DA">
        <w:trPr>
          <w:trHeight w:val="60"/>
        </w:trPr>
        <w:tc>
          <w:tcPr>
            <w:tcW w:w="1792" w:type="dxa"/>
            <w:hideMark/>
          </w:tcPr>
          <w:p w14:paraId="27B63D6E" w14:textId="77777777" w:rsidR="00F204DA" w:rsidRDefault="00F204DA">
            <w:pPr>
              <w:pStyle w:val="Marginlie"/>
              <w:rPr>
                <w:lang w:eastAsia="en-US"/>
              </w:rPr>
            </w:pPr>
            <w:r>
              <w:rPr>
                <w:lang w:eastAsia="en-US"/>
              </w:rPr>
              <w:t>Svižný růst inkasa spotřební daně souvisel primárně se zvýšením sazby u klíčových produktů.</w:t>
            </w:r>
          </w:p>
        </w:tc>
        <w:tc>
          <w:tcPr>
            <w:tcW w:w="203" w:type="dxa"/>
          </w:tcPr>
          <w:p w14:paraId="155F69D3" w14:textId="77777777" w:rsidR="00F204DA" w:rsidRDefault="00F204DA">
            <w:pPr>
              <w:pStyle w:val="Textpoznpodarou"/>
              <w:jc w:val="both"/>
              <w:rPr>
                <w:spacing w:val="-4"/>
                <w:lang w:eastAsia="en-US"/>
              </w:rPr>
            </w:pPr>
          </w:p>
        </w:tc>
        <w:tc>
          <w:tcPr>
            <w:tcW w:w="7674" w:type="dxa"/>
            <w:hideMark/>
          </w:tcPr>
          <w:p w14:paraId="086B745C" w14:textId="1C38B571" w:rsidR="00F204DA" w:rsidRDefault="00F204DA" w:rsidP="00F204DA">
            <w:pPr>
              <w:spacing w:after="200"/>
              <w:rPr>
                <w:color w:val="0D0D0D" w:themeColor="text1" w:themeTint="F2"/>
                <w:spacing w:val="-4"/>
                <w:szCs w:val="20"/>
                <w:lang w:eastAsia="en-US"/>
              </w:rPr>
            </w:pPr>
            <w:r>
              <w:rPr>
                <w:spacing w:val="-4"/>
                <w:szCs w:val="20"/>
                <w:lang w:eastAsia="en-US"/>
              </w:rPr>
              <w:t xml:space="preserve">Inkaso spotřební daně (včetně energetické daně) po nepříznivém loňském vývoji letos </w:t>
            </w:r>
            <w:r>
              <w:rPr>
                <w:spacing w:val="-4"/>
                <w:szCs w:val="20"/>
                <w:lang w:eastAsia="en-US"/>
              </w:rPr>
              <w:br/>
              <w:t>v 1. čtvrtletí</w:t>
            </w:r>
            <w:r>
              <w:rPr>
                <w:color w:val="0D0D0D" w:themeColor="text1" w:themeTint="F2"/>
                <w:spacing w:val="-4"/>
                <w:szCs w:val="20"/>
                <w:lang w:eastAsia="en-US"/>
              </w:rPr>
              <w:t xml:space="preserve"> vzrostlo o 11,6 %, a to především díky výběru daně z minerálních olejů </w:t>
            </w:r>
            <w:r>
              <w:rPr>
                <w:color w:val="0D0D0D" w:themeColor="text1" w:themeTint="F2"/>
                <w:spacing w:val="-4"/>
                <w:szCs w:val="20"/>
                <w:lang w:eastAsia="en-US"/>
              </w:rPr>
              <w:br/>
              <w:t xml:space="preserve">(+14,1 %), jejíž tempo zatím předčilo rozpočtové očekávání. </w:t>
            </w:r>
            <w:r>
              <w:rPr>
                <w:spacing w:val="-5"/>
                <w:lang w:eastAsia="en-US"/>
              </w:rPr>
              <w:t>Pozitivně se zde projevuje návrat sazby daně z motorové nafty na úroveň před vzplanutím energetické krize</w:t>
            </w:r>
            <w:r>
              <w:rPr>
                <w:rStyle w:val="Znakapoznpodarou"/>
                <w:color w:val="0D0D0D" w:themeColor="text1" w:themeTint="F2"/>
                <w:spacing w:val="-5"/>
                <w:lang w:eastAsia="en-US"/>
              </w:rPr>
              <w:footnoteReference w:id="9"/>
            </w:r>
            <w:r>
              <w:rPr>
                <w:spacing w:val="-5"/>
                <w:lang w:eastAsia="en-US"/>
              </w:rPr>
              <w:t>. Spotřeba většiny druhů ropných produktů v ČR navíc letos na počátku letošního roku dále rostla</w:t>
            </w:r>
            <w:r>
              <w:rPr>
                <w:rStyle w:val="Znakapoznpodarou"/>
                <w:spacing w:val="-5"/>
                <w:lang w:eastAsia="en-US"/>
              </w:rPr>
              <w:footnoteReference w:id="10"/>
            </w:r>
            <w:r>
              <w:rPr>
                <w:spacing w:val="-5"/>
                <w:lang w:eastAsia="en-US"/>
              </w:rPr>
              <w:t>.</w:t>
            </w:r>
            <w:r>
              <w:rPr>
                <w:color w:val="0D0D0D" w:themeColor="text1" w:themeTint="F2"/>
                <w:spacing w:val="-4"/>
                <w:szCs w:val="20"/>
                <w:lang w:eastAsia="en-US"/>
              </w:rPr>
              <w:t xml:space="preserve"> Výběr daně z tabákových výrobků se zvyšoval mírněji (+3,6 %), a to navzdory předzásobení </w:t>
            </w:r>
            <w:r>
              <w:rPr>
                <w:color w:val="0D0D0D" w:themeColor="text1" w:themeTint="F2"/>
                <w:spacing w:val="-4"/>
                <w:szCs w:val="20"/>
                <w:lang w:eastAsia="en-US"/>
              </w:rPr>
              <w:lastRenderedPageBreak/>
              <w:t>z důvodu navýšení sazby daně. Tento efekt se mnohem výrazněji projevil u daně z lihu, jejíž inkaso na počátku roku vzrostlo o více než 40 % (+1,1 mld. korun). Naopak mírně se meziročně snížil výběr daně z piva, ve srovnání s počátkem roku 2019 pak dokonce o 15 %.</w:t>
            </w:r>
          </w:p>
        </w:tc>
      </w:tr>
      <w:tr w:rsidR="00F204DA" w14:paraId="76FBCF04" w14:textId="77777777" w:rsidTr="00F204DA">
        <w:trPr>
          <w:trHeight w:val="60"/>
        </w:trPr>
        <w:tc>
          <w:tcPr>
            <w:tcW w:w="1792" w:type="dxa"/>
            <w:hideMark/>
          </w:tcPr>
          <w:p w14:paraId="5F9A24D4" w14:textId="77777777" w:rsidR="00F204DA" w:rsidRDefault="00F204DA">
            <w:pPr>
              <w:pStyle w:val="Marginlie"/>
              <w:rPr>
                <w:spacing w:val="-5"/>
                <w:lang w:eastAsia="en-US"/>
              </w:rPr>
            </w:pPr>
            <w:r>
              <w:rPr>
                <w:spacing w:val="-5"/>
                <w:lang w:eastAsia="en-US"/>
              </w:rPr>
              <w:lastRenderedPageBreak/>
              <w:t xml:space="preserve">Přetrvávající vysoká míra zisku podniků se odráží ve svižném růstu inkasa korporátní daně. Podobně jako loni získal SR i příjmy z mimořádného zdanění vybraného segmentu firem.  </w:t>
            </w:r>
          </w:p>
        </w:tc>
        <w:tc>
          <w:tcPr>
            <w:tcW w:w="203" w:type="dxa"/>
          </w:tcPr>
          <w:p w14:paraId="3783BFBE" w14:textId="77777777" w:rsidR="00F204DA" w:rsidRDefault="00F204DA">
            <w:pPr>
              <w:pStyle w:val="Textpoznpodarou"/>
              <w:jc w:val="both"/>
              <w:rPr>
                <w:spacing w:val="-4"/>
                <w:lang w:eastAsia="en-US"/>
              </w:rPr>
            </w:pPr>
          </w:p>
        </w:tc>
        <w:tc>
          <w:tcPr>
            <w:tcW w:w="7674" w:type="dxa"/>
            <w:hideMark/>
          </w:tcPr>
          <w:p w14:paraId="545FB6FC" w14:textId="77777777" w:rsidR="00F204DA" w:rsidRDefault="00F204DA">
            <w:pPr>
              <w:spacing w:after="220"/>
              <w:rPr>
                <w:color w:val="0D0D0D" w:themeColor="text1" w:themeTint="F2"/>
                <w:spacing w:val="-4"/>
                <w:lang w:eastAsia="en-US"/>
              </w:rPr>
            </w:pPr>
            <w:r>
              <w:rPr>
                <w:color w:val="0D0D0D" w:themeColor="text1" w:themeTint="F2"/>
                <w:spacing w:val="-4"/>
                <w:lang w:eastAsia="en-US"/>
              </w:rPr>
              <w:t xml:space="preserve">Z přímých daní rostlo v 1. čtvrtletí nejvíce inkaso daně z příjmů právnických osob </w:t>
            </w:r>
            <w:r>
              <w:rPr>
                <w:color w:val="0D0D0D" w:themeColor="text1" w:themeTint="F2"/>
                <w:spacing w:val="-4"/>
                <w:lang w:eastAsia="en-US"/>
              </w:rPr>
              <w:br/>
              <w:t>(+16,7 %, +5,8 mld. korun) a podobně jako v předešlých letech převyšovalo rozpočtové očekávání. Projevuje se zde dlouhodobě vysoká míra zisku podniků</w:t>
            </w:r>
            <w:r>
              <w:rPr>
                <w:rStyle w:val="Znakapoznpodarou"/>
                <w:color w:val="0D0D0D" w:themeColor="text1" w:themeTint="F2"/>
                <w:spacing w:val="-4"/>
                <w:lang w:eastAsia="en-US"/>
              </w:rPr>
              <w:footnoteReference w:id="11"/>
            </w:r>
            <w:r>
              <w:rPr>
                <w:color w:val="0D0D0D" w:themeColor="text1" w:themeTint="F2"/>
                <w:spacing w:val="-4"/>
                <w:lang w:eastAsia="en-US"/>
              </w:rPr>
              <w:t>. Vedle pravidelných příjmů plynoucích z korporátní daně pokračovaly letos i ty nepravidelné. V březnu získal SR čtvrtletní zálohu daně z</w:t>
            </w:r>
            <w:r>
              <w:rPr>
                <w:spacing w:val="-4"/>
                <w:lang w:eastAsia="en-US"/>
              </w:rPr>
              <w:t> neočekávaných zisků</w:t>
            </w:r>
            <w:r>
              <w:rPr>
                <w:rStyle w:val="Znakapoznpodarou"/>
                <w:spacing w:val="-4"/>
                <w:lang w:eastAsia="en-US"/>
              </w:rPr>
              <w:footnoteReference w:id="12"/>
            </w:r>
            <w:r>
              <w:rPr>
                <w:spacing w:val="-4"/>
                <w:lang w:eastAsia="en-US"/>
              </w:rPr>
              <w:t xml:space="preserve"> ve výši rovných 13 mld. korun (na zálohách v roce 2023 bylo odvedeno SR 39,1 mld. korun). Na rozdíl od loňského roku již SR prakticky nepočítá s příjmy z daně z nadměrných příjmů</w:t>
            </w:r>
            <w:r>
              <w:rPr>
                <w:rStyle w:val="Znakapoznpodarou"/>
                <w:spacing w:val="-4"/>
                <w:lang w:eastAsia="en-US"/>
              </w:rPr>
              <w:footnoteReference w:id="13"/>
            </w:r>
            <w:r>
              <w:rPr>
                <w:spacing w:val="-4"/>
                <w:lang w:eastAsia="en-US"/>
              </w:rPr>
              <w:t xml:space="preserve">, na níž za celý rok obdržel 18,5 mld. korun (z toho v 1. čtvrtletí 8,2 mld.). Zatímco za rok 2023 činil plánovaný odhad příjmů SR ze všech </w:t>
            </w:r>
            <w:r>
              <w:rPr>
                <w:color w:val="0D0D0D" w:themeColor="text1" w:themeTint="F2"/>
                <w:spacing w:val="-4"/>
                <w:lang w:eastAsia="en-US"/>
              </w:rPr>
              <w:t>prostředků z mimořádného zdanění firem 100 mld. korun, letos 17,2 mld.</w:t>
            </w:r>
          </w:p>
        </w:tc>
      </w:tr>
      <w:tr w:rsidR="00F204DA" w14:paraId="3AB98A33" w14:textId="77777777" w:rsidTr="00F204DA">
        <w:trPr>
          <w:trHeight w:val="60"/>
        </w:trPr>
        <w:tc>
          <w:tcPr>
            <w:tcW w:w="1792" w:type="dxa"/>
          </w:tcPr>
          <w:p w14:paraId="3541B4C1" w14:textId="77777777" w:rsidR="00F204DA" w:rsidRDefault="00F204DA">
            <w:pPr>
              <w:pStyle w:val="Marginlie"/>
              <w:rPr>
                <w:lang w:eastAsia="en-US"/>
              </w:rPr>
            </w:pPr>
          </w:p>
        </w:tc>
        <w:tc>
          <w:tcPr>
            <w:tcW w:w="203" w:type="dxa"/>
          </w:tcPr>
          <w:p w14:paraId="34C023F6" w14:textId="77777777" w:rsidR="00F204DA" w:rsidRDefault="00F204DA">
            <w:pPr>
              <w:pStyle w:val="Textpoznpodarou"/>
              <w:jc w:val="both"/>
              <w:rPr>
                <w:spacing w:val="-4"/>
                <w:lang w:eastAsia="en-US"/>
              </w:rPr>
            </w:pPr>
          </w:p>
        </w:tc>
        <w:tc>
          <w:tcPr>
            <w:tcW w:w="7674" w:type="dxa"/>
            <w:hideMark/>
          </w:tcPr>
          <w:p w14:paraId="4A3051A9" w14:textId="1F86A489" w:rsidR="00F204DA" w:rsidRDefault="00EC6B23">
            <w:pPr>
              <w:spacing w:after="40"/>
              <w:rPr>
                <w:color w:val="0D0D0D" w:themeColor="text1" w:themeTint="F2"/>
                <w:spacing w:val="-4"/>
                <w:lang w:eastAsia="en-US"/>
              </w:rPr>
            </w:pPr>
            <w:r>
              <w:rPr>
                <w:rFonts w:cs="Arial"/>
                <w:b/>
                <w:bCs/>
                <w:color w:val="000000"/>
                <w:spacing w:val="-2"/>
                <w:szCs w:val="20"/>
                <w:lang w:eastAsia="en-US"/>
              </w:rPr>
              <w:t>Graf č. 17</w:t>
            </w:r>
            <w:r w:rsidR="00F204DA">
              <w:rPr>
                <w:rFonts w:cs="Arial"/>
                <w:b/>
                <w:bCs/>
                <w:color w:val="000000"/>
                <w:spacing w:val="-2"/>
                <w:szCs w:val="20"/>
                <w:lang w:eastAsia="en-US"/>
              </w:rPr>
              <w:t xml:space="preserve"> Příspěvek dílčích příjmů k meziročnímu růstu souhrnného celostátního inkasa daňových příjmů </w:t>
            </w:r>
            <w:r w:rsidR="00F204DA">
              <w:rPr>
                <w:rFonts w:cs="Arial"/>
                <w:bCs/>
                <w:color w:val="000000"/>
                <w:spacing w:val="-2"/>
                <w:szCs w:val="20"/>
                <w:lang w:eastAsia="en-US"/>
              </w:rPr>
              <w:t xml:space="preserve">(v p. b.), </w:t>
            </w:r>
            <w:r w:rsidR="00F204DA">
              <w:rPr>
                <w:rFonts w:cs="Arial"/>
                <w:b/>
                <w:bCs/>
                <w:color w:val="000000"/>
                <w:spacing w:val="-2"/>
                <w:szCs w:val="20"/>
                <w:lang w:eastAsia="en-US"/>
              </w:rPr>
              <w:t>meziroční růst příjmů pojistného na sociální zabezpečení</w:t>
            </w:r>
            <w:r w:rsidR="00F204DA">
              <w:rPr>
                <w:rFonts w:cs="Arial"/>
                <w:bCs/>
                <w:color w:val="000000"/>
                <w:spacing w:val="-2"/>
                <w:szCs w:val="20"/>
                <w:lang w:eastAsia="en-US"/>
              </w:rPr>
              <w:t xml:space="preserve"> (%) </w:t>
            </w:r>
            <w:r w:rsidR="00F204DA">
              <w:rPr>
                <w:rFonts w:cs="Arial"/>
                <w:b/>
                <w:bCs/>
                <w:color w:val="000000"/>
                <w:spacing w:val="-2"/>
                <w:szCs w:val="20"/>
                <w:lang w:eastAsia="en-US"/>
              </w:rPr>
              <w:t xml:space="preserve">a saldo státního rozpočtu </w:t>
            </w:r>
            <w:r w:rsidR="00F204DA">
              <w:rPr>
                <w:rFonts w:cs="Arial"/>
                <w:bCs/>
                <w:color w:val="000000"/>
                <w:spacing w:val="-2"/>
                <w:szCs w:val="20"/>
                <w:lang w:eastAsia="en-US"/>
              </w:rPr>
              <w:t xml:space="preserve">(v mld. korun) </w:t>
            </w:r>
            <w:r w:rsidR="00F204DA">
              <w:rPr>
                <w:rFonts w:cs="Arial"/>
                <w:b/>
                <w:bCs/>
                <w:lang w:eastAsia="en-US"/>
              </w:rPr>
              <w:t>v rámci 1. čtvrtletí</w:t>
            </w:r>
          </w:p>
        </w:tc>
      </w:tr>
      <w:tr w:rsidR="00F204DA" w14:paraId="02064A78" w14:textId="77777777" w:rsidTr="00F204DA">
        <w:trPr>
          <w:trHeight w:val="170"/>
        </w:trPr>
        <w:tc>
          <w:tcPr>
            <w:tcW w:w="1792" w:type="dxa"/>
            <w:vMerge w:val="restart"/>
          </w:tcPr>
          <w:p w14:paraId="7AF79D24" w14:textId="77777777" w:rsidR="00F204DA" w:rsidRDefault="00F204DA">
            <w:pPr>
              <w:pStyle w:val="Marginlie"/>
              <w:rPr>
                <w:lang w:eastAsia="en-US"/>
              </w:rPr>
            </w:pPr>
          </w:p>
        </w:tc>
        <w:tc>
          <w:tcPr>
            <w:tcW w:w="203" w:type="dxa"/>
            <w:vMerge w:val="restart"/>
          </w:tcPr>
          <w:p w14:paraId="08546D63" w14:textId="77777777" w:rsidR="00F204DA" w:rsidRDefault="00F204DA">
            <w:pPr>
              <w:pStyle w:val="Textpoznpodarou"/>
              <w:jc w:val="both"/>
              <w:rPr>
                <w:spacing w:val="-4"/>
                <w:lang w:eastAsia="en-US"/>
              </w:rPr>
            </w:pPr>
          </w:p>
          <w:p w14:paraId="29F51375" w14:textId="77777777" w:rsidR="00F204DA" w:rsidRDefault="00F204DA">
            <w:pPr>
              <w:pStyle w:val="Textpoznpodarou"/>
              <w:jc w:val="both"/>
              <w:rPr>
                <w:spacing w:val="-4"/>
                <w:lang w:eastAsia="en-US"/>
              </w:rPr>
            </w:pPr>
          </w:p>
        </w:tc>
        <w:tc>
          <w:tcPr>
            <w:tcW w:w="7674" w:type="dxa"/>
            <w:hideMark/>
          </w:tcPr>
          <w:p w14:paraId="39F83497" w14:textId="50D49CB5" w:rsidR="00F204DA" w:rsidRDefault="00F204DA">
            <w:pPr>
              <w:spacing w:after="40"/>
              <w:rPr>
                <w:rFonts w:cs="Arial"/>
                <w:b/>
                <w:bCs/>
                <w:color w:val="000000"/>
                <w:spacing w:val="-2"/>
                <w:szCs w:val="20"/>
                <w:lang w:eastAsia="en-US"/>
              </w:rPr>
            </w:pPr>
            <w:r>
              <w:rPr>
                <w:noProof/>
              </w:rPr>
              <w:drawing>
                <wp:inline distT="0" distB="0" distL="0" distR="0" wp14:anchorId="70C6ABBD" wp14:editId="32A7221E">
                  <wp:extent cx="4754880" cy="3434715"/>
                  <wp:effectExtent l="0" t="0" r="7620" b="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F204DA" w14:paraId="22551542" w14:textId="77777777" w:rsidTr="00F204DA">
        <w:trPr>
          <w:trHeight w:val="1317"/>
        </w:trPr>
        <w:tc>
          <w:tcPr>
            <w:tcW w:w="1792" w:type="dxa"/>
            <w:vMerge/>
            <w:vAlign w:val="center"/>
            <w:hideMark/>
          </w:tcPr>
          <w:p w14:paraId="46638741" w14:textId="77777777" w:rsidR="00F204DA" w:rsidRDefault="00F204DA">
            <w:pPr>
              <w:spacing w:after="0" w:line="240" w:lineRule="auto"/>
              <w:jc w:val="left"/>
              <w:rPr>
                <w:spacing w:val="-2"/>
                <w:sz w:val="16"/>
                <w:szCs w:val="16"/>
                <w:lang w:eastAsia="en-US"/>
              </w:rPr>
            </w:pPr>
          </w:p>
        </w:tc>
        <w:tc>
          <w:tcPr>
            <w:tcW w:w="203" w:type="dxa"/>
            <w:vMerge/>
            <w:vAlign w:val="center"/>
            <w:hideMark/>
          </w:tcPr>
          <w:p w14:paraId="7348A227" w14:textId="77777777" w:rsidR="00F204DA" w:rsidRDefault="00F204DA">
            <w:pPr>
              <w:spacing w:after="0" w:line="240" w:lineRule="auto"/>
              <w:jc w:val="left"/>
              <w:rPr>
                <w:rFonts w:eastAsia="Calibri"/>
                <w:spacing w:val="-4"/>
                <w:szCs w:val="20"/>
                <w:lang w:eastAsia="en-US"/>
              </w:rPr>
            </w:pPr>
          </w:p>
        </w:tc>
        <w:tc>
          <w:tcPr>
            <w:tcW w:w="7674" w:type="dxa"/>
            <w:tcMar>
              <w:top w:w="0" w:type="dxa"/>
              <w:left w:w="70" w:type="dxa"/>
              <w:bottom w:w="0" w:type="dxa"/>
              <w:right w:w="70" w:type="dxa"/>
            </w:tcMar>
            <w:hideMark/>
          </w:tcPr>
          <w:p w14:paraId="4481A555" w14:textId="77777777" w:rsidR="00F204DA" w:rsidRDefault="00F204DA">
            <w:pPr>
              <w:tabs>
                <w:tab w:val="right" w:pos="7683"/>
              </w:tabs>
              <w:spacing w:after="0" w:line="240" w:lineRule="auto"/>
              <w:jc w:val="left"/>
              <w:rPr>
                <w:spacing w:val="-2"/>
                <w:sz w:val="14"/>
                <w:szCs w:val="14"/>
                <w:lang w:eastAsia="en-US"/>
              </w:rPr>
            </w:pPr>
            <w:r>
              <w:rPr>
                <w:spacing w:val="-2"/>
                <w:sz w:val="14"/>
                <w:szCs w:val="14"/>
                <w:lang w:eastAsia="en-US"/>
              </w:rPr>
              <w:t>*Zahrnují i příspěvky na státní politiku zaměstnanosti.</w:t>
            </w:r>
          </w:p>
          <w:p w14:paraId="3CB08EC3" w14:textId="77777777" w:rsidR="00F204DA" w:rsidRDefault="00F204DA">
            <w:pPr>
              <w:tabs>
                <w:tab w:val="right" w:pos="7683"/>
              </w:tabs>
              <w:spacing w:after="0" w:line="240" w:lineRule="auto"/>
              <w:jc w:val="left"/>
              <w:rPr>
                <w:spacing w:val="-2"/>
                <w:sz w:val="14"/>
                <w:szCs w:val="14"/>
                <w:lang w:eastAsia="en-US"/>
              </w:rPr>
            </w:pPr>
            <w:r>
              <w:rPr>
                <w:spacing w:val="-2"/>
                <w:sz w:val="14"/>
                <w:szCs w:val="14"/>
                <w:lang w:eastAsia="en-US"/>
              </w:rPr>
              <w:t>**Saldo očištěné o prostředky na programy/projekty z rozpočtu EU a finančních mechanismů, které byly předfinancovány ze SR a následně jsou propláceny z rozpočtu EU a FM. Celoroční údaje jsou k dispozici počínaje rokem 2010.</w:t>
            </w:r>
          </w:p>
          <w:p w14:paraId="5C61A35C" w14:textId="77777777" w:rsidR="00F204DA" w:rsidRDefault="00F204DA">
            <w:pPr>
              <w:tabs>
                <w:tab w:val="right" w:pos="7683"/>
              </w:tabs>
              <w:spacing w:after="0" w:line="240" w:lineRule="auto"/>
              <w:jc w:val="left"/>
              <w:rPr>
                <w:sz w:val="16"/>
                <w:szCs w:val="16"/>
                <w:lang w:eastAsia="en-US"/>
              </w:rPr>
            </w:pPr>
            <w:r>
              <w:rPr>
                <w:spacing w:val="-2"/>
                <w:sz w:val="14"/>
                <w:szCs w:val="14"/>
                <w:lang w:eastAsia="en-US"/>
              </w:rPr>
              <w:t>FO = fyzické soby, PO = právnické osoby. Ostatní daně z příjmů FO zahrnují daně placené poplatníky (zejména z drobného podnikání) a dále daně vybírané srážkou.</w:t>
            </w:r>
          </w:p>
          <w:p w14:paraId="28C4D611" w14:textId="77777777" w:rsidR="00F204DA" w:rsidRDefault="00F204DA">
            <w:pPr>
              <w:spacing w:after="0"/>
              <w:rPr>
                <w:sz w:val="14"/>
                <w:szCs w:val="14"/>
                <w:lang w:eastAsia="en-US"/>
              </w:rPr>
            </w:pPr>
            <w:r>
              <w:rPr>
                <w:sz w:val="14"/>
                <w:szCs w:val="14"/>
                <w:lang w:eastAsia="en-US"/>
              </w:rPr>
              <w:t xml:space="preserve">Ostatní daně a poplatky obsahují zejména daň z nemovitých věcí, daň z hazardních her, dálniční poplatek, mýtné </w:t>
            </w:r>
            <w:r>
              <w:rPr>
                <w:sz w:val="14"/>
                <w:szCs w:val="14"/>
                <w:lang w:eastAsia="en-US"/>
              </w:rPr>
              <w:br/>
              <w:t>a v roce 2023 nově rovněž odvod z nadměrných příjmů a neočekávaných zisků.                                                           Zdroj: MF ČR</w:t>
            </w:r>
          </w:p>
        </w:tc>
      </w:tr>
      <w:tr w:rsidR="00F204DA" w14:paraId="320E9646" w14:textId="77777777" w:rsidTr="00F204DA">
        <w:trPr>
          <w:trHeight w:val="170"/>
        </w:trPr>
        <w:tc>
          <w:tcPr>
            <w:tcW w:w="1792" w:type="dxa"/>
            <w:hideMark/>
          </w:tcPr>
          <w:p w14:paraId="351D389A" w14:textId="77777777" w:rsidR="00F204DA" w:rsidRDefault="00F204DA">
            <w:pPr>
              <w:pStyle w:val="Marginlie"/>
              <w:rPr>
                <w:lang w:eastAsia="en-US"/>
              </w:rPr>
            </w:pPr>
            <w:r>
              <w:rPr>
                <w:lang w:eastAsia="en-US"/>
              </w:rPr>
              <w:t xml:space="preserve">Výběr daně od fyzických osob ze závislé činnosti sice rostl nad úroveň rozpočtového očekávání, ve srovnání s 1. čtvrtletím </w:t>
            </w:r>
            <w:r>
              <w:rPr>
                <w:lang w:eastAsia="en-US"/>
              </w:rPr>
              <w:lastRenderedPageBreak/>
              <w:t xml:space="preserve">2019 i 2020 ale stále zaostával. </w:t>
            </w:r>
          </w:p>
        </w:tc>
        <w:tc>
          <w:tcPr>
            <w:tcW w:w="203" w:type="dxa"/>
          </w:tcPr>
          <w:p w14:paraId="3D114B8E" w14:textId="77777777" w:rsidR="00F204DA" w:rsidRDefault="00F204DA">
            <w:pPr>
              <w:pStyle w:val="Textpoznpodarou"/>
              <w:jc w:val="both"/>
              <w:rPr>
                <w:spacing w:val="-4"/>
                <w:lang w:eastAsia="en-US"/>
              </w:rPr>
            </w:pPr>
          </w:p>
        </w:tc>
        <w:tc>
          <w:tcPr>
            <w:tcW w:w="7674" w:type="dxa"/>
            <w:hideMark/>
          </w:tcPr>
          <w:p w14:paraId="5B8C57BB" w14:textId="77777777" w:rsidR="00F204DA" w:rsidRDefault="00F204DA">
            <w:pPr>
              <w:spacing w:after="200"/>
              <w:rPr>
                <w:spacing w:val="-4"/>
                <w:lang w:eastAsia="en-US"/>
              </w:rPr>
            </w:pPr>
            <w:r>
              <w:rPr>
                <w:spacing w:val="-4"/>
                <w:lang w:eastAsia="en-US"/>
              </w:rPr>
              <w:t xml:space="preserve">Na </w:t>
            </w:r>
            <w:r>
              <w:rPr>
                <w:color w:val="0D0D0D" w:themeColor="text1" w:themeTint="F2"/>
                <w:spacing w:val="-4"/>
                <w:lang w:eastAsia="en-US"/>
              </w:rPr>
              <w:t>dani</w:t>
            </w:r>
            <w:r>
              <w:rPr>
                <w:color w:val="0D0D0D" w:themeColor="text1" w:themeTint="F2"/>
                <w:spacing w:val="-5"/>
                <w:lang w:eastAsia="en-US"/>
              </w:rPr>
              <w:t xml:space="preserve"> z příjmů fyzických osob (</w:t>
            </w:r>
            <w:r>
              <w:rPr>
                <w:color w:val="0D0D0D" w:themeColor="text1" w:themeTint="F2"/>
                <w:spacing w:val="-4"/>
                <w:lang w:eastAsia="en-US"/>
              </w:rPr>
              <w:t>DPFO) získal SR v 1. čtvrtletí meziročně o 12,9 % více, což bylo obdobně jako loni více, než činilo rozpočtové očekávání. Na tom měla hlavní zásluhu klíčová příjmová daň ze závislé činnosti (+16 %)</w:t>
            </w:r>
            <w:r>
              <w:rPr>
                <w:rStyle w:val="Znakapoznpodarou"/>
                <w:color w:val="0D0D0D" w:themeColor="text1" w:themeTint="F2"/>
                <w:spacing w:val="-4"/>
                <w:lang w:eastAsia="en-US"/>
              </w:rPr>
              <w:footnoteReference w:id="14"/>
            </w:r>
            <w:r>
              <w:rPr>
                <w:color w:val="0D0D0D" w:themeColor="text1" w:themeTint="F2"/>
                <w:spacing w:val="-4"/>
                <w:lang w:eastAsia="en-US"/>
              </w:rPr>
              <w:t xml:space="preserve">. Příznivě se v ní promítala jak dobrá kondice trhu práce (vyšší zaměstnanost i svižný nominální růst průměrné mzdy </w:t>
            </w:r>
            <w:r>
              <w:rPr>
                <w:color w:val="0D0D0D" w:themeColor="text1" w:themeTint="F2"/>
                <w:spacing w:val="-4"/>
                <w:lang w:eastAsia="en-US"/>
              </w:rPr>
              <w:lastRenderedPageBreak/>
              <w:t xml:space="preserve">v podnikové sféře), tak legislativní změny (především snížení pásma pro druhou zvýšenou sazbu této daně či úprava zdanění vybraných nepeněžních benefitů). Nadále se dařilo inkasu DPFO vybírané srážkou. Za více než 13% růstem inkasa oproti počátku loňského roku stály přetrvávající vyšší </w:t>
            </w:r>
            <w:r>
              <w:rPr>
                <w:color w:val="0D0D0D" w:themeColor="text1" w:themeTint="F2"/>
                <w:spacing w:val="-5"/>
                <w:lang w:eastAsia="en-US"/>
              </w:rPr>
              <w:t xml:space="preserve">úrokové sazby na vkladech, nově se projevilo i snížení limitu pro osvobození příjmů z tombol a hazardních her. </w:t>
            </w:r>
          </w:p>
        </w:tc>
      </w:tr>
      <w:tr w:rsidR="00F204DA" w14:paraId="1DE0F4C5" w14:textId="77777777" w:rsidTr="00F204DA">
        <w:trPr>
          <w:trHeight w:val="170"/>
        </w:trPr>
        <w:tc>
          <w:tcPr>
            <w:tcW w:w="1792" w:type="dxa"/>
            <w:hideMark/>
          </w:tcPr>
          <w:p w14:paraId="74A7C023" w14:textId="77777777" w:rsidR="00F204DA" w:rsidRDefault="00F204DA">
            <w:pPr>
              <w:pStyle w:val="Marginlie"/>
              <w:rPr>
                <w:spacing w:val="-5"/>
                <w:lang w:eastAsia="en-US"/>
              </w:rPr>
            </w:pPr>
            <w:r>
              <w:rPr>
                <w:spacing w:val="-5"/>
                <w:lang w:eastAsia="en-US"/>
              </w:rPr>
              <w:lastRenderedPageBreak/>
              <w:t>Nedaňové a kapitálové příjmy svižně rostly díky prostředkům z EU.</w:t>
            </w:r>
          </w:p>
        </w:tc>
        <w:tc>
          <w:tcPr>
            <w:tcW w:w="203" w:type="dxa"/>
          </w:tcPr>
          <w:p w14:paraId="6282EE35" w14:textId="77777777" w:rsidR="00F204DA" w:rsidRDefault="00F204DA">
            <w:pPr>
              <w:pStyle w:val="Textpoznpodarou"/>
              <w:jc w:val="both"/>
              <w:rPr>
                <w:spacing w:val="-4"/>
                <w:lang w:eastAsia="en-US"/>
              </w:rPr>
            </w:pPr>
          </w:p>
        </w:tc>
        <w:tc>
          <w:tcPr>
            <w:tcW w:w="7674" w:type="dxa"/>
            <w:hideMark/>
          </w:tcPr>
          <w:p w14:paraId="53F94BE2" w14:textId="77777777" w:rsidR="00F204DA" w:rsidRDefault="00F204DA">
            <w:pPr>
              <w:spacing w:after="200"/>
              <w:rPr>
                <w:color w:val="0D0D0D" w:themeColor="text1" w:themeTint="F2"/>
                <w:spacing w:val="-4"/>
                <w:lang w:eastAsia="en-US"/>
              </w:rPr>
            </w:pPr>
            <w:r>
              <w:rPr>
                <w:color w:val="0D0D0D" w:themeColor="text1" w:themeTint="F2"/>
                <w:spacing w:val="-4"/>
                <w:lang w:eastAsia="en-US"/>
              </w:rPr>
              <w:t xml:space="preserve">Nedaňové a kapitálové příjmy se na počátku roku zvýšily o 14,2 % a vyvíjely se tak zatím lépe než celoroční rozpočtové očekávání. Za to vděčí především příjmům z rozpočtu EU (včetně finančních mechanismů), jež překonaly úroveň z 1. čtvrtletí 2023 o sedminu, </w:t>
            </w:r>
            <w:r>
              <w:rPr>
                <w:color w:val="0D0D0D" w:themeColor="text1" w:themeTint="F2"/>
                <w:spacing w:val="-4"/>
                <w:lang w:eastAsia="en-US"/>
              </w:rPr>
              <w:br/>
              <w:t>resp. 3,8 mld. korun. Tyto prostředky určené na krytí již SR dříve předfinancovaných výdajů rostly hlavně díky OP Doprava 2021+, zčásti rovněž vlivem dobíhajících plateb vázaných na končící programové období 2014 až 2021 (např. Integrovaný regionální operační program). Klesly naopak přijaté platby na společnou zemědělskou politiku (o 3,7 mld. korun, na 12 mld.).</w:t>
            </w:r>
          </w:p>
        </w:tc>
      </w:tr>
      <w:tr w:rsidR="00F204DA" w14:paraId="36C07AC0" w14:textId="77777777" w:rsidTr="00F204DA">
        <w:trPr>
          <w:trHeight w:val="170"/>
        </w:trPr>
        <w:tc>
          <w:tcPr>
            <w:tcW w:w="1792" w:type="dxa"/>
            <w:hideMark/>
          </w:tcPr>
          <w:p w14:paraId="5A1AF0F9" w14:textId="77777777" w:rsidR="00F204DA" w:rsidRDefault="00F204DA">
            <w:pPr>
              <w:pStyle w:val="Marginlie"/>
              <w:rPr>
                <w:spacing w:val="-5"/>
                <w:lang w:eastAsia="en-US"/>
              </w:rPr>
            </w:pPr>
            <w:r>
              <w:rPr>
                <w:spacing w:val="-5"/>
                <w:lang w:eastAsia="en-US"/>
              </w:rPr>
              <w:t>Na poklesu celkových výdajů se podílely v první řadě běžné výdaje, v nichž se projevil především útlum mimořádných dotací v energetice.</w:t>
            </w:r>
          </w:p>
        </w:tc>
        <w:tc>
          <w:tcPr>
            <w:tcW w:w="203" w:type="dxa"/>
          </w:tcPr>
          <w:p w14:paraId="569B5E44" w14:textId="77777777" w:rsidR="00F204DA" w:rsidRDefault="00F204DA">
            <w:pPr>
              <w:pStyle w:val="Textpoznpodarou"/>
              <w:jc w:val="both"/>
              <w:rPr>
                <w:spacing w:val="-4"/>
                <w:lang w:eastAsia="en-US"/>
              </w:rPr>
            </w:pPr>
          </w:p>
        </w:tc>
        <w:tc>
          <w:tcPr>
            <w:tcW w:w="7674" w:type="dxa"/>
            <w:hideMark/>
          </w:tcPr>
          <w:p w14:paraId="217C406E" w14:textId="77777777" w:rsidR="00F204DA" w:rsidRDefault="00F204DA">
            <w:pPr>
              <w:spacing w:after="200"/>
              <w:rPr>
                <w:color w:val="0D0D0D" w:themeColor="text1" w:themeTint="F2"/>
                <w:spacing w:val="-4"/>
                <w:lang w:eastAsia="en-US"/>
              </w:rPr>
            </w:pPr>
            <w:r>
              <w:rPr>
                <w:color w:val="0D0D0D" w:themeColor="text1" w:themeTint="F2"/>
                <w:spacing w:val="-4"/>
                <w:lang w:eastAsia="en-US"/>
              </w:rPr>
              <w:t xml:space="preserve">Výdaje SR se v 1. čtvrtletí 2024 v souladu s celoročním rozpočtovým očekáváním meziročně snížily, a to o 2,6 % (−14,6 mld., korun). Pokles v této části roku tak zaznamenaly teprve podruhé po roce 2010. Ve srovnání s „běžným“ počátkem roku 2022, kdy již rozpočet nebyl významně zatížen financováním protipandemické pomoci, ovšem celkové výdaje narostly o celou třetinu. Letošní meziroční pokles souvisí primárně s nižšími běžnými výdaji (−12,1 mld. korun), v nichž se zřetelně projevil útlum dotací do oblasti energetiky (−16,6 mld. korun) umožněný díky příznivému vývoji cen energií na světových trzích. Zklidnění cenového růstu v ekonomice se příznivě odrazilo i v redukci výdajů na obsluhu státního dluhu a v nižším tlaku na valorizaci širokého spektra sociálních dávek. Ten byl dále u důchodů zmírněn legislativními změnami řádné i mimořádné valorizace či zpřísněním podmínek přiznání předčasného důchodu. Dílčí vliv mělo i utlumení uprchlické vlny a postupující integrace ukrajinských držitelů dočasné ochrany na tuzemský pracovní trh. Na druhou stranu pokračující válka na Ukrajině spolu s obecným nárůstem geopolitického napětí zvýraznily vyšší potřebu veřejných výdajů </w:t>
            </w:r>
            <w:r>
              <w:rPr>
                <w:spacing w:val="-4"/>
                <w:lang w:eastAsia="en-US"/>
              </w:rPr>
              <w:t>na obranu a bezpečnost.</w:t>
            </w:r>
          </w:p>
        </w:tc>
      </w:tr>
      <w:tr w:rsidR="00F204DA" w14:paraId="4F2461DA" w14:textId="77777777" w:rsidTr="00F204DA">
        <w:trPr>
          <w:trHeight w:val="170"/>
        </w:trPr>
        <w:tc>
          <w:tcPr>
            <w:tcW w:w="1792" w:type="dxa"/>
            <w:hideMark/>
          </w:tcPr>
          <w:p w14:paraId="1131F9D6" w14:textId="77777777" w:rsidR="00F204DA" w:rsidRDefault="00F204DA">
            <w:pPr>
              <w:pStyle w:val="Marginlie"/>
              <w:rPr>
                <w:spacing w:val="-5"/>
                <w:lang w:eastAsia="en-US"/>
              </w:rPr>
            </w:pPr>
            <w:r>
              <w:rPr>
                <w:lang w:eastAsia="en-US"/>
              </w:rPr>
              <w:t>Navzdory úpravě valorizace přispěly loni k fiskální expanzi nejvíce výdaje na důchody. Schodek důchodového pojištění se meziročně významně nezměnil.</w:t>
            </w:r>
          </w:p>
        </w:tc>
        <w:tc>
          <w:tcPr>
            <w:tcW w:w="203" w:type="dxa"/>
          </w:tcPr>
          <w:p w14:paraId="454A314D" w14:textId="77777777" w:rsidR="00F204DA" w:rsidRDefault="00F204DA">
            <w:pPr>
              <w:pStyle w:val="Textpoznpodarou"/>
              <w:jc w:val="both"/>
              <w:rPr>
                <w:spacing w:val="-4"/>
                <w:lang w:eastAsia="en-US"/>
              </w:rPr>
            </w:pPr>
          </w:p>
        </w:tc>
        <w:tc>
          <w:tcPr>
            <w:tcW w:w="7674" w:type="dxa"/>
            <w:hideMark/>
          </w:tcPr>
          <w:p w14:paraId="4A523768" w14:textId="5ED9C625" w:rsidR="00F204DA" w:rsidRDefault="00F204DA" w:rsidP="00F204DA">
            <w:pPr>
              <w:spacing w:after="220"/>
              <w:rPr>
                <w:spacing w:val="-4"/>
                <w:lang w:eastAsia="en-US"/>
              </w:rPr>
            </w:pPr>
            <w:r>
              <w:rPr>
                <w:spacing w:val="-4"/>
                <w:lang w:eastAsia="en-US"/>
              </w:rPr>
              <w:t xml:space="preserve">Proti hlubšímu poklesu běžných výdajů působily i letos tradičně sociální dávky. Ve srovnání s 1. čtvrtletím 2023 se zvýšily o 10,5 mld. korun, resp. 4,8 %. Jejich podíl na veškerých výdajích SR vystoupal na 41,4 %, když byl za posledních šest let vyšší pouze na počátku roku 2022. Takřka veškerý růst u sociálních dávek pokryly vyšší </w:t>
            </w:r>
            <w:r>
              <w:rPr>
                <w:color w:val="0D0D0D" w:themeColor="text1" w:themeTint="F2"/>
                <w:spacing w:val="-4"/>
                <w:lang w:eastAsia="en-US"/>
              </w:rPr>
              <w:t xml:space="preserve">výdaje na důchody, jež </w:t>
            </w:r>
            <w:r>
              <w:rPr>
                <w:spacing w:val="-4"/>
                <w:lang w:eastAsia="en-US"/>
              </w:rPr>
              <w:t>posílily o 5,5</w:t>
            </w:r>
            <w:r>
              <w:rPr>
                <w:color w:val="0D0D0D" w:themeColor="text1" w:themeTint="F2"/>
                <w:spacing w:val="-4"/>
                <w:lang w:eastAsia="en-US"/>
              </w:rPr>
              <w:t> </w:t>
            </w:r>
            <w:r>
              <w:rPr>
                <w:spacing w:val="-4"/>
                <w:lang w:eastAsia="en-US"/>
              </w:rPr>
              <w:t>% (+9,3 mld. korun). Vlivem ústupu inflace i změny valorizačního mechanismu</w:t>
            </w:r>
            <w:r>
              <w:rPr>
                <w:vertAlign w:val="superscript"/>
                <w:lang w:eastAsia="en-US"/>
              </w:rPr>
              <w:footnoteReference w:id="15"/>
            </w:r>
            <w:r>
              <w:rPr>
                <w:spacing w:val="-4"/>
                <w:lang w:eastAsia="en-US"/>
              </w:rPr>
              <w:t xml:space="preserve"> šlo však o nejnižší procentní růst za posledních osm čtvrtletí. Objem výdajů byl ovlivněn jak loňským mimořádným navýšením, tak letošní řádnou valorizací.</w:t>
            </w:r>
            <w:r>
              <w:rPr>
                <w:rFonts w:ascii="Segoe UI" w:hAnsi="Segoe UI" w:cs="Segoe UI"/>
                <w:color w:val="000000"/>
                <w:lang w:eastAsia="en-US"/>
              </w:rPr>
              <w:t xml:space="preserve"> </w:t>
            </w:r>
            <w:r>
              <w:rPr>
                <w:spacing w:val="-4"/>
                <w:lang w:eastAsia="en-US"/>
              </w:rPr>
              <w:t xml:space="preserve">Vlivem výrazně vyššího zájmu </w:t>
            </w:r>
            <w:r>
              <w:rPr>
                <w:color w:val="0D0D0D" w:themeColor="text1" w:themeTint="F2"/>
                <w:spacing w:val="-4"/>
                <w:lang w:eastAsia="en-US"/>
              </w:rPr>
              <w:t>o předčasné penze</w:t>
            </w:r>
            <w:r>
              <w:rPr>
                <w:rStyle w:val="Znakapoznpodarou"/>
                <w:color w:val="0D0D0D" w:themeColor="text1" w:themeTint="F2"/>
                <w:spacing w:val="-4"/>
                <w:lang w:eastAsia="en-US"/>
              </w:rPr>
              <w:footnoteReference w:id="16"/>
            </w:r>
            <w:r>
              <w:rPr>
                <w:color w:val="0D0D0D" w:themeColor="text1" w:themeTint="F2"/>
                <w:spacing w:val="-4"/>
                <w:lang w:eastAsia="en-US"/>
              </w:rPr>
              <w:t xml:space="preserve"> se zastavil více než tři roky trvající pokles počtu příjemců některého z důchodů.</w:t>
            </w:r>
            <w:r>
              <w:rPr>
                <w:spacing w:val="-6"/>
                <w:lang w:eastAsia="en-US"/>
              </w:rPr>
              <w:t xml:space="preserve"> Ačkoli stále dobrá kondice tuzemského trhu práce i změna legislativy podporovaly</w:t>
            </w:r>
            <w:r>
              <w:rPr>
                <w:spacing w:val="-4"/>
                <w:lang w:eastAsia="en-US"/>
              </w:rPr>
              <w:t xml:space="preserve"> svižný růst příjmů </w:t>
            </w:r>
            <w:r>
              <w:rPr>
                <w:rFonts w:cs="Arial"/>
                <w:color w:val="0D0D0D" w:themeColor="text1" w:themeTint="F2"/>
                <w:spacing w:val="-4"/>
                <w:lang w:eastAsia="en-US"/>
              </w:rPr>
              <w:t xml:space="preserve">důchodového pojištění (a jeho meziroční tempo bylo na počátku roku srovnatelné s výdaji), saldo systému </w:t>
            </w:r>
            <w:r>
              <w:rPr>
                <w:rFonts w:cs="Arial"/>
                <w:color w:val="0D0D0D" w:themeColor="text1" w:themeTint="F2"/>
                <w:spacing w:val="-2"/>
                <w:lang w:eastAsia="en-US"/>
              </w:rPr>
              <w:t>důchodového pojištění</w:t>
            </w:r>
            <w:r>
              <w:rPr>
                <w:rStyle w:val="Znakapoznpodarou"/>
                <w:color w:val="0D0D0D" w:themeColor="text1" w:themeTint="F2"/>
                <w:spacing w:val="-2"/>
                <w:lang w:eastAsia="en-US"/>
              </w:rPr>
              <w:footnoteReference w:id="17"/>
            </w:r>
            <w:r>
              <w:rPr>
                <w:rFonts w:cs="Arial"/>
                <w:color w:val="0D0D0D" w:themeColor="text1" w:themeTint="F2"/>
                <w:spacing w:val="-2"/>
                <w:lang w:eastAsia="en-US"/>
              </w:rPr>
              <w:t xml:space="preserve"> vykázalo za 1. čtvrtletí stále významný deficit (23 mld. korun), meziročně fakticky srovnatelný.</w:t>
            </w:r>
          </w:p>
        </w:tc>
      </w:tr>
      <w:tr w:rsidR="00F204DA" w14:paraId="20B4DA27" w14:textId="77777777" w:rsidTr="00F204DA">
        <w:trPr>
          <w:trHeight w:val="170"/>
        </w:trPr>
        <w:tc>
          <w:tcPr>
            <w:tcW w:w="1792" w:type="dxa"/>
            <w:hideMark/>
          </w:tcPr>
          <w:p w14:paraId="41CAD691" w14:textId="77777777" w:rsidR="00F204DA" w:rsidRDefault="00F204DA">
            <w:pPr>
              <w:pStyle w:val="Marginlie"/>
              <w:rPr>
                <w:lang w:eastAsia="en-US"/>
              </w:rPr>
            </w:pPr>
            <w:r>
              <w:rPr>
                <w:lang w:eastAsia="en-US"/>
              </w:rPr>
              <w:t>Výdaje na rodičovské příspěvky třetí rok v řadě klesly, snížil se i objem humanitárních dávek pro ukrajinské uprchlíky.</w:t>
            </w:r>
          </w:p>
          <w:p w14:paraId="1D964182" w14:textId="77777777" w:rsidR="00F204DA" w:rsidRDefault="00F204DA">
            <w:pPr>
              <w:pStyle w:val="Marginlie"/>
              <w:rPr>
                <w:lang w:eastAsia="en-US"/>
              </w:rPr>
            </w:pPr>
            <w:r>
              <w:rPr>
                <w:lang w:eastAsia="en-US"/>
              </w:rPr>
              <w:lastRenderedPageBreak/>
              <w:t>Nejrychleji se zvyšovaly výdaje na příspěvky na bydlení. Většina ostatních dávek rostla jen mírně.</w:t>
            </w:r>
          </w:p>
        </w:tc>
        <w:tc>
          <w:tcPr>
            <w:tcW w:w="203" w:type="dxa"/>
          </w:tcPr>
          <w:p w14:paraId="285BE0FC" w14:textId="77777777" w:rsidR="00F204DA" w:rsidRDefault="00F204DA">
            <w:pPr>
              <w:pStyle w:val="Textpoznpodarou"/>
              <w:jc w:val="both"/>
              <w:rPr>
                <w:spacing w:val="-4"/>
                <w:lang w:eastAsia="en-US"/>
              </w:rPr>
            </w:pPr>
          </w:p>
        </w:tc>
        <w:tc>
          <w:tcPr>
            <w:tcW w:w="7674" w:type="dxa"/>
            <w:hideMark/>
          </w:tcPr>
          <w:p w14:paraId="67D2E555" w14:textId="476FE3FE" w:rsidR="00F204DA" w:rsidRDefault="00F204DA" w:rsidP="00F204DA">
            <w:pPr>
              <w:spacing w:after="220"/>
              <w:rPr>
                <w:spacing w:val="-4"/>
                <w:lang w:eastAsia="en-US"/>
              </w:rPr>
            </w:pPr>
            <w:r>
              <w:rPr>
                <w:color w:val="0D0D0D" w:themeColor="text1" w:themeTint="F2"/>
                <w:spacing w:val="-4"/>
                <w:lang w:eastAsia="en-US"/>
              </w:rPr>
              <w:t xml:space="preserve">Růst výdajů na ostatní sociální dávky, obdobně jako u těch důchodových, letos v 1. čtvrtletí razantně zvolnil (na 2,5 % meziročně, nejméně v tomto období za posledních šest let). To souviselo s poklesem objemu </w:t>
            </w:r>
            <w:r>
              <w:rPr>
                <w:rFonts w:cs="Arial"/>
                <w:color w:val="0D0D0D" w:themeColor="text1" w:themeTint="F2"/>
                <w:spacing w:val="-5"/>
                <w:lang w:eastAsia="en-US"/>
              </w:rPr>
              <w:t>váhově významných</w:t>
            </w:r>
            <w:r>
              <w:rPr>
                <w:color w:val="0D0D0D" w:themeColor="text1" w:themeTint="F2"/>
                <w:spacing w:val="-4"/>
                <w:lang w:eastAsia="en-US"/>
              </w:rPr>
              <w:t xml:space="preserve"> rodičovských příspěvků (−0,5 mld.), </w:t>
            </w:r>
            <w:r>
              <w:rPr>
                <w:color w:val="0D0D0D" w:themeColor="text1" w:themeTint="F2"/>
                <w:spacing w:val="-4"/>
                <w:lang w:eastAsia="en-US"/>
              </w:rPr>
              <w:lastRenderedPageBreak/>
              <w:t xml:space="preserve">který pokračoval třetím rokem v řadě. Zejména </w:t>
            </w:r>
            <w:r>
              <w:rPr>
                <w:color w:val="0D0D0D" w:themeColor="text1" w:themeTint="F2"/>
                <w:spacing w:val="-6"/>
                <w:lang w:eastAsia="en-US"/>
              </w:rPr>
              <w:t>vlivem většího zacílení</w:t>
            </w:r>
            <w:r>
              <w:rPr>
                <w:rStyle w:val="Znakapoznpodarou"/>
                <w:color w:val="0D0D0D" w:themeColor="text1" w:themeTint="F2"/>
                <w:spacing w:val="-6"/>
                <w:lang w:eastAsia="en-US"/>
              </w:rPr>
              <w:footnoteReference w:id="18"/>
            </w:r>
            <w:r>
              <w:rPr>
                <w:color w:val="0D0D0D" w:themeColor="text1" w:themeTint="F2"/>
                <w:spacing w:val="-6"/>
                <w:lang w:eastAsia="en-US"/>
              </w:rPr>
              <w:t xml:space="preserve"> se snížil objem humanitárních dávek </w:t>
            </w:r>
            <w:r>
              <w:rPr>
                <w:spacing w:val="-6"/>
                <w:lang w:eastAsia="en-US"/>
              </w:rPr>
              <w:t xml:space="preserve">pro </w:t>
            </w:r>
            <w:r>
              <w:rPr>
                <w:rFonts w:cs="Arial"/>
                <w:color w:val="0D0D0D" w:themeColor="text1" w:themeTint="F2"/>
                <w:spacing w:val="-6"/>
                <w:lang w:eastAsia="en-US"/>
              </w:rPr>
              <w:t>uprchlíky z Ukrajiny (−13 %</w:t>
            </w:r>
            <w:r>
              <w:rPr>
                <w:rFonts w:cs="Arial"/>
                <w:color w:val="0D0D0D" w:themeColor="text1" w:themeTint="F2"/>
                <w:spacing w:val="-4"/>
                <w:lang w:eastAsia="en-US"/>
              </w:rPr>
              <w:t xml:space="preserve">, na 1,9 mld. </w:t>
            </w:r>
            <w:r>
              <w:rPr>
                <w:rFonts w:cs="Arial"/>
                <w:color w:val="0D0D0D" w:themeColor="text1" w:themeTint="F2"/>
                <w:spacing w:val="-5"/>
                <w:lang w:eastAsia="en-US"/>
              </w:rPr>
              <w:t>korun). SR naopak více zatížily především vyšší výdaje na příspěvky na bydlení (+30 %, resp. +1,2 mld. korun</w:t>
            </w:r>
            <w:r>
              <w:rPr>
                <w:rStyle w:val="Znakapoznpodarou"/>
                <w:color w:val="0D0D0D" w:themeColor="text1" w:themeTint="F2"/>
                <w:spacing w:val="-5"/>
                <w:lang w:eastAsia="en-US"/>
              </w:rPr>
              <w:footnoteReference w:id="19"/>
            </w:r>
            <w:r>
              <w:rPr>
                <w:rFonts w:cs="Arial"/>
                <w:color w:val="0D0D0D" w:themeColor="text1" w:themeTint="F2"/>
                <w:spacing w:val="-5"/>
                <w:lang w:eastAsia="en-US"/>
              </w:rPr>
              <w:t xml:space="preserve">), a to při navýšení počtu příjemců o 10 %. </w:t>
            </w:r>
            <w:r>
              <w:rPr>
                <w:rFonts w:cs="Arial"/>
                <w:color w:val="0D0D0D" w:themeColor="text1" w:themeTint="F2"/>
                <w:spacing w:val="-4"/>
                <w:lang w:eastAsia="en-US"/>
              </w:rPr>
              <w:t xml:space="preserve">Projevil se zde dopad </w:t>
            </w:r>
            <w:r>
              <w:rPr>
                <w:color w:val="0D0D0D" w:themeColor="text1" w:themeTint="F2"/>
                <w:spacing w:val="-4"/>
                <w:lang w:eastAsia="en-US"/>
              </w:rPr>
              <w:t>vysokých cen energií a </w:t>
            </w:r>
            <w:r>
              <w:rPr>
                <w:spacing w:val="-4"/>
                <w:lang w:eastAsia="en-US"/>
              </w:rPr>
              <w:t>zvýšení nákladů uznatelných pro výplatu, ale i růstu povědomí o</w:t>
            </w:r>
            <w:r>
              <w:rPr>
                <w:color w:val="0D0D0D" w:themeColor="text1" w:themeTint="F2"/>
                <w:spacing w:val="-4"/>
                <w:lang w:eastAsia="en-US"/>
              </w:rPr>
              <w:t> </w:t>
            </w:r>
            <w:r>
              <w:rPr>
                <w:spacing w:val="-4"/>
                <w:lang w:eastAsia="en-US"/>
              </w:rPr>
              <w:t>možnosti čerpání této pomoci v populaci a zjednodušení procedury podání žádosti o</w:t>
            </w:r>
            <w:r>
              <w:rPr>
                <w:color w:val="0D0D0D" w:themeColor="text1" w:themeTint="F2"/>
                <w:spacing w:val="-4"/>
                <w:lang w:eastAsia="en-US"/>
              </w:rPr>
              <w:t> </w:t>
            </w:r>
            <w:r>
              <w:rPr>
                <w:spacing w:val="-4"/>
                <w:lang w:eastAsia="en-US"/>
              </w:rPr>
              <w:t xml:space="preserve">dávku. Podruhé v řadě se meziročně zvýšily výdaje na podporu v nezaměstnanosti (letos o 0,5 mil. korun, zejména kvůli mírnému růstu počtu osob s nárokem na pomoc). Mírnějším tempem (do 5 %) se zvýšil objem některých významnějších příjmově testovaných dávek (přídavky na děti, příspěvek na živobytí) nebo dávky pro zdravotně postižené. Objemově významné příspěvky na péči </w:t>
            </w:r>
            <w:r>
              <w:rPr>
                <w:rFonts w:cs="Arial"/>
                <w:color w:val="0D0D0D" w:themeColor="text1" w:themeTint="F2"/>
                <w:spacing w:val="-4"/>
                <w:lang w:eastAsia="en-US"/>
              </w:rPr>
              <w:t>pro dlouhodobě nemocné stagnovaly, podobně jako vyplacené dávky nemocenského pojištění.</w:t>
            </w:r>
          </w:p>
        </w:tc>
      </w:tr>
      <w:tr w:rsidR="00F204DA" w14:paraId="01D558B2" w14:textId="77777777" w:rsidTr="00F204DA">
        <w:trPr>
          <w:trHeight w:val="170"/>
        </w:trPr>
        <w:tc>
          <w:tcPr>
            <w:tcW w:w="1792" w:type="dxa"/>
            <w:hideMark/>
          </w:tcPr>
          <w:p w14:paraId="5521CFB3" w14:textId="77777777" w:rsidR="00F204DA" w:rsidRDefault="00F204DA">
            <w:pPr>
              <w:pStyle w:val="Marginlie"/>
              <w:rPr>
                <w:lang w:eastAsia="en-US"/>
              </w:rPr>
            </w:pPr>
            <w:r>
              <w:rPr>
                <w:lang w:eastAsia="en-US"/>
              </w:rPr>
              <w:lastRenderedPageBreak/>
              <w:t xml:space="preserve">Za vyššími výdaji na neinvestiční nákupy stál zejména nákup armádní techniky. </w:t>
            </w:r>
          </w:p>
        </w:tc>
        <w:tc>
          <w:tcPr>
            <w:tcW w:w="203" w:type="dxa"/>
          </w:tcPr>
          <w:p w14:paraId="0D29F573" w14:textId="77777777" w:rsidR="00F204DA" w:rsidRDefault="00F204DA">
            <w:pPr>
              <w:pStyle w:val="Textpoznpodarou"/>
              <w:jc w:val="both"/>
              <w:rPr>
                <w:spacing w:val="-4"/>
                <w:lang w:eastAsia="en-US"/>
              </w:rPr>
            </w:pPr>
          </w:p>
        </w:tc>
        <w:tc>
          <w:tcPr>
            <w:tcW w:w="7674" w:type="dxa"/>
            <w:hideMark/>
          </w:tcPr>
          <w:p w14:paraId="1DB9F414" w14:textId="77777777" w:rsidR="00F204DA" w:rsidRDefault="00F204DA">
            <w:pPr>
              <w:spacing w:after="220"/>
              <w:rPr>
                <w:color w:val="0D0D0D" w:themeColor="text1" w:themeTint="F2"/>
                <w:spacing w:val="-4"/>
                <w:lang w:eastAsia="en-US"/>
              </w:rPr>
            </w:pPr>
            <w:r>
              <w:rPr>
                <w:color w:val="0D0D0D" w:themeColor="text1" w:themeTint="F2"/>
                <w:spacing w:val="-4"/>
                <w:lang w:eastAsia="en-US"/>
              </w:rPr>
              <w:t xml:space="preserve">Vedle sociálních dávek více zatížily SR vyšší výdaje na neinvestiční nákupy a související výdaje (bez obsluhy dluhu), jež se meziročně zvýšily o více než čtvrtinu (resp. 4 mld. korun). To souviselo s vyššími nákupy služeb (v oblasti armádní techniky), dále s výdaji na opravy a udržování a s mírným posílením výdajů na nákup vody, paliv a energií. Dále vlivem automatické valorizace vzrostly o 3,1 mld. (+9 %) výdaje za platby veřejného zdravotního pojištění za tzv. státní pojištěnce. O desetinu více než loni vydal SR na dotace státním fondům, především vlivem vyšších transferů na krytí deficitu v oblasti dopravní infrastruktury. </w:t>
            </w:r>
          </w:p>
        </w:tc>
      </w:tr>
      <w:tr w:rsidR="00F204DA" w14:paraId="2BEEE9B5" w14:textId="77777777" w:rsidTr="00F204DA">
        <w:trPr>
          <w:trHeight w:val="170"/>
        </w:trPr>
        <w:tc>
          <w:tcPr>
            <w:tcW w:w="1792" w:type="dxa"/>
            <w:hideMark/>
          </w:tcPr>
          <w:p w14:paraId="70B84555" w14:textId="77777777" w:rsidR="00F204DA" w:rsidRDefault="00F204DA">
            <w:pPr>
              <w:pStyle w:val="Marginlie"/>
              <w:rPr>
                <w:lang w:eastAsia="en-US"/>
              </w:rPr>
            </w:pPr>
            <w:r>
              <w:rPr>
                <w:lang w:eastAsia="en-US"/>
              </w:rPr>
              <w:t>Dotace podnikatelům po mimořádném roce 2023 letos razantně klesly, proti roku 2019 však byly stále bezmála dvojnásobné.</w:t>
            </w:r>
          </w:p>
        </w:tc>
        <w:tc>
          <w:tcPr>
            <w:tcW w:w="203" w:type="dxa"/>
          </w:tcPr>
          <w:p w14:paraId="6848AF36" w14:textId="77777777" w:rsidR="00F204DA" w:rsidRDefault="00F204DA">
            <w:pPr>
              <w:pStyle w:val="Textpoznpodarou"/>
              <w:jc w:val="both"/>
              <w:rPr>
                <w:spacing w:val="-4"/>
                <w:lang w:eastAsia="en-US"/>
              </w:rPr>
            </w:pPr>
          </w:p>
        </w:tc>
        <w:tc>
          <w:tcPr>
            <w:tcW w:w="7674" w:type="dxa"/>
            <w:hideMark/>
          </w:tcPr>
          <w:p w14:paraId="47769996" w14:textId="77777777" w:rsidR="00F204DA" w:rsidRDefault="00F204DA">
            <w:pPr>
              <w:spacing w:after="220"/>
              <w:rPr>
                <w:color w:val="0D0D0D" w:themeColor="text1" w:themeTint="F2"/>
                <w:spacing w:val="-4"/>
                <w:lang w:eastAsia="en-US"/>
              </w:rPr>
            </w:pPr>
            <w:r>
              <w:rPr>
                <w:color w:val="0D0D0D" w:themeColor="text1" w:themeTint="F2"/>
                <w:spacing w:val="-4"/>
                <w:lang w:eastAsia="en-US"/>
              </w:rPr>
              <w:t xml:space="preserve">Ve směru poklesu celkových výdajů SR působil v 1. čtvrtletí 2024 nejvíce očekávaný hluboký propad neinvestičních dotací podnikatelům. Ty meziročně klesly o více než třetinu (byly i znatelně nižší než v „pandemickém“ roce 2021, ale úroveň z počátku roku 2019 současně převyšovaly skoro dvojnásobně). Velká část jejich objemu i poklesu byla spjatá s dotacemi do oblasti energetiky (např. </w:t>
            </w:r>
            <w:r>
              <w:rPr>
                <w:color w:val="0D0D0D" w:themeColor="text1" w:themeTint="F2"/>
                <w:spacing w:val="-5"/>
                <w:lang w:eastAsia="en-US"/>
              </w:rPr>
              <w:t xml:space="preserve">výdaje na zastropování cen elektřiny a plynu zákazníkům klesly z 21,1 mld. na 6,5 mld., snížily se i dotace provozovatelům přenosové soustavy a program na pomoc podnikatelům se zvýšenými cenami energií byl zcela zastaven). SR dále ušetří i na aktivní politice zaměstnanosti. Naopak u zálohových dotací na obnovitelné zdroje energií bylo zatím letos vyplaceno více (+4,4 mld. korun).  </w:t>
            </w:r>
          </w:p>
        </w:tc>
      </w:tr>
      <w:tr w:rsidR="00F204DA" w14:paraId="0C8634F1" w14:textId="77777777" w:rsidTr="00F204DA">
        <w:trPr>
          <w:trHeight w:val="170"/>
        </w:trPr>
        <w:tc>
          <w:tcPr>
            <w:tcW w:w="1792" w:type="dxa"/>
            <w:hideMark/>
          </w:tcPr>
          <w:p w14:paraId="078892E8" w14:textId="77777777" w:rsidR="00F204DA" w:rsidRDefault="00F204DA">
            <w:pPr>
              <w:pStyle w:val="Marginlie"/>
              <w:rPr>
                <w:lang w:eastAsia="en-US"/>
              </w:rPr>
            </w:pPr>
            <w:r>
              <w:rPr>
                <w:lang w:eastAsia="en-US"/>
              </w:rPr>
              <w:t>Pokles výdajů na státní dluh ovlivnila vysoká loňská výplata státních protiinflačních dluhopisů.</w:t>
            </w:r>
          </w:p>
        </w:tc>
        <w:tc>
          <w:tcPr>
            <w:tcW w:w="203" w:type="dxa"/>
          </w:tcPr>
          <w:p w14:paraId="1D789311" w14:textId="77777777" w:rsidR="00F204DA" w:rsidRDefault="00F204DA">
            <w:pPr>
              <w:pStyle w:val="Textpoznpodarou"/>
              <w:jc w:val="both"/>
              <w:rPr>
                <w:spacing w:val="-4"/>
                <w:lang w:eastAsia="en-US"/>
              </w:rPr>
            </w:pPr>
          </w:p>
        </w:tc>
        <w:tc>
          <w:tcPr>
            <w:tcW w:w="7674" w:type="dxa"/>
            <w:hideMark/>
          </w:tcPr>
          <w:p w14:paraId="35AEC346" w14:textId="77777777" w:rsidR="00F204DA" w:rsidRDefault="00F204DA">
            <w:pPr>
              <w:spacing w:after="220"/>
              <w:rPr>
                <w:color w:val="0D0D0D" w:themeColor="text1" w:themeTint="F2"/>
                <w:spacing w:val="-4"/>
                <w:lang w:eastAsia="en-US"/>
              </w:rPr>
            </w:pPr>
            <w:r>
              <w:rPr>
                <w:color w:val="0D0D0D" w:themeColor="text1" w:themeTint="F2"/>
                <w:spacing w:val="-4"/>
                <w:lang w:eastAsia="en-US"/>
              </w:rPr>
              <w:t xml:space="preserve">Významnější meziroční pokles, jenž nastal také u dotací územním rozpočtům </w:t>
            </w:r>
            <w:r>
              <w:rPr>
                <w:color w:val="0D0D0D" w:themeColor="text1" w:themeTint="F2"/>
                <w:spacing w:val="-4"/>
                <w:lang w:eastAsia="en-US"/>
              </w:rPr>
              <w:br/>
              <w:t>(−6,5 mld. korun), souvisel v první řadě s loňským předfinancováním záloh soukromému školství, v menší míře také s klesajícím kompenzačním příspěvkem na nouzové ubytování osob z Ukrajiny. Oproti rekordním výdajům na obsluhu státního dluhu z počátku loňského roku</w:t>
            </w:r>
            <w:r>
              <w:rPr>
                <w:rStyle w:val="Znakapoznpodarou"/>
                <w:spacing w:val="-4"/>
                <w:lang w:eastAsia="en-US"/>
              </w:rPr>
              <w:footnoteReference w:id="20"/>
            </w:r>
            <w:r>
              <w:rPr>
                <w:color w:val="0D0D0D" w:themeColor="text1" w:themeTint="F2"/>
                <w:spacing w:val="-4"/>
                <w:lang w:eastAsia="en-US"/>
              </w:rPr>
              <w:t xml:space="preserve"> vydal SR letos skoro třetinu (o 5 mld. korun méně). Nižší byly i povinné odvody ČR do rozpočtu EU (−3,5 mld.), nicméně rozpočtový plán počítá za celý rok 2024 s jejich mírným navýšením. Dotace příspěvkovým organizacím letos spíše stagnovaly a podobné platí také o výdajích na platy v organizačních složkách státu, kde se promítá plošné snížení o 2 % související s realizací konsolidačního balíčku. </w:t>
            </w:r>
          </w:p>
        </w:tc>
      </w:tr>
      <w:tr w:rsidR="00F204DA" w14:paraId="23059981" w14:textId="77777777" w:rsidTr="00F204DA">
        <w:trPr>
          <w:trHeight w:val="170"/>
        </w:trPr>
        <w:tc>
          <w:tcPr>
            <w:tcW w:w="1792" w:type="dxa"/>
          </w:tcPr>
          <w:p w14:paraId="13A9B33B" w14:textId="55F28E4F" w:rsidR="00F204DA" w:rsidRDefault="00F204DA">
            <w:pPr>
              <w:pStyle w:val="Marginlie"/>
              <w:rPr>
                <w:lang w:eastAsia="en-US"/>
              </w:rPr>
            </w:pPr>
            <w:r>
              <w:rPr>
                <w:lang w:eastAsia="en-US"/>
              </w:rPr>
              <w:t>Investice SR se na počátku roku po</w:t>
            </w:r>
            <w:r w:rsidR="00EC6B23">
              <w:rPr>
                <w:lang w:eastAsia="en-US"/>
              </w:rPr>
              <w:t xml:space="preserve"> loňském</w:t>
            </w:r>
            <w:r>
              <w:rPr>
                <w:lang w:eastAsia="en-US"/>
              </w:rPr>
              <w:t xml:space="preserve"> svižné</w:t>
            </w:r>
            <w:r w:rsidR="00EC6B23">
              <w:rPr>
                <w:lang w:eastAsia="en-US"/>
              </w:rPr>
              <w:t>m</w:t>
            </w:r>
            <w:r>
              <w:rPr>
                <w:lang w:eastAsia="en-US"/>
              </w:rPr>
              <w:t xml:space="preserve"> růstu snížily. Pokračovaly zvýšené nákupy v oblasti obrany.</w:t>
            </w:r>
          </w:p>
          <w:p w14:paraId="704DA251" w14:textId="77777777" w:rsidR="00F204DA" w:rsidRDefault="00F204DA">
            <w:pPr>
              <w:pStyle w:val="Marginlie"/>
              <w:rPr>
                <w:lang w:eastAsia="en-US"/>
              </w:rPr>
            </w:pPr>
          </w:p>
        </w:tc>
        <w:tc>
          <w:tcPr>
            <w:tcW w:w="203" w:type="dxa"/>
          </w:tcPr>
          <w:p w14:paraId="6D58ECFE" w14:textId="77777777" w:rsidR="00F204DA" w:rsidRDefault="00F204DA">
            <w:pPr>
              <w:pStyle w:val="Textpoznpodarou"/>
              <w:jc w:val="both"/>
              <w:rPr>
                <w:spacing w:val="-4"/>
                <w:lang w:eastAsia="en-US"/>
              </w:rPr>
            </w:pPr>
          </w:p>
        </w:tc>
        <w:tc>
          <w:tcPr>
            <w:tcW w:w="7674" w:type="dxa"/>
            <w:hideMark/>
          </w:tcPr>
          <w:p w14:paraId="0788B7F3" w14:textId="77777777" w:rsidR="00F204DA" w:rsidRDefault="00F204DA">
            <w:pPr>
              <w:rPr>
                <w:color w:val="0D0D0D" w:themeColor="text1" w:themeTint="F2"/>
                <w:spacing w:val="-4"/>
                <w:lang w:eastAsia="en-US"/>
              </w:rPr>
            </w:pPr>
            <w:r>
              <w:rPr>
                <w:color w:val="0D0D0D" w:themeColor="text1" w:themeTint="F2"/>
                <w:spacing w:val="-4"/>
                <w:lang w:eastAsia="en-US"/>
              </w:rPr>
              <w:t xml:space="preserve">Kapitálové výdaje SR se v souladu s rozpočtovým očekáváním v 1. čtvrtletí meziročně snížily, a to o 7,1 %, resp. 2,6 mld. korun. Na poklesu se podílely oblasti, u nichž se předpokládá financování čistě z národních zdrojů. Nižší byly nepravidelně poskytované dotace Státnímu fondu dopravní infrastruktury (−6,4 mld. korun) a Státnímu fondu životního prostředí (−4,1 mld. korun). Mírněji naproti tomu rostly transfery územním rozpočtům </w:t>
            </w:r>
            <w:r>
              <w:rPr>
                <w:color w:val="0D0D0D" w:themeColor="text1" w:themeTint="F2"/>
                <w:spacing w:val="-4"/>
                <w:lang w:eastAsia="en-US"/>
              </w:rPr>
              <w:br/>
              <w:t xml:space="preserve">a podnikatelům – v obou případech určené na dobíhající projekty z programového období 2014 až 2021. Podobně jako loni se zvyšovaly investiční nákupy (pořízení dlouhodobého hmotného majetku), především v oblasti obrany. Celkové investice SR tvořily v 1. čtvrtletí </w:t>
            </w:r>
            <w:r>
              <w:rPr>
                <w:color w:val="0D0D0D" w:themeColor="text1" w:themeTint="F2"/>
                <w:spacing w:val="-4"/>
                <w:lang w:eastAsia="en-US"/>
              </w:rPr>
              <w:lastRenderedPageBreak/>
              <w:t>6,1 % veškerých rozpočtových výdajů, v kontextu poslední dekády jde za toto období roku o mírně nadprůměrný podíl.</w:t>
            </w:r>
          </w:p>
        </w:tc>
      </w:tr>
      <w:tr w:rsidR="00F204DA" w14:paraId="4B4414F5" w14:textId="77777777" w:rsidTr="00F204DA">
        <w:trPr>
          <w:trHeight w:val="170"/>
        </w:trPr>
        <w:tc>
          <w:tcPr>
            <w:tcW w:w="1792" w:type="dxa"/>
            <w:hideMark/>
          </w:tcPr>
          <w:p w14:paraId="28DEB47E" w14:textId="77777777" w:rsidR="00F204DA" w:rsidRDefault="00F204DA">
            <w:pPr>
              <w:pStyle w:val="Marginlie"/>
              <w:rPr>
                <w:lang w:eastAsia="en-US"/>
              </w:rPr>
            </w:pPr>
            <w:r>
              <w:rPr>
                <w:lang w:eastAsia="en-US"/>
              </w:rPr>
              <w:lastRenderedPageBreak/>
              <w:t>Státní dluh vystoupal na rekordní výši, tempo zadlužování však zvolnilo.</w:t>
            </w:r>
          </w:p>
        </w:tc>
        <w:tc>
          <w:tcPr>
            <w:tcW w:w="203" w:type="dxa"/>
          </w:tcPr>
          <w:p w14:paraId="02BF1C52" w14:textId="77777777" w:rsidR="00F204DA" w:rsidRDefault="00F204DA">
            <w:pPr>
              <w:pStyle w:val="Textpoznpodarou"/>
              <w:jc w:val="both"/>
              <w:rPr>
                <w:spacing w:val="-4"/>
                <w:lang w:eastAsia="en-US"/>
              </w:rPr>
            </w:pPr>
          </w:p>
        </w:tc>
        <w:tc>
          <w:tcPr>
            <w:tcW w:w="7674" w:type="dxa"/>
            <w:hideMark/>
          </w:tcPr>
          <w:p w14:paraId="78AE2165" w14:textId="77777777" w:rsidR="00F204DA" w:rsidRDefault="00F204DA">
            <w:pPr>
              <w:spacing w:after="200"/>
              <w:rPr>
                <w:color w:val="0D0D0D" w:themeColor="text1" w:themeTint="F2"/>
                <w:spacing w:val="-4"/>
                <w:lang w:eastAsia="en-US"/>
              </w:rPr>
            </w:pPr>
            <w:r>
              <w:rPr>
                <w:color w:val="0D0D0D" w:themeColor="text1" w:themeTint="F2"/>
                <w:spacing w:val="-2"/>
                <w:lang w:eastAsia="en-US"/>
              </w:rPr>
              <w:t>Pokračující deficitní hospodaření SR se promítlo v úrovni státního dluhu. Ten vystoupal na konci 1. čtvrtletí 2024 na rekordních 3 221 mld. korun. Meziročně se zvýšil o 7,5 %, rostl tak již 19 kvartálů v řadě. Tempo růstu však ve srovnání s 1. čtvrtletím loňského roku zvolnilo na polovinu. Od počátku letošního roku se dluh navýšil o 110 mld. korun, rostl tradičně zejména vnitřní zadlužeností, a to hlavně vlivem emise středně- a dlouhodobých státních dluhopisů, u nichž zároveň docházelo k postupnému prodlužování průměrné doby splatnosti</w:t>
            </w:r>
            <w:r>
              <w:rPr>
                <w:rStyle w:val="Znakapoznpodarou"/>
                <w:color w:val="0D0D0D" w:themeColor="text1" w:themeTint="F2"/>
                <w:spacing w:val="-2"/>
                <w:lang w:eastAsia="en-US"/>
              </w:rPr>
              <w:footnoteReference w:id="21"/>
            </w:r>
            <w:r>
              <w:rPr>
                <w:color w:val="0D0D0D" w:themeColor="text1" w:themeTint="F2"/>
                <w:spacing w:val="-2"/>
                <w:lang w:eastAsia="en-US"/>
              </w:rPr>
              <w:t xml:space="preserve">. Mezi držiteli všech domácích dluhopisů v oběhu dominovaly na konci 1. čtvrtletí finanční instituce (59,0 %, zejména banky, ale i pojišťovny a investiční a penzijní fondy), nerezidenti pak vlastnili 34,5 % dluhopisů. </w:t>
            </w:r>
          </w:p>
        </w:tc>
      </w:tr>
      <w:tr w:rsidR="00F204DA" w14:paraId="0FB0D609" w14:textId="77777777" w:rsidTr="00F204DA">
        <w:trPr>
          <w:trHeight w:val="170"/>
        </w:trPr>
        <w:tc>
          <w:tcPr>
            <w:tcW w:w="1792" w:type="dxa"/>
          </w:tcPr>
          <w:p w14:paraId="0DE4CFC0" w14:textId="77777777" w:rsidR="00F204DA" w:rsidRDefault="00F204DA">
            <w:pPr>
              <w:pStyle w:val="Marginlie"/>
              <w:rPr>
                <w:lang w:eastAsia="en-US"/>
              </w:rPr>
            </w:pPr>
          </w:p>
        </w:tc>
        <w:tc>
          <w:tcPr>
            <w:tcW w:w="203" w:type="dxa"/>
          </w:tcPr>
          <w:p w14:paraId="1E02BCF0" w14:textId="77777777" w:rsidR="00F204DA" w:rsidRDefault="00F204DA">
            <w:pPr>
              <w:pStyle w:val="Textpoznpodarou"/>
              <w:jc w:val="both"/>
              <w:rPr>
                <w:spacing w:val="-4"/>
                <w:lang w:eastAsia="en-US"/>
              </w:rPr>
            </w:pPr>
          </w:p>
        </w:tc>
        <w:tc>
          <w:tcPr>
            <w:tcW w:w="7674" w:type="dxa"/>
            <w:hideMark/>
          </w:tcPr>
          <w:p w14:paraId="6A1701E6" w14:textId="720EC478" w:rsidR="00F204DA" w:rsidRDefault="00EC6B23">
            <w:pPr>
              <w:spacing w:after="0"/>
              <w:rPr>
                <w:color w:val="0D0D0D" w:themeColor="text1" w:themeTint="F2"/>
                <w:spacing w:val="-3"/>
                <w:lang w:eastAsia="en-US"/>
              </w:rPr>
            </w:pPr>
            <w:r>
              <w:rPr>
                <w:b/>
                <w:lang w:eastAsia="en-US"/>
              </w:rPr>
              <w:t>Graf č. 18</w:t>
            </w:r>
            <w:r w:rsidR="00F204DA">
              <w:rPr>
                <w:b/>
                <w:lang w:eastAsia="en-US"/>
              </w:rPr>
              <w:t xml:space="preserve"> </w:t>
            </w:r>
            <w:r w:rsidR="00F204DA">
              <w:rPr>
                <w:rFonts w:cs="Arial"/>
                <w:b/>
                <w:bCs/>
                <w:lang w:eastAsia="en-US"/>
              </w:rPr>
              <w:t>Vybrané výdaje státního rozpočtu v rámci 1. čtvrtletí</w:t>
            </w:r>
          </w:p>
        </w:tc>
      </w:tr>
      <w:tr w:rsidR="00F204DA" w14:paraId="2F3A5C5B" w14:textId="77777777" w:rsidTr="00F204DA">
        <w:trPr>
          <w:trHeight w:val="170"/>
        </w:trPr>
        <w:tc>
          <w:tcPr>
            <w:tcW w:w="1792" w:type="dxa"/>
          </w:tcPr>
          <w:p w14:paraId="0E0FC5F4" w14:textId="77777777" w:rsidR="00F204DA" w:rsidRDefault="00F204DA">
            <w:pPr>
              <w:pStyle w:val="Marginlie"/>
              <w:rPr>
                <w:lang w:eastAsia="en-US"/>
              </w:rPr>
            </w:pPr>
          </w:p>
        </w:tc>
        <w:tc>
          <w:tcPr>
            <w:tcW w:w="203" w:type="dxa"/>
          </w:tcPr>
          <w:p w14:paraId="0E29DB57" w14:textId="77777777" w:rsidR="00F204DA" w:rsidRDefault="00F204DA">
            <w:pPr>
              <w:pStyle w:val="Textpoznpodarou"/>
              <w:jc w:val="both"/>
              <w:rPr>
                <w:spacing w:val="-4"/>
                <w:lang w:eastAsia="en-US"/>
              </w:rPr>
            </w:pPr>
          </w:p>
        </w:tc>
        <w:tc>
          <w:tcPr>
            <w:tcW w:w="7674" w:type="dxa"/>
            <w:hideMark/>
          </w:tcPr>
          <w:p w14:paraId="76D046D5" w14:textId="69491DB1" w:rsidR="00F204DA" w:rsidRDefault="00F204DA">
            <w:pPr>
              <w:spacing w:after="0"/>
              <w:rPr>
                <w:color w:val="0D0D0D" w:themeColor="text1" w:themeTint="F2"/>
                <w:spacing w:val="-3"/>
                <w:lang w:eastAsia="en-US"/>
              </w:rPr>
            </w:pPr>
            <w:r>
              <w:rPr>
                <w:noProof/>
              </w:rPr>
              <w:drawing>
                <wp:inline distT="0" distB="0" distL="0" distR="0" wp14:anchorId="10B75372" wp14:editId="5977F043">
                  <wp:extent cx="4723130" cy="3212465"/>
                  <wp:effectExtent l="0" t="0" r="1270" b="6985"/>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F204DA" w14:paraId="23598F77" w14:textId="77777777" w:rsidTr="00F204DA">
        <w:trPr>
          <w:trHeight w:val="170"/>
        </w:trPr>
        <w:tc>
          <w:tcPr>
            <w:tcW w:w="1792" w:type="dxa"/>
          </w:tcPr>
          <w:p w14:paraId="6CF5D603" w14:textId="77777777" w:rsidR="00F204DA" w:rsidRDefault="00F204DA">
            <w:pPr>
              <w:pStyle w:val="Marginlie"/>
              <w:rPr>
                <w:lang w:eastAsia="en-US"/>
              </w:rPr>
            </w:pPr>
          </w:p>
        </w:tc>
        <w:tc>
          <w:tcPr>
            <w:tcW w:w="203" w:type="dxa"/>
          </w:tcPr>
          <w:p w14:paraId="2E2031D1" w14:textId="77777777" w:rsidR="00F204DA" w:rsidRDefault="00F204DA">
            <w:pPr>
              <w:pStyle w:val="Textpoznpodarou"/>
              <w:jc w:val="both"/>
              <w:rPr>
                <w:spacing w:val="-4"/>
                <w:lang w:eastAsia="en-US"/>
              </w:rPr>
            </w:pPr>
          </w:p>
        </w:tc>
        <w:tc>
          <w:tcPr>
            <w:tcW w:w="7674" w:type="dxa"/>
            <w:hideMark/>
          </w:tcPr>
          <w:p w14:paraId="2423FB2A" w14:textId="77777777" w:rsidR="00F204DA" w:rsidRDefault="00F204DA">
            <w:pPr>
              <w:pStyle w:val="Textpoznpodarou"/>
              <w:rPr>
                <w:spacing w:val="-4"/>
                <w:sz w:val="14"/>
                <w:szCs w:val="14"/>
                <w:lang w:eastAsia="en-US"/>
              </w:rPr>
            </w:pPr>
            <w:r>
              <w:rPr>
                <w:spacing w:val="-4"/>
                <w:sz w:val="14"/>
                <w:szCs w:val="14"/>
                <w:lang w:eastAsia="en-US"/>
              </w:rPr>
              <w:t>*Pokrývají výdaje na platy v organizačních složkách státu. Nezahrnují například mzdové výdaje na regionální školství.</w:t>
            </w:r>
          </w:p>
          <w:p w14:paraId="136744BD" w14:textId="77777777" w:rsidR="00F204DA" w:rsidRDefault="00F204DA">
            <w:pPr>
              <w:pStyle w:val="Textpoznpodarou"/>
              <w:rPr>
                <w:spacing w:val="-4"/>
                <w:sz w:val="14"/>
                <w:szCs w:val="14"/>
                <w:lang w:eastAsia="en-US"/>
              </w:rPr>
            </w:pPr>
            <w:r>
              <w:rPr>
                <w:spacing w:val="-4"/>
                <w:sz w:val="14"/>
                <w:szCs w:val="14"/>
                <w:lang w:eastAsia="en-US"/>
              </w:rPr>
              <w:t xml:space="preserve">**Zahrnuje i dávky pěstounské péče.   </w:t>
            </w:r>
          </w:p>
          <w:p w14:paraId="7BC4CF43" w14:textId="77777777" w:rsidR="00F204DA" w:rsidRDefault="00F204DA">
            <w:pPr>
              <w:pStyle w:val="Textpoznpodarou"/>
              <w:rPr>
                <w:spacing w:val="-4"/>
                <w:sz w:val="14"/>
                <w:szCs w:val="14"/>
                <w:lang w:eastAsia="en-US"/>
              </w:rPr>
            </w:pPr>
            <w:r>
              <w:rPr>
                <w:spacing w:val="-4"/>
                <w:sz w:val="14"/>
                <w:szCs w:val="14"/>
                <w:lang w:eastAsia="en-US"/>
              </w:rPr>
              <w:t>***Zahrnují dávky pomoci v hmotné nouzi, dávky osobám se zdravotním postižením, příspěvek na péči dle zákona o soc. službách. Jsou zde obsaženy i dávky humanitární pomoci poskytnuté občanům Ukrajiny.</w:t>
            </w:r>
          </w:p>
          <w:p w14:paraId="48503DEB" w14:textId="77777777" w:rsidR="00F204DA" w:rsidRDefault="00F204DA">
            <w:pPr>
              <w:pStyle w:val="Textpoznpodarou"/>
              <w:rPr>
                <w:spacing w:val="-4"/>
                <w:sz w:val="14"/>
                <w:szCs w:val="14"/>
                <w:lang w:eastAsia="en-US"/>
              </w:rPr>
            </w:pPr>
            <w:r>
              <w:rPr>
                <w:spacing w:val="-4"/>
                <w:sz w:val="14"/>
                <w:szCs w:val="14"/>
                <w:lang w:eastAsia="en-US"/>
              </w:rPr>
              <w:t>****Obsahují zejména výdaje na nákup služeb, materiálu, energií či ostatních služeb (například výdaje na opravy a udržování).</w:t>
            </w:r>
          </w:p>
          <w:p w14:paraId="49642E85" w14:textId="77777777" w:rsidR="00F204DA" w:rsidRDefault="00F204DA">
            <w:pPr>
              <w:spacing w:after="200"/>
              <w:rPr>
                <w:color w:val="0D0D0D" w:themeColor="text1" w:themeTint="F2"/>
                <w:spacing w:val="-3"/>
                <w:lang w:eastAsia="en-US"/>
              </w:rPr>
            </w:pPr>
            <w:r>
              <w:rPr>
                <w:spacing w:val="-4"/>
                <w:sz w:val="14"/>
                <w:szCs w:val="14"/>
                <w:lang w:eastAsia="en-US"/>
              </w:rPr>
              <w:t xml:space="preserve">                                                                                                                                                                                                     Zdroj: MF ČR</w:t>
            </w:r>
          </w:p>
        </w:tc>
      </w:tr>
      <w:tr w:rsidR="00F204DA" w14:paraId="49FDAAB5" w14:textId="77777777" w:rsidTr="00F204DA">
        <w:trPr>
          <w:trHeight w:val="170"/>
        </w:trPr>
        <w:tc>
          <w:tcPr>
            <w:tcW w:w="1792" w:type="dxa"/>
          </w:tcPr>
          <w:p w14:paraId="3DE19854" w14:textId="77777777" w:rsidR="00F204DA" w:rsidRDefault="00F204DA">
            <w:pPr>
              <w:pStyle w:val="Marginlie"/>
              <w:rPr>
                <w:lang w:eastAsia="en-US"/>
              </w:rPr>
            </w:pPr>
            <w:r>
              <w:rPr>
                <w:lang w:eastAsia="en-US"/>
              </w:rPr>
              <w:t xml:space="preserve">Deficit sektoru vládních institucí se ve 4. čtvrtletí meziročně mírně prohloubil. </w:t>
            </w:r>
          </w:p>
          <w:p w14:paraId="129DAF07" w14:textId="77777777" w:rsidR="00F204DA" w:rsidRDefault="00F204DA">
            <w:pPr>
              <w:pStyle w:val="Marginlie"/>
              <w:rPr>
                <w:lang w:eastAsia="en-US"/>
              </w:rPr>
            </w:pPr>
          </w:p>
          <w:p w14:paraId="46505138" w14:textId="77777777" w:rsidR="00F204DA" w:rsidRDefault="00F204DA">
            <w:pPr>
              <w:pStyle w:val="Marginlie"/>
              <w:rPr>
                <w:lang w:eastAsia="en-US"/>
              </w:rPr>
            </w:pPr>
          </w:p>
          <w:p w14:paraId="1248BB98" w14:textId="77777777" w:rsidR="00F204DA" w:rsidRDefault="00F204DA">
            <w:pPr>
              <w:pStyle w:val="Marginlie"/>
              <w:rPr>
                <w:lang w:eastAsia="en-US"/>
              </w:rPr>
            </w:pPr>
          </w:p>
          <w:p w14:paraId="0B517F6D" w14:textId="77777777" w:rsidR="00F204DA" w:rsidRDefault="00F204DA">
            <w:pPr>
              <w:pStyle w:val="Marginlie"/>
              <w:rPr>
                <w:lang w:eastAsia="en-US"/>
              </w:rPr>
            </w:pPr>
            <w:r>
              <w:rPr>
                <w:lang w:eastAsia="en-US"/>
              </w:rPr>
              <w:t xml:space="preserve">K většímu zhoršení došlo v celoročním pohledu, </w:t>
            </w:r>
            <w:r>
              <w:rPr>
                <w:lang w:eastAsia="en-US"/>
              </w:rPr>
              <w:br/>
              <w:t>a to navzdory tomu, že přebytek místních vládních institucí vystoupal na rekordní výši.</w:t>
            </w:r>
          </w:p>
          <w:p w14:paraId="50923DD5" w14:textId="77777777" w:rsidR="00F204DA" w:rsidRDefault="00F204DA">
            <w:pPr>
              <w:pStyle w:val="Marginlie"/>
              <w:rPr>
                <w:lang w:eastAsia="en-US"/>
              </w:rPr>
            </w:pPr>
          </w:p>
          <w:p w14:paraId="155AE7ED" w14:textId="77777777" w:rsidR="00F204DA" w:rsidRDefault="00F204DA">
            <w:pPr>
              <w:pStyle w:val="Marginlie"/>
              <w:rPr>
                <w:lang w:eastAsia="en-US"/>
              </w:rPr>
            </w:pPr>
          </w:p>
          <w:p w14:paraId="5B8036E1" w14:textId="77777777" w:rsidR="00F204DA" w:rsidRDefault="00F204DA">
            <w:pPr>
              <w:pStyle w:val="Marginlie"/>
              <w:rPr>
                <w:lang w:eastAsia="en-US"/>
              </w:rPr>
            </w:pPr>
          </w:p>
          <w:p w14:paraId="60C63006" w14:textId="77777777" w:rsidR="00F204DA" w:rsidRDefault="00F204DA">
            <w:pPr>
              <w:pStyle w:val="Marginlie"/>
              <w:rPr>
                <w:lang w:eastAsia="en-US"/>
              </w:rPr>
            </w:pPr>
          </w:p>
        </w:tc>
        <w:tc>
          <w:tcPr>
            <w:tcW w:w="203" w:type="dxa"/>
          </w:tcPr>
          <w:p w14:paraId="2E2D51AA" w14:textId="77777777" w:rsidR="00F204DA" w:rsidRDefault="00F204DA">
            <w:pPr>
              <w:pStyle w:val="Textpoznpodarou"/>
              <w:jc w:val="both"/>
              <w:rPr>
                <w:spacing w:val="-4"/>
                <w:lang w:eastAsia="en-US"/>
              </w:rPr>
            </w:pPr>
          </w:p>
        </w:tc>
        <w:tc>
          <w:tcPr>
            <w:tcW w:w="7674" w:type="dxa"/>
            <w:hideMark/>
          </w:tcPr>
          <w:p w14:paraId="1BA2A76C" w14:textId="0AD0A4FE" w:rsidR="00F204DA" w:rsidRDefault="00F204DA" w:rsidP="00F204DA">
            <w:pPr>
              <w:spacing w:after="0"/>
              <w:rPr>
                <w:color w:val="0D0D0D" w:themeColor="text1" w:themeTint="F2"/>
                <w:spacing w:val="-3"/>
                <w:lang w:eastAsia="en-US"/>
              </w:rPr>
            </w:pPr>
            <w:r>
              <w:rPr>
                <w:color w:val="0D0D0D" w:themeColor="text1" w:themeTint="F2"/>
                <w:spacing w:val="-3"/>
                <w:lang w:eastAsia="en-US"/>
              </w:rPr>
              <w:t>Sektor vládních institucí (VI) v ČR hospodařil ve 4. čtvrtletí 2023</w:t>
            </w:r>
            <w:r>
              <w:rPr>
                <w:rStyle w:val="Znakapoznpodarou"/>
                <w:color w:val="0D0D0D" w:themeColor="text1" w:themeTint="F2"/>
                <w:spacing w:val="-3"/>
                <w:lang w:eastAsia="en-US"/>
              </w:rPr>
              <w:footnoteReference w:id="22"/>
            </w:r>
            <w:r>
              <w:rPr>
                <w:color w:val="0D0D0D" w:themeColor="text1" w:themeTint="F2"/>
                <w:spacing w:val="-3"/>
                <w:lang w:eastAsia="en-US"/>
              </w:rPr>
              <w:t xml:space="preserve"> s deficitem </w:t>
            </w:r>
            <w:r>
              <w:rPr>
                <w:color w:val="0D0D0D" w:themeColor="text1" w:themeTint="F2"/>
                <w:spacing w:val="-3"/>
                <w:lang w:eastAsia="en-US"/>
              </w:rPr>
              <w:br/>
              <w:t>107 mld. korun</w:t>
            </w:r>
            <w:r>
              <w:rPr>
                <w:rStyle w:val="Znakapoznpodarou"/>
                <w:color w:val="0D0D0D" w:themeColor="text1" w:themeTint="F2"/>
                <w:spacing w:val="-3"/>
                <w:lang w:eastAsia="en-US"/>
              </w:rPr>
              <w:footnoteReference w:id="23"/>
            </w:r>
            <w:r>
              <w:rPr>
                <w:color w:val="0D0D0D" w:themeColor="text1" w:themeTint="F2"/>
                <w:spacing w:val="-3"/>
                <w:lang w:eastAsia="en-US"/>
              </w:rPr>
              <w:t>, když schodek vykázaly ústřední, místní VI i zdravotní pojišťovny. Celkový deficit se meziročně mírně prohloubil (o necelou desetinu), příjmy i výdaje VI přitom rostly identickým tempem (+9,1 %). Za celý loňský rok činil schodek 268 mld. korun, oproti rok</w:t>
            </w:r>
            <w:r w:rsidR="008A7E04">
              <w:rPr>
                <w:color w:val="0D0D0D" w:themeColor="text1" w:themeTint="F2"/>
                <w:spacing w:val="-3"/>
                <w:lang w:eastAsia="en-US"/>
              </w:rPr>
              <w:t>u 2022 se navýšil skoro o čtvrtinu</w:t>
            </w:r>
            <w:r>
              <w:rPr>
                <w:color w:val="0D0D0D" w:themeColor="text1" w:themeTint="F2"/>
                <w:spacing w:val="-3"/>
                <w:lang w:eastAsia="en-US"/>
              </w:rPr>
              <w:t xml:space="preserve">. Na to mělo zásadní vliv prohloubení schodku ústředních vládních institucí (o 53 mld. korun), </w:t>
            </w:r>
            <w:r>
              <w:rPr>
                <w:spacing w:val="-3"/>
                <w:lang w:eastAsia="en-US"/>
              </w:rPr>
              <w:t>jež financovaly klíčové mimořádné výdaje související s řešením dopadů vysoké inflace či s integrací uprchlíků z Ukrajiny</w:t>
            </w:r>
            <w:r>
              <w:rPr>
                <w:color w:val="0D0D0D" w:themeColor="text1" w:themeTint="F2"/>
                <w:spacing w:val="-3"/>
                <w:lang w:eastAsia="en-US"/>
              </w:rPr>
              <w:t>. Jen okrajovou roli sehrálo mírné zhoršení salda hospodaření zdravotních pojišťoven (na −5 mld. korun) i lehké zvýšení přebytku místních VI (na rekordních 70 mld.). Za loňským růstem všech příjmů celého sektoru VI (+9,0 %) stály nejvíce běžné daně z důchodů a jmění (jejichž meziroční růst inkasa zrychlil na 16,8 %) a dále pak čisté sociální příspěvky (+7,8 %). K růstu výdajů (+10,1</w:t>
            </w:r>
            <w:r>
              <w:rPr>
                <w:color w:val="0D0D0D" w:themeColor="text1" w:themeTint="F2"/>
                <w:spacing w:val="-2"/>
                <w:lang w:eastAsia="en-US"/>
              </w:rPr>
              <w:t> </w:t>
            </w:r>
            <w:r>
              <w:rPr>
                <w:color w:val="0D0D0D" w:themeColor="text1" w:themeTint="F2"/>
                <w:spacing w:val="-3"/>
                <w:lang w:eastAsia="en-US"/>
              </w:rPr>
              <w:t xml:space="preserve">%) přispěly skoro z poloviny sociální dávky (včetně naturálních </w:t>
            </w:r>
            <w:r>
              <w:rPr>
                <w:color w:val="0D0D0D" w:themeColor="text1" w:themeTint="F2"/>
                <w:spacing w:val="-3"/>
                <w:lang w:eastAsia="en-US"/>
              </w:rPr>
              <w:lastRenderedPageBreak/>
              <w:t xml:space="preserve">sociálních transferů), jejichž růst zrychlil na 10,8 % a dále téměř pětinou vyplacené dotace (+38 %) a podobným dílem i růst tvorby fixních investic (+16,9 %). </w:t>
            </w:r>
          </w:p>
        </w:tc>
      </w:tr>
      <w:tr w:rsidR="00F204DA" w14:paraId="7EC48FA4" w14:textId="77777777" w:rsidTr="00F204DA">
        <w:trPr>
          <w:trHeight w:val="170"/>
        </w:trPr>
        <w:tc>
          <w:tcPr>
            <w:tcW w:w="1792" w:type="dxa"/>
          </w:tcPr>
          <w:p w14:paraId="238ABEBE" w14:textId="77777777" w:rsidR="00F204DA" w:rsidRDefault="00F204DA">
            <w:pPr>
              <w:pStyle w:val="Marginlie"/>
              <w:rPr>
                <w:lang w:eastAsia="en-US"/>
              </w:rPr>
            </w:pPr>
            <w:r>
              <w:rPr>
                <w:lang w:eastAsia="en-US"/>
              </w:rPr>
              <w:lastRenderedPageBreak/>
              <w:t xml:space="preserve">Schodek hospodaření vládních institucí v EU se prohluboval i vlivem slabého výkonu ekonomiky během loňského roku. </w:t>
            </w:r>
          </w:p>
          <w:p w14:paraId="1CC44276" w14:textId="77777777" w:rsidR="00F204DA" w:rsidRDefault="00F204DA">
            <w:pPr>
              <w:pStyle w:val="Marginlie"/>
              <w:rPr>
                <w:lang w:eastAsia="en-US"/>
              </w:rPr>
            </w:pPr>
          </w:p>
          <w:p w14:paraId="30366EA0" w14:textId="77777777" w:rsidR="00F204DA" w:rsidRDefault="00F204DA">
            <w:pPr>
              <w:pStyle w:val="Marginlie"/>
              <w:rPr>
                <w:lang w:eastAsia="en-US"/>
              </w:rPr>
            </w:pPr>
          </w:p>
          <w:p w14:paraId="333ECE16" w14:textId="77777777" w:rsidR="00F204DA" w:rsidRDefault="00F204DA">
            <w:pPr>
              <w:pStyle w:val="Marginlie"/>
              <w:rPr>
                <w:lang w:eastAsia="en-US"/>
              </w:rPr>
            </w:pPr>
          </w:p>
          <w:p w14:paraId="0B74F34B" w14:textId="77777777" w:rsidR="00F204DA" w:rsidRDefault="00F204DA">
            <w:pPr>
              <w:pStyle w:val="Marginlie"/>
              <w:rPr>
                <w:lang w:eastAsia="en-US"/>
              </w:rPr>
            </w:pPr>
          </w:p>
          <w:p w14:paraId="20A63ACC" w14:textId="77777777" w:rsidR="00F204DA" w:rsidRDefault="00F204DA">
            <w:pPr>
              <w:pStyle w:val="Marginlie"/>
              <w:rPr>
                <w:lang w:eastAsia="en-US"/>
              </w:rPr>
            </w:pPr>
          </w:p>
          <w:p w14:paraId="242A6094" w14:textId="77777777" w:rsidR="00F204DA" w:rsidRDefault="00F204DA">
            <w:pPr>
              <w:pStyle w:val="Marginlie"/>
              <w:rPr>
                <w:lang w:eastAsia="en-US"/>
              </w:rPr>
            </w:pPr>
          </w:p>
          <w:p w14:paraId="08C7D7A6" w14:textId="77777777" w:rsidR="00F204DA" w:rsidRDefault="00F204DA">
            <w:pPr>
              <w:pStyle w:val="Marginlie"/>
              <w:rPr>
                <w:lang w:eastAsia="en-US"/>
              </w:rPr>
            </w:pPr>
            <w:r>
              <w:rPr>
                <w:lang w:eastAsia="en-US"/>
              </w:rPr>
              <w:t xml:space="preserve">Celoroční schodek hospodaření VI v ČR byl v posledních třech letech srovnatelný s EU </w:t>
            </w:r>
            <w:r>
              <w:rPr>
                <w:lang w:eastAsia="en-US"/>
              </w:rPr>
              <w:br/>
              <w:t xml:space="preserve">i eurozónou. </w:t>
            </w:r>
          </w:p>
          <w:p w14:paraId="75A8B286" w14:textId="77777777" w:rsidR="00F204DA" w:rsidRDefault="00F204DA">
            <w:pPr>
              <w:pStyle w:val="Marginlie"/>
              <w:rPr>
                <w:lang w:eastAsia="en-US"/>
              </w:rPr>
            </w:pPr>
          </w:p>
        </w:tc>
        <w:tc>
          <w:tcPr>
            <w:tcW w:w="203" w:type="dxa"/>
          </w:tcPr>
          <w:p w14:paraId="63D5B9DC" w14:textId="77777777" w:rsidR="00F204DA" w:rsidRDefault="00F204DA">
            <w:pPr>
              <w:pStyle w:val="Textpoznpodarou"/>
              <w:jc w:val="both"/>
              <w:rPr>
                <w:spacing w:val="-4"/>
                <w:lang w:eastAsia="en-US"/>
              </w:rPr>
            </w:pPr>
          </w:p>
        </w:tc>
        <w:tc>
          <w:tcPr>
            <w:tcW w:w="7674" w:type="dxa"/>
            <w:hideMark/>
          </w:tcPr>
          <w:p w14:paraId="19481E71" w14:textId="77777777" w:rsidR="00F204DA" w:rsidRDefault="00F204DA">
            <w:pPr>
              <w:spacing w:after="200"/>
              <w:rPr>
                <w:color w:val="0D0D0D" w:themeColor="text1" w:themeTint="F2"/>
                <w:spacing w:val="-4"/>
                <w:lang w:eastAsia="en-US"/>
              </w:rPr>
            </w:pPr>
            <w:r>
              <w:rPr>
                <w:color w:val="0D0D0D" w:themeColor="text1" w:themeTint="F2"/>
                <w:spacing w:val="-4"/>
                <w:lang w:eastAsia="en-US"/>
              </w:rPr>
              <w:t>Pomalejší růst celkových příjmů než výdajů (vztažených k HDP) sektoru VI v EU způsobil, že jeho schodek hospodaření (po sezónním očištění) se během loňského roku prohluboval. To souviselo s velmi slabým hospodářským růstem v celé Unii</w:t>
            </w:r>
            <w:r>
              <w:rPr>
                <w:rStyle w:val="Znakapoznpodarou"/>
                <w:color w:val="0D0D0D" w:themeColor="text1" w:themeTint="F2"/>
                <w:spacing w:val="-4"/>
                <w:lang w:eastAsia="en-US"/>
              </w:rPr>
              <w:footnoteReference w:id="24"/>
            </w:r>
            <w:r>
              <w:rPr>
                <w:color w:val="0D0D0D" w:themeColor="text1" w:themeTint="F2"/>
                <w:spacing w:val="-4"/>
                <w:lang w:eastAsia="en-US"/>
              </w:rPr>
              <w:t>. Ve 4. čtvrtletí dosáhl tento schodek již 4,0 % HDP. V Česku zůstával během roku 2023 deficit vcelku stabilní a na jeho konci činil 3,4 % HDP. Ke zhoršování hospodaření naopak docházelo u většiny sousedních států – v Polsku činil ve 4. čtvrtletí schodek již 7,4 % HDP (po Maltě nejvíce v EU), na Slovensku 6,8 %. Pod 3 % HDP celkově dosahoval skoro v polovině států Unie</w:t>
            </w:r>
            <w:r>
              <w:rPr>
                <w:rStyle w:val="Znakapoznpodarou"/>
                <w:color w:val="0D0D0D" w:themeColor="text1" w:themeTint="F2"/>
                <w:spacing w:val="-4"/>
                <w:lang w:eastAsia="en-US"/>
              </w:rPr>
              <w:footnoteReference w:id="25"/>
            </w:r>
            <w:r>
              <w:rPr>
                <w:color w:val="0D0D0D" w:themeColor="text1" w:themeTint="F2"/>
                <w:spacing w:val="-4"/>
                <w:lang w:eastAsia="en-US"/>
              </w:rPr>
              <w:t xml:space="preserve"> (např. včetně Německa). Přebytek hospodaření registrovaly jen Irsko, Bulharsko a také Dánsko. To dosáhlo v rámci Unie nejvýraznějšího přebytku i za celý loňský rok (+3,1 % HDP), těsně následované Kyprem a dále Irskem (+1,7 %) a Portugalskem (+1,2 %). Naopak relativně velmi hluboký schodek postihl Itálii (−7,4 % HDP, nejhorší pozice mezi státy EU třetí rok v řadě), Maďarsko (−6,7 %), Rumunsko (−6,6 %), Francii (−5,5 %) a Polsko (−5,1 %). Tuzemský schodek (−3,7 % HDP) byl loni devátý nejvyšší mezi členskými státy, což bylo sice nejhorší postavení po roce 2005, zároveň však významně nezaostal za úrovní v EU (−3,5 % HDP) či eurozóně (−3,6 %). </w:t>
            </w:r>
          </w:p>
        </w:tc>
      </w:tr>
      <w:tr w:rsidR="00F204DA" w14:paraId="13A58F5D" w14:textId="77777777" w:rsidTr="00F204DA">
        <w:trPr>
          <w:trHeight w:val="170"/>
        </w:trPr>
        <w:tc>
          <w:tcPr>
            <w:tcW w:w="1792" w:type="dxa"/>
          </w:tcPr>
          <w:p w14:paraId="55C7886E" w14:textId="77777777" w:rsidR="00F204DA" w:rsidRDefault="00F204DA">
            <w:pPr>
              <w:pStyle w:val="Marginlie"/>
              <w:rPr>
                <w:lang w:eastAsia="en-US"/>
              </w:rPr>
            </w:pPr>
            <w:r>
              <w:rPr>
                <w:lang w:eastAsia="en-US"/>
              </w:rPr>
              <w:t>Pokles míry zadlužení v zemích EU loni pokračoval, byť mírnějším tempem.</w:t>
            </w:r>
          </w:p>
          <w:p w14:paraId="62C9B58E" w14:textId="77777777" w:rsidR="00F204DA" w:rsidRDefault="00F204DA">
            <w:pPr>
              <w:pStyle w:val="Marginlie"/>
              <w:rPr>
                <w:lang w:eastAsia="en-US"/>
              </w:rPr>
            </w:pPr>
          </w:p>
          <w:p w14:paraId="6F47015E" w14:textId="77777777" w:rsidR="00F204DA" w:rsidRDefault="00F204DA">
            <w:pPr>
              <w:pStyle w:val="Marginlie"/>
              <w:rPr>
                <w:lang w:eastAsia="en-US"/>
              </w:rPr>
            </w:pPr>
          </w:p>
          <w:p w14:paraId="120C6BDC" w14:textId="77777777" w:rsidR="00F204DA" w:rsidRDefault="00F204DA">
            <w:pPr>
              <w:pStyle w:val="Marginlie"/>
              <w:rPr>
                <w:lang w:eastAsia="en-US"/>
              </w:rPr>
            </w:pPr>
          </w:p>
          <w:p w14:paraId="0192A261" w14:textId="77777777" w:rsidR="00F204DA" w:rsidRDefault="00F204DA">
            <w:pPr>
              <w:pStyle w:val="Marginlie"/>
              <w:rPr>
                <w:lang w:eastAsia="en-US"/>
              </w:rPr>
            </w:pPr>
          </w:p>
          <w:p w14:paraId="716C1357" w14:textId="77777777" w:rsidR="00F204DA" w:rsidRDefault="00F204DA">
            <w:pPr>
              <w:pStyle w:val="Marginlie"/>
              <w:rPr>
                <w:lang w:eastAsia="en-US"/>
              </w:rPr>
            </w:pPr>
          </w:p>
          <w:p w14:paraId="5A2EE1F9" w14:textId="77777777" w:rsidR="00F204DA" w:rsidRDefault="00F204DA">
            <w:pPr>
              <w:pStyle w:val="Marginlie"/>
              <w:rPr>
                <w:lang w:eastAsia="en-US"/>
              </w:rPr>
            </w:pPr>
          </w:p>
          <w:p w14:paraId="539FEC17" w14:textId="77777777" w:rsidR="00F204DA" w:rsidRDefault="00F204DA">
            <w:pPr>
              <w:pStyle w:val="Marginlie"/>
              <w:rPr>
                <w:lang w:eastAsia="en-US"/>
              </w:rPr>
            </w:pPr>
            <w:r>
              <w:rPr>
                <w:lang w:eastAsia="en-US"/>
              </w:rPr>
              <w:t>Míra zadlužení v Česku byla devátá nejnižší v Unii, ale její souhrnný nárůst od konce roku 2019 byl mezi státy nejvyšší.</w:t>
            </w:r>
          </w:p>
          <w:p w14:paraId="39311801" w14:textId="77777777" w:rsidR="00F204DA" w:rsidRDefault="00F204DA">
            <w:pPr>
              <w:pStyle w:val="Marginlie"/>
              <w:rPr>
                <w:lang w:eastAsia="en-US"/>
              </w:rPr>
            </w:pPr>
          </w:p>
        </w:tc>
        <w:tc>
          <w:tcPr>
            <w:tcW w:w="203" w:type="dxa"/>
          </w:tcPr>
          <w:p w14:paraId="2B72BC8D" w14:textId="77777777" w:rsidR="00F204DA" w:rsidRDefault="00F204DA">
            <w:pPr>
              <w:pStyle w:val="Textpoznpodarou"/>
              <w:jc w:val="both"/>
              <w:rPr>
                <w:spacing w:val="-4"/>
                <w:lang w:eastAsia="en-US"/>
              </w:rPr>
            </w:pPr>
          </w:p>
        </w:tc>
        <w:tc>
          <w:tcPr>
            <w:tcW w:w="7674" w:type="dxa"/>
            <w:hideMark/>
          </w:tcPr>
          <w:p w14:paraId="6BB82D0F" w14:textId="77777777" w:rsidR="00F204DA" w:rsidRDefault="00F204DA">
            <w:pPr>
              <w:spacing w:after="0"/>
              <w:rPr>
                <w:color w:val="0D0D0D" w:themeColor="text1" w:themeTint="F2"/>
                <w:spacing w:val="-2"/>
                <w:lang w:eastAsia="en-US"/>
              </w:rPr>
            </w:pPr>
            <w:r>
              <w:rPr>
                <w:color w:val="0D0D0D" w:themeColor="text1" w:themeTint="F2"/>
                <w:spacing w:val="-2"/>
                <w:lang w:eastAsia="en-US"/>
              </w:rPr>
              <w:t>Navzdory prohlubujícímu se schodku hospodaření sektoru VI v EU se jeho míra zadlužení během loňska dále snižovala, byť pomaleji než v roce 2022. Na konci 4. čtvrtletí 2023 se v Unii rovnala 81,7 % HDP, z toho v eurozóně 88,6 % HDP, a meziročně se snížila o 1,7 p. b., resp. 2,2 p. b.  Pokles zadlužení nastal ve dvou třetinách členských států, nejvyšší byl v dlouhodobě vysoce zadlužených ekonomikách – Portugalsku (ze 112,4 % HDP na 99,1 % HDP) a Řecku (ze 172,7 % na 161,9 %). V zemích, kde došlo ke zhoršení (zpravidla novější členské státy Unie), byl nárůst zadlužení jen mírný (např. v Lotyšsku ze 41,8 % HDP na 43,6 % HDP). V Česku se zadluženost meziročně téměř nezměnila a činila rovných 44 % HDP (devátá nejnižší hodnota v Unii). Bezmála v polovině zemí zadluženost aktuálně převyšovala 60 % HDP, z toho ze států, jež vstoupily do Unie až po roce 2000, šlo o Chorvatsko (63,5 % HDP), Slovinsko (69,2 %), Maďarsko (73,5 %) a Kypr (77,3 %). Ve srovnání s úrovní před propuknutím pandemie (4. čtvrtletí 2019) byla ve více než dvou třetinách zemí EU současná míra zadlužení stále vyšší. To platilo zejména o Česku (+14,0 p. b.), Rumunsku (+13,7 p. b.), Francii (+12,7 p. b.), Estonsku (+11,1 p. b.) a Finsku (+10,9 p. b.). Nad předkrizovou úrovní zadlužení se nacházely všechny středoevropské státy.</w:t>
            </w:r>
          </w:p>
        </w:tc>
      </w:tr>
    </w:tbl>
    <w:p w14:paraId="5179A073" w14:textId="77777777" w:rsidR="00F204DA" w:rsidRDefault="00F204DA" w:rsidP="00F204DA">
      <w:pPr>
        <w:pStyle w:val="Nadpis11"/>
        <w:rPr>
          <w:sz w:val="2"/>
          <w:szCs w:val="2"/>
        </w:rPr>
      </w:pPr>
    </w:p>
    <w:p w14:paraId="6FD91E5A" w14:textId="797E1141" w:rsidR="00106BCC" w:rsidRPr="001C3855" w:rsidRDefault="00106BCC" w:rsidP="00F204DA">
      <w:pPr>
        <w:pStyle w:val="Nadpis11"/>
        <w:rPr>
          <w:sz w:val="2"/>
          <w:szCs w:val="2"/>
        </w:rPr>
      </w:pPr>
    </w:p>
    <w:sectPr w:rsidR="00106BCC" w:rsidRPr="001C3855" w:rsidSect="00D82E08">
      <w:headerReference w:type="even" r:id="rId14"/>
      <w:headerReference w:type="default" r:id="rId15"/>
      <w:footerReference w:type="even" r:id="rId16"/>
      <w:footerReference w:type="default" r:id="rId17"/>
      <w:pgSz w:w="11906" w:h="16838" w:code="9"/>
      <w:pgMar w:top="1134" w:right="1134" w:bottom="1418" w:left="1134" w:header="680" w:footer="737"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B34EC" w14:textId="77777777" w:rsidR="005C1345" w:rsidRDefault="005C1345" w:rsidP="00E71A58">
      <w:r>
        <w:separator/>
      </w:r>
    </w:p>
  </w:endnote>
  <w:endnote w:type="continuationSeparator" w:id="0">
    <w:p w14:paraId="37EAFF0A" w14:textId="77777777" w:rsidR="005C1345" w:rsidRDefault="005C134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09D8C6EC" w:rsidR="00FA1CA9" w:rsidRPr="00932443" w:rsidRDefault="00FA1CA9"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D82E08">
      <w:rPr>
        <w:szCs w:val="16"/>
      </w:rPr>
      <w:t>40</w:t>
    </w:r>
    <w:r w:rsidRPr="00932443">
      <w:rPr>
        <w:szCs w:val="16"/>
      </w:rPr>
      <w:fldChar w:fldCharType="end"/>
    </w:r>
    <w:r w:rsidRPr="00932443">
      <w:rPr>
        <w:szCs w:val="16"/>
      </w:rPr>
      <w:tab/>
    </w:r>
    <w:r>
      <w:rPr>
        <w:szCs w:val="16"/>
      </w:rPr>
      <w:t>rok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1EC5BD08" w:rsidR="00FA1CA9" w:rsidRPr="00932443" w:rsidRDefault="00FA1CA9" w:rsidP="00FA6CB6">
    <w:pPr>
      <w:pStyle w:val="Zpat"/>
      <w:rPr>
        <w:szCs w:val="16"/>
      </w:rPr>
    </w:pPr>
    <w:r w:rsidRPr="00FA6CB6">
      <w:rPr>
        <w:szCs w:val="16"/>
      </w:rPr>
      <w:tab/>
    </w:r>
    <w:r>
      <w:rPr>
        <w:szCs w:val="16"/>
      </w:rPr>
      <w:t>rok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D82E08">
      <w:rPr>
        <w:rStyle w:val="ZpatChar"/>
        <w:szCs w:val="16"/>
      </w:rPr>
      <w:t>41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4C316" w14:textId="77777777" w:rsidR="005C1345" w:rsidRDefault="005C1345" w:rsidP="00A21B4D">
      <w:pPr>
        <w:spacing w:after="0"/>
      </w:pPr>
      <w:r>
        <w:separator/>
      </w:r>
    </w:p>
  </w:footnote>
  <w:footnote w:type="continuationSeparator" w:id="0">
    <w:p w14:paraId="10266835" w14:textId="77777777" w:rsidR="005C1345" w:rsidRDefault="005C1345" w:rsidP="00E71A58">
      <w:r>
        <w:continuationSeparator/>
      </w:r>
    </w:p>
  </w:footnote>
  <w:footnote w:id="1">
    <w:p w14:paraId="420D486C" w14:textId="77777777" w:rsidR="00F204DA" w:rsidRDefault="00F204DA" w:rsidP="00F204DA">
      <w:pPr>
        <w:pStyle w:val="Textpoznpodarou"/>
        <w:jc w:val="both"/>
        <w:rPr>
          <w:spacing w:val="-2"/>
          <w:sz w:val="16"/>
          <w:szCs w:val="16"/>
        </w:rPr>
      </w:pPr>
      <w:r>
        <w:rPr>
          <w:rStyle w:val="Znakapoznpodarou"/>
          <w:spacing w:val="-2"/>
          <w:sz w:val="16"/>
          <w:szCs w:val="16"/>
        </w:rPr>
        <w:footnoteRef/>
      </w:r>
      <w:r>
        <w:rPr>
          <w:spacing w:val="-2"/>
          <w:sz w:val="16"/>
          <w:szCs w:val="16"/>
        </w:rPr>
        <w:t xml:space="preserve"> </w:t>
      </w:r>
      <w:r>
        <w:rPr>
          <w:color w:val="0D0D0D" w:themeColor="text1" w:themeTint="F2"/>
          <w:spacing w:val="-2"/>
          <w:sz w:val="16"/>
          <w:szCs w:val="16"/>
        </w:rPr>
        <w:t xml:space="preserve">Pokud není uvedeno jinak, vycházejí všechny údaje týkající se státního rozpočtu </w:t>
      </w:r>
      <w:r>
        <w:rPr>
          <w:rFonts w:cs="Arial"/>
          <w:color w:val="0D0D0D" w:themeColor="text1" w:themeTint="F2"/>
          <w:spacing w:val="-2"/>
          <w:sz w:val="16"/>
          <w:szCs w:val="16"/>
        </w:rPr>
        <w:t>z dat Ministerstva financí ČR o pokladním plnění.</w:t>
      </w:r>
    </w:p>
  </w:footnote>
  <w:footnote w:id="2">
    <w:p w14:paraId="12A03F9D"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To představuje téměř 42 % plánovaného celoročního schodku (dle Zákona o státním rozpočtu na rok 2024, schváleného na konci listopadu 2023). V předchozích letech se ovšem vývoj příjmů i výdajů SR v průběhu roku vyznačoval větší nerovnoměrností (např. </w:t>
      </w:r>
      <w:r>
        <w:rPr>
          <w:sz w:val="16"/>
          <w:szCs w:val="16"/>
        </w:rPr>
        <w:br/>
        <w:t>v 1. čtvrtletí 2023 byl plánovaný roční deficit naplněn z 56 %, i tak byl na konci roku dodržen).</w:t>
      </w:r>
    </w:p>
  </w:footnote>
  <w:footnote w:id="3">
    <w:p w14:paraId="28B51E7D" w14:textId="77777777" w:rsidR="00F204DA" w:rsidRDefault="00F204DA" w:rsidP="00F204DA">
      <w:pPr>
        <w:autoSpaceDE w:val="0"/>
        <w:autoSpaceDN w:val="0"/>
        <w:adjustRightInd w:val="0"/>
        <w:spacing w:after="0" w:line="240" w:lineRule="auto"/>
        <w:jc w:val="left"/>
        <w:rPr>
          <w:rFonts w:eastAsia="Calibri" w:cs="Arial"/>
          <w:spacing w:val="-3"/>
          <w:sz w:val="16"/>
          <w:szCs w:val="16"/>
          <w:lang w:eastAsia="en-US"/>
        </w:rPr>
      </w:pPr>
      <w:r>
        <w:rPr>
          <w:rStyle w:val="Znakapoznpodarou"/>
          <w:spacing w:val="-3"/>
          <w:sz w:val="16"/>
          <w:szCs w:val="16"/>
        </w:rPr>
        <w:footnoteRef/>
      </w:r>
      <w:r>
        <w:rPr>
          <w:spacing w:val="-3"/>
          <w:sz w:val="16"/>
          <w:szCs w:val="16"/>
        </w:rPr>
        <w:t xml:space="preserve"> Tento pozitivní trend byl patrný i po očištění o vliv prostředků z rozpočtu EU (včetně finančních mechanismů). Jde o prostředky na programy</w:t>
      </w:r>
      <w:r>
        <w:rPr>
          <w:rFonts w:cs="Arial"/>
          <w:spacing w:val="-3"/>
          <w:sz w:val="16"/>
          <w:szCs w:val="16"/>
        </w:rPr>
        <w:t xml:space="preserve"> z rozpočtu EU a FM, které byly předfinancovány ze SR a následně postupně proplaceny z</w:t>
      </w:r>
      <w:r>
        <w:rPr>
          <w:spacing w:val="-3"/>
          <w:sz w:val="16"/>
          <w:szCs w:val="16"/>
        </w:rPr>
        <w:t> </w:t>
      </w:r>
      <w:r>
        <w:rPr>
          <w:rFonts w:cs="Arial"/>
          <w:spacing w:val="-3"/>
          <w:sz w:val="16"/>
          <w:szCs w:val="16"/>
        </w:rPr>
        <w:t xml:space="preserve">rozpočtu EU a FM. </w:t>
      </w:r>
      <w:r>
        <w:rPr>
          <w:rFonts w:eastAsia="Calibri" w:cs="Arial"/>
          <w:spacing w:val="-3"/>
          <w:sz w:val="16"/>
          <w:szCs w:val="16"/>
          <w:lang w:eastAsia="en-US"/>
        </w:rPr>
        <w:t xml:space="preserve">Bez těchto prostředků, které jsou ve schváleném SR zahrnuty s neutrálním dopadem, </w:t>
      </w:r>
      <w:r>
        <w:rPr>
          <w:rFonts w:cs="Arial"/>
          <w:spacing w:val="-3"/>
          <w:sz w:val="16"/>
          <w:szCs w:val="16"/>
          <w:lang w:eastAsia="en-US"/>
        </w:rPr>
        <w:t xml:space="preserve">činil </w:t>
      </w:r>
      <w:r>
        <w:rPr>
          <w:rFonts w:eastAsia="Calibri" w:cs="Arial"/>
          <w:spacing w:val="-3"/>
          <w:sz w:val="16"/>
          <w:szCs w:val="16"/>
          <w:lang w:eastAsia="en-US"/>
        </w:rPr>
        <w:t xml:space="preserve">schodek za 1. kvartál </w:t>
      </w:r>
      <w:r>
        <w:rPr>
          <w:rFonts w:cs="Arial"/>
          <w:spacing w:val="-3"/>
          <w:sz w:val="16"/>
          <w:szCs w:val="16"/>
          <w:lang w:eastAsia="en-US"/>
        </w:rPr>
        <w:t>99,1</w:t>
      </w:r>
      <w:r>
        <w:rPr>
          <w:rFonts w:eastAsia="Calibri" w:cs="Arial"/>
          <w:spacing w:val="-3"/>
          <w:sz w:val="16"/>
          <w:szCs w:val="16"/>
          <w:lang w:eastAsia="en-US"/>
        </w:rPr>
        <w:t xml:space="preserve"> mld. korun (meziročně o 57,8 mld. méně).</w:t>
      </w:r>
    </w:p>
  </w:footnote>
  <w:footnote w:id="4">
    <w:p w14:paraId="475F5A95"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Díky této úpravě je letos dle odhadu MF očekáváno celoroční zvýšení inkasa SR u DPH o 5,6 mld. korun, u daně z příjmu fyzických osob o 2,3 mld. a u korporátní daně o 2,9 mld.</w:t>
      </w:r>
    </w:p>
  </w:footnote>
  <w:footnote w:id="5">
    <w:p w14:paraId="3022D04F" w14:textId="77777777" w:rsidR="00F204DA" w:rsidRDefault="00F204DA" w:rsidP="00F204DA">
      <w:pPr>
        <w:pStyle w:val="Textpoznpodarou"/>
        <w:rPr>
          <w:spacing w:val="-2"/>
          <w:sz w:val="16"/>
          <w:szCs w:val="16"/>
        </w:rPr>
      </w:pPr>
      <w:r>
        <w:rPr>
          <w:rStyle w:val="Znakapoznpodarou"/>
          <w:spacing w:val="-2"/>
          <w:sz w:val="16"/>
          <w:szCs w:val="16"/>
        </w:rPr>
        <w:footnoteRef/>
      </w:r>
      <w:r>
        <w:rPr>
          <w:spacing w:val="-2"/>
          <w:sz w:val="16"/>
          <w:szCs w:val="16"/>
        </w:rPr>
        <w:t xml:space="preserve"> Jde o pojistné na sociální zabezpečení a aktivní politiku zaměstnanosti.</w:t>
      </w:r>
    </w:p>
  </w:footnote>
  <w:footnote w:id="6">
    <w:p w14:paraId="429E39CB" w14:textId="77777777" w:rsidR="00F204DA" w:rsidRDefault="00F204DA" w:rsidP="00F204DA">
      <w:pPr>
        <w:spacing w:after="0" w:line="240" w:lineRule="auto"/>
      </w:pPr>
      <w:r>
        <w:rPr>
          <w:rStyle w:val="Znakapoznpodarou"/>
          <w:sz w:val="16"/>
          <w:szCs w:val="16"/>
        </w:rPr>
        <w:footnoteRef/>
      </w:r>
      <w:r>
        <w:rPr>
          <w:sz w:val="16"/>
          <w:szCs w:val="16"/>
        </w:rPr>
        <w:t xml:space="preserve"> </w:t>
      </w:r>
      <w:r>
        <w:rPr>
          <w:rFonts w:cs="Arial"/>
          <w:spacing w:val="-2"/>
          <w:sz w:val="16"/>
          <w:szCs w:val="16"/>
        </w:rPr>
        <w:t>Jedná se zejména o znovuzavedení placení pojistného z nemocenského pojištění hrazeného zaměstnancem (0,6 % vyměřovacího základu). Rozpočtově méně významné je zvýšení vyměřovacího základu pro osoby samostatně výdělečně činné a stanovení limitů pro vznik účasti na pojištění zaměstnance pracujícího na základě dohody o provedení práce.</w:t>
      </w:r>
      <w:r>
        <w:rPr>
          <w:rFonts w:cstheme="minorHAnsi"/>
        </w:rPr>
        <w:t xml:space="preserve"> </w:t>
      </w:r>
    </w:p>
  </w:footnote>
  <w:footnote w:id="7">
    <w:p w14:paraId="4B1C0B72" w14:textId="77777777" w:rsidR="00F204DA" w:rsidRDefault="00F204DA" w:rsidP="00F204DA">
      <w:pPr>
        <w:pStyle w:val="Textpoznpodarou"/>
        <w:rPr>
          <w:spacing w:val="-2"/>
          <w:sz w:val="16"/>
          <w:szCs w:val="16"/>
        </w:rPr>
      </w:pPr>
      <w:r>
        <w:rPr>
          <w:rStyle w:val="Znakapoznpodarou"/>
          <w:spacing w:val="-2"/>
          <w:sz w:val="16"/>
          <w:szCs w:val="16"/>
        </w:rPr>
        <w:footnoteRef/>
      </w:r>
      <w:r>
        <w:rPr>
          <w:spacing w:val="-2"/>
          <w:sz w:val="16"/>
          <w:szCs w:val="16"/>
        </w:rPr>
        <w:t xml:space="preserve"> Dle prvního odhadu HDP se reálné výdaje na konečnou spotřebu domácností mezikvartálně zvyšovaly ve 4. čtvrtletí 2023 i na počátku letošního roku. K opakovanému růstu spotřeby došlo v tuzemsku naposledy během roku 2021 (po uvolnění protipandemických restrikcí).   </w:t>
      </w:r>
    </w:p>
  </w:footnote>
  <w:footnote w:id="8">
    <w:p w14:paraId="0DEFE112"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To se týká sjednocení dvou snížených sazeb (10 % a 15 %) do jedné ve výši 12 %. Řada zboží a služeb tak nově podléhá nižšímu zdanění. Negativní rozpočtový dopad je současně tlumen přesunem některých položek bez prokazatelného sociálního či zdravotního významu do základní sazby daně ve výši 21 %.</w:t>
      </w:r>
    </w:p>
  </w:footnote>
  <w:footnote w:id="9">
    <w:p w14:paraId="469A1C0C" w14:textId="77777777" w:rsidR="00F204DA" w:rsidRDefault="00F204DA" w:rsidP="00F204DA">
      <w:pPr>
        <w:pStyle w:val="Textpoznpodarou"/>
      </w:pPr>
      <w:r>
        <w:rPr>
          <w:rStyle w:val="Znakapoznpodarou"/>
          <w:sz w:val="16"/>
          <w:szCs w:val="16"/>
        </w:rPr>
        <w:footnoteRef/>
      </w:r>
      <w:r>
        <w:rPr>
          <w:sz w:val="16"/>
          <w:szCs w:val="16"/>
        </w:rPr>
        <w:t xml:space="preserve"> K tomuto zvýšení došlo loni od srpna (o 1,5 korun na litr). Sazba spotřební daně z motorové nafty se tak vrátila na původní výši </w:t>
      </w:r>
      <w:r>
        <w:rPr>
          <w:sz w:val="16"/>
          <w:szCs w:val="16"/>
        </w:rPr>
        <w:br/>
        <w:t>(9,95 korun/l) platnou do května 2022.</w:t>
      </w:r>
    </w:p>
  </w:footnote>
  <w:footnote w:id="10">
    <w:p w14:paraId="2132CE28"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Např. u motorového benzínu došlo od ledna do února k meziročnímu posílení spotřeby o 11 %, u motorové nafty o 3 %.</w:t>
      </w:r>
    </w:p>
  </w:footnote>
  <w:footnote w:id="11">
    <w:p w14:paraId="351B872F"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Např. u nefinančních podniků v ČR dosáhl podíl hrubého provozního přebytku k jimi vytvořené hrubé přidané hodnotě za celý loňský rok 48,7 % a byl nejvyšší za posledních sedm let. </w:t>
      </w:r>
    </w:p>
  </w:footnote>
  <w:footnote w:id="12">
    <w:p w14:paraId="7C1DE7D1" w14:textId="77777777" w:rsidR="00F204DA" w:rsidRDefault="00F204DA" w:rsidP="00F204DA">
      <w:pPr>
        <w:pStyle w:val="Textpoznpodarou"/>
        <w:rPr>
          <w:spacing w:val="-2"/>
          <w:sz w:val="16"/>
          <w:szCs w:val="16"/>
        </w:rPr>
      </w:pPr>
      <w:r>
        <w:rPr>
          <w:rStyle w:val="Znakapoznpodarou"/>
          <w:spacing w:val="-2"/>
          <w:sz w:val="16"/>
          <w:szCs w:val="16"/>
        </w:rPr>
        <w:footnoteRef/>
      </w:r>
      <w:r>
        <w:rPr>
          <w:spacing w:val="-2"/>
          <w:sz w:val="16"/>
          <w:szCs w:val="16"/>
        </w:rPr>
        <w:t xml:space="preserve"> Ta se týká energetických, petrochemických a těžebních firem a zahrnuje rovněž velké banky. Drtivá většina inkasa této daně ovšem plynula do SR jen z odvětví energetiky. </w:t>
      </w:r>
    </w:p>
  </w:footnote>
  <w:footnote w:id="13">
    <w:p w14:paraId="225343A6" w14:textId="77777777" w:rsidR="00F204DA" w:rsidRDefault="00F204DA" w:rsidP="00F204DA">
      <w:pPr>
        <w:pStyle w:val="Textpoznpodarou"/>
        <w:rPr>
          <w:sz w:val="16"/>
          <w:szCs w:val="16"/>
        </w:rPr>
      </w:pPr>
      <w:r>
        <w:rPr>
          <w:rStyle w:val="Znakapoznpodarou"/>
          <w:spacing w:val="-2"/>
          <w:sz w:val="16"/>
          <w:szCs w:val="16"/>
        </w:rPr>
        <w:footnoteRef/>
      </w:r>
      <w:r>
        <w:rPr>
          <w:spacing w:val="-2"/>
          <w:sz w:val="16"/>
          <w:szCs w:val="16"/>
        </w:rPr>
        <w:t xml:space="preserve"> Tento odvod (zdaněný 90% sazbou) představuje rozdíl mezi skutečným příjmem a stropem tržního příjmu z prodeje elektřiny nad stanovenou hranici (za období od 1. prosince 2022 do konce roku 2023).</w:t>
      </w:r>
    </w:p>
  </w:footnote>
  <w:footnote w:id="14">
    <w:p w14:paraId="6F57018E" w14:textId="77777777" w:rsidR="00F204DA" w:rsidRDefault="00F204DA" w:rsidP="00F204DA">
      <w:pPr>
        <w:pStyle w:val="Textpoznpodarou"/>
        <w:rPr>
          <w:spacing w:val="-6"/>
          <w:sz w:val="16"/>
          <w:szCs w:val="16"/>
        </w:rPr>
      </w:pPr>
      <w:r>
        <w:rPr>
          <w:rStyle w:val="Znakapoznpodarou"/>
          <w:spacing w:val="-6"/>
          <w:sz w:val="16"/>
          <w:szCs w:val="16"/>
        </w:rPr>
        <w:footnoteRef/>
      </w:r>
      <w:r>
        <w:rPr>
          <w:spacing w:val="-6"/>
          <w:sz w:val="16"/>
          <w:szCs w:val="16"/>
        </w:rPr>
        <w:t xml:space="preserve"> Navzdory tomu se celostátní inkaso DPFO ze závislé činnosti (na úrovni všech veřejných rozpočtů) v 1. čtvrtletí 2024 nacházelo jen mírně nad úrovní roku 2018 a za rekordní výší z počátku roku 2020 zaostávalo o 16 %. Klíčovou roli zde sehrálo snížení daňového zatížení práce od roku 2021 (zrušení tzv. superhrubé mzdy).</w:t>
      </w:r>
    </w:p>
  </w:footnote>
  <w:footnote w:id="15">
    <w:p w14:paraId="77E3A503"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Jde zejména o to, že při zvýšení důchodu se nově nezohledňuje polovina, ale pouze třetina nárůstu reálné mzdy. Od ledna 2024 došlo pouze k navýšení základní výměry všech důchodů (o 360 korun), procentní výměra nevzrostla. Průměrný starobní důchod se navýšil o 1,8 % a na konci března dosáhl (bez souběhu s ostatními důchody) měsíčně u mužů 21,9 tis. korun, u žen 19,4 tis. korun.</w:t>
      </w:r>
    </w:p>
  </w:footnote>
  <w:footnote w:id="16">
    <w:p w14:paraId="733E4AD0"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Růst počtu všech příjemců trvale krácených starobních důchodů (KSD) během loňského roku zrychloval a tento vývoj pokračoval </w:t>
      </w:r>
      <w:r>
        <w:rPr>
          <w:sz w:val="16"/>
          <w:szCs w:val="16"/>
        </w:rPr>
        <w:br/>
        <w:t>i letos (v 1. čtvrtletí na 8,8 % meziročně, nejvíce od roku 2012) a jejich podíl na všech příjemcích starobních důchodů se blížil 32 %. Do počtu KSD nejsou zahrnuty osoby, které podaly žádost o předčasný důchod, ale zahájení jeho výplaty si odložily.</w:t>
      </w:r>
    </w:p>
  </w:footnote>
  <w:footnote w:id="17">
    <w:p w14:paraId="37C90EF7" w14:textId="77777777" w:rsidR="00F204DA" w:rsidRDefault="00F204DA" w:rsidP="00F204DA">
      <w:pPr>
        <w:pStyle w:val="Textpoznpodarou"/>
        <w:jc w:val="both"/>
        <w:rPr>
          <w:rFonts w:cs="Arial"/>
          <w:color w:val="000000" w:themeColor="text1"/>
          <w:spacing w:val="-4"/>
          <w:sz w:val="16"/>
          <w:szCs w:val="16"/>
        </w:rPr>
      </w:pPr>
      <w:r>
        <w:rPr>
          <w:rStyle w:val="Znakapoznpodarou"/>
          <w:spacing w:val="-4"/>
          <w:sz w:val="16"/>
          <w:szCs w:val="16"/>
        </w:rPr>
        <w:footnoteRef/>
      </w:r>
      <w:r>
        <w:rPr>
          <w:spacing w:val="-4"/>
          <w:sz w:val="16"/>
          <w:szCs w:val="16"/>
        </w:rPr>
        <w:t xml:space="preserve"> To vyjadřuje r</w:t>
      </w:r>
      <w:r>
        <w:rPr>
          <w:rFonts w:cs="Arial"/>
          <w:color w:val="000000" w:themeColor="text1"/>
          <w:spacing w:val="-4"/>
          <w:sz w:val="16"/>
          <w:szCs w:val="16"/>
        </w:rPr>
        <w:t>ozdíl mezi příjmy z pojistného na důchodové pojištění</w:t>
      </w:r>
      <w:r>
        <w:rPr>
          <w:rFonts w:ascii="Segoe UI" w:eastAsia="Times New Roman" w:hAnsi="Segoe UI" w:cs="Segoe UI"/>
          <w:b/>
          <w:bCs/>
          <w:color w:val="000000"/>
          <w:spacing w:val="-4"/>
          <w:sz w:val="16"/>
          <w:szCs w:val="16"/>
        </w:rPr>
        <w:t xml:space="preserve"> </w:t>
      </w:r>
      <w:r>
        <w:rPr>
          <w:rFonts w:cs="Arial"/>
          <w:color w:val="000000" w:themeColor="text1"/>
          <w:spacing w:val="-4"/>
          <w:sz w:val="16"/>
          <w:szCs w:val="16"/>
        </w:rPr>
        <w:t xml:space="preserve">a výdaji na dávky důchodového </w:t>
      </w:r>
      <w:r>
        <w:rPr>
          <w:rFonts w:cs="Arial"/>
          <w:color w:val="0D0D0D" w:themeColor="text1" w:themeTint="F2"/>
          <w:spacing w:val="-4"/>
          <w:sz w:val="16"/>
          <w:szCs w:val="16"/>
        </w:rPr>
        <w:t>pojištění</w:t>
      </w:r>
      <w:r>
        <w:rPr>
          <w:rFonts w:cs="Arial"/>
          <w:color w:val="000000" w:themeColor="text1"/>
          <w:spacing w:val="-4"/>
          <w:sz w:val="16"/>
          <w:szCs w:val="16"/>
        </w:rPr>
        <w:t xml:space="preserve"> (včetně nákladů na jeho správu).</w:t>
      </w:r>
    </w:p>
  </w:footnote>
  <w:footnote w:id="18">
    <w:p w14:paraId="374FE7E2" w14:textId="77777777" w:rsidR="00F204DA" w:rsidRDefault="00F204DA" w:rsidP="00F204DA">
      <w:pPr>
        <w:pStyle w:val="Textpoznpodarou"/>
        <w:rPr>
          <w:spacing w:val="-4"/>
          <w:sz w:val="16"/>
          <w:szCs w:val="16"/>
        </w:rPr>
      </w:pPr>
      <w:r>
        <w:rPr>
          <w:rStyle w:val="Znakapoznpodarou"/>
          <w:spacing w:val="-4"/>
          <w:sz w:val="16"/>
          <w:szCs w:val="16"/>
        </w:rPr>
        <w:footnoteRef/>
      </w:r>
      <w:r>
        <w:rPr>
          <w:spacing w:val="-4"/>
          <w:sz w:val="16"/>
          <w:szCs w:val="16"/>
        </w:rPr>
        <w:t xml:space="preserve"> Od července 2023 jsou při výpočtu výše dávky zohledňovány započitatelné náklady na bydlení (stanovené vládním nařízením), jejichž výše je odvislá od počtu osob a typu bydlení. Letos v březnu pobíralo humanitární dávky 55 tis. příjemců, meziročně skoro o polovinu méně. </w:t>
      </w:r>
    </w:p>
  </w:footnote>
  <w:footnote w:id="19">
    <w:p w14:paraId="0F7F8DE4" w14:textId="77777777" w:rsidR="00F204DA" w:rsidRDefault="00F204DA" w:rsidP="00F204DA">
      <w:pPr>
        <w:pStyle w:val="Textpoznpodarou"/>
        <w:rPr>
          <w:spacing w:val="-2"/>
          <w:sz w:val="16"/>
          <w:szCs w:val="16"/>
        </w:rPr>
      </w:pPr>
      <w:r>
        <w:rPr>
          <w:rStyle w:val="Znakapoznpodarou"/>
          <w:spacing w:val="-2"/>
          <w:sz w:val="16"/>
          <w:szCs w:val="16"/>
        </w:rPr>
        <w:footnoteRef/>
      </w:r>
      <w:r>
        <w:rPr>
          <w:spacing w:val="-2"/>
          <w:sz w:val="16"/>
          <w:szCs w:val="16"/>
        </w:rPr>
        <w:t xml:space="preserve"> Ve srovnání s 1. čtvrtletím 2022 se objem příspěvků téměř ztrojnásobil (na 5,1 mld.) a počet příjemců vzrostl o dvě třetiny (na 285 tis.).</w:t>
      </w:r>
    </w:p>
  </w:footnote>
  <w:footnote w:id="20">
    <w:p w14:paraId="2B730D91" w14:textId="77777777" w:rsidR="00F204DA" w:rsidRDefault="00F204DA" w:rsidP="00F204DA">
      <w:pPr>
        <w:pStyle w:val="Textpoznpodarou"/>
        <w:rPr>
          <w:spacing w:val="-4"/>
          <w:sz w:val="16"/>
          <w:szCs w:val="16"/>
        </w:rPr>
      </w:pPr>
      <w:r>
        <w:rPr>
          <w:rStyle w:val="Znakapoznpodarou"/>
          <w:spacing w:val="-4"/>
          <w:sz w:val="16"/>
          <w:szCs w:val="16"/>
        </w:rPr>
        <w:footnoteRef/>
      </w:r>
      <w:r>
        <w:rPr>
          <w:spacing w:val="-4"/>
          <w:sz w:val="16"/>
          <w:szCs w:val="16"/>
        </w:rPr>
        <w:t xml:space="preserve"> Čisté výdaje odpovídají saldu rozpočtové kapitoly Státní dluh (č. 396). </w:t>
      </w:r>
      <w:r>
        <w:rPr>
          <w:color w:val="0D0D0D" w:themeColor="text1" w:themeTint="F2"/>
          <w:spacing w:val="-4"/>
          <w:sz w:val="16"/>
          <w:szCs w:val="16"/>
        </w:rPr>
        <w:t xml:space="preserve">Zásadní vliv na růst výdajů zde měly výplaty protiinflačních státních dluhopisů občanům, dílčí roli pak rostoucí úrokové sazby u dalších instrumentů dluhového financování a celkový trend růstu zadlužení z předchozích let. </w:t>
      </w:r>
    </w:p>
  </w:footnote>
  <w:footnote w:id="21">
    <w:p w14:paraId="77DC2DD1" w14:textId="77777777" w:rsidR="00F204DA" w:rsidRDefault="00F204DA" w:rsidP="00F204DA">
      <w:pPr>
        <w:pStyle w:val="Textpoznpodarou"/>
        <w:rPr>
          <w:spacing w:val="-2"/>
        </w:rPr>
      </w:pPr>
      <w:r>
        <w:rPr>
          <w:rStyle w:val="Znakapoznpodarou"/>
          <w:spacing w:val="-2"/>
          <w:sz w:val="16"/>
          <w:szCs w:val="16"/>
        </w:rPr>
        <w:footnoteRef/>
      </w:r>
      <w:r>
        <w:rPr>
          <w:spacing w:val="-2"/>
          <w:sz w:val="16"/>
          <w:szCs w:val="16"/>
        </w:rPr>
        <w:t xml:space="preserve"> V 1. čtvrtletí 2024 byly prodány státní dluhopisy v celkové jmenovité hodnotě 78,7 mld. korun s průměrnou zbytkovou dobou do splatnosti 11,2 roku. To je o 2,7 roku více než ve stejném období v předchozím roce a o 2,1 roku více než za celý rok 2023.</w:t>
      </w:r>
    </w:p>
  </w:footnote>
  <w:footnote w:id="22">
    <w:p w14:paraId="54D6A954" w14:textId="77777777" w:rsidR="00F204DA" w:rsidRDefault="00F204DA" w:rsidP="00F204DA">
      <w:pPr>
        <w:pStyle w:val="Textpoznpodarou"/>
        <w:rPr>
          <w:spacing w:val="-4"/>
          <w:sz w:val="16"/>
          <w:szCs w:val="16"/>
        </w:rPr>
      </w:pPr>
      <w:r>
        <w:rPr>
          <w:rStyle w:val="Znakapoznpodarou"/>
          <w:spacing w:val="-4"/>
          <w:sz w:val="16"/>
          <w:szCs w:val="16"/>
        </w:rPr>
        <w:footnoteRef/>
      </w:r>
      <w:r>
        <w:rPr>
          <w:spacing w:val="-4"/>
          <w:sz w:val="16"/>
          <w:szCs w:val="16"/>
        </w:rPr>
        <w:t xml:space="preserve"> Údaje o hospodaření sektoru vládních institucí v ČR za 1. čtvrtletí 2024 zveřejní ČSÚ 2. července 2024, Eurostat za členské státy Unie následovně 22. července. Detailnější zhodnocení tuzemského vývoje za 4. čtvrtletí 2023 je obsaženo v publikaci </w:t>
      </w:r>
      <w:hyperlink r:id="rId1" w:history="1">
        <w:r>
          <w:rPr>
            <w:rStyle w:val="Hypertextovodkaz"/>
            <w:i/>
            <w:spacing w:val="-4"/>
            <w:sz w:val="16"/>
            <w:szCs w:val="16"/>
          </w:rPr>
          <w:t>Analýza sektorových účtů</w:t>
        </w:r>
      </w:hyperlink>
    </w:p>
  </w:footnote>
  <w:footnote w:id="23">
    <w:p w14:paraId="4A2AE5D7" w14:textId="77777777" w:rsidR="00F204DA" w:rsidRDefault="00F204DA" w:rsidP="00F204DA">
      <w:pPr>
        <w:pStyle w:val="Textpoznpodarou"/>
        <w:rPr>
          <w:spacing w:val="-4"/>
          <w:sz w:val="16"/>
          <w:szCs w:val="16"/>
        </w:rPr>
      </w:pPr>
      <w:r>
        <w:rPr>
          <w:rStyle w:val="Znakapoznpodarou"/>
          <w:spacing w:val="-4"/>
          <w:sz w:val="16"/>
          <w:szCs w:val="16"/>
        </w:rPr>
        <w:footnoteRef/>
      </w:r>
      <w:r>
        <w:rPr>
          <w:spacing w:val="-4"/>
          <w:sz w:val="16"/>
          <w:szCs w:val="16"/>
        </w:rPr>
        <w:t xml:space="preserve"> Není-li uvedeno jinak, jsou údaje o hospodaření sektoru VI v ČR vyjádřeny bez sezónního očištění.</w:t>
      </w:r>
    </w:p>
  </w:footnote>
  <w:footnote w:id="24">
    <w:p w14:paraId="6AC03947"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HDP se zde loni reálně zvýšil jen o 0,4 %, což bylo nejméně za poslední tři roky. V největší ekonomice Unie – Německu – se dokonce výkon ekonomiky o 0,2 % snížil.</w:t>
      </w:r>
    </w:p>
  </w:footnote>
  <w:footnote w:id="25">
    <w:p w14:paraId="6B624044"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Bez Itálie, Řecka a Kypru, za něž nebyly k dispozici údaje o saldu hospodaření po sezónním očištění.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FA1CA9" w:rsidRDefault="00FA1CA9" w:rsidP="00937AE2">
    <w:pPr>
      <w:pStyle w:val="Zhlav"/>
    </w:pPr>
    <w:r>
      <w:t>Vývoj ekonomiky České republiky</w:t>
    </w:r>
  </w:p>
  <w:p w14:paraId="3E881AB3" w14:textId="77777777" w:rsidR="00FA1CA9" w:rsidRPr="006F5416" w:rsidRDefault="00FA1CA9"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FA1CA9" w:rsidRDefault="00FA1CA9" w:rsidP="00937AE2">
    <w:pPr>
      <w:pStyle w:val="Zhlav"/>
    </w:pPr>
    <w:r>
      <w:t>Vývoj ekonomiky České republiky</w:t>
    </w:r>
  </w:p>
  <w:p w14:paraId="57266714" w14:textId="77777777" w:rsidR="00FA1CA9" w:rsidRPr="006F5416" w:rsidRDefault="00FA1CA9"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8193">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994"/>
    <w:rsid w:val="00000B55"/>
    <w:rsid w:val="0000209D"/>
    <w:rsid w:val="00002566"/>
    <w:rsid w:val="0000370A"/>
    <w:rsid w:val="00003849"/>
    <w:rsid w:val="00003F5C"/>
    <w:rsid w:val="00004D5A"/>
    <w:rsid w:val="00005219"/>
    <w:rsid w:val="000056D5"/>
    <w:rsid w:val="00005D9E"/>
    <w:rsid w:val="000063D5"/>
    <w:rsid w:val="00006625"/>
    <w:rsid w:val="00006ABD"/>
    <w:rsid w:val="00006B67"/>
    <w:rsid w:val="00006C0B"/>
    <w:rsid w:val="000073A0"/>
    <w:rsid w:val="0000767A"/>
    <w:rsid w:val="00007ABE"/>
    <w:rsid w:val="00010107"/>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2B5"/>
    <w:rsid w:val="00026389"/>
    <w:rsid w:val="0002669F"/>
    <w:rsid w:val="000279E5"/>
    <w:rsid w:val="000305E0"/>
    <w:rsid w:val="00031AE0"/>
    <w:rsid w:val="00031BB2"/>
    <w:rsid w:val="000322EF"/>
    <w:rsid w:val="00032C3C"/>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2CA"/>
    <w:rsid w:val="00047AD4"/>
    <w:rsid w:val="00047D54"/>
    <w:rsid w:val="00050541"/>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F0"/>
    <w:rsid w:val="00066558"/>
    <w:rsid w:val="000671DB"/>
    <w:rsid w:val="00067363"/>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457"/>
    <w:rsid w:val="000834ED"/>
    <w:rsid w:val="000837CD"/>
    <w:rsid w:val="00083B7F"/>
    <w:rsid w:val="00084BFF"/>
    <w:rsid w:val="00085395"/>
    <w:rsid w:val="00086896"/>
    <w:rsid w:val="00086AC1"/>
    <w:rsid w:val="00086D19"/>
    <w:rsid w:val="00087634"/>
    <w:rsid w:val="00087F2B"/>
    <w:rsid w:val="00090694"/>
    <w:rsid w:val="00090EE2"/>
    <w:rsid w:val="00090FC6"/>
    <w:rsid w:val="0009122C"/>
    <w:rsid w:val="000913B1"/>
    <w:rsid w:val="0009290F"/>
    <w:rsid w:val="00093241"/>
    <w:rsid w:val="00093868"/>
    <w:rsid w:val="00094A84"/>
    <w:rsid w:val="00095025"/>
    <w:rsid w:val="00095135"/>
    <w:rsid w:val="00095152"/>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85C"/>
    <w:rsid w:val="000A3A2C"/>
    <w:rsid w:val="000A3D9E"/>
    <w:rsid w:val="000A4A54"/>
    <w:rsid w:val="000A4ED9"/>
    <w:rsid w:val="000A5DB7"/>
    <w:rsid w:val="000A6753"/>
    <w:rsid w:val="000A6D94"/>
    <w:rsid w:val="000A72BC"/>
    <w:rsid w:val="000A7377"/>
    <w:rsid w:val="000A74A4"/>
    <w:rsid w:val="000A775A"/>
    <w:rsid w:val="000A7D63"/>
    <w:rsid w:val="000A7FF4"/>
    <w:rsid w:val="000B03CC"/>
    <w:rsid w:val="000B4212"/>
    <w:rsid w:val="000B67B7"/>
    <w:rsid w:val="000B6A0A"/>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2FC"/>
    <w:rsid w:val="000C5DFA"/>
    <w:rsid w:val="000C6AFD"/>
    <w:rsid w:val="000C6C90"/>
    <w:rsid w:val="000C72B7"/>
    <w:rsid w:val="000C7A79"/>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D7AC7"/>
    <w:rsid w:val="000D7C6F"/>
    <w:rsid w:val="000E04FD"/>
    <w:rsid w:val="000E0E96"/>
    <w:rsid w:val="000E298B"/>
    <w:rsid w:val="000E2C7D"/>
    <w:rsid w:val="000E3E56"/>
    <w:rsid w:val="000E440D"/>
    <w:rsid w:val="000E4AC5"/>
    <w:rsid w:val="000E6253"/>
    <w:rsid w:val="000E6AC4"/>
    <w:rsid w:val="000E6E4D"/>
    <w:rsid w:val="000E6FBD"/>
    <w:rsid w:val="000E6FCB"/>
    <w:rsid w:val="000F0848"/>
    <w:rsid w:val="000F090B"/>
    <w:rsid w:val="000F0E42"/>
    <w:rsid w:val="000F15F7"/>
    <w:rsid w:val="000F1AA2"/>
    <w:rsid w:val="000F378E"/>
    <w:rsid w:val="000F3F3B"/>
    <w:rsid w:val="000F4721"/>
    <w:rsid w:val="000F47E8"/>
    <w:rsid w:val="000F70E4"/>
    <w:rsid w:val="000F76EA"/>
    <w:rsid w:val="00100A8B"/>
    <w:rsid w:val="00100F5C"/>
    <w:rsid w:val="00101B15"/>
    <w:rsid w:val="00101CDA"/>
    <w:rsid w:val="00102037"/>
    <w:rsid w:val="001021B1"/>
    <w:rsid w:val="00103DCB"/>
    <w:rsid w:val="00104C4C"/>
    <w:rsid w:val="00105015"/>
    <w:rsid w:val="001055D2"/>
    <w:rsid w:val="001057C2"/>
    <w:rsid w:val="00106BCC"/>
    <w:rsid w:val="00107124"/>
    <w:rsid w:val="0011038E"/>
    <w:rsid w:val="0011055D"/>
    <w:rsid w:val="00111573"/>
    <w:rsid w:val="00112370"/>
    <w:rsid w:val="0011239B"/>
    <w:rsid w:val="001125EF"/>
    <w:rsid w:val="00112CAB"/>
    <w:rsid w:val="0011440C"/>
    <w:rsid w:val="00114C33"/>
    <w:rsid w:val="00114D5B"/>
    <w:rsid w:val="00116D3F"/>
    <w:rsid w:val="00117474"/>
    <w:rsid w:val="00117623"/>
    <w:rsid w:val="00117FEA"/>
    <w:rsid w:val="001200CF"/>
    <w:rsid w:val="001208E3"/>
    <w:rsid w:val="001211F9"/>
    <w:rsid w:val="00121609"/>
    <w:rsid w:val="0012192F"/>
    <w:rsid w:val="00122994"/>
    <w:rsid w:val="00123204"/>
    <w:rsid w:val="00124B46"/>
    <w:rsid w:val="001257BE"/>
    <w:rsid w:val="001257E0"/>
    <w:rsid w:val="00125D69"/>
    <w:rsid w:val="0012799C"/>
    <w:rsid w:val="00127BC2"/>
    <w:rsid w:val="00127E15"/>
    <w:rsid w:val="001308F1"/>
    <w:rsid w:val="00130ADC"/>
    <w:rsid w:val="00130D9F"/>
    <w:rsid w:val="00132C4D"/>
    <w:rsid w:val="00133FC1"/>
    <w:rsid w:val="00134659"/>
    <w:rsid w:val="00135111"/>
    <w:rsid w:val="00135376"/>
    <w:rsid w:val="00136A6F"/>
    <w:rsid w:val="00136C1A"/>
    <w:rsid w:val="00137812"/>
    <w:rsid w:val="00137F06"/>
    <w:rsid w:val="001405FA"/>
    <w:rsid w:val="00140D1A"/>
    <w:rsid w:val="00141184"/>
    <w:rsid w:val="00141315"/>
    <w:rsid w:val="0014152B"/>
    <w:rsid w:val="00141AA0"/>
    <w:rsid w:val="001425C3"/>
    <w:rsid w:val="0014262D"/>
    <w:rsid w:val="00142B29"/>
    <w:rsid w:val="00143EED"/>
    <w:rsid w:val="00144108"/>
    <w:rsid w:val="00144588"/>
    <w:rsid w:val="001447DD"/>
    <w:rsid w:val="00145358"/>
    <w:rsid w:val="001459BC"/>
    <w:rsid w:val="0014779E"/>
    <w:rsid w:val="00147B13"/>
    <w:rsid w:val="00150ECA"/>
    <w:rsid w:val="0015108F"/>
    <w:rsid w:val="00151707"/>
    <w:rsid w:val="00152C86"/>
    <w:rsid w:val="00152EBC"/>
    <w:rsid w:val="00152F4F"/>
    <w:rsid w:val="00153264"/>
    <w:rsid w:val="0015329F"/>
    <w:rsid w:val="001544A1"/>
    <w:rsid w:val="001553B8"/>
    <w:rsid w:val="001554C2"/>
    <w:rsid w:val="00156D04"/>
    <w:rsid w:val="001571C0"/>
    <w:rsid w:val="001574FE"/>
    <w:rsid w:val="0015753D"/>
    <w:rsid w:val="00157984"/>
    <w:rsid w:val="00157CC9"/>
    <w:rsid w:val="00160C21"/>
    <w:rsid w:val="001612F4"/>
    <w:rsid w:val="00161553"/>
    <w:rsid w:val="0016216F"/>
    <w:rsid w:val="0016256B"/>
    <w:rsid w:val="00162F81"/>
    <w:rsid w:val="00163793"/>
    <w:rsid w:val="00163868"/>
    <w:rsid w:val="00164CA1"/>
    <w:rsid w:val="00165313"/>
    <w:rsid w:val="001659C3"/>
    <w:rsid w:val="001665AB"/>
    <w:rsid w:val="00167485"/>
    <w:rsid w:val="001679F5"/>
    <w:rsid w:val="00167B92"/>
    <w:rsid w:val="00167CB9"/>
    <w:rsid w:val="00167DD8"/>
    <w:rsid w:val="001705AD"/>
    <w:rsid w:val="001706D6"/>
    <w:rsid w:val="001714F2"/>
    <w:rsid w:val="00171FEA"/>
    <w:rsid w:val="00173622"/>
    <w:rsid w:val="00174ED1"/>
    <w:rsid w:val="00175B9F"/>
    <w:rsid w:val="001762F4"/>
    <w:rsid w:val="001777BA"/>
    <w:rsid w:val="00181029"/>
    <w:rsid w:val="00181BBC"/>
    <w:rsid w:val="0018385F"/>
    <w:rsid w:val="00183BCF"/>
    <w:rsid w:val="00184017"/>
    <w:rsid w:val="001847BB"/>
    <w:rsid w:val="00184B08"/>
    <w:rsid w:val="00185010"/>
    <w:rsid w:val="001854F2"/>
    <w:rsid w:val="00185C22"/>
    <w:rsid w:val="00186BA9"/>
    <w:rsid w:val="00187D50"/>
    <w:rsid w:val="00190B4D"/>
    <w:rsid w:val="0019123D"/>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64B"/>
    <w:rsid w:val="001A1F68"/>
    <w:rsid w:val="001A21FA"/>
    <w:rsid w:val="001A4D7C"/>
    <w:rsid w:val="001A4EF0"/>
    <w:rsid w:val="001A552F"/>
    <w:rsid w:val="001A70B1"/>
    <w:rsid w:val="001A7672"/>
    <w:rsid w:val="001B0738"/>
    <w:rsid w:val="001B1235"/>
    <w:rsid w:val="001B158D"/>
    <w:rsid w:val="001B1BBB"/>
    <w:rsid w:val="001B2CA9"/>
    <w:rsid w:val="001B3110"/>
    <w:rsid w:val="001B3E38"/>
    <w:rsid w:val="001B40F5"/>
    <w:rsid w:val="001B43CD"/>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3855"/>
    <w:rsid w:val="001C4B8F"/>
    <w:rsid w:val="001C4BB8"/>
    <w:rsid w:val="001C4D8C"/>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6B3F"/>
    <w:rsid w:val="001D7EFD"/>
    <w:rsid w:val="001D7F60"/>
    <w:rsid w:val="001E085B"/>
    <w:rsid w:val="001E149B"/>
    <w:rsid w:val="001E15CB"/>
    <w:rsid w:val="001E1AF1"/>
    <w:rsid w:val="001E3306"/>
    <w:rsid w:val="001E504C"/>
    <w:rsid w:val="001E56AC"/>
    <w:rsid w:val="001E5A17"/>
    <w:rsid w:val="001E6441"/>
    <w:rsid w:val="001E74C5"/>
    <w:rsid w:val="001F1236"/>
    <w:rsid w:val="001F2F90"/>
    <w:rsid w:val="001F4597"/>
    <w:rsid w:val="001F4826"/>
    <w:rsid w:val="001F4933"/>
    <w:rsid w:val="001F59C8"/>
    <w:rsid w:val="001F6483"/>
    <w:rsid w:val="001F6CD3"/>
    <w:rsid w:val="001F75DA"/>
    <w:rsid w:val="001F7931"/>
    <w:rsid w:val="001F7CE0"/>
    <w:rsid w:val="00200085"/>
    <w:rsid w:val="00201633"/>
    <w:rsid w:val="00203332"/>
    <w:rsid w:val="002036E6"/>
    <w:rsid w:val="00203CD5"/>
    <w:rsid w:val="00203D8F"/>
    <w:rsid w:val="00203DA4"/>
    <w:rsid w:val="00204EA6"/>
    <w:rsid w:val="00205186"/>
    <w:rsid w:val="00206516"/>
    <w:rsid w:val="002070CF"/>
    <w:rsid w:val="002071D5"/>
    <w:rsid w:val="002073FD"/>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1D"/>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2B7"/>
    <w:rsid w:val="00251496"/>
    <w:rsid w:val="00251B08"/>
    <w:rsid w:val="00251C53"/>
    <w:rsid w:val="00252AB9"/>
    <w:rsid w:val="002532B1"/>
    <w:rsid w:val="00253C0F"/>
    <w:rsid w:val="00253F48"/>
    <w:rsid w:val="00254FC3"/>
    <w:rsid w:val="002558C1"/>
    <w:rsid w:val="00256207"/>
    <w:rsid w:val="002575F3"/>
    <w:rsid w:val="002601B4"/>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5E43"/>
    <w:rsid w:val="002763A2"/>
    <w:rsid w:val="00276B33"/>
    <w:rsid w:val="0027720A"/>
    <w:rsid w:val="00277669"/>
    <w:rsid w:val="002803A5"/>
    <w:rsid w:val="00280ACB"/>
    <w:rsid w:val="002812E3"/>
    <w:rsid w:val="00281576"/>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461A"/>
    <w:rsid w:val="0029509B"/>
    <w:rsid w:val="0029588F"/>
    <w:rsid w:val="00295E96"/>
    <w:rsid w:val="00297256"/>
    <w:rsid w:val="00297A5C"/>
    <w:rsid w:val="00297D51"/>
    <w:rsid w:val="002A0122"/>
    <w:rsid w:val="002A016B"/>
    <w:rsid w:val="002A103E"/>
    <w:rsid w:val="002A16D4"/>
    <w:rsid w:val="002A1E4F"/>
    <w:rsid w:val="002A230C"/>
    <w:rsid w:val="002A2AF7"/>
    <w:rsid w:val="002A30ED"/>
    <w:rsid w:val="002A3209"/>
    <w:rsid w:val="002A34B5"/>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B75C0"/>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0B6"/>
    <w:rsid w:val="002E3638"/>
    <w:rsid w:val="002E37D1"/>
    <w:rsid w:val="002E3BEE"/>
    <w:rsid w:val="002E4DCE"/>
    <w:rsid w:val="002E4E4C"/>
    <w:rsid w:val="002E4EA7"/>
    <w:rsid w:val="002E5846"/>
    <w:rsid w:val="002E631B"/>
    <w:rsid w:val="002E792B"/>
    <w:rsid w:val="002E7AEB"/>
    <w:rsid w:val="002E7B79"/>
    <w:rsid w:val="002F1B09"/>
    <w:rsid w:val="002F1D56"/>
    <w:rsid w:val="002F1DCB"/>
    <w:rsid w:val="002F1DE4"/>
    <w:rsid w:val="002F333D"/>
    <w:rsid w:val="002F351A"/>
    <w:rsid w:val="002F357F"/>
    <w:rsid w:val="002F46D6"/>
    <w:rsid w:val="002F498A"/>
    <w:rsid w:val="002F4AD8"/>
    <w:rsid w:val="002F5285"/>
    <w:rsid w:val="002F5820"/>
    <w:rsid w:val="002F64BB"/>
    <w:rsid w:val="002F7D9B"/>
    <w:rsid w:val="00300C31"/>
    <w:rsid w:val="00300D42"/>
    <w:rsid w:val="00301294"/>
    <w:rsid w:val="003017EC"/>
    <w:rsid w:val="00302165"/>
    <w:rsid w:val="00303BB4"/>
    <w:rsid w:val="00304771"/>
    <w:rsid w:val="00304F9C"/>
    <w:rsid w:val="003052D4"/>
    <w:rsid w:val="00305863"/>
    <w:rsid w:val="003060D6"/>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A8B"/>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BCB"/>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375E0"/>
    <w:rsid w:val="00340BE6"/>
    <w:rsid w:val="00340BF3"/>
    <w:rsid w:val="00341C6C"/>
    <w:rsid w:val="00341D26"/>
    <w:rsid w:val="00341F05"/>
    <w:rsid w:val="0034335E"/>
    <w:rsid w:val="00344668"/>
    <w:rsid w:val="00344940"/>
    <w:rsid w:val="0034506D"/>
    <w:rsid w:val="00346234"/>
    <w:rsid w:val="003462D9"/>
    <w:rsid w:val="0034723F"/>
    <w:rsid w:val="00347247"/>
    <w:rsid w:val="003474B6"/>
    <w:rsid w:val="00347DD4"/>
    <w:rsid w:val="00352B43"/>
    <w:rsid w:val="00352C28"/>
    <w:rsid w:val="003541BB"/>
    <w:rsid w:val="00354502"/>
    <w:rsid w:val="00354F89"/>
    <w:rsid w:val="0035506D"/>
    <w:rsid w:val="003579A1"/>
    <w:rsid w:val="0036077F"/>
    <w:rsid w:val="00360A35"/>
    <w:rsid w:val="00360C86"/>
    <w:rsid w:val="00360F7A"/>
    <w:rsid w:val="00360FBC"/>
    <w:rsid w:val="00361537"/>
    <w:rsid w:val="00361B2D"/>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402D"/>
    <w:rsid w:val="00396739"/>
    <w:rsid w:val="003978B1"/>
    <w:rsid w:val="003A04F6"/>
    <w:rsid w:val="003A0837"/>
    <w:rsid w:val="003A2B4D"/>
    <w:rsid w:val="003A2D12"/>
    <w:rsid w:val="003A2EBA"/>
    <w:rsid w:val="003A32DB"/>
    <w:rsid w:val="003A45E3"/>
    <w:rsid w:val="003A46B8"/>
    <w:rsid w:val="003A478C"/>
    <w:rsid w:val="003A4A38"/>
    <w:rsid w:val="003A5295"/>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87"/>
    <w:rsid w:val="003C3AE8"/>
    <w:rsid w:val="003C3D2C"/>
    <w:rsid w:val="003C4058"/>
    <w:rsid w:val="003C4E13"/>
    <w:rsid w:val="003C58A5"/>
    <w:rsid w:val="003C6221"/>
    <w:rsid w:val="003C63D7"/>
    <w:rsid w:val="003C68CC"/>
    <w:rsid w:val="003C7E62"/>
    <w:rsid w:val="003D12B9"/>
    <w:rsid w:val="003D1E7A"/>
    <w:rsid w:val="003D242B"/>
    <w:rsid w:val="003D2492"/>
    <w:rsid w:val="003D29AA"/>
    <w:rsid w:val="003D2A99"/>
    <w:rsid w:val="003D5EBF"/>
    <w:rsid w:val="003D6920"/>
    <w:rsid w:val="003D6982"/>
    <w:rsid w:val="003E0249"/>
    <w:rsid w:val="003E08A4"/>
    <w:rsid w:val="003E105C"/>
    <w:rsid w:val="003E1EF8"/>
    <w:rsid w:val="003E2DFB"/>
    <w:rsid w:val="003E4466"/>
    <w:rsid w:val="003E4C91"/>
    <w:rsid w:val="003E52D8"/>
    <w:rsid w:val="003E62F1"/>
    <w:rsid w:val="003E6ED5"/>
    <w:rsid w:val="003E6F84"/>
    <w:rsid w:val="003F0148"/>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0F40"/>
    <w:rsid w:val="00421179"/>
    <w:rsid w:val="004225D7"/>
    <w:rsid w:val="00422EE6"/>
    <w:rsid w:val="00423623"/>
    <w:rsid w:val="0042470E"/>
    <w:rsid w:val="0042507B"/>
    <w:rsid w:val="00425352"/>
    <w:rsid w:val="00426C99"/>
    <w:rsid w:val="004272BE"/>
    <w:rsid w:val="00430C96"/>
    <w:rsid w:val="0043174F"/>
    <w:rsid w:val="00431BFF"/>
    <w:rsid w:val="00432199"/>
    <w:rsid w:val="00432A58"/>
    <w:rsid w:val="00432FC7"/>
    <w:rsid w:val="004331C3"/>
    <w:rsid w:val="00433C17"/>
    <w:rsid w:val="00434617"/>
    <w:rsid w:val="00434DE9"/>
    <w:rsid w:val="00435051"/>
    <w:rsid w:val="00435C69"/>
    <w:rsid w:val="004360FB"/>
    <w:rsid w:val="00437CED"/>
    <w:rsid w:val="004407BF"/>
    <w:rsid w:val="00440900"/>
    <w:rsid w:val="00440D2A"/>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5833"/>
    <w:rsid w:val="00456FB5"/>
    <w:rsid w:val="00456FE5"/>
    <w:rsid w:val="00457490"/>
    <w:rsid w:val="0045778B"/>
    <w:rsid w:val="0045786C"/>
    <w:rsid w:val="00457953"/>
    <w:rsid w:val="004604D8"/>
    <w:rsid w:val="00460656"/>
    <w:rsid w:val="00460FB3"/>
    <w:rsid w:val="00463D3C"/>
    <w:rsid w:val="00464851"/>
    <w:rsid w:val="00464BF5"/>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6AEE"/>
    <w:rsid w:val="0047735C"/>
    <w:rsid w:val="004776BC"/>
    <w:rsid w:val="00477820"/>
    <w:rsid w:val="00477B96"/>
    <w:rsid w:val="00480802"/>
    <w:rsid w:val="00480BAE"/>
    <w:rsid w:val="00480D7F"/>
    <w:rsid w:val="0048139F"/>
    <w:rsid w:val="00481E40"/>
    <w:rsid w:val="00482405"/>
    <w:rsid w:val="004826A7"/>
    <w:rsid w:val="004828DA"/>
    <w:rsid w:val="0048368C"/>
    <w:rsid w:val="0048372F"/>
    <w:rsid w:val="0048399F"/>
    <w:rsid w:val="00483A0C"/>
    <w:rsid w:val="004841CC"/>
    <w:rsid w:val="00484ECE"/>
    <w:rsid w:val="00485E82"/>
    <w:rsid w:val="00486132"/>
    <w:rsid w:val="0048686D"/>
    <w:rsid w:val="00486A4D"/>
    <w:rsid w:val="004915CB"/>
    <w:rsid w:val="00491A2B"/>
    <w:rsid w:val="004924DC"/>
    <w:rsid w:val="00492879"/>
    <w:rsid w:val="00493E85"/>
    <w:rsid w:val="00495145"/>
    <w:rsid w:val="0049531F"/>
    <w:rsid w:val="004979A5"/>
    <w:rsid w:val="004A0144"/>
    <w:rsid w:val="004A036E"/>
    <w:rsid w:val="004A0389"/>
    <w:rsid w:val="004A0498"/>
    <w:rsid w:val="004A06B0"/>
    <w:rsid w:val="004A0D0E"/>
    <w:rsid w:val="004A14E4"/>
    <w:rsid w:val="004A204E"/>
    <w:rsid w:val="004A26A5"/>
    <w:rsid w:val="004A27F0"/>
    <w:rsid w:val="004A3212"/>
    <w:rsid w:val="004A37CD"/>
    <w:rsid w:val="004A3BE4"/>
    <w:rsid w:val="004A40D9"/>
    <w:rsid w:val="004A49A5"/>
    <w:rsid w:val="004A4F8A"/>
    <w:rsid w:val="004A52AB"/>
    <w:rsid w:val="004A5494"/>
    <w:rsid w:val="004A5D4E"/>
    <w:rsid w:val="004A61C5"/>
    <w:rsid w:val="004A62A0"/>
    <w:rsid w:val="004A77DF"/>
    <w:rsid w:val="004A7DC0"/>
    <w:rsid w:val="004B1417"/>
    <w:rsid w:val="004B1627"/>
    <w:rsid w:val="004B305C"/>
    <w:rsid w:val="004B31B8"/>
    <w:rsid w:val="004B339A"/>
    <w:rsid w:val="004B4C83"/>
    <w:rsid w:val="004B55B7"/>
    <w:rsid w:val="004B591D"/>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CE4"/>
    <w:rsid w:val="004C3DB0"/>
    <w:rsid w:val="004C439A"/>
    <w:rsid w:val="004C4720"/>
    <w:rsid w:val="004C4CD0"/>
    <w:rsid w:val="004C5060"/>
    <w:rsid w:val="004C5165"/>
    <w:rsid w:val="004C589C"/>
    <w:rsid w:val="004C5AE8"/>
    <w:rsid w:val="004C6E0E"/>
    <w:rsid w:val="004C70DC"/>
    <w:rsid w:val="004D0211"/>
    <w:rsid w:val="004D0794"/>
    <w:rsid w:val="004D17A6"/>
    <w:rsid w:val="004D2D31"/>
    <w:rsid w:val="004D2E03"/>
    <w:rsid w:val="004D3296"/>
    <w:rsid w:val="004D4056"/>
    <w:rsid w:val="004D4CB0"/>
    <w:rsid w:val="004D5B0F"/>
    <w:rsid w:val="004D7626"/>
    <w:rsid w:val="004E085C"/>
    <w:rsid w:val="004E12DF"/>
    <w:rsid w:val="004E186A"/>
    <w:rsid w:val="004E1A40"/>
    <w:rsid w:val="004E1DB2"/>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01B"/>
    <w:rsid w:val="004F6484"/>
    <w:rsid w:val="004F6539"/>
    <w:rsid w:val="004F6E12"/>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4DED"/>
    <w:rsid w:val="00515485"/>
    <w:rsid w:val="00515BE9"/>
    <w:rsid w:val="00515C74"/>
    <w:rsid w:val="00515CEB"/>
    <w:rsid w:val="0051630F"/>
    <w:rsid w:val="00517113"/>
    <w:rsid w:val="0052007E"/>
    <w:rsid w:val="0052032E"/>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A68"/>
    <w:rsid w:val="00530AD4"/>
    <w:rsid w:val="0053129F"/>
    <w:rsid w:val="00531C5A"/>
    <w:rsid w:val="00532CE7"/>
    <w:rsid w:val="00532D8B"/>
    <w:rsid w:val="0053324C"/>
    <w:rsid w:val="00533A8D"/>
    <w:rsid w:val="00534A28"/>
    <w:rsid w:val="00535018"/>
    <w:rsid w:val="00535782"/>
    <w:rsid w:val="0053595E"/>
    <w:rsid w:val="00537571"/>
    <w:rsid w:val="00540056"/>
    <w:rsid w:val="005410E2"/>
    <w:rsid w:val="00541508"/>
    <w:rsid w:val="00541AE3"/>
    <w:rsid w:val="00543498"/>
    <w:rsid w:val="00544011"/>
    <w:rsid w:val="00544BE5"/>
    <w:rsid w:val="005453A3"/>
    <w:rsid w:val="005455F6"/>
    <w:rsid w:val="0054582F"/>
    <w:rsid w:val="0054632B"/>
    <w:rsid w:val="00546FC7"/>
    <w:rsid w:val="005500F9"/>
    <w:rsid w:val="00550160"/>
    <w:rsid w:val="00550249"/>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5F3"/>
    <w:rsid w:val="00560C41"/>
    <w:rsid w:val="00560C68"/>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601"/>
    <w:rsid w:val="00570BC3"/>
    <w:rsid w:val="00571766"/>
    <w:rsid w:val="0057182A"/>
    <w:rsid w:val="00571E59"/>
    <w:rsid w:val="00572079"/>
    <w:rsid w:val="00572900"/>
    <w:rsid w:val="00573602"/>
    <w:rsid w:val="0057364B"/>
    <w:rsid w:val="00574773"/>
    <w:rsid w:val="005761EC"/>
    <w:rsid w:val="00576E34"/>
    <w:rsid w:val="00577C07"/>
    <w:rsid w:val="00577DB1"/>
    <w:rsid w:val="00580AD3"/>
    <w:rsid w:val="00580DE7"/>
    <w:rsid w:val="005810E1"/>
    <w:rsid w:val="005820CD"/>
    <w:rsid w:val="00582A12"/>
    <w:rsid w:val="00583BDD"/>
    <w:rsid w:val="00583E52"/>
    <w:rsid w:val="00583FFD"/>
    <w:rsid w:val="00584252"/>
    <w:rsid w:val="005848DD"/>
    <w:rsid w:val="0058519A"/>
    <w:rsid w:val="005856BD"/>
    <w:rsid w:val="00585983"/>
    <w:rsid w:val="00586BCA"/>
    <w:rsid w:val="00587038"/>
    <w:rsid w:val="00587319"/>
    <w:rsid w:val="00590608"/>
    <w:rsid w:val="00590B28"/>
    <w:rsid w:val="005911BE"/>
    <w:rsid w:val="00591273"/>
    <w:rsid w:val="00591E9E"/>
    <w:rsid w:val="005927A4"/>
    <w:rsid w:val="00593152"/>
    <w:rsid w:val="00593389"/>
    <w:rsid w:val="00593FE6"/>
    <w:rsid w:val="005956A3"/>
    <w:rsid w:val="00595958"/>
    <w:rsid w:val="00595CAB"/>
    <w:rsid w:val="0059622E"/>
    <w:rsid w:val="0059684D"/>
    <w:rsid w:val="00597671"/>
    <w:rsid w:val="00597BBF"/>
    <w:rsid w:val="005A040C"/>
    <w:rsid w:val="005A0463"/>
    <w:rsid w:val="005A05DF"/>
    <w:rsid w:val="005A0948"/>
    <w:rsid w:val="005A0A03"/>
    <w:rsid w:val="005A10F2"/>
    <w:rsid w:val="005A16C0"/>
    <w:rsid w:val="005A2156"/>
    <w:rsid w:val="005A21E0"/>
    <w:rsid w:val="005A2401"/>
    <w:rsid w:val="005A28FF"/>
    <w:rsid w:val="005A2C09"/>
    <w:rsid w:val="005A3778"/>
    <w:rsid w:val="005A37B0"/>
    <w:rsid w:val="005A3DF8"/>
    <w:rsid w:val="005A5549"/>
    <w:rsid w:val="005A566A"/>
    <w:rsid w:val="005A56E0"/>
    <w:rsid w:val="005A70CA"/>
    <w:rsid w:val="005A7ABD"/>
    <w:rsid w:val="005A7CF8"/>
    <w:rsid w:val="005B0EDA"/>
    <w:rsid w:val="005B121D"/>
    <w:rsid w:val="005B1705"/>
    <w:rsid w:val="005B26B0"/>
    <w:rsid w:val="005B41C9"/>
    <w:rsid w:val="005B44E6"/>
    <w:rsid w:val="005B4853"/>
    <w:rsid w:val="005B591B"/>
    <w:rsid w:val="005B6CA1"/>
    <w:rsid w:val="005B770C"/>
    <w:rsid w:val="005C06ED"/>
    <w:rsid w:val="005C0CE1"/>
    <w:rsid w:val="005C11B8"/>
    <w:rsid w:val="005C1345"/>
    <w:rsid w:val="005C1B24"/>
    <w:rsid w:val="005C216C"/>
    <w:rsid w:val="005C2609"/>
    <w:rsid w:val="005C2B30"/>
    <w:rsid w:val="005C412B"/>
    <w:rsid w:val="005C43EC"/>
    <w:rsid w:val="005C45DD"/>
    <w:rsid w:val="005C4704"/>
    <w:rsid w:val="005C4CB1"/>
    <w:rsid w:val="005C70AB"/>
    <w:rsid w:val="005D015C"/>
    <w:rsid w:val="005D3F06"/>
    <w:rsid w:val="005D4608"/>
    <w:rsid w:val="005D4B73"/>
    <w:rsid w:val="005D533D"/>
    <w:rsid w:val="005D5645"/>
    <w:rsid w:val="005D5802"/>
    <w:rsid w:val="005D5AA9"/>
    <w:rsid w:val="005D5B60"/>
    <w:rsid w:val="005D66E6"/>
    <w:rsid w:val="005D7119"/>
    <w:rsid w:val="005D76C8"/>
    <w:rsid w:val="005D7890"/>
    <w:rsid w:val="005D7AAF"/>
    <w:rsid w:val="005E19C1"/>
    <w:rsid w:val="005E2194"/>
    <w:rsid w:val="005E24F0"/>
    <w:rsid w:val="005E3113"/>
    <w:rsid w:val="005E36FE"/>
    <w:rsid w:val="005E3F66"/>
    <w:rsid w:val="005E490F"/>
    <w:rsid w:val="005E4BC9"/>
    <w:rsid w:val="005E5314"/>
    <w:rsid w:val="005E53DC"/>
    <w:rsid w:val="005E764D"/>
    <w:rsid w:val="005E772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5F7B79"/>
    <w:rsid w:val="0060120D"/>
    <w:rsid w:val="006017C1"/>
    <w:rsid w:val="00601ADE"/>
    <w:rsid w:val="00601EEF"/>
    <w:rsid w:val="0060255A"/>
    <w:rsid w:val="00602998"/>
    <w:rsid w:val="00602EB3"/>
    <w:rsid w:val="00604307"/>
    <w:rsid w:val="0060487F"/>
    <w:rsid w:val="00604EAD"/>
    <w:rsid w:val="0060513F"/>
    <w:rsid w:val="006065E2"/>
    <w:rsid w:val="0060694B"/>
    <w:rsid w:val="00607E1D"/>
    <w:rsid w:val="006104FB"/>
    <w:rsid w:val="006116FF"/>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641"/>
    <w:rsid w:val="00620B77"/>
    <w:rsid w:val="00621190"/>
    <w:rsid w:val="0062131B"/>
    <w:rsid w:val="00621E26"/>
    <w:rsid w:val="006224EA"/>
    <w:rsid w:val="0062263A"/>
    <w:rsid w:val="006227DF"/>
    <w:rsid w:val="006234A0"/>
    <w:rsid w:val="006236C8"/>
    <w:rsid w:val="00624093"/>
    <w:rsid w:val="0062415E"/>
    <w:rsid w:val="00625A84"/>
    <w:rsid w:val="00626079"/>
    <w:rsid w:val="00626B8F"/>
    <w:rsid w:val="006275B5"/>
    <w:rsid w:val="00631698"/>
    <w:rsid w:val="00631E44"/>
    <w:rsid w:val="00634C57"/>
    <w:rsid w:val="00634CE7"/>
    <w:rsid w:val="006350D5"/>
    <w:rsid w:val="00635EBE"/>
    <w:rsid w:val="0063642C"/>
    <w:rsid w:val="006376B3"/>
    <w:rsid w:val="00637858"/>
    <w:rsid w:val="006404A7"/>
    <w:rsid w:val="00640A38"/>
    <w:rsid w:val="00640E6B"/>
    <w:rsid w:val="00641787"/>
    <w:rsid w:val="0064179B"/>
    <w:rsid w:val="00642338"/>
    <w:rsid w:val="00642489"/>
    <w:rsid w:val="00644055"/>
    <w:rsid w:val="00644137"/>
    <w:rsid w:val="0064478C"/>
    <w:rsid w:val="00644938"/>
    <w:rsid w:val="00645160"/>
    <w:rsid w:val="006451E4"/>
    <w:rsid w:val="0064574B"/>
    <w:rsid w:val="00645B33"/>
    <w:rsid w:val="00650FFC"/>
    <w:rsid w:val="0065153D"/>
    <w:rsid w:val="006516CB"/>
    <w:rsid w:val="00652444"/>
    <w:rsid w:val="00652E30"/>
    <w:rsid w:val="00653BD0"/>
    <w:rsid w:val="00654110"/>
    <w:rsid w:val="00656C5D"/>
    <w:rsid w:val="00656CFB"/>
    <w:rsid w:val="00656D25"/>
    <w:rsid w:val="00657E87"/>
    <w:rsid w:val="00660D2D"/>
    <w:rsid w:val="0066110B"/>
    <w:rsid w:val="00661C41"/>
    <w:rsid w:val="00661EC9"/>
    <w:rsid w:val="00662469"/>
    <w:rsid w:val="0066411C"/>
    <w:rsid w:val="00664205"/>
    <w:rsid w:val="00664647"/>
    <w:rsid w:val="00664803"/>
    <w:rsid w:val="0066502F"/>
    <w:rsid w:val="006653CC"/>
    <w:rsid w:val="00665501"/>
    <w:rsid w:val="00665982"/>
    <w:rsid w:val="00665BA4"/>
    <w:rsid w:val="00666BF3"/>
    <w:rsid w:val="00667748"/>
    <w:rsid w:val="00667856"/>
    <w:rsid w:val="00667AF2"/>
    <w:rsid w:val="00670489"/>
    <w:rsid w:val="006710C9"/>
    <w:rsid w:val="00671D85"/>
    <w:rsid w:val="00672586"/>
    <w:rsid w:val="006727BC"/>
    <w:rsid w:val="006741CD"/>
    <w:rsid w:val="006745DF"/>
    <w:rsid w:val="00674BAC"/>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9F8"/>
    <w:rsid w:val="00684B9B"/>
    <w:rsid w:val="00684D59"/>
    <w:rsid w:val="00684E25"/>
    <w:rsid w:val="006858A4"/>
    <w:rsid w:val="00685C08"/>
    <w:rsid w:val="00685C8C"/>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2153"/>
    <w:rsid w:val="006A3CAF"/>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981"/>
    <w:rsid w:val="006C7AEC"/>
    <w:rsid w:val="006C7CA6"/>
    <w:rsid w:val="006D15D3"/>
    <w:rsid w:val="006D18B3"/>
    <w:rsid w:val="006D1E89"/>
    <w:rsid w:val="006D26CE"/>
    <w:rsid w:val="006D317E"/>
    <w:rsid w:val="006D3E8A"/>
    <w:rsid w:val="006D47D9"/>
    <w:rsid w:val="006D61F6"/>
    <w:rsid w:val="006E1081"/>
    <w:rsid w:val="006E1332"/>
    <w:rsid w:val="006E19CB"/>
    <w:rsid w:val="006E279A"/>
    <w:rsid w:val="006E313B"/>
    <w:rsid w:val="006E32A5"/>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18A4"/>
    <w:rsid w:val="0070398A"/>
    <w:rsid w:val="00705242"/>
    <w:rsid w:val="007055E0"/>
    <w:rsid w:val="007056ED"/>
    <w:rsid w:val="00705F4E"/>
    <w:rsid w:val="0070658E"/>
    <w:rsid w:val="007065C5"/>
    <w:rsid w:val="007068E1"/>
    <w:rsid w:val="00706AA0"/>
    <w:rsid w:val="00706AD4"/>
    <w:rsid w:val="00707150"/>
    <w:rsid w:val="00711A82"/>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1A6"/>
    <w:rsid w:val="00720310"/>
    <w:rsid w:val="00720D7A"/>
    <w:rsid w:val="007211F5"/>
    <w:rsid w:val="007213C3"/>
    <w:rsid w:val="00721601"/>
    <w:rsid w:val="00722777"/>
    <w:rsid w:val="0072294F"/>
    <w:rsid w:val="00723435"/>
    <w:rsid w:val="00723436"/>
    <w:rsid w:val="007240E2"/>
    <w:rsid w:val="0072454C"/>
    <w:rsid w:val="0072583E"/>
    <w:rsid w:val="00725BB5"/>
    <w:rsid w:val="00727C02"/>
    <w:rsid w:val="0073008E"/>
    <w:rsid w:val="00730A8B"/>
    <w:rsid w:val="00730AE8"/>
    <w:rsid w:val="00730F1B"/>
    <w:rsid w:val="0073186D"/>
    <w:rsid w:val="007324A6"/>
    <w:rsid w:val="0073261D"/>
    <w:rsid w:val="0073333D"/>
    <w:rsid w:val="007343D9"/>
    <w:rsid w:val="00734F71"/>
    <w:rsid w:val="00735448"/>
    <w:rsid w:val="00736F07"/>
    <w:rsid w:val="007377BD"/>
    <w:rsid w:val="00737DEC"/>
    <w:rsid w:val="0074004D"/>
    <w:rsid w:val="00741493"/>
    <w:rsid w:val="00741F2A"/>
    <w:rsid w:val="007434E5"/>
    <w:rsid w:val="00743884"/>
    <w:rsid w:val="0074499B"/>
    <w:rsid w:val="007449D6"/>
    <w:rsid w:val="0074501E"/>
    <w:rsid w:val="007450BF"/>
    <w:rsid w:val="0074599A"/>
    <w:rsid w:val="00746EE5"/>
    <w:rsid w:val="00746F45"/>
    <w:rsid w:val="007471A1"/>
    <w:rsid w:val="007477BD"/>
    <w:rsid w:val="007477DA"/>
    <w:rsid w:val="00747EE9"/>
    <w:rsid w:val="007520B6"/>
    <w:rsid w:val="00752180"/>
    <w:rsid w:val="00752323"/>
    <w:rsid w:val="007532B7"/>
    <w:rsid w:val="00753CAB"/>
    <w:rsid w:val="00754A70"/>
    <w:rsid w:val="00754BC9"/>
    <w:rsid w:val="00754FB0"/>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A88"/>
    <w:rsid w:val="00763B23"/>
    <w:rsid w:val="00763B85"/>
    <w:rsid w:val="007644A2"/>
    <w:rsid w:val="00764974"/>
    <w:rsid w:val="00764D18"/>
    <w:rsid w:val="0076521E"/>
    <w:rsid w:val="0076579C"/>
    <w:rsid w:val="00765928"/>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DAB"/>
    <w:rsid w:val="00772FF9"/>
    <w:rsid w:val="0077348B"/>
    <w:rsid w:val="007743DB"/>
    <w:rsid w:val="00774D2C"/>
    <w:rsid w:val="00775E00"/>
    <w:rsid w:val="0077605B"/>
    <w:rsid w:val="00776169"/>
    <w:rsid w:val="00776527"/>
    <w:rsid w:val="00777040"/>
    <w:rsid w:val="00777CE6"/>
    <w:rsid w:val="00777D57"/>
    <w:rsid w:val="00780BF0"/>
    <w:rsid w:val="00780EF1"/>
    <w:rsid w:val="00781A91"/>
    <w:rsid w:val="00781AD3"/>
    <w:rsid w:val="00781F36"/>
    <w:rsid w:val="00783576"/>
    <w:rsid w:val="00783810"/>
    <w:rsid w:val="00784980"/>
    <w:rsid w:val="007853FD"/>
    <w:rsid w:val="00785778"/>
    <w:rsid w:val="00786C87"/>
    <w:rsid w:val="0078755E"/>
    <w:rsid w:val="007877C9"/>
    <w:rsid w:val="00790764"/>
    <w:rsid w:val="0079085F"/>
    <w:rsid w:val="00790E96"/>
    <w:rsid w:val="00791005"/>
    <w:rsid w:val="00793D78"/>
    <w:rsid w:val="0079420B"/>
    <w:rsid w:val="0079453C"/>
    <w:rsid w:val="00794677"/>
    <w:rsid w:val="00795759"/>
    <w:rsid w:val="007A0B5E"/>
    <w:rsid w:val="007A170B"/>
    <w:rsid w:val="007A20EB"/>
    <w:rsid w:val="007A282C"/>
    <w:rsid w:val="007A293C"/>
    <w:rsid w:val="007A2A3A"/>
    <w:rsid w:val="007A33E2"/>
    <w:rsid w:val="007A3CAF"/>
    <w:rsid w:val="007A4551"/>
    <w:rsid w:val="007A4664"/>
    <w:rsid w:val="007A4782"/>
    <w:rsid w:val="007A516D"/>
    <w:rsid w:val="007A5E65"/>
    <w:rsid w:val="007A65E1"/>
    <w:rsid w:val="007A6A6E"/>
    <w:rsid w:val="007A6AAA"/>
    <w:rsid w:val="007A7033"/>
    <w:rsid w:val="007A775D"/>
    <w:rsid w:val="007B04B0"/>
    <w:rsid w:val="007B0834"/>
    <w:rsid w:val="007B0E83"/>
    <w:rsid w:val="007B11FA"/>
    <w:rsid w:val="007B1396"/>
    <w:rsid w:val="007B16D6"/>
    <w:rsid w:val="007B1D1B"/>
    <w:rsid w:val="007B1E3F"/>
    <w:rsid w:val="007B2011"/>
    <w:rsid w:val="007B2CFE"/>
    <w:rsid w:val="007B309B"/>
    <w:rsid w:val="007B3457"/>
    <w:rsid w:val="007B37AB"/>
    <w:rsid w:val="007B3D5E"/>
    <w:rsid w:val="007B3DCB"/>
    <w:rsid w:val="007B54AE"/>
    <w:rsid w:val="007B5725"/>
    <w:rsid w:val="007B5C1F"/>
    <w:rsid w:val="007B6689"/>
    <w:rsid w:val="007B6747"/>
    <w:rsid w:val="007B6F72"/>
    <w:rsid w:val="007B74AA"/>
    <w:rsid w:val="007C10BD"/>
    <w:rsid w:val="007C162D"/>
    <w:rsid w:val="007C1A03"/>
    <w:rsid w:val="007C1F0C"/>
    <w:rsid w:val="007C1FFB"/>
    <w:rsid w:val="007C2D94"/>
    <w:rsid w:val="007C3842"/>
    <w:rsid w:val="007C4A6B"/>
    <w:rsid w:val="007C5F92"/>
    <w:rsid w:val="007C6227"/>
    <w:rsid w:val="007C64F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D7F4F"/>
    <w:rsid w:val="007E0535"/>
    <w:rsid w:val="007E07F2"/>
    <w:rsid w:val="007E0D4A"/>
    <w:rsid w:val="007E1788"/>
    <w:rsid w:val="007E1EE3"/>
    <w:rsid w:val="007E29B4"/>
    <w:rsid w:val="007E2F12"/>
    <w:rsid w:val="007E3627"/>
    <w:rsid w:val="007E435A"/>
    <w:rsid w:val="007E445C"/>
    <w:rsid w:val="007E49F7"/>
    <w:rsid w:val="007E4C70"/>
    <w:rsid w:val="007E5149"/>
    <w:rsid w:val="007E5B5F"/>
    <w:rsid w:val="007E69C6"/>
    <w:rsid w:val="007E78B6"/>
    <w:rsid w:val="007E7E61"/>
    <w:rsid w:val="007F0845"/>
    <w:rsid w:val="007F0873"/>
    <w:rsid w:val="007F20F3"/>
    <w:rsid w:val="007F2353"/>
    <w:rsid w:val="007F2390"/>
    <w:rsid w:val="007F2CAC"/>
    <w:rsid w:val="007F3CB6"/>
    <w:rsid w:val="007F4740"/>
    <w:rsid w:val="007F595A"/>
    <w:rsid w:val="007F5C38"/>
    <w:rsid w:val="007F708D"/>
    <w:rsid w:val="007F7E3F"/>
    <w:rsid w:val="008006B3"/>
    <w:rsid w:val="00800B63"/>
    <w:rsid w:val="0080158A"/>
    <w:rsid w:val="00801E13"/>
    <w:rsid w:val="00803008"/>
    <w:rsid w:val="00803069"/>
    <w:rsid w:val="0080346B"/>
    <w:rsid w:val="00803E08"/>
    <w:rsid w:val="00804155"/>
    <w:rsid w:val="00804C9F"/>
    <w:rsid w:val="0080559E"/>
    <w:rsid w:val="00805AF3"/>
    <w:rsid w:val="00806C9C"/>
    <w:rsid w:val="008071B1"/>
    <w:rsid w:val="0080734C"/>
    <w:rsid w:val="00807C82"/>
    <w:rsid w:val="008107EE"/>
    <w:rsid w:val="008117CC"/>
    <w:rsid w:val="00811FF8"/>
    <w:rsid w:val="0081249F"/>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007"/>
    <w:rsid w:val="00825120"/>
    <w:rsid w:val="00825C4D"/>
    <w:rsid w:val="00826A08"/>
    <w:rsid w:val="00826AC0"/>
    <w:rsid w:val="00826D45"/>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3CE"/>
    <w:rsid w:val="0083471A"/>
    <w:rsid w:val="00834FAA"/>
    <w:rsid w:val="00835495"/>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AA1"/>
    <w:rsid w:val="00856D65"/>
    <w:rsid w:val="00856FA4"/>
    <w:rsid w:val="00860D79"/>
    <w:rsid w:val="0086150F"/>
    <w:rsid w:val="00861B41"/>
    <w:rsid w:val="00861B9F"/>
    <w:rsid w:val="00861BE3"/>
    <w:rsid w:val="00861EB6"/>
    <w:rsid w:val="008625D3"/>
    <w:rsid w:val="00862C0A"/>
    <w:rsid w:val="00863434"/>
    <w:rsid w:val="0086344F"/>
    <w:rsid w:val="008641AC"/>
    <w:rsid w:val="00865E4C"/>
    <w:rsid w:val="00866074"/>
    <w:rsid w:val="00867546"/>
    <w:rsid w:val="0086796D"/>
    <w:rsid w:val="00867DAB"/>
    <w:rsid w:val="0087000B"/>
    <w:rsid w:val="008701E4"/>
    <w:rsid w:val="008704E9"/>
    <w:rsid w:val="008705FB"/>
    <w:rsid w:val="00870ECD"/>
    <w:rsid w:val="0087347C"/>
    <w:rsid w:val="008734E7"/>
    <w:rsid w:val="0087368D"/>
    <w:rsid w:val="008740CC"/>
    <w:rsid w:val="0087442A"/>
    <w:rsid w:val="00874578"/>
    <w:rsid w:val="00874FE8"/>
    <w:rsid w:val="00875A32"/>
    <w:rsid w:val="00875CC1"/>
    <w:rsid w:val="00876086"/>
    <w:rsid w:val="00876651"/>
    <w:rsid w:val="00876E83"/>
    <w:rsid w:val="0087722C"/>
    <w:rsid w:val="008772BC"/>
    <w:rsid w:val="00880A0E"/>
    <w:rsid w:val="008817FE"/>
    <w:rsid w:val="00881CD7"/>
    <w:rsid w:val="00882911"/>
    <w:rsid w:val="00882F6E"/>
    <w:rsid w:val="00883202"/>
    <w:rsid w:val="00884E02"/>
    <w:rsid w:val="0088502B"/>
    <w:rsid w:val="00885D40"/>
    <w:rsid w:val="008873D4"/>
    <w:rsid w:val="008902A5"/>
    <w:rsid w:val="00890CB1"/>
    <w:rsid w:val="00891EDF"/>
    <w:rsid w:val="00892872"/>
    <w:rsid w:val="0089296D"/>
    <w:rsid w:val="00893E85"/>
    <w:rsid w:val="00893EBE"/>
    <w:rsid w:val="00894031"/>
    <w:rsid w:val="00894C5D"/>
    <w:rsid w:val="00895508"/>
    <w:rsid w:val="00895797"/>
    <w:rsid w:val="008967E9"/>
    <w:rsid w:val="00896A5C"/>
    <w:rsid w:val="00897155"/>
    <w:rsid w:val="008972D2"/>
    <w:rsid w:val="0089754C"/>
    <w:rsid w:val="00897CFA"/>
    <w:rsid w:val="008A0659"/>
    <w:rsid w:val="008A0ADD"/>
    <w:rsid w:val="008A0D27"/>
    <w:rsid w:val="008A1C59"/>
    <w:rsid w:val="008A2254"/>
    <w:rsid w:val="008A37E2"/>
    <w:rsid w:val="008A388E"/>
    <w:rsid w:val="008A394E"/>
    <w:rsid w:val="008A3CBA"/>
    <w:rsid w:val="008A4B59"/>
    <w:rsid w:val="008A63E1"/>
    <w:rsid w:val="008A66B7"/>
    <w:rsid w:val="008A68BB"/>
    <w:rsid w:val="008A6AA5"/>
    <w:rsid w:val="008A7127"/>
    <w:rsid w:val="008A7E04"/>
    <w:rsid w:val="008B02E7"/>
    <w:rsid w:val="008B0CBA"/>
    <w:rsid w:val="008B1850"/>
    <w:rsid w:val="008B2639"/>
    <w:rsid w:val="008B3537"/>
    <w:rsid w:val="008B35C1"/>
    <w:rsid w:val="008B3690"/>
    <w:rsid w:val="008B3A80"/>
    <w:rsid w:val="008B3AEC"/>
    <w:rsid w:val="008B3C07"/>
    <w:rsid w:val="008B3C6E"/>
    <w:rsid w:val="008B3F7B"/>
    <w:rsid w:val="008B43CA"/>
    <w:rsid w:val="008B5324"/>
    <w:rsid w:val="008B5C99"/>
    <w:rsid w:val="008B6106"/>
    <w:rsid w:val="008B7C02"/>
    <w:rsid w:val="008B7D2B"/>
    <w:rsid w:val="008B7EF9"/>
    <w:rsid w:val="008C0049"/>
    <w:rsid w:val="008C025A"/>
    <w:rsid w:val="008C0314"/>
    <w:rsid w:val="008C0E88"/>
    <w:rsid w:val="008C0EBE"/>
    <w:rsid w:val="008C1717"/>
    <w:rsid w:val="008C17F0"/>
    <w:rsid w:val="008C3A32"/>
    <w:rsid w:val="008C3B05"/>
    <w:rsid w:val="008C4B50"/>
    <w:rsid w:val="008C5A37"/>
    <w:rsid w:val="008C7569"/>
    <w:rsid w:val="008C79C3"/>
    <w:rsid w:val="008D006F"/>
    <w:rsid w:val="008D033D"/>
    <w:rsid w:val="008D06A2"/>
    <w:rsid w:val="008D0DBD"/>
    <w:rsid w:val="008D117E"/>
    <w:rsid w:val="008D127E"/>
    <w:rsid w:val="008D1CA8"/>
    <w:rsid w:val="008D1E0A"/>
    <w:rsid w:val="008D1E6A"/>
    <w:rsid w:val="008D2407"/>
    <w:rsid w:val="008D2A16"/>
    <w:rsid w:val="008D2AEC"/>
    <w:rsid w:val="008D3295"/>
    <w:rsid w:val="008D33F5"/>
    <w:rsid w:val="008D35E4"/>
    <w:rsid w:val="008D3ACD"/>
    <w:rsid w:val="008D3D21"/>
    <w:rsid w:val="008D6C3A"/>
    <w:rsid w:val="008D70E2"/>
    <w:rsid w:val="008D7F47"/>
    <w:rsid w:val="008E0001"/>
    <w:rsid w:val="008E039E"/>
    <w:rsid w:val="008E292B"/>
    <w:rsid w:val="008E2C57"/>
    <w:rsid w:val="008E31FF"/>
    <w:rsid w:val="008E3287"/>
    <w:rsid w:val="008E38E4"/>
    <w:rsid w:val="008E3DFA"/>
    <w:rsid w:val="008E419B"/>
    <w:rsid w:val="008E51EB"/>
    <w:rsid w:val="008E5746"/>
    <w:rsid w:val="008E64D7"/>
    <w:rsid w:val="008E6DCB"/>
    <w:rsid w:val="008E6E5D"/>
    <w:rsid w:val="008E6F06"/>
    <w:rsid w:val="008E7000"/>
    <w:rsid w:val="008E723E"/>
    <w:rsid w:val="008E7B8E"/>
    <w:rsid w:val="008E7FC9"/>
    <w:rsid w:val="008F0107"/>
    <w:rsid w:val="008F029B"/>
    <w:rsid w:val="008F0589"/>
    <w:rsid w:val="008F130B"/>
    <w:rsid w:val="008F2A5D"/>
    <w:rsid w:val="008F2BC7"/>
    <w:rsid w:val="008F2E83"/>
    <w:rsid w:val="008F3636"/>
    <w:rsid w:val="008F3FC9"/>
    <w:rsid w:val="008F418F"/>
    <w:rsid w:val="008F509F"/>
    <w:rsid w:val="008F525A"/>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B2B"/>
    <w:rsid w:val="00926CF0"/>
    <w:rsid w:val="009273A9"/>
    <w:rsid w:val="00930251"/>
    <w:rsid w:val="0093033E"/>
    <w:rsid w:val="009305FC"/>
    <w:rsid w:val="00930FB1"/>
    <w:rsid w:val="0093139F"/>
    <w:rsid w:val="00932239"/>
    <w:rsid w:val="00932443"/>
    <w:rsid w:val="00932B32"/>
    <w:rsid w:val="0093305E"/>
    <w:rsid w:val="00933F4A"/>
    <w:rsid w:val="009341F1"/>
    <w:rsid w:val="00934FF2"/>
    <w:rsid w:val="009358D7"/>
    <w:rsid w:val="00935BD4"/>
    <w:rsid w:val="00935DFE"/>
    <w:rsid w:val="00935F70"/>
    <w:rsid w:val="009360FA"/>
    <w:rsid w:val="0093648B"/>
    <w:rsid w:val="00937017"/>
    <w:rsid w:val="009373B2"/>
    <w:rsid w:val="00937AE2"/>
    <w:rsid w:val="0094061F"/>
    <w:rsid w:val="00940F0F"/>
    <w:rsid w:val="00941912"/>
    <w:rsid w:val="0094416B"/>
    <w:rsid w:val="0094427A"/>
    <w:rsid w:val="009449C6"/>
    <w:rsid w:val="00944C7C"/>
    <w:rsid w:val="00945245"/>
    <w:rsid w:val="00945523"/>
    <w:rsid w:val="00945636"/>
    <w:rsid w:val="00946C43"/>
    <w:rsid w:val="00946FE0"/>
    <w:rsid w:val="00950921"/>
    <w:rsid w:val="00951D68"/>
    <w:rsid w:val="00951E5B"/>
    <w:rsid w:val="00952050"/>
    <w:rsid w:val="00952315"/>
    <w:rsid w:val="009523D9"/>
    <w:rsid w:val="00952B7B"/>
    <w:rsid w:val="0095357B"/>
    <w:rsid w:val="009538B3"/>
    <w:rsid w:val="00954F39"/>
    <w:rsid w:val="009555FD"/>
    <w:rsid w:val="00955BAD"/>
    <w:rsid w:val="0095664B"/>
    <w:rsid w:val="009568DC"/>
    <w:rsid w:val="00956B8B"/>
    <w:rsid w:val="00957140"/>
    <w:rsid w:val="00957445"/>
    <w:rsid w:val="0095759C"/>
    <w:rsid w:val="009617EB"/>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3"/>
    <w:rsid w:val="00977C3D"/>
    <w:rsid w:val="00980D3D"/>
    <w:rsid w:val="0098103E"/>
    <w:rsid w:val="0098157D"/>
    <w:rsid w:val="00983101"/>
    <w:rsid w:val="00983E41"/>
    <w:rsid w:val="009845E1"/>
    <w:rsid w:val="00984CE5"/>
    <w:rsid w:val="00984D1B"/>
    <w:rsid w:val="00986246"/>
    <w:rsid w:val="00987A30"/>
    <w:rsid w:val="00990312"/>
    <w:rsid w:val="009908AF"/>
    <w:rsid w:val="0099182E"/>
    <w:rsid w:val="00991D45"/>
    <w:rsid w:val="00992B49"/>
    <w:rsid w:val="00992BB3"/>
    <w:rsid w:val="00992CF3"/>
    <w:rsid w:val="00993194"/>
    <w:rsid w:val="0099321E"/>
    <w:rsid w:val="00993ECA"/>
    <w:rsid w:val="00994171"/>
    <w:rsid w:val="00994868"/>
    <w:rsid w:val="00994976"/>
    <w:rsid w:val="00994D28"/>
    <w:rsid w:val="00994F2C"/>
    <w:rsid w:val="00995720"/>
    <w:rsid w:val="009957CC"/>
    <w:rsid w:val="009968D6"/>
    <w:rsid w:val="00997953"/>
    <w:rsid w:val="00997D55"/>
    <w:rsid w:val="009A0BFF"/>
    <w:rsid w:val="009A10A0"/>
    <w:rsid w:val="009A12B7"/>
    <w:rsid w:val="009A1CAB"/>
    <w:rsid w:val="009A2359"/>
    <w:rsid w:val="009A24F1"/>
    <w:rsid w:val="009A27E0"/>
    <w:rsid w:val="009A4D57"/>
    <w:rsid w:val="009A51A5"/>
    <w:rsid w:val="009A5309"/>
    <w:rsid w:val="009A5759"/>
    <w:rsid w:val="009A60D1"/>
    <w:rsid w:val="009A6225"/>
    <w:rsid w:val="009A64F5"/>
    <w:rsid w:val="009B00D2"/>
    <w:rsid w:val="009B05B3"/>
    <w:rsid w:val="009B07C8"/>
    <w:rsid w:val="009B0CAF"/>
    <w:rsid w:val="009B1324"/>
    <w:rsid w:val="009B2558"/>
    <w:rsid w:val="009B284F"/>
    <w:rsid w:val="009B3742"/>
    <w:rsid w:val="009B3764"/>
    <w:rsid w:val="009B3840"/>
    <w:rsid w:val="009B52AC"/>
    <w:rsid w:val="009B553D"/>
    <w:rsid w:val="009B59EA"/>
    <w:rsid w:val="009B5B6E"/>
    <w:rsid w:val="009B66CE"/>
    <w:rsid w:val="009B6FD3"/>
    <w:rsid w:val="009B72BE"/>
    <w:rsid w:val="009B78A4"/>
    <w:rsid w:val="009B7DB2"/>
    <w:rsid w:val="009C03DB"/>
    <w:rsid w:val="009C15AF"/>
    <w:rsid w:val="009C1750"/>
    <w:rsid w:val="009C2E29"/>
    <w:rsid w:val="009C3E8F"/>
    <w:rsid w:val="009C554B"/>
    <w:rsid w:val="009C5E83"/>
    <w:rsid w:val="009C66F8"/>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D78C3"/>
    <w:rsid w:val="009E1120"/>
    <w:rsid w:val="009E1393"/>
    <w:rsid w:val="009E1922"/>
    <w:rsid w:val="009E1A3D"/>
    <w:rsid w:val="009E4715"/>
    <w:rsid w:val="009E4A58"/>
    <w:rsid w:val="009E5273"/>
    <w:rsid w:val="009E57A8"/>
    <w:rsid w:val="009E5B85"/>
    <w:rsid w:val="009E5BF4"/>
    <w:rsid w:val="009E5DDB"/>
    <w:rsid w:val="009F032E"/>
    <w:rsid w:val="009F1CA6"/>
    <w:rsid w:val="009F2921"/>
    <w:rsid w:val="009F2D61"/>
    <w:rsid w:val="009F3063"/>
    <w:rsid w:val="009F42CF"/>
    <w:rsid w:val="009F4982"/>
    <w:rsid w:val="009F4CA7"/>
    <w:rsid w:val="009F4F6A"/>
    <w:rsid w:val="009F55BA"/>
    <w:rsid w:val="009F7D36"/>
    <w:rsid w:val="009F7D61"/>
    <w:rsid w:val="00A00470"/>
    <w:rsid w:val="00A00E71"/>
    <w:rsid w:val="00A016B3"/>
    <w:rsid w:val="00A0187B"/>
    <w:rsid w:val="00A02E8B"/>
    <w:rsid w:val="00A0306F"/>
    <w:rsid w:val="00A03511"/>
    <w:rsid w:val="00A03B10"/>
    <w:rsid w:val="00A03E2E"/>
    <w:rsid w:val="00A04616"/>
    <w:rsid w:val="00A04717"/>
    <w:rsid w:val="00A05D8F"/>
    <w:rsid w:val="00A05EB1"/>
    <w:rsid w:val="00A05EE4"/>
    <w:rsid w:val="00A06F99"/>
    <w:rsid w:val="00A1053B"/>
    <w:rsid w:val="00A10D66"/>
    <w:rsid w:val="00A113A4"/>
    <w:rsid w:val="00A12A8E"/>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28B"/>
    <w:rsid w:val="00A20FE1"/>
    <w:rsid w:val="00A2102F"/>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5FC3"/>
    <w:rsid w:val="00A2628E"/>
    <w:rsid w:val="00A266BF"/>
    <w:rsid w:val="00A26777"/>
    <w:rsid w:val="00A269AB"/>
    <w:rsid w:val="00A2731E"/>
    <w:rsid w:val="00A309AC"/>
    <w:rsid w:val="00A30EA4"/>
    <w:rsid w:val="00A30F65"/>
    <w:rsid w:val="00A315D0"/>
    <w:rsid w:val="00A3279E"/>
    <w:rsid w:val="00A32A91"/>
    <w:rsid w:val="00A33DB1"/>
    <w:rsid w:val="00A33EEB"/>
    <w:rsid w:val="00A351C8"/>
    <w:rsid w:val="00A35900"/>
    <w:rsid w:val="00A35F33"/>
    <w:rsid w:val="00A401A3"/>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240"/>
    <w:rsid w:val="00A478BA"/>
    <w:rsid w:val="00A50D73"/>
    <w:rsid w:val="00A518BB"/>
    <w:rsid w:val="00A51A9B"/>
    <w:rsid w:val="00A52A88"/>
    <w:rsid w:val="00A52CAD"/>
    <w:rsid w:val="00A53340"/>
    <w:rsid w:val="00A53FC7"/>
    <w:rsid w:val="00A55569"/>
    <w:rsid w:val="00A55C36"/>
    <w:rsid w:val="00A5661B"/>
    <w:rsid w:val="00A566A0"/>
    <w:rsid w:val="00A601E7"/>
    <w:rsid w:val="00A60AC1"/>
    <w:rsid w:val="00A62162"/>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09AD"/>
    <w:rsid w:val="00A81652"/>
    <w:rsid w:val="00A82BF0"/>
    <w:rsid w:val="00A82C91"/>
    <w:rsid w:val="00A83150"/>
    <w:rsid w:val="00A83398"/>
    <w:rsid w:val="00A83D6E"/>
    <w:rsid w:val="00A83FD5"/>
    <w:rsid w:val="00A8521A"/>
    <w:rsid w:val="00A857C0"/>
    <w:rsid w:val="00A85ACB"/>
    <w:rsid w:val="00A9036F"/>
    <w:rsid w:val="00A9092B"/>
    <w:rsid w:val="00A90F2C"/>
    <w:rsid w:val="00A90FED"/>
    <w:rsid w:val="00A91482"/>
    <w:rsid w:val="00A9189D"/>
    <w:rsid w:val="00A91E71"/>
    <w:rsid w:val="00A91EAD"/>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49E1"/>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C7B96"/>
    <w:rsid w:val="00AD0B22"/>
    <w:rsid w:val="00AD0EE7"/>
    <w:rsid w:val="00AD168E"/>
    <w:rsid w:val="00AD306C"/>
    <w:rsid w:val="00AD44CD"/>
    <w:rsid w:val="00AD47A7"/>
    <w:rsid w:val="00AD5AD2"/>
    <w:rsid w:val="00AD6462"/>
    <w:rsid w:val="00AD66C5"/>
    <w:rsid w:val="00AD68C4"/>
    <w:rsid w:val="00AD71F9"/>
    <w:rsid w:val="00AE09B3"/>
    <w:rsid w:val="00AE1A83"/>
    <w:rsid w:val="00AE2A78"/>
    <w:rsid w:val="00AE30BE"/>
    <w:rsid w:val="00AE3E6A"/>
    <w:rsid w:val="00AE417E"/>
    <w:rsid w:val="00AE56EE"/>
    <w:rsid w:val="00AE6414"/>
    <w:rsid w:val="00AE7269"/>
    <w:rsid w:val="00AE797C"/>
    <w:rsid w:val="00AE7CE7"/>
    <w:rsid w:val="00AE7FAB"/>
    <w:rsid w:val="00AF0DE4"/>
    <w:rsid w:val="00AF12A0"/>
    <w:rsid w:val="00AF1E87"/>
    <w:rsid w:val="00AF422A"/>
    <w:rsid w:val="00AF436B"/>
    <w:rsid w:val="00AF5179"/>
    <w:rsid w:val="00AF5CC2"/>
    <w:rsid w:val="00AF660D"/>
    <w:rsid w:val="00AF6776"/>
    <w:rsid w:val="00AF6F98"/>
    <w:rsid w:val="00AF7277"/>
    <w:rsid w:val="00B00550"/>
    <w:rsid w:val="00B00913"/>
    <w:rsid w:val="00B00D4D"/>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27EC6"/>
    <w:rsid w:val="00B3108D"/>
    <w:rsid w:val="00B32DDB"/>
    <w:rsid w:val="00B32F57"/>
    <w:rsid w:val="00B3345C"/>
    <w:rsid w:val="00B343C4"/>
    <w:rsid w:val="00B34528"/>
    <w:rsid w:val="00B34750"/>
    <w:rsid w:val="00B34CC9"/>
    <w:rsid w:val="00B34CDA"/>
    <w:rsid w:val="00B35160"/>
    <w:rsid w:val="00B3563B"/>
    <w:rsid w:val="00B36BDC"/>
    <w:rsid w:val="00B37D3A"/>
    <w:rsid w:val="00B37D96"/>
    <w:rsid w:val="00B402FC"/>
    <w:rsid w:val="00B422E2"/>
    <w:rsid w:val="00B42517"/>
    <w:rsid w:val="00B42902"/>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274C"/>
    <w:rsid w:val="00B63A11"/>
    <w:rsid w:val="00B64425"/>
    <w:rsid w:val="00B6445A"/>
    <w:rsid w:val="00B64C24"/>
    <w:rsid w:val="00B64E72"/>
    <w:rsid w:val="00B65CEF"/>
    <w:rsid w:val="00B6608F"/>
    <w:rsid w:val="00B674C7"/>
    <w:rsid w:val="00B67749"/>
    <w:rsid w:val="00B679FB"/>
    <w:rsid w:val="00B71FBF"/>
    <w:rsid w:val="00B734A0"/>
    <w:rsid w:val="00B73A14"/>
    <w:rsid w:val="00B73FE8"/>
    <w:rsid w:val="00B748BD"/>
    <w:rsid w:val="00B74964"/>
    <w:rsid w:val="00B76100"/>
    <w:rsid w:val="00B7680F"/>
    <w:rsid w:val="00B76B48"/>
    <w:rsid w:val="00B76D1E"/>
    <w:rsid w:val="00B77543"/>
    <w:rsid w:val="00B77584"/>
    <w:rsid w:val="00B77E34"/>
    <w:rsid w:val="00B80D44"/>
    <w:rsid w:val="00B80D89"/>
    <w:rsid w:val="00B80EC6"/>
    <w:rsid w:val="00B81288"/>
    <w:rsid w:val="00B81D70"/>
    <w:rsid w:val="00B833B9"/>
    <w:rsid w:val="00B83AAF"/>
    <w:rsid w:val="00B83E07"/>
    <w:rsid w:val="00B84CF6"/>
    <w:rsid w:val="00B85016"/>
    <w:rsid w:val="00B8507A"/>
    <w:rsid w:val="00B8561A"/>
    <w:rsid w:val="00B86628"/>
    <w:rsid w:val="00B86643"/>
    <w:rsid w:val="00B868F7"/>
    <w:rsid w:val="00B86EB1"/>
    <w:rsid w:val="00B871A7"/>
    <w:rsid w:val="00B90131"/>
    <w:rsid w:val="00B92951"/>
    <w:rsid w:val="00B92D1D"/>
    <w:rsid w:val="00B92D7E"/>
    <w:rsid w:val="00B930CE"/>
    <w:rsid w:val="00B938C5"/>
    <w:rsid w:val="00B940A8"/>
    <w:rsid w:val="00B9554A"/>
    <w:rsid w:val="00B95940"/>
    <w:rsid w:val="00B95ACA"/>
    <w:rsid w:val="00B95C12"/>
    <w:rsid w:val="00B96D74"/>
    <w:rsid w:val="00B9720E"/>
    <w:rsid w:val="00B97ACC"/>
    <w:rsid w:val="00B97F3A"/>
    <w:rsid w:val="00B97FE2"/>
    <w:rsid w:val="00BA0E0B"/>
    <w:rsid w:val="00BA201A"/>
    <w:rsid w:val="00BA21DF"/>
    <w:rsid w:val="00BA361D"/>
    <w:rsid w:val="00BA3787"/>
    <w:rsid w:val="00BA403A"/>
    <w:rsid w:val="00BA46E8"/>
    <w:rsid w:val="00BA49DB"/>
    <w:rsid w:val="00BA4AE9"/>
    <w:rsid w:val="00BA4E19"/>
    <w:rsid w:val="00BA5125"/>
    <w:rsid w:val="00BA6436"/>
    <w:rsid w:val="00BA64F2"/>
    <w:rsid w:val="00BA684E"/>
    <w:rsid w:val="00BA6C2B"/>
    <w:rsid w:val="00BA7B64"/>
    <w:rsid w:val="00BB02A3"/>
    <w:rsid w:val="00BB0351"/>
    <w:rsid w:val="00BB15C3"/>
    <w:rsid w:val="00BB1AF4"/>
    <w:rsid w:val="00BB2202"/>
    <w:rsid w:val="00BB286B"/>
    <w:rsid w:val="00BB3C6B"/>
    <w:rsid w:val="00BB3FD6"/>
    <w:rsid w:val="00BB453F"/>
    <w:rsid w:val="00BB46F3"/>
    <w:rsid w:val="00BB4A71"/>
    <w:rsid w:val="00BB4CB1"/>
    <w:rsid w:val="00BB4E47"/>
    <w:rsid w:val="00BB4F98"/>
    <w:rsid w:val="00BB50C0"/>
    <w:rsid w:val="00BB5AB2"/>
    <w:rsid w:val="00BB5ABF"/>
    <w:rsid w:val="00BB5F94"/>
    <w:rsid w:val="00BB6EA2"/>
    <w:rsid w:val="00BB7142"/>
    <w:rsid w:val="00BB76F3"/>
    <w:rsid w:val="00BB7B5B"/>
    <w:rsid w:val="00BB7EB1"/>
    <w:rsid w:val="00BC003F"/>
    <w:rsid w:val="00BC06AA"/>
    <w:rsid w:val="00BC0930"/>
    <w:rsid w:val="00BC223A"/>
    <w:rsid w:val="00BC327F"/>
    <w:rsid w:val="00BC3512"/>
    <w:rsid w:val="00BC4B35"/>
    <w:rsid w:val="00BC50BE"/>
    <w:rsid w:val="00BC5332"/>
    <w:rsid w:val="00BC5715"/>
    <w:rsid w:val="00BC5C12"/>
    <w:rsid w:val="00BC641B"/>
    <w:rsid w:val="00BC7154"/>
    <w:rsid w:val="00BC731E"/>
    <w:rsid w:val="00BC7614"/>
    <w:rsid w:val="00BC7EFA"/>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55EF"/>
    <w:rsid w:val="00BE652B"/>
    <w:rsid w:val="00BE7F5F"/>
    <w:rsid w:val="00BF02C8"/>
    <w:rsid w:val="00BF1578"/>
    <w:rsid w:val="00BF15CA"/>
    <w:rsid w:val="00BF1D12"/>
    <w:rsid w:val="00BF1D3A"/>
    <w:rsid w:val="00BF2B5B"/>
    <w:rsid w:val="00BF2D41"/>
    <w:rsid w:val="00BF3274"/>
    <w:rsid w:val="00BF32DC"/>
    <w:rsid w:val="00BF35C9"/>
    <w:rsid w:val="00BF40A9"/>
    <w:rsid w:val="00BF4329"/>
    <w:rsid w:val="00BF4E43"/>
    <w:rsid w:val="00BF5C4C"/>
    <w:rsid w:val="00BF765C"/>
    <w:rsid w:val="00BF77FC"/>
    <w:rsid w:val="00C006D6"/>
    <w:rsid w:val="00C00BD7"/>
    <w:rsid w:val="00C01410"/>
    <w:rsid w:val="00C024BB"/>
    <w:rsid w:val="00C02D23"/>
    <w:rsid w:val="00C03D4D"/>
    <w:rsid w:val="00C044F4"/>
    <w:rsid w:val="00C04B78"/>
    <w:rsid w:val="00C052AA"/>
    <w:rsid w:val="00C06EE3"/>
    <w:rsid w:val="00C07279"/>
    <w:rsid w:val="00C07749"/>
    <w:rsid w:val="00C07C2F"/>
    <w:rsid w:val="00C07C67"/>
    <w:rsid w:val="00C10805"/>
    <w:rsid w:val="00C11244"/>
    <w:rsid w:val="00C118A9"/>
    <w:rsid w:val="00C11D48"/>
    <w:rsid w:val="00C12304"/>
    <w:rsid w:val="00C12316"/>
    <w:rsid w:val="00C1246C"/>
    <w:rsid w:val="00C1493E"/>
    <w:rsid w:val="00C15537"/>
    <w:rsid w:val="00C15DBD"/>
    <w:rsid w:val="00C161C5"/>
    <w:rsid w:val="00C172F7"/>
    <w:rsid w:val="00C2010D"/>
    <w:rsid w:val="00C20CB5"/>
    <w:rsid w:val="00C21430"/>
    <w:rsid w:val="00C216DF"/>
    <w:rsid w:val="00C21E61"/>
    <w:rsid w:val="00C21F94"/>
    <w:rsid w:val="00C223E8"/>
    <w:rsid w:val="00C224BD"/>
    <w:rsid w:val="00C2272B"/>
    <w:rsid w:val="00C234DB"/>
    <w:rsid w:val="00C23C5C"/>
    <w:rsid w:val="00C2479A"/>
    <w:rsid w:val="00C24903"/>
    <w:rsid w:val="00C2590D"/>
    <w:rsid w:val="00C25D9C"/>
    <w:rsid w:val="00C26086"/>
    <w:rsid w:val="00C27913"/>
    <w:rsid w:val="00C27FA7"/>
    <w:rsid w:val="00C300E2"/>
    <w:rsid w:val="00C31F21"/>
    <w:rsid w:val="00C32631"/>
    <w:rsid w:val="00C33301"/>
    <w:rsid w:val="00C33311"/>
    <w:rsid w:val="00C33B68"/>
    <w:rsid w:val="00C34AD4"/>
    <w:rsid w:val="00C35570"/>
    <w:rsid w:val="00C3579B"/>
    <w:rsid w:val="00C35A2A"/>
    <w:rsid w:val="00C36A79"/>
    <w:rsid w:val="00C401A9"/>
    <w:rsid w:val="00C401D2"/>
    <w:rsid w:val="00C4031A"/>
    <w:rsid w:val="00C405D4"/>
    <w:rsid w:val="00C419D5"/>
    <w:rsid w:val="00C41D54"/>
    <w:rsid w:val="00C42EBB"/>
    <w:rsid w:val="00C435E8"/>
    <w:rsid w:val="00C4513B"/>
    <w:rsid w:val="00C475E8"/>
    <w:rsid w:val="00C50E79"/>
    <w:rsid w:val="00C5197D"/>
    <w:rsid w:val="00C525FB"/>
    <w:rsid w:val="00C527AD"/>
    <w:rsid w:val="00C5390B"/>
    <w:rsid w:val="00C540D3"/>
    <w:rsid w:val="00C54257"/>
    <w:rsid w:val="00C54697"/>
    <w:rsid w:val="00C550CE"/>
    <w:rsid w:val="00C553A5"/>
    <w:rsid w:val="00C55402"/>
    <w:rsid w:val="00C5603B"/>
    <w:rsid w:val="00C6020C"/>
    <w:rsid w:val="00C60AE3"/>
    <w:rsid w:val="00C61F47"/>
    <w:rsid w:val="00C62828"/>
    <w:rsid w:val="00C63132"/>
    <w:rsid w:val="00C655DA"/>
    <w:rsid w:val="00C672C1"/>
    <w:rsid w:val="00C706D2"/>
    <w:rsid w:val="00C715CC"/>
    <w:rsid w:val="00C719A3"/>
    <w:rsid w:val="00C71D2F"/>
    <w:rsid w:val="00C72984"/>
    <w:rsid w:val="00C72BC7"/>
    <w:rsid w:val="00C73885"/>
    <w:rsid w:val="00C73C93"/>
    <w:rsid w:val="00C7435A"/>
    <w:rsid w:val="00C747B1"/>
    <w:rsid w:val="00C75510"/>
    <w:rsid w:val="00C755F9"/>
    <w:rsid w:val="00C75752"/>
    <w:rsid w:val="00C75B60"/>
    <w:rsid w:val="00C761EC"/>
    <w:rsid w:val="00C770C9"/>
    <w:rsid w:val="00C773D8"/>
    <w:rsid w:val="00C8019E"/>
    <w:rsid w:val="00C81070"/>
    <w:rsid w:val="00C8174E"/>
    <w:rsid w:val="00C82191"/>
    <w:rsid w:val="00C83134"/>
    <w:rsid w:val="00C831E7"/>
    <w:rsid w:val="00C832F3"/>
    <w:rsid w:val="00C84307"/>
    <w:rsid w:val="00C845A4"/>
    <w:rsid w:val="00C8504C"/>
    <w:rsid w:val="00C85545"/>
    <w:rsid w:val="00C855B5"/>
    <w:rsid w:val="00C85F0E"/>
    <w:rsid w:val="00C867F9"/>
    <w:rsid w:val="00C872AA"/>
    <w:rsid w:val="00C87C6B"/>
    <w:rsid w:val="00C90357"/>
    <w:rsid w:val="00C90CF4"/>
    <w:rsid w:val="00C91C20"/>
    <w:rsid w:val="00C922DE"/>
    <w:rsid w:val="00C92843"/>
    <w:rsid w:val="00C929FE"/>
    <w:rsid w:val="00C92EB6"/>
    <w:rsid w:val="00C93389"/>
    <w:rsid w:val="00C948E6"/>
    <w:rsid w:val="00C94CDD"/>
    <w:rsid w:val="00C95123"/>
    <w:rsid w:val="00C97588"/>
    <w:rsid w:val="00CA0346"/>
    <w:rsid w:val="00CA0649"/>
    <w:rsid w:val="00CA0BD5"/>
    <w:rsid w:val="00CA0DA1"/>
    <w:rsid w:val="00CA1BD6"/>
    <w:rsid w:val="00CA2D95"/>
    <w:rsid w:val="00CA37FF"/>
    <w:rsid w:val="00CA423A"/>
    <w:rsid w:val="00CA47BC"/>
    <w:rsid w:val="00CA5EAD"/>
    <w:rsid w:val="00CA6AB4"/>
    <w:rsid w:val="00CA7255"/>
    <w:rsid w:val="00CA79E2"/>
    <w:rsid w:val="00CA7E12"/>
    <w:rsid w:val="00CB111E"/>
    <w:rsid w:val="00CB18B2"/>
    <w:rsid w:val="00CB1BEE"/>
    <w:rsid w:val="00CB2351"/>
    <w:rsid w:val="00CB2BF7"/>
    <w:rsid w:val="00CB3605"/>
    <w:rsid w:val="00CB3ECE"/>
    <w:rsid w:val="00CB4022"/>
    <w:rsid w:val="00CB4257"/>
    <w:rsid w:val="00CB4930"/>
    <w:rsid w:val="00CB4BA9"/>
    <w:rsid w:val="00CB4C48"/>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469E"/>
    <w:rsid w:val="00CC5BE8"/>
    <w:rsid w:val="00CC612B"/>
    <w:rsid w:val="00CC655F"/>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5EE0"/>
    <w:rsid w:val="00CD6331"/>
    <w:rsid w:val="00CD7E9E"/>
    <w:rsid w:val="00CE12FB"/>
    <w:rsid w:val="00CE14BE"/>
    <w:rsid w:val="00CE17A4"/>
    <w:rsid w:val="00CE1BA9"/>
    <w:rsid w:val="00CE2D8F"/>
    <w:rsid w:val="00CE3532"/>
    <w:rsid w:val="00CE3E48"/>
    <w:rsid w:val="00CE46C0"/>
    <w:rsid w:val="00CE47B8"/>
    <w:rsid w:val="00CE54FD"/>
    <w:rsid w:val="00CE5C92"/>
    <w:rsid w:val="00CE5E12"/>
    <w:rsid w:val="00CE62FA"/>
    <w:rsid w:val="00CE670B"/>
    <w:rsid w:val="00CE6833"/>
    <w:rsid w:val="00CE7562"/>
    <w:rsid w:val="00CF020B"/>
    <w:rsid w:val="00CF0E03"/>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842"/>
    <w:rsid w:val="00D03A72"/>
    <w:rsid w:val="00D040DD"/>
    <w:rsid w:val="00D04134"/>
    <w:rsid w:val="00D05C65"/>
    <w:rsid w:val="00D06B56"/>
    <w:rsid w:val="00D06D68"/>
    <w:rsid w:val="00D075BE"/>
    <w:rsid w:val="00D07AFF"/>
    <w:rsid w:val="00D07CC2"/>
    <w:rsid w:val="00D10C15"/>
    <w:rsid w:val="00D11011"/>
    <w:rsid w:val="00D11476"/>
    <w:rsid w:val="00D12C25"/>
    <w:rsid w:val="00D133B4"/>
    <w:rsid w:val="00D13986"/>
    <w:rsid w:val="00D13F3E"/>
    <w:rsid w:val="00D14C5B"/>
    <w:rsid w:val="00D15D3A"/>
    <w:rsid w:val="00D15FED"/>
    <w:rsid w:val="00D16712"/>
    <w:rsid w:val="00D174E0"/>
    <w:rsid w:val="00D214EF"/>
    <w:rsid w:val="00D215B0"/>
    <w:rsid w:val="00D21B36"/>
    <w:rsid w:val="00D21D6D"/>
    <w:rsid w:val="00D21D83"/>
    <w:rsid w:val="00D22A47"/>
    <w:rsid w:val="00D235B7"/>
    <w:rsid w:val="00D23A99"/>
    <w:rsid w:val="00D23FAE"/>
    <w:rsid w:val="00D25F28"/>
    <w:rsid w:val="00D26071"/>
    <w:rsid w:val="00D260C7"/>
    <w:rsid w:val="00D26133"/>
    <w:rsid w:val="00D269B9"/>
    <w:rsid w:val="00D26E6B"/>
    <w:rsid w:val="00D27973"/>
    <w:rsid w:val="00D27F07"/>
    <w:rsid w:val="00D27F3A"/>
    <w:rsid w:val="00D31537"/>
    <w:rsid w:val="00D31E1E"/>
    <w:rsid w:val="00D322A0"/>
    <w:rsid w:val="00D32824"/>
    <w:rsid w:val="00D33297"/>
    <w:rsid w:val="00D334E2"/>
    <w:rsid w:val="00D335E5"/>
    <w:rsid w:val="00D350B1"/>
    <w:rsid w:val="00D35AD6"/>
    <w:rsid w:val="00D35BBB"/>
    <w:rsid w:val="00D35E1A"/>
    <w:rsid w:val="00D36B0A"/>
    <w:rsid w:val="00D36DFB"/>
    <w:rsid w:val="00D36E1C"/>
    <w:rsid w:val="00D373AF"/>
    <w:rsid w:val="00D40556"/>
    <w:rsid w:val="00D418E9"/>
    <w:rsid w:val="00D41F74"/>
    <w:rsid w:val="00D428C8"/>
    <w:rsid w:val="00D43034"/>
    <w:rsid w:val="00D43ED2"/>
    <w:rsid w:val="00D50F46"/>
    <w:rsid w:val="00D5302A"/>
    <w:rsid w:val="00D533C4"/>
    <w:rsid w:val="00D5384E"/>
    <w:rsid w:val="00D544E7"/>
    <w:rsid w:val="00D5499F"/>
    <w:rsid w:val="00D5560A"/>
    <w:rsid w:val="00D56FBF"/>
    <w:rsid w:val="00D57677"/>
    <w:rsid w:val="00D5781F"/>
    <w:rsid w:val="00D60415"/>
    <w:rsid w:val="00D60DAE"/>
    <w:rsid w:val="00D60E3C"/>
    <w:rsid w:val="00D60FA7"/>
    <w:rsid w:val="00D61FAB"/>
    <w:rsid w:val="00D62C4E"/>
    <w:rsid w:val="00D63BE5"/>
    <w:rsid w:val="00D6475F"/>
    <w:rsid w:val="00D652EB"/>
    <w:rsid w:val="00D655D4"/>
    <w:rsid w:val="00D66223"/>
    <w:rsid w:val="00D667B8"/>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08"/>
    <w:rsid w:val="00D82EF1"/>
    <w:rsid w:val="00D84CC9"/>
    <w:rsid w:val="00D84F43"/>
    <w:rsid w:val="00D85114"/>
    <w:rsid w:val="00D85821"/>
    <w:rsid w:val="00D8598C"/>
    <w:rsid w:val="00D87C06"/>
    <w:rsid w:val="00D915EA"/>
    <w:rsid w:val="00D919ED"/>
    <w:rsid w:val="00D922A1"/>
    <w:rsid w:val="00D928BE"/>
    <w:rsid w:val="00D92CD7"/>
    <w:rsid w:val="00D932B8"/>
    <w:rsid w:val="00D932F0"/>
    <w:rsid w:val="00D95302"/>
    <w:rsid w:val="00D95889"/>
    <w:rsid w:val="00D95C5D"/>
    <w:rsid w:val="00D95CBE"/>
    <w:rsid w:val="00D95E7F"/>
    <w:rsid w:val="00D96B03"/>
    <w:rsid w:val="00D97D00"/>
    <w:rsid w:val="00DA0121"/>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613B"/>
    <w:rsid w:val="00DB657E"/>
    <w:rsid w:val="00DB7342"/>
    <w:rsid w:val="00DB7489"/>
    <w:rsid w:val="00DC0B4D"/>
    <w:rsid w:val="00DC0CBB"/>
    <w:rsid w:val="00DC17D0"/>
    <w:rsid w:val="00DC1E5D"/>
    <w:rsid w:val="00DC2B41"/>
    <w:rsid w:val="00DC2EA7"/>
    <w:rsid w:val="00DC3128"/>
    <w:rsid w:val="00DC435B"/>
    <w:rsid w:val="00DC4AC4"/>
    <w:rsid w:val="00DC53D8"/>
    <w:rsid w:val="00DC56FE"/>
    <w:rsid w:val="00DC5B3B"/>
    <w:rsid w:val="00DC5F11"/>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273F"/>
    <w:rsid w:val="00DE27CD"/>
    <w:rsid w:val="00DE2B97"/>
    <w:rsid w:val="00DE3231"/>
    <w:rsid w:val="00DE3E22"/>
    <w:rsid w:val="00DE3E5D"/>
    <w:rsid w:val="00DE450F"/>
    <w:rsid w:val="00DE4865"/>
    <w:rsid w:val="00DE5CA6"/>
    <w:rsid w:val="00DE5E55"/>
    <w:rsid w:val="00DE6209"/>
    <w:rsid w:val="00DE63AE"/>
    <w:rsid w:val="00DE7156"/>
    <w:rsid w:val="00DE7AC8"/>
    <w:rsid w:val="00DF0830"/>
    <w:rsid w:val="00DF1D57"/>
    <w:rsid w:val="00DF2C5D"/>
    <w:rsid w:val="00DF2CD3"/>
    <w:rsid w:val="00DF3643"/>
    <w:rsid w:val="00DF42FF"/>
    <w:rsid w:val="00DF4369"/>
    <w:rsid w:val="00DF4423"/>
    <w:rsid w:val="00DF4ADF"/>
    <w:rsid w:val="00DF57D6"/>
    <w:rsid w:val="00DF5D1E"/>
    <w:rsid w:val="00DF7489"/>
    <w:rsid w:val="00DF77E4"/>
    <w:rsid w:val="00DF7F88"/>
    <w:rsid w:val="00E00B88"/>
    <w:rsid w:val="00E01C0E"/>
    <w:rsid w:val="00E0368F"/>
    <w:rsid w:val="00E03D73"/>
    <w:rsid w:val="00E03F9A"/>
    <w:rsid w:val="00E040DA"/>
    <w:rsid w:val="00E04694"/>
    <w:rsid w:val="00E05333"/>
    <w:rsid w:val="00E1168B"/>
    <w:rsid w:val="00E12191"/>
    <w:rsid w:val="00E129E7"/>
    <w:rsid w:val="00E12ABE"/>
    <w:rsid w:val="00E12B1E"/>
    <w:rsid w:val="00E135EB"/>
    <w:rsid w:val="00E13995"/>
    <w:rsid w:val="00E1444C"/>
    <w:rsid w:val="00E159C6"/>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131"/>
    <w:rsid w:val="00E41179"/>
    <w:rsid w:val="00E417BE"/>
    <w:rsid w:val="00E41CD5"/>
    <w:rsid w:val="00E42054"/>
    <w:rsid w:val="00E4372D"/>
    <w:rsid w:val="00E43A9E"/>
    <w:rsid w:val="00E44243"/>
    <w:rsid w:val="00E453F9"/>
    <w:rsid w:val="00E45D7D"/>
    <w:rsid w:val="00E4623F"/>
    <w:rsid w:val="00E4665D"/>
    <w:rsid w:val="00E47854"/>
    <w:rsid w:val="00E478E2"/>
    <w:rsid w:val="00E47C5D"/>
    <w:rsid w:val="00E47EBA"/>
    <w:rsid w:val="00E50156"/>
    <w:rsid w:val="00E504EB"/>
    <w:rsid w:val="00E5076C"/>
    <w:rsid w:val="00E50D2E"/>
    <w:rsid w:val="00E50D7D"/>
    <w:rsid w:val="00E51EF0"/>
    <w:rsid w:val="00E53470"/>
    <w:rsid w:val="00E5368D"/>
    <w:rsid w:val="00E539F6"/>
    <w:rsid w:val="00E54698"/>
    <w:rsid w:val="00E54BE9"/>
    <w:rsid w:val="00E54D22"/>
    <w:rsid w:val="00E54FB4"/>
    <w:rsid w:val="00E5539A"/>
    <w:rsid w:val="00E55791"/>
    <w:rsid w:val="00E55E1A"/>
    <w:rsid w:val="00E578A2"/>
    <w:rsid w:val="00E579ED"/>
    <w:rsid w:val="00E60043"/>
    <w:rsid w:val="00E61740"/>
    <w:rsid w:val="00E61EB5"/>
    <w:rsid w:val="00E6324D"/>
    <w:rsid w:val="00E647C1"/>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66E"/>
    <w:rsid w:val="00E75C94"/>
    <w:rsid w:val="00E76A08"/>
    <w:rsid w:val="00E76B9B"/>
    <w:rsid w:val="00E76E61"/>
    <w:rsid w:val="00E76EE4"/>
    <w:rsid w:val="00E77CC0"/>
    <w:rsid w:val="00E80B3D"/>
    <w:rsid w:val="00E80CA3"/>
    <w:rsid w:val="00E81AAA"/>
    <w:rsid w:val="00E82618"/>
    <w:rsid w:val="00E82A42"/>
    <w:rsid w:val="00E82AB6"/>
    <w:rsid w:val="00E84E09"/>
    <w:rsid w:val="00E87CE2"/>
    <w:rsid w:val="00E87D5B"/>
    <w:rsid w:val="00E90CA8"/>
    <w:rsid w:val="00E911C6"/>
    <w:rsid w:val="00E920DE"/>
    <w:rsid w:val="00E930A1"/>
    <w:rsid w:val="00E93820"/>
    <w:rsid w:val="00E93FD5"/>
    <w:rsid w:val="00E94A86"/>
    <w:rsid w:val="00E951AB"/>
    <w:rsid w:val="00E953F6"/>
    <w:rsid w:val="00E96143"/>
    <w:rsid w:val="00E96833"/>
    <w:rsid w:val="00E97506"/>
    <w:rsid w:val="00E97BB5"/>
    <w:rsid w:val="00E97D5B"/>
    <w:rsid w:val="00E97F14"/>
    <w:rsid w:val="00EA0B1A"/>
    <w:rsid w:val="00EA0C68"/>
    <w:rsid w:val="00EA0E39"/>
    <w:rsid w:val="00EA1D0E"/>
    <w:rsid w:val="00EA1EBB"/>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1D89"/>
    <w:rsid w:val="00EB3E60"/>
    <w:rsid w:val="00EB4511"/>
    <w:rsid w:val="00EB48D7"/>
    <w:rsid w:val="00EB49F1"/>
    <w:rsid w:val="00EB4A8E"/>
    <w:rsid w:val="00EB4BC5"/>
    <w:rsid w:val="00EB5BF7"/>
    <w:rsid w:val="00EB5E79"/>
    <w:rsid w:val="00EB6473"/>
    <w:rsid w:val="00EB6DA6"/>
    <w:rsid w:val="00EB6FAC"/>
    <w:rsid w:val="00EB7BAC"/>
    <w:rsid w:val="00EB7CC9"/>
    <w:rsid w:val="00EC03D7"/>
    <w:rsid w:val="00EC13A7"/>
    <w:rsid w:val="00EC189D"/>
    <w:rsid w:val="00EC2EB6"/>
    <w:rsid w:val="00EC434A"/>
    <w:rsid w:val="00EC4FFF"/>
    <w:rsid w:val="00EC5517"/>
    <w:rsid w:val="00EC6B23"/>
    <w:rsid w:val="00EC6E8C"/>
    <w:rsid w:val="00ED0962"/>
    <w:rsid w:val="00ED0EF0"/>
    <w:rsid w:val="00ED0F73"/>
    <w:rsid w:val="00ED12B9"/>
    <w:rsid w:val="00ED16B8"/>
    <w:rsid w:val="00ED1959"/>
    <w:rsid w:val="00ED1A00"/>
    <w:rsid w:val="00ED1DF0"/>
    <w:rsid w:val="00ED2386"/>
    <w:rsid w:val="00ED2525"/>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A09"/>
    <w:rsid w:val="00EE6E06"/>
    <w:rsid w:val="00EE7179"/>
    <w:rsid w:val="00EF0D90"/>
    <w:rsid w:val="00EF150D"/>
    <w:rsid w:val="00EF1967"/>
    <w:rsid w:val="00EF1F5A"/>
    <w:rsid w:val="00EF23B5"/>
    <w:rsid w:val="00EF326A"/>
    <w:rsid w:val="00EF3898"/>
    <w:rsid w:val="00EF47BF"/>
    <w:rsid w:val="00EF52F7"/>
    <w:rsid w:val="00EF54CF"/>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4955"/>
    <w:rsid w:val="00F052D2"/>
    <w:rsid w:val="00F06002"/>
    <w:rsid w:val="00F067B8"/>
    <w:rsid w:val="00F0730A"/>
    <w:rsid w:val="00F073ED"/>
    <w:rsid w:val="00F07C4C"/>
    <w:rsid w:val="00F07E45"/>
    <w:rsid w:val="00F10F11"/>
    <w:rsid w:val="00F11159"/>
    <w:rsid w:val="00F1152E"/>
    <w:rsid w:val="00F115E4"/>
    <w:rsid w:val="00F11AC4"/>
    <w:rsid w:val="00F11FDC"/>
    <w:rsid w:val="00F120A5"/>
    <w:rsid w:val="00F12CFB"/>
    <w:rsid w:val="00F13E60"/>
    <w:rsid w:val="00F13FDB"/>
    <w:rsid w:val="00F15AAA"/>
    <w:rsid w:val="00F15BEF"/>
    <w:rsid w:val="00F1770C"/>
    <w:rsid w:val="00F17898"/>
    <w:rsid w:val="00F204BF"/>
    <w:rsid w:val="00F204DA"/>
    <w:rsid w:val="00F207C2"/>
    <w:rsid w:val="00F21337"/>
    <w:rsid w:val="00F219A1"/>
    <w:rsid w:val="00F23927"/>
    <w:rsid w:val="00F23E20"/>
    <w:rsid w:val="00F24407"/>
    <w:rsid w:val="00F249CE"/>
    <w:rsid w:val="00F24FAA"/>
    <w:rsid w:val="00F25040"/>
    <w:rsid w:val="00F269D7"/>
    <w:rsid w:val="00F26FB5"/>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2E7"/>
    <w:rsid w:val="00F44537"/>
    <w:rsid w:val="00F46185"/>
    <w:rsid w:val="00F46423"/>
    <w:rsid w:val="00F4696A"/>
    <w:rsid w:val="00F47067"/>
    <w:rsid w:val="00F47234"/>
    <w:rsid w:val="00F51ADD"/>
    <w:rsid w:val="00F525AB"/>
    <w:rsid w:val="00F525EB"/>
    <w:rsid w:val="00F52CB5"/>
    <w:rsid w:val="00F53378"/>
    <w:rsid w:val="00F53917"/>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4F8"/>
    <w:rsid w:val="00F87A4D"/>
    <w:rsid w:val="00F90EEB"/>
    <w:rsid w:val="00F9135C"/>
    <w:rsid w:val="00F91B66"/>
    <w:rsid w:val="00F9354A"/>
    <w:rsid w:val="00F93688"/>
    <w:rsid w:val="00F939F3"/>
    <w:rsid w:val="00F93C6E"/>
    <w:rsid w:val="00F93F2C"/>
    <w:rsid w:val="00F947E9"/>
    <w:rsid w:val="00F962AD"/>
    <w:rsid w:val="00F9644E"/>
    <w:rsid w:val="00FA0105"/>
    <w:rsid w:val="00FA05A0"/>
    <w:rsid w:val="00FA0AEF"/>
    <w:rsid w:val="00FA17CC"/>
    <w:rsid w:val="00FA1CA9"/>
    <w:rsid w:val="00FA1CFE"/>
    <w:rsid w:val="00FA1EE7"/>
    <w:rsid w:val="00FA1F01"/>
    <w:rsid w:val="00FA26DF"/>
    <w:rsid w:val="00FA2C07"/>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1BA4"/>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372"/>
    <w:rsid w:val="00FD4916"/>
    <w:rsid w:val="00FD4D12"/>
    <w:rsid w:val="00FD4F73"/>
    <w:rsid w:val="00FD595E"/>
    <w:rsid w:val="00FD6667"/>
    <w:rsid w:val="00FD7802"/>
    <w:rsid w:val="00FD7D3B"/>
    <w:rsid w:val="00FD7FBE"/>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56A"/>
    <w:rsid w:val="00FF5B8C"/>
    <w:rsid w:val="00FF63E6"/>
    <w:rsid w:val="00FF72DC"/>
    <w:rsid w:val="00FF7B96"/>
    <w:rsid w:val="019CB78C"/>
    <w:rsid w:val="0241D284"/>
    <w:rsid w:val="04BD1937"/>
    <w:rsid w:val="0523CDF2"/>
    <w:rsid w:val="06B1A837"/>
    <w:rsid w:val="07FB41B9"/>
    <w:rsid w:val="08A648BF"/>
    <w:rsid w:val="08AB0269"/>
    <w:rsid w:val="0A844D4D"/>
    <w:rsid w:val="0BCD71E1"/>
    <w:rsid w:val="0EBE9DEC"/>
    <w:rsid w:val="0FBB85B6"/>
    <w:rsid w:val="12650F4E"/>
    <w:rsid w:val="1371242A"/>
    <w:rsid w:val="1394E51D"/>
    <w:rsid w:val="14DB2A87"/>
    <w:rsid w:val="15DD577B"/>
    <w:rsid w:val="16EC38E2"/>
    <w:rsid w:val="17178072"/>
    <w:rsid w:val="173F358F"/>
    <w:rsid w:val="17513AF8"/>
    <w:rsid w:val="1812CB49"/>
    <w:rsid w:val="1B53A8C8"/>
    <w:rsid w:val="1BEE6986"/>
    <w:rsid w:val="20D21749"/>
    <w:rsid w:val="2111A021"/>
    <w:rsid w:val="21BE069A"/>
    <w:rsid w:val="224238BC"/>
    <w:rsid w:val="224482AD"/>
    <w:rsid w:val="23E0530E"/>
    <w:rsid w:val="24FC0D77"/>
    <w:rsid w:val="2A0E9F3A"/>
    <w:rsid w:val="2A2A6298"/>
    <w:rsid w:val="2F72CB2D"/>
    <w:rsid w:val="3204B56C"/>
    <w:rsid w:val="36A6CB7D"/>
    <w:rsid w:val="37D604A5"/>
    <w:rsid w:val="38C72AFC"/>
    <w:rsid w:val="3A31F626"/>
    <w:rsid w:val="3AA0BED0"/>
    <w:rsid w:val="3C7646FC"/>
    <w:rsid w:val="3E4A9713"/>
    <w:rsid w:val="3E77F3B4"/>
    <w:rsid w:val="40C3BF09"/>
    <w:rsid w:val="4475CE70"/>
    <w:rsid w:val="47207A7B"/>
    <w:rsid w:val="48038D4B"/>
    <w:rsid w:val="49A859FB"/>
    <w:rsid w:val="49E8263C"/>
    <w:rsid w:val="4A567F3C"/>
    <w:rsid w:val="50A35788"/>
    <w:rsid w:val="52944939"/>
    <w:rsid w:val="53942896"/>
    <w:rsid w:val="5536E42E"/>
    <w:rsid w:val="55914544"/>
    <w:rsid w:val="581B14F9"/>
    <w:rsid w:val="58FD3BB8"/>
    <w:rsid w:val="5B145290"/>
    <w:rsid w:val="5CF587E8"/>
    <w:rsid w:val="5DD689BF"/>
    <w:rsid w:val="5E8D8646"/>
    <w:rsid w:val="60B2C930"/>
    <w:rsid w:val="64244C5C"/>
    <w:rsid w:val="64B5C10F"/>
    <w:rsid w:val="661E5011"/>
    <w:rsid w:val="67F8BB57"/>
    <w:rsid w:val="6AEA4E8B"/>
    <w:rsid w:val="6AEC8A78"/>
    <w:rsid w:val="6D951AA9"/>
    <w:rsid w:val="7059F910"/>
    <w:rsid w:val="74248E8F"/>
    <w:rsid w:val="74EA3077"/>
    <w:rsid w:val="754BB0AE"/>
    <w:rsid w:val="75B5B795"/>
    <w:rsid w:val="76D4E0D9"/>
    <w:rsid w:val="78058569"/>
    <w:rsid w:val="785B85D1"/>
    <w:rsid w:val="78E73CD1"/>
    <w:rsid w:val="78EC659F"/>
    <w:rsid w:val="7C941E33"/>
    <w:rsid w:val="7E2BC7B5"/>
    <w:rsid w:val="7F508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ecf4dd,#eaecee,#fcec0a,#fcecdb,#f1daf5"/>
    </o:shapedefaults>
    <o:shapelayout v:ext="edit">
      <o:idmap v:ext="edit" data="1"/>
    </o:shapelayout>
  </w:shapeDefaults>
  <w:decimalSymbol w:val=","/>
  <w:listSeparator w:val=";"/>
  <w14:docId w14:val="5D395025"/>
  <w15:docId w15:val="{56910147-D8D0-4759-AD79-65565E20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link w:val="OdstavecseseznamemChar"/>
    <w:uiPriority w:val="34"/>
    <w:qFormat/>
    <w:rsid w:val="006B0F92"/>
    <w:pPr>
      <w:ind w:left="720"/>
      <w:contextualSpacing/>
    </w:pPr>
  </w:style>
  <w:style w:type="paragraph" w:customStyle="1" w:styleId="Normalodrka">
    <w:name w:val="Normal odrážka"/>
    <w:qFormat/>
    <w:rsid w:val="006B0F92"/>
    <w:pPr>
      <w:numPr>
        <w:numId w:val="2"/>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npsmoodstavce"/>
    <w:rsid w:val="006A3CAF"/>
  </w:style>
  <w:style w:type="paragraph" w:customStyle="1" w:styleId="paragraph">
    <w:name w:val="paragraph"/>
    <w:basedOn w:val="Normln"/>
    <w:rsid w:val="006A3CA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784980"/>
  </w:style>
  <w:style w:type="character" w:customStyle="1" w:styleId="scxw9398236">
    <w:name w:val="scxw9398236"/>
    <w:basedOn w:val="Standardnpsmoodstavce"/>
    <w:rsid w:val="000D7C6F"/>
  </w:style>
  <w:style w:type="character" w:customStyle="1" w:styleId="superscript">
    <w:name w:val="superscript"/>
    <w:basedOn w:val="Standardnpsmoodstavce"/>
    <w:rsid w:val="000D7C6F"/>
  </w:style>
  <w:style w:type="character" w:customStyle="1" w:styleId="OdstavecseseznamemChar">
    <w:name w:val="Odstavec se seznamem Char"/>
    <w:basedOn w:val="Standardnpsmoodstavce"/>
    <w:link w:val="Odstavecseseznamem"/>
    <w:uiPriority w:val="34"/>
    <w:rsid w:val="00A51A9B"/>
    <w:rPr>
      <w:rFonts w:ascii="Arial" w:eastAsia="Times New Roman" w:hAnsi="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72790313">
      <w:bodyDiv w:val="1"/>
      <w:marLeft w:val="0"/>
      <w:marRight w:val="0"/>
      <w:marTop w:val="0"/>
      <w:marBottom w:val="0"/>
      <w:divBdr>
        <w:top w:val="none" w:sz="0" w:space="0" w:color="auto"/>
        <w:left w:val="none" w:sz="0" w:space="0" w:color="auto"/>
        <w:bottom w:val="none" w:sz="0" w:space="0" w:color="auto"/>
        <w:right w:val="none" w:sz="0" w:space="0" w:color="auto"/>
      </w:divBdr>
    </w:div>
    <w:div w:id="475994402">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768357224">
      <w:bodyDiv w:val="1"/>
      <w:marLeft w:val="0"/>
      <w:marRight w:val="0"/>
      <w:marTop w:val="0"/>
      <w:marBottom w:val="0"/>
      <w:divBdr>
        <w:top w:val="none" w:sz="0" w:space="0" w:color="auto"/>
        <w:left w:val="none" w:sz="0" w:space="0" w:color="auto"/>
        <w:bottom w:val="none" w:sz="0" w:space="0" w:color="auto"/>
        <w:right w:val="none" w:sz="0" w:space="0" w:color="auto"/>
      </w:divBdr>
      <w:divsChild>
        <w:div w:id="1344359446">
          <w:marLeft w:val="0"/>
          <w:marRight w:val="0"/>
          <w:marTop w:val="0"/>
          <w:marBottom w:val="0"/>
          <w:divBdr>
            <w:top w:val="none" w:sz="0" w:space="0" w:color="auto"/>
            <w:left w:val="none" w:sz="0" w:space="0" w:color="auto"/>
            <w:bottom w:val="none" w:sz="0" w:space="0" w:color="auto"/>
            <w:right w:val="none" w:sz="0" w:space="0" w:color="auto"/>
          </w:divBdr>
        </w:div>
        <w:div w:id="1716659461">
          <w:marLeft w:val="0"/>
          <w:marRight w:val="0"/>
          <w:marTop w:val="0"/>
          <w:marBottom w:val="0"/>
          <w:divBdr>
            <w:top w:val="none" w:sz="0" w:space="0" w:color="auto"/>
            <w:left w:val="none" w:sz="0" w:space="0" w:color="auto"/>
            <w:bottom w:val="none" w:sz="0" w:space="0" w:color="auto"/>
            <w:right w:val="none" w:sz="0" w:space="0" w:color="auto"/>
          </w:divBdr>
          <w:divsChild>
            <w:div w:id="908930234">
              <w:marLeft w:val="-75"/>
              <w:marRight w:val="0"/>
              <w:marTop w:val="30"/>
              <w:marBottom w:val="30"/>
              <w:divBdr>
                <w:top w:val="none" w:sz="0" w:space="0" w:color="auto"/>
                <w:left w:val="none" w:sz="0" w:space="0" w:color="auto"/>
                <w:bottom w:val="none" w:sz="0" w:space="0" w:color="auto"/>
                <w:right w:val="none" w:sz="0" w:space="0" w:color="auto"/>
              </w:divBdr>
              <w:divsChild>
                <w:div w:id="189690384">
                  <w:marLeft w:val="0"/>
                  <w:marRight w:val="0"/>
                  <w:marTop w:val="0"/>
                  <w:marBottom w:val="0"/>
                  <w:divBdr>
                    <w:top w:val="none" w:sz="0" w:space="0" w:color="auto"/>
                    <w:left w:val="none" w:sz="0" w:space="0" w:color="auto"/>
                    <w:bottom w:val="none" w:sz="0" w:space="0" w:color="auto"/>
                    <w:right w:val="none" w:sz="0" w:space="0" w:color="auto"/>
                  </w:divBdr>
                  <w:divsChild>
                    <w:div w:id="345450649">
                      <w:marLeft w:val="0"/>
                      <w:marRight w:val="0"/>
                      <w:marTop w:val="0"/>
                      <w:marBottom w:val="0"/>
                      <w:divBdr>
                        <w:top w:val="none" w:sz="0" w:space="0" w:color="auto"/>
                        <w:left w:val="none" w:sz="0" w:space="0" w:color="auto"/>
                        <w:bottom w:val="none" w:sz="0" w:space="0" w:color="auto"/>
                        <w:right w:val="none" w:sz="0" w:space="0" w:color="auto"/>
                      </w:divBdr>
                    </w:div>
                  </w:divsChild>
                </w:div>
                <w:div w:id="2130083414">
                  <w:marLeft w:val="0"/>
                  <w:marRight w:val="0"/>
                  <w:marTop w:val="0"/>
                  <w:marBottom w:val="0"/>
                  <w:divBdr>
                    <w:top w:val="none" w:sz="0" w:space="0" w:color="auto"/>
                    <w:left w:val="none" w:sz="0" w:space="0" w:color="auto"/>
                    <w:bottom w:val="none" w:sz="0" w:space="0" w:color="auto"/>
                    <w:right w:val="none" w:sz="0" w:space="0" w:color="auto"/>
                  </w:divBdr>
                  <w:divsChild>
                    <w:div w:id="1847819293">
                      <w:marLeft w:val="0"/>
                      <w:marRight w:val="0"/>
                      <w:marTop w:val="0"/>
                      <w:marBottom w:val="0"/>
                      <w:divBdr>
                        <w:top w:val="none" w:sz="0" w:space="0" w:color="auto"/>
                        <w:left w:val="none" w:sz="0" w:space="0" w:color="auto"/>
                        <w:bottom w:val="none" w:sz="0" w:space="0" w:color="auto"/>
                        <w:right w:val="none" w:sz="0" w:space="0" w:color="auto"/>
                      </w:divBdr>
                    </w:div>
                  </w:divsChild>
                </w:div>
                <w:div w:id="141698433">
                  <w:marLeft w:val="0"/>
                  <w:marRight w:val="0"/>
                  <w:marTop w:val="0"/>
                  <w:marBottom w:val="0"/>
                  <w:divBdr>
                    <w:top w:val="none" w:sz="0" w:space="0" w:color="auto"/>
                    <w:left w:val="none" w:sz="0" w:space="0" w:color="auto"/>
                    <w:bottom w:val="none" w:sz="0" w:space="0" w:color="auto"/>
                    <w:right w:val="none" w:sz="0" w:space="0" w:color="auto"/>
                  </w:divBdr>
                  <w:divsChild>
                    <w:div w:id="1561865753">
                      <w:marLeft w:val="0"/>
                      <w:marRight w:val="0"/>
                      <w:marTop w:val="0"/>
                      <w:marBottom w:val="0"/>
                      <w:divBdr>
                        <w:top w:val="none" w:sz="0" w:space="0" w:color="auto"/>
                        <w:left w:val="none" w:sz="0" w:space="0" w:color="auto"/>
                        <w:bottom w:val="none" w:sz="0" w:space="0" w:color="auto"/>
                        <w:right w:val="none" w:sz="0" w:space="0" w:color="auto"/>
                      </w:divBdr>
                    </w:div>
                  </w:divsChild>
                </w:div>
                <w:div w:id="1168449760">
                  <w:marLeft w:val="0"/>
                  <w:marRight w:val="0"/>
                  <w:marTop w:val="0"/>
                  <w:marBottom w:val="0"/>
                  <w:divBdr>
                    <w:top w:val="none" w:sz="0" w:space="0" w:color="auto"/>
                    <w:left w:val="none" w:sz="0" w:space="0" w:color="auto"/>
                    <w:bottom w:val="none" w:sz="0" w:space="0" w:color="auto"/>
                    <w:right w:val="none" w:sz="0" w:space="0" w:color="auto"/>
                  </w:divBdr>
                  <w:divsChild>
                    <w:div w:id="1407143116">
                      <w:marLeft w:val="0"/>
                      <w:marRight w:val="0"/>
                      <w:marTop w:val="0"/>
                      <w:marBottom w:val="0"/>
                      <w:divBdr>
                        <w:top w:val="none" w:sz="0" w:space="0" w:color="auto"/>
                        <w:left w:val="none" w:sz="0" w:space="0" w:color="auto"/>
                        <w:bottom w:val="none" w:sz="0" w:space="0" w:color="auto"/>
                        <w:right w:val="none" w:sz="0" w:space="0" w:color="auto"/>
                      </w:divBdr>
                    </w:div>
                  </w:divsChild>
                </w:div>
                <w:div w:id="2124761785">
                  <w:marLeft w:val="0"/>
                  <w:marRight w:val="0"/>
                  <w:marTop w:val="0"/>
                  <w:marBottom w:val="0"/>
                  <w:divBdr>
                    <w:top w:val="none" w:sz="0" w:space="0" w:color="auto"/>
                    <w:left w:val="none" w:sz="0" w:space="0" w:color="auto"/>
                    <w:bottom w:val="none" w:sz="0" w:space="0" w:color="auto"/>
                    <w:right w:val="none" w:sz="0" w:space="0" w:color="auto"/>
                  </w:divBdr>
                  <w:divsChild>
                    <w:div w:id="1111317610">
                      <w:marLeft w:val="0"/>
                      <w:marRight w:val="0"/>
                      <w:marTop w:val="0"/>
                      <w:marBottom w:val="0"/>
                      <w:divBdr>
                        <w:top w:val="none" w:sz="0" w:space="0" w:color="auto"/>
                        <w:left w:val="none" w:sz="0" w:space="0" w:color="auto"/>
                        <w:bottom w:val="none" w:sz="0" w:space="0" w:color="auto"/>
                        <w:right w:val="none" w:sz="0" w:space="0" w:color="auto"/>
                      </w:divBdr>
                    </w:div>
                  </w:divsChild>
                </w:div>
                <w:div w:id="1016151455">
                  <w:marLeft w:val="0"/>
                  <w:marRight w:val="0"/>
                  <w:marTop w:val="0"/>
                  <w:marBottom w:val="0"/>
                  <w:divBdr>
                    <w:top w:val="none" w:sz="0" w:space="0" w:color="auto"/>
                    <w:left w:val="none" w:sz="0" w:space="0" w:color="auto"/>
                    <w:bottom w:val="none" w:sz="0" w:space="0" w:color="auto"/>
                    <w:right w:val="none" w:sz="0" w:space="0" w:color="auto"/>
                  </w:divBdr>
                  <w:divsChild>
                    <w:div w:id="1179079040">
                      <w:marLeft w:val="0"/>
                      <w:marRight w:val="0"/>
                      <w:marTop w:val="0"/>
                      <w:marBottom w:val="0"/>
                      <w:divBdr>
                        <w:top w:val="none" w:sz="0" w:space="0" w:color="auto"/>
                        <w:left w:val="none" w:sz="0" w:space="0" w:color="auto"/>
                        <w:bottom w:val="none" w:sz="0" w:space="0" w:color="auto"/>
                        <w:right w:val="none" w:sz="0" w:space="0" w:color="auto"/>
                      </w:divBdr>
                    </w:div>
                  </w:divsChild>
                </w:div>
                <w:div w:id="953753815">
                  <w:marLeft w:val="0"/>
                  <w:marRight w:val="0"/>
                  <w:marTop w:val="0"/>
                  <w:marBottom w:val="0"/>
                  <w:divBdr>
                    <w:top w:val="none" w:sz="0" w:space="0" w:color="auto"/>
                    <w:left w:val="none" w:sz="0" w:space="0" w:color="auto"/>
                    <w:bottom w:val="none" w:sz="0" w:space="0" w:color="auto"/>
                    <w:right w:val="none" w:sz="0" w:space="0" w:color="auto"/>
                  </w:divBdr>
                  <w:divsChild>
                    <w:div w:id="126052794">
                      <w:marLeft w:val="0"/>
                      <w:marRight w:val="0"/>
                      <w:marTop w:val="0"/>
                      <w:marBottom w:val="0"/>
                      <w:divBdr>
                        <w:top w:val="none" w:sz="0" w:space="0" w:color="auto"/>
                        <w:left w:val="none" w:sz="0" w:space="0" w:color="auto"/>
                        <w:bottom w:val="none" w:sz="0" w:space="0" w:color="auto"/>
                        <w:right w:val="none" w:sz="0" w:space="0" w:color="auto"/>
                      </w:divBdr>
                    </w:div>
                  </w:divsChild>
                </w:div>
                <w:div w:id="864711492">
                  <w:marLeft w:val="0"/>
                  <w:marRight w:val="0"/>
                  <w:marTop w:val="0"/>
                  <w:marBottom w:val="0"/>
                  <w:divBdr>
                    <w:top w:val="none" w:sz="0" w:space="0" w:color="auto"/>
                    <w:left w:val="none" w:sz="0" w:space="0" w:color="auto"/>
                    <w:bottom w:val="none" w:sz="0" w:space="0" w:color="auto"/>
                    <w:right w:val="none" w:sz="0" w:space="0" w:color="auto"/>
                  </w:divBdr>
                  <w:divsChild>
                    <w:div w:id="1959221365">
                      <w:marLeft w:val="0"/>
                      <w:marRight w:val="0"/>
                      <w:marTop w:val="0"/>
                      <w:marBottom w:val="0"/>
                      <w:divBdr>
                        <w:top w:val="none" w:sz="0" w:space="0" w:color="auto"/>
                        <w:left w:val="none" w:sz="0" w:space="0" w:color="auto"/>
                        <w:bottom w:val="none" w:sz="0" w:space="0" w:color="auto"/>
                        <w:right w:val="none" w:sz="0" w:space="0" w:color="auto"/>
                      </w:divBdr>
                    </w:div>
                  </w:divsChild>
                </w:div>
                <w:div w:id="708652465">
                  <w:marLeft w:val="0"/>
                  <w:marRight w:val="0"/>
                  <w:marTop w:val="0"/>
                  <w:marBottom w:val="0"/>
                  <w:divBdr>
                    <w:top w:val="none" w:sz="0" w:space="0" w:color="auto"/>
                    <w:left w:val="none" w:sz="0" w:space="0" w:color="auto"/>
                    <w:bottom w:val="none" w:sz="0" w:space="0" w:color="auto"/>
                    <w:right w:val="none" w:sz="0" w:space="0" w:color="auto"/>
                  </w:divBdr>
                  <w:divsChild>
                    <w:div w:id="587033635">
                      <w:marLeft w:val="0"/>
                      <w:marRight w:val="0"/>
                      <w:marTop w:val="0"/>
                      <w:marBottom w:val="0"/>
                      <w:divBdr>
                        <w:top w:val="none" w:sz="0" w:space="0" w:color="auto"/>
                        <w:left w:val="none" w:sz="0" w:space="0" w:color="auto"/>
                        <w:bottom w:val="none" w:sz="0" w:space="0" w:color="auto"/>
                        <w:right w:val="none" w:sz="0" w:space="0" w:color="auto"/>
                      </w:divBdr>
                    </w:div>
                  </w:divsChild>
                </w:div>
                <w:div w:id="970284968">
                  <w:marLeft w:val="0"/>
                  <w:marRight w:val="0"/>
                  <w:marTop w:val="0"/>
                  <w:marBottom w:val="0"/>
                  <w:divBdr>
                    <w:top w:val="none" w:sz="0" w:space="0" w:color="auto"/>
                    <w:left w:val="none" w:sz="0" w:space="0" w:color="auto"/>
                    <w:bottom w:val="none" w:sz="0" w:space="0" w:color="auto"/>
                    <w:right w:val="none" w:sz="0" w:space="0" w:color="auto"/>
                  </w:divBdr>
                  <w:divsChild>
                    <w:div w:id="1759984152">
                      <w:marLeft w:val="0"/>
                      <w:marRight w:val="0"/>
                      <w:marTop w:val="0"/>
                      <w:marBottom w:val="0"/>
                      <w:divBdr>
                        <w:top w:val="none" w:sz="0" w:space="0" w:color="auto"/>
                        <w:left w:val="none" w:sz="0" w:space="0" w:color="auto"/>
                        <w:bottom w:val="none" w:sz="0" w:space="0" w:color="auto"/>
                        <w:right w:val="none" w:sz="0" w:space="0" w:color="auto"/>
                      </w:divBdr>
                    </w:div>
                  </w:divsChild>
                </w:div>
                <w:div w:id="1041595004">
                  <w:marLeft w:val="0"/>
                  <w:marRight w:val="0"/>
                  <w:marTop w:val="0"/>
                  <w:marBottom w:val="0"/>
                  <w:divBdr>
                    <w:top w:val="none" w:sz="0" w:space="0" w:color="auto"/>
                    <w:left w:val="none" w:sz="0" w:space="0" w:color="auto"/>
                    <w:bottom w:val="none" w:sz="0" w:space="0" w:color="auto"/>
                    <w:right w:val="none" w:sz="0" w:space="0" w:color="auto"/>
                  </w:divBdr>
                  <w:divsChild>
                    <w:div w:id="1259410822">
                      <w:marLeft w:val="0"/>
                      <w:marRight w:val="0"/>
                      <w:marTop w:val="0"/>
                      <w:marBottom w:val="0"/>
                      <w:divBdr>
                        <w:top w:val="none" w:sz="0" w:space="0" w:color="auto"/>
                        <w:left w:val="none" w:sz="0" w:space="0" w:color="auto"/>
                        <w:bottom w:val="none" w:sz="0" w:space="0" w:color="auto"/>
                        <w:right w:val="none" w:sz="0" w:space="0" w:color="auto"/>
                      </w:divBdr>
                    </w:div>
                  </w:divsChild>
                </w:div>
                <w:div w:id="1384409651">
                  <w:marLeft w:val="0"/>
                  <w:marRight w:val="0"/>
                  <w:marTop w:val="0"/>
                  <w:marBottom w:val="0"/>
                  <w:divBdr>
                    <w:top w:val="none" w:sz="0" w:space="0" w:color="auto"/>
                    <w:left w:val="none" w:sz="0" w:space="0" w:color="auto"/>
                    <w:bottom w:val="none" w:sz="0" w:space="0" w:color="auto"/>
                    <w:right w:val="none" w:sz="0" w:space="0" w:color="auto"/>
                  </w:divBdr>
                  <w:divsChild>
                    <w:div w:id="73013662">
                      <w:marLeft w:val="0"/>
                      <w:marRight w:val="0"/>
                      <w:marTop w:val="0"/>
                      <w:marBottom w:val="0"/>
                      <w:divBdr>
                        <w:top w:val="none" w:sz="0" w:space="0" w:color="auto"/>
                        <w:left w:val="none" w:sz="0" w:space="0" w:color="auto"/>
                        <w:bottom w:val="none" w:sz="0" w:space="0" w:color="auto"/>
                        <w:right w:val="none" w:sz="0" w:space="0" w:color="auto"/>
                      </w:divBdr>
                    </w:div>
                  </w:divsChild>
                </w:div>
                <w:div w:id="1396856273">
                  <w:marLeft w:val="0"/>
                  <w:marRight w:val="0"/>
                  <w:marTop w:val="0"/>
                  <w:marBottom w:val="0"/>
                  <w:divBdr>
                    <w:top w:val="none" w:sz="0" w:space="0" w:color="auto"/>
                    <w:left w:val="none" w:sz="0" w:space="0" w:color="auto"/>
                    <w:bottom w:val="none" w:sz="0" w:space="0" w:color="auto"/>
                    <w:right w:val="none" w:sz="0" w:space="0" w:color="auto"/>
                  </w:divBdr>
                  <w:divsChild>
                    <w:div w:id="1129475919">
                      <w:marLeft w:val="0"/>
                      <w:marRight w:val="0"/>
                      <w:marTop w:val="0"/>
                      <w:marBottom w:val="0"/>
                      <w:divBdr>
                        <w:top w:val="none" w:sz="0" w:space="0" w:color="auto"/>
                        <w:left w:val="none" w:sz="0" w:space="0" w:color="auto"/>
                        <w:bottom w:val="none" w:sz="0" w:space="0" w:color="auto"/>
                        <w:right w:val="none" w:sz="0" w:space="0" w:color="auto"/>
                      </w:divBdr>
                    </w:div>
                  </w:divsChild>
                </w:div>
                <w:div w:id="241991679">
                  <w:marLeft w:val="0"/>
                  <w:marRight w:val="0"/>
                  <w:marTop w:val="0"/>
                  <w:marBottom w:val="0"/>
                  <w:divBdr>
                    <w:top w:val="none" w:sz="0" w:space="0" w:color="auto"/>
                    <w:left w:val="none" w:sz="0" w:space="0" w:color="auto"/>
                    <w:bottom w:val="none" w:sz="0" w:space="0" w:color="auto"/>
                    <w:right w:val="none" w:sz="0" w:space="0" w:color="auto"/>
                  </w:divBdr>
                  <w:divsChild>
                    <w:div w:id="1142037930">
                      <w:marLeft w:val="0"/>
                      <w:marRight w:val="0"/>
                      <w:marTop w:val="0"/>
                      <w:marBottom w:val="0"/>
                      <w:divBdr>
                        <w:top w:val="none" w:sz="0" w:space="0" w:color="auto"/>
                        <w:left w:val="none" w:sz="0" w:space="0" w:color="auto"/>
                        <w:bottom w:val="none" w:sz="0" w:space="0" w:color="auto"/>
                        <w:right w:val="none" w:sz="0" w:space="0" w:color="auto"/>
                      </w:divBdr>
                    </w:div>
                  </w:divsChild>
                </w:div>
                <w:div w:id="87964264">
                  <w:marLeft w:val="0"/>
                  <w:marRight w:val="0"/>
                  <w:marTop w:val="0"/>
                  <w:marBottom w:val="0"/>
                  <w:divBdr>
                    <w:top w:val="none" w:sz="0" w:space="0" w:color="auto"/>
                    <w:left w:val="none" w:sz="0" w:space="0" w:color="auto"/>
                    <w:bottom w:val="none" w:sz="0" w:space="0" w:color="auto"/>
                    <w:right w:val="none" w:sz="0" w:space="0" w:color="auto"/>
                  </w:divBdr>
                  <w:divsChild>
                    <w:div w:id="297150500">
                      <w:marLeft w:val="0"/>
                      <w:marRight w:val="0"/>
                      <w:marTop w:val="0"/>
                      <w:marBottom w:val="0"/>
                      <w:divBdr>
                        <w:top w:val="none" w:sz="0" w:space="0" w:color="auto"/>
                        <w:left w:val="none" w:sz="0" w:space="0" w:color="auto"/>
                        <w:bottom w:val="none" w:sz="0" w:space="0" w:color="auto"/>
                        <w:right w:val="none" w:sz="0" w:space="0" w:color="auto"/>
                      </w:divBdr>
                    </w:div>
                  </w:divsChild>
                </w:div>
                <w:div w:id="368145167">
                  <w:marLeft w:val="0"/>
                  <w:marRight w:val="0"/>
                  <w:marTop w:val="0"/>
                  <w:marBottom w:val="0"/>
                  <w:divBdr>
                    <w:top w:val="none" w:sz="0" w:space="0" w:color="auto"/>
                    <w:left w:val="none" w:sz="0" w:space="0" w:color="auto"/>
                    <w:bottom w:val="none" w:sz="0" w:space="0" w:color="auto"/>
                    <w:right w:val="none" w:sz="0" w:space="0" w:color="auto"/>
                  </w:divBdr>
                  <w:divsChild>
                    <w:div w:id="1170104264">
                      <w:marLeft w:val="0"/>
                      <w:marRight w:val="0"/>
                      <w:marTop w:val="0"/>
                      <w:marBottom w:val="0"/>
                      <w:divBdr>
                        <w:top w:val="none" w:sz="0" w:space="0" w:color="auto"/>
                        <w:left w:val="none" w:sz="0" w:space="0" w:color="auto"/>
                        <w:bottom w:val="none" w:sz="0" w:space="0" w:color="auto"/>
                        <w:right w:val="none" w:sz="0" w:space="0" w:color="auto"/>
                      </w:divBdr>
                    </w:div>
                  </w:divsChild>
                </w:div>
                <w:div w:id="542448709">
                  <w:marLeft w:val="0"/>
                  <w:marRight w:val="0"/>
                  <w:marTop w:val="0"/>
                  <w:marBottom w:val="0"/>
                  <w:divBdr>
                    <w:top w:val="none" w:sz="0" w:space="0" w:color="auto"/>
                    <w:left w:val="none" w:sz="0" w:space="0" w:color="auto"/>
                    <w:bottom w:val="none" w:sz="0" w:space="0" w:color="auto"/>
                    <w:right w:val="none" w:sz="0" w:space="0" w:color="auto"/>
                  </w:divBdr>
                  <w:divsChild>
                    <w:div w:id="811479007">
                      <w:marLeft w:val="0"/>
                      <w:marRight w:val="0"/>
                      <w:marTop w:val="0"/>
                      <w:marBottom w:val="0"/>
                      <w:divBdr>
                        <w:top w:val="none" w:sz="0" w:space="0" w:color="auto"/>
                        <w:left w:val="none" w:sz="0" w:space="0" w:color="auto"/>
                        <w:bottom w:val="none" w:sz="0" w:space="0" w:color="auto"/>
                        <w:right w:val="none" w:sz="0" w:space="0" w:color="auto"/>
                      </w:divBdr>
                    </w:div>
                  </w:divsChild>
                </w:div>
                <w:div w:id="218828323">
                  <w:marLeft w:val="0"/>
                  <w:marRight w:val="0"/>
                  <w:marTop w:val="0"/>
                  <w:marBottom w:val="0"/>
                  <w:divBdr>
                    <w:top w:val="none" w:sz="0" w:space="0" w:color="auto"/>
                    <w:left w:val="none" w:sz="0" w:space="0" w:color="auto"/>
                    <w:bottom w:val="none" w:sz="0" w:space="0" w:color="auto"/>
                    <w:right w:val="none" w:sz="0" w:space="0" w:color="auto"/>
                  </w:divBdr>
                  <w:divsChild>
                    <w:div w:id="521748238">
                      <w:marLeft w:val="0"/>
                      <w:marRight w:val="0"/>
                      <w:marTop w:val="0"/>
                      <w:marBottom w:val="0"/>
                      <w:divBdr>
                        <w:top w:val="none" w:sz="0" w:space="0" w:color="auto"/>
                        <w:left w:val="none" w:sz="0" w:space="0" w:color="auto"/>
                        <w:bottom w:val="none" w:sz="0" w:space="0" w:color="auto"/>
                        <w:right w:val="none" w:sz="0" w:space="0" w:color="auto"/>
                      </w:divBdr>
                    </w:div>
                  </w:divsChild>
                </w:div>
                <w:div w:id="929586458">
                  <w:marLeft w:val="0"/>
                  <w:marRight w:val="0"/>
                  <w:marTop w:val="0"/>
                  <w:marBottom w:val="0"/>
                  <w:divBdr>
                    <w:top w:val="none" w:sz="0" w:space="0" w:color="auto"/>
                    <w:left w:val="none" w:sz="0" w:space="0" w:color="auto"/>
                    <w:bottom w:val="none" w:sz="0" w:space="0" w:color="auto"/>
                    <w:right w:val="none" w:sz="0" w:space="0" w:color="auto"/>
                  </w:divBdr>
                  <w:divsChild>
                    <w:div w:id="1428455051">
                      <w:marLeft w:val="0"/>
                      <w:marRight w:val="0"/>
                      <w:marTop w:val="0"/>
                      <w:marBottom w:val="0"/>
                      <w:divBdr>
                        <w:top w:val="none" w:sz="0" w:space="0" w:color="auto"/>
                        <w:left w:val="none" w:sz="0" w:space="0" w:color="auto"/>
                        <w:bottom w:val="none" w:sz="0" w:space="0" w:color="auto"/>
                        <w:right w:val="none" w:sz="0" w:space="0" w:color="auto"/>
                      </w:divBdr>
                    </w:div>
                  </w:divsChild>
                </w:div>
                <w:div w:id="118381659">
                  <w:marLeft w:val="0"/>
                  <w:marRight w:val="0"/>
                  <w:marTop w:val="0"/>
                  <w:marBottom w:val="0"/>
                  <w:divBdr>
                    <w:top w:val="none" w:sz="0" w:space="0" w:color="auto"/>
                    <w:left w:val="none" w:sz="0" w:space="0" w:color="auto"/>
                    <w:bottom w:val="none" w:sz="0" w:space="0" w:color="auto"/>
                    <w:right w:val="none" w:sz="0" w:space="0" w:color="auto"/>
                  </w:divBdr>
                  <w:divsChild>
                    <w:div w:id="1199583312">
                      <w:marLeft w:val="0"/>
                      <w:marRight w:val="0"/>
                      <w:marTop w:val="0"/>
                      <w:marBottom w:val="0"/>
                      <w:divBdr>
                        <w:top w:val="none" w:sz="0" w:space="0" w:color="auto"/>
                        <w:left w:val="none" w:sz="0" w:space="0" w:color="auto"/>
                        <w:bottom w:val="none" w:sz="0" w:space="0" w:color="auto"/>
                        <w:right w:val="none" w:sz="0" w:space="0" w:color="auto"/>
                      </w:divBdr>
                    </w:div>
                  </w:divsChild>
                </w:div>
                <w:div w:id="427849766">
                  <w:marLeft w:val="0"/>
                  <w:marRight w:val="0"/>
                  <w:marTop w:val="0"/>
                  <w:marBottom w:val="0"/>
                  <w:divBdr>
                    <w:top w:val="none" w:sz="0" w:space="0" w:color="auto"/>
                    <w:left w:val="none" w:sz="0" w:space="0" w:color="auto"/>
                    <w:bottom w:val="none" w:sz="0" w:space="0" w:color="auto"/>
                    <w:right w:val="none" w:sz="0" w:space="0" w:color="auto"/>
                  </w:divBdr>
                  <w:divsChild>
                    <w:div w:id="975451761">
                      <w:marLeft w:val="0"/>
                      <w:marRight w:val="0"/>
                      <w:marTop w:val="0"/>
                      <w:marBottom w:val="0"/>
                      <w:divBdr>
                        <w:top w:val="none" w:sz="0" w:space="0" w:color="auto"/>
                        <w:left w:val="none" w:sz="0" w:space="0" w:color="auto"/>
                        <w:bottom w:val="none" w:sz="0" w:space="0" w:color="auto"/>
                        <w:right w:val="none" w:sz="0" w:space="0" w:color="auto"/>
                      </w:divBdr>
                    </w:div>
                  </w:divsChild>
                </w:div>
                <w:div w:id="1316687618">
                  <w:marLeft w:val="0"/>
                  <w:marRight w:val="0"/>
                  <w:marTop w:val="0"/>
                  <w:marBottom w:val="0"/>
                  <w:divBdr>
                    <w:top w:val="none" w:sz="0" w:space="0" w:color="auto"/>
                    <w:left w:val="none" w:sz="0" w:space="0" w:color="auto"/>
                    <w:bottom w:val="none" w:sz="0" w:space="0" w:color="auto"/>
                    <w:right w:val="none" w:sz="0" w:space="0" w:color="auto"/>
                  </w:divBdr>
                  <w:divsChild>
                    <w:div w:id="1760709789">
                      <w:marLeft w:val="0"/>
                      <w:marRight w:val="0"/>
                      <w:marTop w:val="0"/>
                      <w:marBottom w:val="0"/>
                      <w:divBdr>
                        <w:top w:val="none" w:sz="0" w:space="0" w:color="auto"/>
                        <w:left w:val="none" w:sz="0" w:space="0" w:color="auto"/>
                        <w:bottom w:val="none" w:sz="0" w:space="0" w:color="auto"/>
                        <w:right w:val="none" w:sz="0" w:space="0" w:color="auto"/>
                      </w:divBdr>
                    </w:div>
                  </w:divsChild>
                </w:div>
                <w:div w:id="91436658">
                  <w:marLeft w:val="0"/>
                  <w:marRight w:val="0"/>
                  <w:marTop w:val="0"/>
                  <w:marBottom w:val="0"/>
                  <w:divBdr>
                    <w:top w:val="none" w:sz="0" w:space="0" w:color="auto"/>
                    <w:left w:val="none" w:sz="0" w:space="0" w:color="auto"/>
                    <w:bottom w:val="none" w:sz="0" w:space="0" w:color="auto"/>
                    <w:right w:val="none" w:sz="0" w:space="0" w:color="auto"/>
                  </w:divBdr>
                  <w:divsChild>
                    <w:div w:id="1271090708">
                      <w:marLeft w:val="0"/>
                      <w:marRight w:val="0"/>
                      <w:marTop w:val="0"/>
                      <w:marBottom w:val="0"/>
                      <w:divBdr>
                        <w:top w:val="none" w:sz="0" w:space="0" w:color="auto"/>
                        <w:left w:val="none" w:sz="0" w:space="0" w:color="auto"/>
                        <w:bottom w:val="none" w:sz="0" w:space="0" w:color="auto"/>
                        <w:right w:val="none" w:sz="0" w:space="0" w:color="auto"/>
                      </w:divBdr>
                    </w:div>
                  </w:divsChild>
                </w:div>
                <w:div w:id="251159376">
                  <w:marLeft w:val="0"/>
                  <w:marRight w:val="0"/>
                  <w:marTop w:val="0"/>
                  <w:marBottom w:val="0"/>
                  <w:divBdr>
                    <w:top w:val="none" w:sz="0" w:space="0" w:color="auto"/>
                    <w:left w:val="none" w:sz="0" w:space="0" w:color="auto"/>
                    <w:bottom w:val="none" w:sz="0" w:space="0" w:color="auto"/>
                    <w:right w:val="none" w:sz="0" w:space="0" w:color="auto"/>
                  </w:divBdr>
                  <w:divsChild>
                    <w:div w:id="1281374192">
                      <w:marLeft w:val="0"/>
                      <w:marRight w:val="0"/>
                      <w:marTop w:val="0"/>
                      <w:marBottom w:val="0"/>
                      <w:divBdr>
                        <w:top w:val="none" w:sz="0" w:space="0" w:color="auto"/>
                        <w:left w:val="none" w:sz="0" w:space="0" w:color="auto"/>
                        <w:bottom w:val="none" w:sz="0" w:space="0" w:color="auto"/>
                        <w:right w:val="none" w:sz="0" w:space="0" w:color="auto"/>
                      </w:divBdr>
                    </w:div>
                  </w:divsChild>
                </w:div>
                <w:div w:id="1298798031">
                  <w:marLeft w:val="0"/>
                  <w:marRight w:val="0"/>
                  <w:marTop w:val="0"/>
                  <w:marBottom w:val="0"/>
                  <w:divBdr>
                    <w:top w:val="none" w:sz="0" w:space="0" w:color="auto"/>
                    <w:left w:val="none" w:sz="0" w:space="0" w:color="auto"/>
                    <w:bottom w:val="none" w:sz="0" w:space="0" w:color="auto"/>
                    <w:right w:val="none" w:sz="0" w:space="0" w:color="auto"/>
                  </w:divBdr>
                  <w:divsChild>
                    <w:div w:id="739056931">
                      <w:marLeft w:val="0"/>
                      <w:marRight w:val="0"/>
                      <w:marTop w:val="0"/>
                      <w:marBottom w:val="0"/>
                      <w:divBdr>
                        <w:top w:val="none" w:sz="0" w:space="0" w:color="auto"/>
                        <w:left w:val="none" w:sz="0" w:space="0" w:color="auto"/>
                        <w:bottom w:val="none" w:sz="0" w:space="0" w:color="auto"/>
                        <w:right w:val="none" w:sz="0" w:space="0" w:color="auto"/>
                      </w:divBdr>
                    </w:div>
                  </w:divsChild>
                </w:div>
                <w:div w:id="1063525951">
                  <w:marLeft w:val="0"/>
                  <w:marRight w:val="0"/>
                  <w:marTop w:val="0"/>
                  <w:marBottom w:val="0"/>
                  <w:divBdr>
                    <w:top w:val="none" w:sz="0" w:space="0" w:color="auto"/>
                    <w:left w:val="none" w:sz="0" w:space="0" w:color="auto"/>
                    <w:bottom w:val="none" w:sz="0" w:space="0" w:color="auto"/>
                    <w:right w:val="none" w:sz="0" w:space="0" w:color="auto"/>
                  </w:divBdr>
                  <w:divsChild>
                    <w:div w:id="11733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08559">
          <w:marLeft w:val="0"/>
          <w:marRight w:val="0"/>
          <w:marTop w:val="0"/>
          <w:marBottom w:val="0"/>
          <w:divBdr>
            <w:top w:val="none" w:sz="0" w:space="0" w:color="auto"/>
            <w:left w:val="none" w:sz="0" w:space="0" w:color="auto"/>
            <w:bottom w:val="none" w:sz="0" w:space="0" w:color="auto"/>
            <w:right w:val="none" w:sz="0" w:space="0" w:color="auto"/>
          </w:divBdr>
        </w:div>
        <w:div w:id="1058825861">
          <w:marLeft w:val="0"/>
          <w:marRight w:val="0"/>
          <w:marTop w:val="0"/>
          <w:marBottom w:val="0"/>
          <w:divBdr>
            <w:top w:val="none" w:sz="0" w:space="0" w:color="auto"/>
            <w:left w:val="none" w:sz="0" w:space="0" w:color="auto"/>
            <w:bottom w:val="none" w:sz="0" w:space="0" w:color="auto"/>
            <w:right w:val="none" w:sz="0" w:space="0" w:color="auto"/>
          </w:divBdr>
        </w:div>
        <w:div w:id="485049849">
          <w:marLeft w:val="0"/>
          <w:marRight w:val="0"/>
          <w:marTop w:val="0"/>
          <w:marBottom w:val="0"/>
          <w:divBdr>
            <w:top w:val="none" w:sz="0" w:space="0" w:color="auto"/>
            <w:left w:val="none" w:sz="0" w:space="0" w:color="auto"/>
            <w:bottom w:val="none" w:sz="0" w:space="0" w:color="auto"/>
            <w:right w:val="none" w:sz="0" w:space="0" w:color="auto"/>
          </w:divBdr>
        </w:div>
        <w:div w:id="1856000505">
          <w:marLeft w:val="0"/>
          <w:marRight w:val="0"/>
          <w:marTop w:val="0"/>
          <w:marBottom w:val="0"/>
          <w:divBdr>
            <w:top w:val="none" w:sz="0" w:space="0" w:color="auto"/>
            <w:left w:val="none" w:sz="0" w:space="0" w:color="auto"/>
            <w:bottom w:val="none" w:sz="0" w:space="0" w:color="auto"/>
            <w:right w:val="none" w:sz="0" w:space="0" w:color="auto"/>
          </w:divBdr>
        </w:div>
        <w:div w:id="1800152014">
          <w:marLeft w:val="0"/>
          <w:marRight w:val="0"/>
          <w:marTop w:val="0"/>
          <w:marBottom w:val="0"/>
          <w:divBdr>
            <w:top w:val="none" w:sz="0" w:space="0" w:color="auto"/>
            <w:left w:val="none" w:sz="0" w:space="0" w:color="auto"/>
            <w:bottom w:val="none" w:sz="0" w:space="0" w:color="auto"/>
            <w:right w:val="none" w:sz="0" w:space="0" w:color="auto"/>
          </w:divBdr>
        </w:div>
      </w:divsChild>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32671944">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6517156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26651344">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614737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documents/10180/222925584/050124-23_4q.pdf/00300626-4248-48f9-be37-25be1a4e4948?version=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Qmakro-2024\Rozpo&#269;et\Grafy-st&#225;tn&#237;%20rozpo&#269;et-1q-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Qmakro-2024\Rozpo&#269;et\Grafy-st&#225;tn&#237;%20rozpo&#269;et-1q-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547146084085555E-2"/>
          <c:y val="1.7107287133586925E-2"/>
          <c:w val="0.83962774835667464"/>
          <c:h val="0.75194595942833975"/>
        </c:manualLayout>
      </c:layout>
      <c:barChart>
        <c:barDir val="col"/>
        <c:grouping val="stacked"/>
        <c:varyColors val="0"/>
        <c:ser>
          <c:idx val="1"/>
          <c:order val="1"/>
          <c:tx>
            <c:strRef>
              <c:f>'G1-SR-příjmy-příspěvky'!$A$35</c:f>
              <c:strCache>
                <c:ptCount val="1"/>
                <c:pt idx="0">
                  <c:v>Ostatní daně a poplatky</c:v>
                </c:pt>
              </c:strCache>
            </c:strRef>
          </c:tx>
          <c:spPr>
            <a:solidFill>
              <a:schemeClr val="bg1">
                <a:lumMod val="75000"/>
              </a:schemeClr>
            </a:solidFill>
            <a:ln w="12700">
              <a:noFill/>
              <a:prstDash val="solid"/>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'G1-SR-příjmy-příspěvky'!$D$35:$U$35</c:f>
              <c:numCache>
                <c:formatCode>0.0</c:formatCode>
                <c:ptCount val="18"/>
                <c:pt idx="0">
                  <c:v>0.27215189873418966</c:v>
                </c:pt>
                <c:pt idx="1">
                  <c:v>0.93122337188070226</c:v>
                </c:pt>
                <c:pt idx="2">
                  <c:v>-0.86039886039885172</c:v>
                </c:pt>
                <c:pt idx="3">
                  <c:v>-0.21800461656836218</c:v>
                </c:pt>
                <c:pt idx="4">
                  <c:v>4.7025628967778087E-2</c:v>
                </c:pt>
                <c:pt idx="5">
                  <c:v>0.15463598688688143</c:v>
                </c:pt>
                <c:pt idx="6">
                  <c:v>0.75112372841257058</c:v>
                </c:pt>
                <c:pt idx="7">
                  <c:v>-5.7922173661211329E-2</c:v>
                </c:pt>
                <c:pt idx="8">
                  <c:v>0.17244682889444102</c:v>
                </c:pt>
                <c:pt idx="9">
                  <c:v>0.17228383762247171</c:v>
                </c:pt>
                <c:pt idx="10">
                  <c:v>0.23509403761505579</c:v>
                </c:pt>
                <c:pt idx="11">
                  <c:v>0.62235845989504279</c:v>
                </c:pt>
                <c:pt idx="12">
                  <c:v>0.80854504446996855</c:v>
                </c:pt>
                <c:pt idx="13">
                  <c:v>0.66381882645426304</c:v>
                </c:pt>
                <c:pt idx="14">
                  <c:v>-1.6059485038147707</c:v>
                </c:pt>
                <c:pt idx="15">
                  <c:v>1.1042137486708441</c:v>
                </c:pt>
                <c:pt idx="16">
                  <c:v>3.3323398513139781</c:v>
                </c:pt>
                <c:pt idx="17">
                  <c:v>2.262465071127941</c:v>
                </c:pt>
              </c:numCache>
            </c:numRef>
          </c:val>
          <c:extLst>
            <c:ext xmlns:c16="http://schemas.microsoft.com/office/drawing/2014/chart" uri="{C3380CC4-5D6E-409C-BE32-E72D297353CC}">
              <c16:uniqueId val="{00000000-3F72-4DA9-9B3C-F738B9FB626C}"/>
            </c:ext>
          </c:extLst>
        </c:ser>
        <c:ser>
          <c:idx val="3"/>
          <c:order val="2"/>
          <c:tx>
            <c:strRef>
              <c:f>'G1-SR-příjmy-příspěvky'!$A$36</c:f>
              <c:strCache>
                <c:ptCount val="1"/>
                <c:pt idx="0">
                  <c:v>Daně z příjmů FO, placená plátci</c:v>
                </c:pt>
              </c:strCache>
            </c:strRef>
          </c:tx>
          <c:spPr>
            <a:solidFill>
              <a:srgbClr val="EA6C75"/>
            </a:solidFill>
            <a:ln w="19050">
              <a:noFill/>
              <a:prstDash val="sysDot"/>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'G1-SR-příjmy-příspěvky'!$D$36:$U$36</c:f>
              <c:numCache>
                <c:formatCode>0.0</c:formatCode>
                <c:ptCount val="18"/>
                <c:pt idx="0">
                  <c:v>1.550632911392402</c:v>
                </c:pt>
                <c:pt idx="1">
                  <c:v>0.22519780888618229</c:v>
                </c:pt>
                <c:pt idx="2">
                  <c:v>-0.76923076923076816</c:v>
                </c:pt>
                <c:pt idx="3">
                  <c:v>-0.31418312387791875</c:v>
                </c:pt>
                <c:pt idx="4">
                  <c:v>0.62896778744415704</c:v>
                </c:pt>
                <c:pt idx="5">
                  <c:v>0.69276922125317031</c:v>
                </c:pt>
                <c:pt idx="6">
                  <c:v>0.79843860894251251</c:v>
                </c:pt>
                <c:pt idx="7">
                  <c:v>0.12637565162445266</c:v>
                </c:pt>
                <c:pt idx="8">
                  <c:v>0.26825062272465938</c:v>
                </c:pt>
                <c:pt idx="9">
                  <c:v>1.4267255303111859</c:v>
                </c:pt>
                <c:pt idx="10">
                  <c:v>1.7907162865146058</c:v>
                </c:pt>
                <c:pt idx="11">
                  <c:v>2.7448794761042179</c:v>
                </c:pt>
                <c:pt idx="12">
                  <c:v>2.353291629431042</c:v>
                </c:pt>
                <c:pt idx="13">
                  <c:v>2.0229026566319881</c:v>
                </c:pt>
                <c:pt idx="14">
                  <c:v>-7.7679840205888198</c:v>
                </c:pt>
                <c:pt idx="15">
                  <c:v>-1.5623633418257477</c:v>
                </c:pt>
                <c:pt idx="16">
                  <c:v>3.5255553646143647</c:v>
                </c:pt>
                <c:pt idx="17">
                  <c:v>1.9762283278804591</c:v>
                </c:pt>
              </c:numCache>
            </c:numRef>
          </c:val>
          <c:extLst>
            <c:ext xmlns:c16="http://schemas.microsoft.com/office/drawing/2014/chart" uri="{C3380CC4-5D6E-409C-BE32-E72D297353CC}">
              <c16:uniqueId val="{00000001-3F72-4DA9-9B3C-F738B9FB626C}"/>
            </c:ext>
          </c:extLst>
        </c:ser>
        <c:ser>
          <c:idx val="4"/>
          <c:order val="3"/>
          <c:tx>
            <c:strRef>
              <c:f>'G1-SR-příjmy-příspěvky'!$A$37</c:f>
              <c:strCache>
                <c:ptCount val="1"/>
                <c:pt idx="0">
                  <c:v>Daně z příjmů FO, ostatní</c:v>
                </c:pt>
              </c:strCache>
            </c:strRef>
          </c:tx>
          <c:spPr>
            <a:solidFill>
              <a:srgbClr val="FFD757"/>
            </a:solidFill>
            <a:ln w="19050">
              <a:noFill/>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'G1-SR-příjmy-příspěvky'!$D$37:$U$37</c:f>
              <c:numCache>
                <c:formatCode>0.0</c:formatCode>
                <c:ptCount val="18"/>
                <c:pt idx="0">
                  <c:v>-0.47468354430380055</c:v>
                </c:pt>
                <c:pt idx="1">
                  <c:v>0.9251369446135137</c:v>
                </c:pt>
                <c:pt idx="2">
                  <c:v>-2.0797720797720807</c:v>
                </c:pt>
                <c:pt idx="3">
                  <c:v>0.59630674531931649</c:v>
                </c:pt>
                <c:pt idx="4">
                  <c:v>-0.95814719021867056</c:v>
                </c:pt>
                <c:pt idx="5">
                  <c:v>0.74225273705696659</c:v>
                </c:pt>
                <c:pt idx="6">
                  <c:v>-0.11828720132481825</c:v>
                </c:pt>
                <c:pt idx="7">
                  <c:v>0.67400347533042171</c:v>
                </c:pt>
                <c:pt idx="8">
                  <c:v>-0.50296991760873777</c:v>
                </c:pt>
                <c:pt idx="9">
                  <c:v>0.8344998384839043</c:v>
                </c:pt>
                <c:pt idx="10">
                  <c:v>0.20508203281311971</c:v>
                </c:pt>
                <c:pt idx="11">
                  <c:v>-1.3933398355856219E-2</c:v>
                </c:pt>
                <c:pt idx="12">
                  <c:v>0.77875654283160967</c:v>
                </c:pt>
                <c:pt idx="13">
                  <c:v>-0.74215988803866995</c:v>
                </c:pt>
                <c:pt idx="14">
                  <c:v>0.13268445991520786</c:v>
                </c:pt>
                <c:pt idx="15">
                  <c:v>1.6770686921142253</c:v>
                </c:pt>
                <c:pt idx="16">
                  <c:v>0.88253048526587663</c:v>
                </c:pt>
                <c:pt idx="17">
                  <c:v>0.17560470757554403</c:v>
                </c:pt>
              </c:numCache>
            </c:numRef>
          </c:val>
          <c:extLst>
            <c:ext xmlns:c16="http://schemas.microsoft.com/office/drawing/2014/chart" uri="{C3380CC4-5D6E-409C-BE32-E72D297353CC}">
              <c16:uniqueId val="{00000002-3F72-4DA9-9B3C-F738B9FB626C}"/>
            </c:ext>
          </c:extLst>
        </c:ser>
        <c:ser>
          <c:idx val="2"/>
          <c:order val="4"/>
          <c:tx>
            <c:strRef>
              <c:f>'G1-SR-příjmy-příspěvky'!$A$38</c:f>
              <c:strCache>
                <c:ptCount val="1"/>
                <c:pt idx="0">
                  <c:v>Daně z příjmů PO</c:v>
                </c:pt>
              </c:strCache>
            </c:strRef>
          </c:tx>
          <c:spPr>
            <a:solidFill>
              <a:srgbClr val="F9B073"/>
            </a:solidFill>
            <a:ln>
              <a:noFill/>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'G1-SR-příjmy-příspěvky'!$D$38:$U$38</c:f>
              <c:numCache>
                <c:formatCode>0.0</c:formatCode>
                <c:ptCount val="18"/>
                <c:pt idx="0">
                  <c:v>0.3924050632911365</c:v>
                </c:pt>
                <c:pt idx="1">
                  <c:v>3.4449178332318948</c:v>
                </c:pt>
                <c:pt idx="2">
                  <c:v>-2.9230769230769247</c:v>
                </c:pt>
                <c:pt idx="3">
                  <c:v>-6.4119004873054407E-3</c:v>
                </c:pt>
                <c:pt idx="4">
                  <c:v>-1.5871149776628251</c:v>
                </c:pt>
                <c:pt idx="5">
                  <c:v>-0.11752335003401841</c:v>
                </c:pt>
                <c:pt idx="6">
                  <c:v>-8.2801040927371963E-2</c:v>
                </c:pt>
                <c:pt idx="7">
                  <c:v>0.38439260702437994</c:v>
                </c:pt>
                <c:pt idx="8">
                  <c:v>1.0059398352174727</c:v>
                </c:pt>
                <c:pt idx="9">
                  <c:v>2.1104770108754174</c:v>
                </c:pt>
                <c:pt idx="10">
                  <c:v>1.7957182873149216</c:v>
                </c:pt>
                <c:pt idx="11">
                  <c:v>0.20900097533788606</c:v>
                </c:pt>
                <c:pt idx="12">
                  <c:v>0.6298140346397717</c:v>
                </c:pt>
                <c:pt idx="13">
                  <c:v>0.32691017416434592</c:v>
                </c:pt>
                <c:pt idx="14">
                  <c:v>0.10558008367166571</c:v>
                </c:pt>
                <c:pt idx="15">
                  <c:v>1.019178282204771</c:v>
                </c:pt>
                <c:pt idx="16">
                  <c:v>3.8971374921113471</c:v>
                </c:pt>
                <c:pt idx="17">
                  <c:v>2.8011427441386947</c:v>
                </c:pt>
              </c:numCache>
            </c:numRef>
          </c:val>
          <c:extLst>
            <c:ext xmlns:c16="http://schemas.microsoft.com/office/drawing/2014/chart" uri="{C3380CC4-5D6E-409C-BE32-E72D297353CC}">
              <c16:uniqueId val="{00000003-3F72-4DA9-9B3C-F738B9FB626C}"/>
            </c:ext>
          </c:extLst>
        </c:ser>
        <c:ser>
          <c:idx val="5"/>
          <c:order val="5"/>
          <c:tx>
            <c:strRef>
              <c:f>'G1-SR-příjmy-příspěvky'!$A$39</c:f>
              <c:strCache>
                <c:ptCount val="1"/>
                <c:pt idx="0">
                  <c:v>Spotřební daň</c:v>
                </c:pt>
              </c:strCache>
            </c:strRef>
          </c:tx>
          <c:spPr>
            <a:solidFill>
              <a:srgbClr val="00B050"/>
            </a:solidFill>
            <a:ln>
              <a:noFill/>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'G1-SR-příjmy-příspěvky'!$D$39:$U$39</c:f>
              <c:numCache>
                <c:formatCode>0.0</c:formatCode>
                <c:ptCount val="18"/>
                <c:pt idx="0">
                  <c:v>0.82278481012658056</c:v>
                </c:pt>
                <c:pt idx="1">
                  <c:v>-0.18867924528301808</c:v>
                </c:pt>
                <c:pt idx="2">
                  <c:v>-2.376068376068377</c:v>
                </c:pt>
                <c:pt idx="3">
                  <c:v>4.9756347781482413</c:v>
                </c:pt>
                <c:pt idx="4">
                  <c:v>-0.74065365624265111</c:v>
                </c:pt>
                <c:pt idx="5">
                  <c:v>1.985526071627387</c:v>
                </c:pt>
                <c:pt idx="6">
                  <c:v>2.1587414241779017</c:v>
                </c:pt>
                <c:pt idx="7">
                  <c:v>2.9592965088726202</c:v>
                </c:pt>
                <c:pt idx="8">
                  <c:v>-6.1841348917417074</c:v>
                </c:pt>
                <c:pt idx="9">
                  <c:v>1.4590287498653982</c:v>
                </c:pt>
                <c:pt idx="10">
                  <c:v>0.42016806722689204</c:v>
                </c:pt>
                <c:pt idx="11">
                  <c:v>0.5805582648274572</c:v>
                </c:pt>
                <c:pt idx="12">
                  <c:v>-0.62130303417166777</c:v>
                </c:pt>
                <c:pt idx="13">
                  <c:v>1.0735727426060964</c:v>
                </c:pt>
                <c:pt idx="14">
                  <c:v>-2.9470384104736067</c:v>
                </c:pt>
                <c:pt idx="15">
                  <c:v>2.0334594164576827</c:v>
                </c:pt>
                <c:pt idx="16">
                  <c:v>-0.53984991589800446</c:v>
                </c:pt>
                <c:pt idx="17">
                  <c:v>1.4072474226355542</c:v>
                </c:pt>
              </c:numCache>
            </c:numRef>
          </c:val>
          <c:extLst>
            <c:ext xmlns:c16="http://schemas.microsoft.com/office/drawing/2014/chart" uri="{C3380CC4-5D6E-409C-BE32-E72D297353CC}">
              <c16:uniqueId val="{00000004-3F72-4DA9-9B3C-F738B9FB626C}"/>
            </c:ext>
          </c:extLst>
        </c:ser>
        <c:ser>
          <c:idx val="6"/>
          <c:order val="6"/>
          <c:tx>
            <c:strRef>
              <c:f>'G1-SR-příjmy-příspěvky'!$A$40</c:f>
              <c:strCache>
                <c:ptCount val="1"/>
                <c:pt idx="0">
                  <c:v>DPH</c:v>
                </c:pt>
              </c:strCache>
            </c:strRef>
          </c:tx>
          <c:spPr>
            <a:solidFill>
              <a:schemeClr val="accent5">
                <a:lumMod val="60000"/>
                <a:lumOff val="40000"/>
              </a:schemeClr>
            </a:solidFill>
            <a:ln w="19050">
              <a:noFill/>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'G1-SR-příjmy-příspěvky'!$D$40:$U$40</c:f>
              <c:numCache>
                <c:formatCode>0.0</c:formatCode>
                <c:ptCount val="18"/>
                <c:pt idx="0">
                  <c:v>1.424050632911388</c:v>
                </c:pt>
                <c:pt idx="1">
                  <c:v>1.4790018259281799</c:v>
                </c:pt>
                <c:pt idx="2">
                  <c:v>-2.1253561253561237</c:v>
                </c:pt>
                <c:pt idx="3">
                  <c:v>4.0459092074891005</c:v>
                </c:pt>
                <c:pt idx="4">
                  <c:v>-2.3571596520103482</c:v>
                </c:pt>
                <c:pt idx="5">
                  <c:v>1.1257499845364003</c:v>
                </c:pt>
                <c:pt idx="6">
                  <c:v>8.8123964986988419</c:v>
                </c:pt>
                <c:pt idx="7">
                  <c:v>5.8396082354799592</c:v>
                </c:pt>
                <c:pt idx="8">
                  <c:v>-5.78654914734624</c:v>
                </c:pt>
                <c:pt idx="9">
                  <c:v>1.631312587487886</c:v>
                </c:pt>
                <c:pt idx="10">
                  <c:v>3.2513005202080785</c:v>
                </c:pt>
                <c:pt idx="11">
                  <c:v>4.9974455436347585</c:v>
                </c:pt>
                <c:pt idx="12">
                  <c:v>-6.3832503510790187E-2</c:v>
                </c:pt>
                <c:pt idx="13">
                  <c:v>2.1661942638579452</c:v>
                </c:pt>
                <c:pt idx="14">
                  <c:v>-2.6237556934223591</c:v>
                </c:pt>
                <c:pt idx="15">
                  <c:v>9.6005596283267742</c:v>
                </c:pt>
                <c:pt idx="16">
                  <c:v>4.3409785889223764</c:v>
                </c:pt>
                <c:pt idx="17">
                  <c:v>2.9004845077869397</c:v>
                </c:pt>
              </c:numCache>
            </c:numRef>
          </c:val>
          <c:extLst>
            <c:ext xmlns:c16="http://schemas.microsoft.com/office/drawing/2014/chart" uri="{C3380CC4-5D6E-409C-BE32-E72D297353CC}">
              <c16:uniqueId val="{00000005-3F72-4DA9-9B3C-F738B9FB626C}"/>
            </c:ext>
          </c:extLst>
        </c:ser>
        <c:dLbls>
          <c:showLegendKey val="0"/>
          <c:showVal val="0"/>
          <c:showCatName val="0"/>
          <c:showSerName val="0"/>
          <c:showPercent val="0"/>
          <c:showBubbleSize val="0"/>
        </c:dLbls>
        <c:gapWidth val="49"/>
        <c:overlap val="100"/>
        <c:axId val="84568704"/>
        <c:axId val="84599168"/>
      </c:barChart>
      <c:lineChart>
        <c:grouping val="standard"/>
        <c:varyColors val="0"/>
        <c:ser>
          <c:idx val="0"/>
          <c:order val="0"/>
          <c:tx>
            <c:strRef>
              <c:f>'G1-SR-příjmy-příspěvky'!$A$34</c:f>
              <c:strCache>
                <c:ptCount val="1"/>
                <c:pt idx="0">
                  <c:v>Celk. daňové příjmy (bez pojistného na SZ)</c:v>
                </c:pt>
              </c:strCache>
            </c:strRef>
          </c:tx>
          <c:spPr>
            <a:ln w="19050">
              <a:noFill/>
            </a:ln>
          </c:spPr>
          <c:marker>
            <c:symbol val="circle"/>
            <c:size val="7"/>
            <c:spPr>
              <a:solidFill>
                <a:schemeClr val="bg1"/>
              </a:solidFill>
              <a:ln>
                <a:solidFill>
                  <a:srgbClr val="C00000"/>
                </a:solidFill>
              </a:ln>
            </c:spPr>
          </c:marker>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'G1-SR-příjmy-příspěvky'!$D$34:$U$34</c:f>
              <c:numCache>
                <c:formatCode>0.0</c:formatCode>
                <c:ptCount val="18"/>
                <c:pt idx="0">
                  <c:v>3.9873417721518947</c:v>
                </c:pt>
                <c:pt idx="1">
                  <c:v>6.8167985392574462</c:v>
                </c:pt>
                <c:pt idx="2">
                  <c:v>-11.133903133903129</c:v>
                </c:pt>
                <c:pt idx="3">
                  <c:v>9.0792510900230781</c:v>
                </c:pt>
                <c:pt idx="4">
                  <c:v>-4.9670820597225553</c:v>
                </c:pt>
                <c:pt idx="5">
                  <c:v>4.5834106513267852</c:v>
                </c:pt>
                <c:pt idx="6">
                  <c:v>12.319612017979644</c:v>
                </c:pt>
                <c:pt idx="7">
                  <c:v>9.9257543046706225</c:v>
                </c:pt>
                <c:pt idx="8">
                  <c:v>-11.027016669860117</c:v>
                </c:pt>
                <c:pt idx="9">
                  <c:v>7.6343275546462603</c:v>
                </c:pt>
                <c:pt idx="10">
                  <c:v>7.6980792316926738</c:v>
                </c:pt>
                <c:pt idx="11">
                  <c:v>9.1403093214434925</c:v>
                </c:pt>
                <c:pt idx="12">
                  <c:v>3.8852717136899457</c:v>
                </c:pt>
                <c:pt idx="13">
                  <c:v>5.5112387756759631</c:v>
                </c:pt>
                <c:pt idx="14">
                  <c:v>-14.706462084712683</c:v>
                </c:pt>
                <c:pt idx="15">
                  <c:v>13.872116425948553</c:v>
                </c:pt>
                <c:pt idx="16">
                  <c:v>15.438691866329934</c:v>
                </c:pt>
                <c:pt idx="17">
                  <c:v>11.523172781145131</c:v>
                </c:pt>
              </c:numCache>
            </c:numRef>
          </c:val>
          <c:smooth val="0"/>
          <c:extLst>
            <c:ext xmlns:c16="http://schemas.microsoft.com/office/drawing/2014/chart" uri="{C3380CC4-5D6E-409C-BE32-E72D297353CC}">
              <c16:uniqueId val="{00000006-3F72-4DA9-9B3C-F738B9FB626C}"/>
            </c:ext>
          </c:extLst>
        </c:ser>
        <c:ser>
          <c:idx val="7"/>
          <c:order val="7"/>
          <c:tx>
            <c:strRef>
              <c:f>'G1-SR-příjmy-příspěvky'!$A$41</c:f>
              <c:strCache>
                <c:ptCount val="1"/>
                <c:pt idx="0">
                  <c:v>Příjmy z pojistného na soc. zabezpečení*</c:v>
                </c:pt>
              </c:strCache>
            </c:strRef>
          </c:tx>
          <c:spPr>
            <a:ln w="6350">
              <a:noFill/>
              <a:prstDash val="dash"/>
            </a:ln>
          </c:spPr>
          <c:marker>
            <c:symbol val="square"/>
            <c:size val="5"/>
            <c:spPr>
              <a:solidFill>
                <a:schemeClr val="bg1"/>
              </a:solidFill>
              <a:ln>
                <a:solidFill>
                  <a:schemeClr val="tx1">
                    <a:lumMod val="95000"/>
                    <a:lumOff val="5000"/>
                  </a:schemeClr>
                </a:solidFill>
              </a:ln>
            </c:spPr>
          </c:marker>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'G1-SR-příjmy-příspěvky'!$D$41:$U$41</c:f>
              <c:numCache>
                <c:formatCode>0.0</c:formatCode>
                <c:ptCount val="18"/>
                <c:pt idx="0">
                  <c:v>9.7190584662111021</c:v>
                </c:pt>
                <c:pt idx="1">
                  <c:v>9.4579008073817761</c:v>
                </c:pt>
                <c:pt idx="2">
                  <c:v>-4.4573234984194006</c:v>
                </c:pt>
                <c:pt idx="3">
                  <c:v>-5.8564023381493371</c:v>
                </c:pt>
                <c:pt idx="4">
                  <c:v>3.8308341143392663</c:v>
                </c:pt>
                <c:pt idx="5">
                  <c:v>3.6894956560984014</c:v>
                </c:pt>
                <c:pt idx="6">
                  <c:v>-1.0554951033732323</c:v>
                </c:pt>
                <c:pt idx="7">
                  <c:v>2.1513929773781797</c:v>
                </c:pt>
                <c:pt idx="8">
                  <c:v>4.8070686526797743</c:v>
                </c:pt>
                <c:pt idx="9">
                  <c:v>5.4941518644093605</c:v>
                </c:pt>
                <c:pt idx="10">
                  <c:v>7.497565725413823</c:v>
                </c:pt>
                <c:pt idx="11">
                  <c:v>10.144927536231858</c:v>
                </c:pt>
                <c:pt idx="12">
                  <c:v>8.1414473684210691</c:v>
                </c:pt>
                <c:pt idx="13">
                  <c:v>4.6387832699619604</c:v>
                </c:pt>
                <c:pt idx="14">
                  <c:v>2.5436046511627959</c:v>
                </c:pt>
                <c:pt idx="15">
                  <c:v>4.8953928497165133</c:v>
                </c:pt>
                <c:pt idx="16">
                  <c:v>10.800511751899535</c:v>
                </c:pt>
                <c:pt idx="17">
                  <c:v>7.919275112271281</c:v>
                </c:pt>
              </c:numCache>
            </c:numRef>
          </c:val>
          <c:smooth val="0"/>
          <c:extLst>
            <c:ext xmlns:c16="http://schemas.microsoft.com/office/drawing/2014/chart" uri="{C3380CC4-5D6E-409C-BE32-E72D297353CC}">
              <c16:uniqueId val="{00000007-3F72-4DA9-9B3C-F738B9FB626C}"/>
            </c:ext>
          </c:extLst>
        </c:ser>
        <c:dLbls>
          <c:showLegendKey val="0"/>
          <c:showVal val="0"/>
          <c:showCatName val="0"/>
          <c:showSerName val="0"/>
          <c:showPercent val="0"/>
          <c:showBubbleSize val="0"/>
        </c:dLbls>
        <c:marker val="1"/>
        <c:smooth val="0"/>
        <c:axId val="84568704"/>
        <c:axId val="84599168"/>
      </c:lineChart>
      <c:lineChart>
        <c:grouping val="standard"/>
        <c:varyColors val="0"/>
        <c:ser>
          <c:idx val="8"/>
          <c:order val="8"/>
          <c:tx>
            <c:strRef>
              <c:f>'G1-SR-příjmy-příspěvky'!$A$42</c:f>
              <c:strCache>
                <c:ptCount val="1"/>
                <c:pt idx="0">
                  <c:v>Saldo státního rozpočtu (pravá osa)</c:v>
                </c:pt>
              </c:strCache>
            </c:strRef>
          </c:tx>
          <c:spPr>
            <a:ln w="15875">
              <a:solidFill>
                <a:schemeClr val="bg2">
                  <a:lumMod val="50000"/>
                </a:schemeClr>
              </a:solidFill>
            </a:ln>
          </c:spPr>
          <c:marker>
            <c:symbol val="none"/>
          </c:marker>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'G1-SR-příjmy-příspěvky'!$D$42:$U$42</c:f>
              <c:numCache>
                <c:formatCode>#\ ##0.0</c:formatCode>
                <c:ptCount val="18"/>
                <c:pt idx="0">
                  <c:v>11.263</c:v>
                </c:pt>
                <c:pt idx="1">
                  <c:v>-13.347</c:v>
                </c:pt>
                <c:pt idx="2">
                  <c:v>-2.3459999999999992</c:v>
                </c:pt>
                <c:pt idx="3">
                  <c:v>-45.942</c:v>
                </c:pt>
                <c:pt idx="4">
                  <c:v>-25.202000000000002</c:v>
                </c:pt>
                <c:pt idx="5">
                  <c:v>-22.69</c:v>
                </c:pt>
                <c:pt idx="6">
                  <c:v>13.97</c:v>
                </c:pt>
                <c:pt idx="7">
                  <c:v>43.59</c:v>
                </c:pt>
                <c:pt idx="8">
                  <c:v>19.91</c:v>
                </c:pt>
                <c:pt idx="9">
                  <c:v>43.6</c:v>
                </c:pt>
                <c:pt idx="10">
                  <c:v>4.68</c:v>
                </c:pt>
                <c:pt idx="11">
                  <c:v>16.260000000000002</c:v>
                </c:pt>
                <c:pt idx="12">
                  <c:v>-9.24</c:v>
                </c:pt>
                <c:pt idx="13">
                  <c:v>-44.707715918399998</c:v>
                </c:pt>
                <c:pt idx="14">
                  <c:v>-125.1977047449202</c:v>
                </c:pt>
                <c:pt idx="15">
                  <c:v>-59.140376242370237</c:v>
                </c:pt>
                <c:pt idx="16">
                  <c:v>-166.18531283895999</c:v>
                </c:pt>
                <c:pt idx="17">
                  <c:v>-104.97373262854998</c:v>
                </c:pt>
              </c:numCache>
            </c:numRef>
          </c:val>
          <c:smooth val="0"/>
          <c:extLst>
            <c:ext xmlns:c16="http://schemas.microsoft.com/office/drawing/2014/chart" uri="{C3380CC4-5D6E-409C-BE32-E72D297353CC}">
              <c16:uniqueId val="{00000008-3F72-4DA9-9B3C-F738B9FB626C}"/>
            </c:ext>
          </c:extLst>
        </c:ser>
        <c:ser>
          <c:idx val="9"/>
          <c:order val="9"/>
          <c:tx>
            <c:strRef>
              <c:f>'G1-SR-příjmy-příspěvky'!$A$43</c:f>
              <c:strCache>
                <c:ptCount val="1"/>
                <c:pt idx="0">
                  <c:v>Saldo SR očištěné o vliv EU a FM** (pr. osa)</c:v>
                </c:pt>
              </c:strCache>
            </c:strRef>
          </c:tx>
          <c:spPr>
            <a:ln w="15875">
              <a:solidFill>
                <a:schemeClr val="bg2">
                  <a:lumMod val="50000"/>
                </a:schemeClr>
              </a:solidFill>
              <a:prstDash val="sysDash"/>
            </a:ln>
          </c:spPr>
          <c:marker>
            <c:symbol val="none"/>
          </c:marker>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'G1-SR-příjmy-příspěvky'!$D$43:$U$43</c:f>
              <c:numCache>
                <c:formatCode>General</c:formatCode>
                <c:ptCount val="18"/>
                <c:pt idx="6" formatCode="#\ ##0.0">
                  <c:v>-9.4</c:v>
                </c:pt>
                <c:pt idx="7" formatCode="#\ ##0.0">
                  <c:v>11</c:v>
                </c:pt>
                <c:pt idx="8" formatCode="#\ ##0.0">
                  <c:v>-18.100000000000001</c:v>
                </c:pt>
                <c:pt idx="9" formatCode="#\ ##0.0">
                  <c:v>-11.9</c:v>
                </c:pt>
                <c:pt idx="10" formatCode="#\ ##0.0">
                  <c:v>-4.5599999999999996</c:v>
                </c:pt>
                <c:pt idx="11" formatCode="#\ ##0.0">
                  <c:v>-5.26</c:v>
                </c:pt>
                <c:pt idx="12" formatCode="#\ ##0.0">
                  <c:v>-6.1961843930897658</c:v>
                </c:pt>
                <c:pt idx="13" formatCode="#\ ##0.0">
                  <c:v>-41.582504753719945</c:v>
                </c:pt>
                <c:pt idx="14" formatCode="#\ ##0.0">
                  <c:v>-123.9</c:v>
                </c:pt>
                <c:pt idx="15" formatCode="#\ ##0.0">
                  <c:v>-55.306921067390164</c:v>
                </c:pt>
                <c:pt idx="16" formatCode="#\ ##0.0">
                  <c:v>-156.83966401531995</c:v>
                </c:pt>
                <c:pt idx="17" formatCode="#\ ##0.0">
                  <c:v>-99.064572721260063</c:v>
                </c:pt>
              </c:numCache>
            </c:numRef>
          </c:val>
          <c:smooth val="0"/>
          <c:extLst>
            <c:ext xmlns:c16="http://schemas.microsoft.com/office/drawing/2014/chart" uri="{C3380CC4-5D6E-409C-BE32-E72D297353CC}">
              <c16:uniqueId val="{00000009-3F72-4DA9-9B3C-F738B9FB626C}"/>
            </c:ext>
          </c:extLst>
        </c:ser>
        <c:dLbls>
          <c:showLegendKey val="0"/>
          <c:showVal val="0"/>
          <c:showCatName val="0"/>
          <c:showSerName val="0"/>
          <c:showPercent val="0"/>
          <c:showBubbleSize val="0"/>
        </c:dLbls>
        <c:marker val="1"/>
        <c:smooth val="0"/>
        <c:axId val="91619712"/>
        <c:axId val="84601088"/>
      </c:lineChart>
      <c:catAx>
        <c:axId val="84568704"/>
        <c:scaling>
          <c:orientation val="minMax"/>
        </c:scaling>
        <c:delete val="0"/>
        <c:axPos val="b"/>
        <c:numFmt formatCode="General" sourceLinked="1"/>
        <c:majorTickMark val="out"/>
        <c:minorTickMark val="none"/>
        <c:tickLblPos val="low"/>
        <c:spPr>
          <a:ln w="6350">
            <a:solidFill>
              <a:schemeClr val="tx1"/>
            </a:solidFill>
          </a:ln>
        </c:spPr>
        <c:txPr>
          <a:bodyPr rot="-2220000"/>
          <a:lstStyle/>
          <a:p>
            <a:pPr>
              <a:defRPr sz="800" b="0" i="0"/>
            </a:pPr>
            <a:endParaRPr lang="cs-CZ"/>
          </a:p>
        </c:txPr>
        <c:crossAx val="84599168"/>
        <c:crosses val="autoZero"/>
        <c:auto val="1"/>
        <c:lblAlgn val="ctr"/>
        <c:lblOffset val="0"/>
        <c:noMultiLvlLbl val="0"/>
      </c:catAx>
      <c:valAx>
        <c:axId val="84599168"/>
        <c:scaling>
          <c:orientation val="minMax"/>
          <c:max val="20"/>
          <c:min val="-20"/>
        </c:scaling>
        <c:delete val="0"/>
        <c:axPos val="l"/>
        <c:majorGridlines>
          <c:spPr>
            <a:ln w="6350">
              <a:solidFill>
                <a:schemeClr val="bg1">
                  <a:lumMod val="75000"/>
                </a:schemeClr>
              </a:solidFill>
            </a:ln>
          </c:spPr>
        </c:majorGridlines>
        <c:title>
          <c:tx>
            <c:rich>
              <a:bodyPr/>
              <a:lstStyle/>
              <a:p>
                <a:pPr>
                  <a:defRPr b="0"/>
                </a:pPr>
                <a:r>
                  <a:rPr lang="cs-CZ" b="0"/>
                  <a:t>Růst příjmů z pojistného, příspěvek k růstu daň. příjmů</a:t>
                </a:r>
              </a:p>
            </c:rich>
          </c:tx>
          <c:layout>
            <c:manualLayout>
              <c:xMode val="edge"/>
              <c:yMode val="edge"/>
              <c:x val="0"/>
              <c:y val="6.9036877877786132E-2"/>
            </c:manualLayout>
          </c:layout>
          <c:overlay val="0"/>
        </c:title>
        <c:numFmt formatCode="0" sourceLinked="0"/>
        <c:majorTickMark val="out"/>
        <c:minorTickMark val="none"/>
        <c:tickLblPos val="nextTo"/>
        <c:spPr>
          <a:ln w="6350">
            <a:solidFill>
              <a:schemeClr val="tx1"/>
            </a:solidFill>
          </a:ln>
        </c:spPr>
        <c:txPr>
          <a:bodyPr/>
          <a:lstStyle/>
          <a:p>
            <a:pPr>
              <a:defRPr sz="800" b="0" i="0"/>
            </a:pPr>
            <a:endParaRPr lang="cs-CZ"/>
          </a:p>
        </c:txPr>
        <c:crossAx val="84568704"/>
        <c:crosses val="autoZero"/>
        <c:crossBetween val="between"/>
        <c:majorUnit val="4"/>
      </c:valAx>
      <c:valAx>
        <c:axId val="84601088"/>
        <c:scaling>
          <c:orientation val="minMax"/>
          <c:max val="300"/>
          <c:min val="-200"/>
        </c:scaling>
        <c:delete val="0"/>
        <c:axPos val="r"/>
        <c:title>
          <c:tx>
            <c:rich>
              <a:bodyPr/>
              <a:lstStyle/>
              <a:p>
                <a:pPr>
                  <a:defRPr b="0"/>
                </a:pPr>
                <a:r>
                  <a:rPr lang="cs-CZ" b="0"/>
                  <a:t>Saldo státního rozpočtu</a:t>
                </a:r>
              </a:p>
            </c:rich>
          </c:tx>
          <c:layout>
            <c:manualLayout>
              <c:xMode val="edge"/>
              <c:yMode val="edge"/>
              <c:x val="0.97036646544776561"/>
              <c:y val="0.20963215506367219"/>
            </c:manualLayout>
          </c:layout>
          <c:overlay val="0"/>
        </c:title>
        <c:numFmt formatCode="#,##0" sourceLinked="0"/>
        <c:majorTickMark val="out"/>
        <c:minorTickMark val="none"/>
        <c:tickLblPos val="nextTo"/>
        <c:txPr>
          <a:bodyPr/>
          <a:lstStyle/>
          <a:p>
            <a:pPr>
              <a:defRPr sz="800" b="0" i="0"/>
            </a:pPr>
            <a:endParaRPr lang="cs-CZ"/>
          </a:p>
        </c:txPr>
        <c:crossAx val="91619712"/>
        <c:crosses val="max"/>
        <c:crossBetween val="between"/>
        <c:majorUnit val="50"/>
      </c:valAx>
      <c:catAx>
        <c:axId val="91619712"/>
        <c:scaling>
          <c:orientation val="minMax"/>
        </c:scaling>
        <c:delete val="1"/>
        <c:axPos val="b"/>
        <c:numFmt formatCode="General" sourceLinked="1"/>
        <c:majorTickMark val="out"/>
        <c:minorTickMark val="none"/>
        <c:tickLblPos val="none"/>
        <c:crossAx val="84601088"/>
        <c:crosses val="autoZero"/>
        <c:auto val="1"/>
        <c:lblAlgn val="ctr"/>
        <c:lblOffset val="100"/>
        <c:noMultiLvlLbl val="0"/>
      </c:catAx>
      <c:spPr>
        <a:ln w="6350">
          <a:solidFill>
            <a:schemeClr val="tx1"/>
          </a:solidFill>
        </a:ln>
      </c:spPr>
    </c:plotArea>
    <c:legend>
      <c:legendPos val="b"/>
      <c:layout>
        <c:manualLayout>
          <c:xMode val="edge"/>
          <c:yMode val="edge"/>
          <c:x val="1.340471342706971E-2"/>
          <c:y val="0.84262968908968405"/>
          <c:w val="0.97057855178488139"/>
          <c:h val="0.15368252151393277"/>
        </c:manualLayout>
      </c:layout>
      <c:overlay val="0"/>
      <c:spPr>
        <a:ln w="6350">
          <a:solidFill>
            <a:schemeClr val="tx1"/>
          </a:solidFill>
        </a:ln>
      </c:spPr>
      <c:txPr>
        <a:bodyPr/>
        <a:lstStyle/>
        <a:p>
          <a:pPr>
            <a:defRPr sz="750" b="0" i="0"/>
          </a:pPr>
          <a:endParaRPr lang="cs-CZ"/>
        </a:p>
      </c:txPr>
    </c:legend>
    <c:plotVisOnly val="1"/>
    <c:dispBlanksAs val="gap"/>
    <c:showDLblsOverMax val="0"/>
  </c:chart>
  <c:spPr>
    <a:ln>
      <a:noFill/>
    </a:ln>
  </c:spPr>
  <c:txPr>
    <a:bodyPr/>
    <a:lstStyle/>
    <a:p>
      <a:pPr>
        <a:defRPr sz="700" b="1" i="1">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576336352808833E-2"/>
          <c:y val="1.7698902479006781E-2"/>
          <c:w val="0.83506848789396348"/>
          <c:h val="0.72436410178900057"/>
        </c:manualLayout>
      </c:layout>
      <c:barChart>
        <c:barDir val="col"/>
        <c:grouping val="clustered"/>
        <c:varyColors val="0"/>
        <c:ser>
          <c:idx val="0"/>
          <c:order val="0"/>
          <c:tx>
            <c:strRef>
              <c:f>'G2-St.rozpočet-výdaje-2024'!$B$30</c:f>
              <c:strCache>
                <c:ptCount val="1"/>
                <c:pt idx="0">
                  <c:v>Běžné výdaje (pravá osa)</c:v>
                </c:pt>
              </c:strCache>
            </c:strRef>
          </c:tx>
          <c:spPr>
            <a:solidFill>
              <a:srgbClr val="E0E0E0"/>
            </a:solidFill>
            <a:ln w="6350">
              <a:solidFill>
                <a:schemeClr val="bg1">
                  <a:lumMod val="65000"/>
                </a:schemeClr>
              </a:solidFill>
            </a:ln>
          </c:spPr>
          <c:invertIfNegative val="0"/>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'G2-St.rozpočet-výdaje-2024'!$B$33:$B$50</c:f>
              <c:numCache>
                <c:formatCode>0.0</c:formatCode>
                <c:ptCount val="18"/>
                <c:pt idx="0">
                  <c:v>220.65</c:v>
                </c:pt>
                <c:pt idx="1">
                  <c:v>251.64</c:v>
                </c:pt>
                <c:pt idx="2">
                  <c:v>242.03</c:v>
                </c:pt>
                <c:pt idx="3">
                  <c:v>262.01</c:v>
                </c:pt>
                <c:pt idx="4">
                  <c:v>252.45000000000005</c:v>
                </c:pt>
                <c:pt idx="5">
                  <c:v>258.94</c:v>
                </c:pt>
                <c:pt idx="6">
                  <c:v>261.20999999999987</c:v>
                </c:pt>
                <c:pt idx="7">
                  <c:v>265.72000000000003</c:v>
                </c:pt>
                <c:pt idx="8">
                  <c:v>274.76</c:v>
                </c:pt>
                <c:pt idx="9">
                  <c:v>278.33</c:v>
                </c:pt>
                <c:pt idx="10">
                  <c:v>296.72000000000003</c:v>
                </c:pt>
                <c:pt idx="11">
                  <c:v>317.70999999999987</c:v>
                </c:pt>
                <c:pt idx="12">
                  <c:v>357.12</c:v>
                </c:pt>
                <c:pt idx="13">
                  <c:v>398.64712341415998</c:v>
                </c:pt>
                <c:pt idx="14">
                  <c:v>441.42700809697999</c:v>
                </c:pt>
                <c:pt idx="15">
                  <c:v>399.41500922346</c:v>
                </c:pt>
                <c:pt idx="16">
                  <c:v>532.53804444666036</c:v>
                </c:pt>
                <c:pt idx="17">
                  <c:v>520.46740821746971</c:v>
                </c:pt>
              </c:numCache>
            </c:numRef>
          </c:val>
          <c:extLst>
            <c:ext xmlns:c16="http://schemas.microsoft.com/office/drawing/2014/chart" uri="{C3380CC4-5D6E-409C-BE32-E72D297353CC}">
              <c16:uniqueId val="{00000000-91C6-4900-BBE1-043EEB511248}"/>
            </c:ext>
          </c:extLst>
        </c:ser>
        <c:ser>
          <c:idx val="1"/>
          <c:order val="1"/>
          <c:tx>
            <c:strRef>
              <c:f>'G2-St.rozpočet-výdaje-2024'!$C$30</c:f>
              <c:strCache>
                <c:ptCount val="1"/>
                <c:pt idx="0">
                  <c:v>z toho výdaje na důchody (pr. osa)</c:v>
                </c:pt>
              </c:strCache>
            </c:strRef>
          </c:tx>
          <c:spPr>
            <a:solidFill>
              <a:schemeClr val="bg1">
                <a:lumMod val="75000"/>
              </a:schemeClr>
            </a:solidFill>
            <a:ln w="6350">
              <a:solidFill>
                <a:schemeClr val="bg1">
                  <a:lumMod val="75000"/>
                </a:schemeClr>
              </a:solidFill>
            </a:ln>
          </c:spPr>
          <c:invertIfNegative val="0"/>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'G2-St.rozpočet-výdaje-2024'!$C$33:$C$50</c:f>
              <c:numCache>
                <c:formatCode>0.0</c:formatCode>
                <c:ptCount val="18"/>
                <c:pt idx="0">
                  <c:v>71.86999999999999</c:v>
                </c:pt>
                <c:pt idx="1">
                  <c:v>75.11999999999999</c:v>
                </c:pt>
                <c:pt idx="2">
                  <c:v>82.56</c:v>
                </c:pt>
                <c:pt idx="3">
                  <c:v>86.240000000000023</c:v>
                </c:pt>
                <c:pt idx="4">
                  <c:v>91.83</c:v>
                </c:pt>
                <c:pt idx="5">
                  <c:v>93.1</c:v>
                </c:pt>
                <c:pt idx="6">
                  <c:v>89.169999999999987</c:v>
                </c:pt>
                <c:pt idx="7">
                  <c:v>88.14</c:v>
                </c:pt>
                <c:pt idx="8">
                  <c:v>90.59</c:v>
                </c:pt>
                <c:pt idx="9">
                  <c:v>97.1</c:v>
                </c:pt>
                <c:pt idx="10">
                  <c:v>102.39</c:v>
                </c:pt>
                <c:pt idx="11">
                  <c:v>107.5</c:v>
                </c:pt>
                <c:pt idx="12">
                  <c:v>116.5</c:v>
                </c:pt>
                <c:pt idx="13">
                  <c:v>126.1</c:v>
                </c:pt>
                <c:pt idx="14">
                  <c:v>134.60955542761994</c:v>
                </c:pt>
                <c:pt idx="15">
                  <c:v>141.89044829649006</c:v>
                </c:pt>
                <c:pt idx="16">
                  <c:v>171.36544377853005</c:v>
                </c:pt>
                <c:pt idx="17">
                  <c:v>180.70855371628994</c:v>
                </c:pt>
              </c:numCache>
            </c:numRef>
          </c:val>
          <c:extLst>
            <c:ext xmlns:c16="http://schemas.microsoft.com/office/drawing/2014/chart" uri="{C3380CC4-5D6E-409C-BE32-E72D297353CC}">
              <c16:uniqueId val="{00000001-91C6-4900-BBE1-043EEB511248}"/>
            </c:ext>
          </c:extLst>
        </c:ser>
        <c:dLbls>
          <c:showLegendKey val="0"/>
          <c:showVal val="0"/>
          <c:showCatName val="0"/>
          <c:showSerName val="0"/>
          <c:showPercent val="0"/>
          <c:showBubbleSize val="0"/>
        </c:dLbls>
        <c:gapWidth val="85"/>
        <c:overlap val="100"/>
        <c:axId val="109561344"/>
        <c:axId val="109559168"/>
      </c:barChart>
      <c:lineChart>
        <c:grouping val="standard"/>
        <c:varyColors val="0"/>
        <c:ser>
          <c:idx val="6"/>
          <c:order val="2"/>
          <c:tx>
            <c:strRef>
              <c:f>'G2-St.rozpočet-výdaje-2024'!$D$30</c:f>
              <c:strCache>
                <c:ptCount val="1"/>
                <c:pt idx="0">
                  <c:v>Platy a související výdaje*</c:v>
                </c:pt>
              </c:strCache>
            </c:strRef>
          </c:tx>
          <c:spPr>
            <a:ln w="15875">
              <a:solidFill>
                <a:srgbClr val="D5D000"/>
              </a:solidFill>
            </a:ln>
          </c:spPr>
          <c:marker>
            <c:symbol val="none"/>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'G2-St.rozpočet-výdaje-2024'!$D$33:$D$50</c:f>
              <c:numCache>
                <c:formatCode>0.0</c:formatCode>
                <c:ptCount val="18"/>
                <c:pt idx="0">
                  <c:v>14.850000000000003</c:v>
                </c:pt>
                <c:pt idx="1">
                  <c:v>14.73</c:v>
                </c:pt>
                <c:pt idx="2">
                  <c:v>15.14</c:v>
                </c:pt>
                <c:pt idx="3">
                  <c:v>15.42</c:v>
                </c:pt>
                <c:pt idx="4">
                  <c:v>14.05</c:v>
                </c:pt>
                <c:pt idx="5">
                  <c:v>14.350000000000003</c:v>
                </c:pt>
                <c:pt idx="6">
                  <c:v>14.46</c:v>
                </c:pt>
                <c:pt idx="7">
                  <c:v>14.8</c:v>
                </c:pt>
                <c:pt idx="8">
                  <c:v>15.8</c:v>
                </c:pt>
                <c:pt idx="9">
                  <c:v>16.75</c:v>
                </c:pt>
                <c:pt idx="10">
                  <c:v>17.75</c:v>
                </c:pt>
                <c:pt idx="11">
                  <c:v>20.47</c:v>
                </c:pt>
                <c:pt idx="12">
                  <c:v>22.19</c:v>
                </c:pt>
                <c:pt idx="13">
                  <c:v>23.368913903229984</c:v>
                </c:pt>
                <c:pt idx="14">
                  <c:v>23.533468726860004</c:v>
                </c:pt>
                <c:pt idx="15">
                  <c:v>23.433169218610001</c:v>
                </c:pt>
                <c:pt idx="16">
                  <c:v>26.224629488409985</c:v>
                </c:pt>
                <c:pt idx="17">
                  <c:v>26.195850613250016</c:v>
                </c:pt>
              </c:numCache>
            </c:numRef>
          </c:val>
          <c:smooth val="0"/>
          <c:extLst>
            <c:ext xmlns:c16="http://schemas.microsoft.com/office/drawing/2014/chart" uri="{C3380CC4-5D6E-409C-BE32-E72D297353CC}">
              <c16:uniqueId val="{00000002-91C6-4900-BBE1-043EEB511248}"/>
            </c:ext>
          </c:extLst>
        </c:ser>
        <c:ser>
          <c:idx val="7"/>
          <c:order val="3"/>
          <c:tx>
            <c:strRef>
              <c:f>'G2-St.rozpočet-výdaje-2024'!$E$30</c:f>
              <c:strCache>
                <c:ptCount val="1"/>
                <c:pt idx="0">
                  <c:v>Podpora v nezaměstnanosti</c:v>
                </c:pt>
              </c:strCache>
            </c:strRef>
          </c:tx>
          <c:spPr>
            <a:ln w="15875">
              <a:solidFill>
                <a:srgbClr val="996633"/>
              </a:solidFill>
            </a:ln>
          </c:spPr>
          <c:marker>
            <c:symbol val="none"/>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'G2-St.rozpočet-výdaje-2024'!$E$33:$E$50</c:f>
              <c:numCache>
                <c:formatCode>0.0</c:formatCode>
                <c:ptCount val="18"/>
                <c:pt idx="0">
                  <c:v>2.0099999999999998</c:v>
                </c:pt>
                <c:pt idx="1">
                  <c:v>1.87</c:v>
                </c:pt>
                <c:pt idx="2">
                  <c:v>3.07</c:v>
                </c:pt>
                <c:pt idx="3">
                  <c:v>4.21</c:v>
                </c:pt>
                <c:pt idx="4">
                  <c:v>3.62</c:v>
                </c:pt>
                <c:pt idx="5">
                  <c:v>2.63</c:v>
                </c:pt>
                <c:pt idx="6">
                  <c:v>2.82</c:v>
                </c:pt>
                <c:pt idx="7">
                  <c:v>2.86</c:v>
                </c:pt>
                <c:pt idx="8">
                  <c:v>2.56</c:v>
                </c:pt>
                <c:pt idx="9">
                  <c:v>2.4499999999999997</c:v>
                </c:pt>
                <c:pt idx="10">
                  <c:v>2.42</c:v>
                </c:pt>
                <c:pt idx="11">
                  <c:v>2.21</c:v>
                </c:pt>
                <c:pt idx="12">
                  <c:v>2.3014011896199991</c:v>
                </c:pt>
                <c:pt idx="13">
                  <c:v>2.4618649264499997</c:v>
                </c:pt>
                <c:pt idx="14">
                  <c:v>2.9688356738999997</c:v>
                </c:pt>
                <c:pt idx="15">
                  <c:v>2.7006655894699998</c:v>
                </c:pt>
                <c:pt idx="16">
                  <c:v>2.9152491361499981</c:v>
                </c:pt>
                <c:pt idx="17">
                  <c:v>3.3870899235499992</c:v>
                </c:pt>
              </c:numCache>
            </c:numRef>
          </c:val>
          <c:smooth val="0"/>
          <c:extLst>
            <c:ext xmlns:c16="http://schemas.microsoft.com/office/drawing/2014/chart" uri="{C3380CC4-5D6E-409C-BE32-E72D297353CC}">
              <c16:uniqueId val="{00000003-91C6-4900-BBE1-043EEB511248}"/>
            </c:ext>
          </c:extLst>
        </c:ser>
        <c:ser>
          <c:idx val="2"/>
          <c:order val="4"/>
          <c:tx>
            <c:strRef>
              <c:f>'G2-St.rozpočet-výdaje-2024'!$F$30</c:f>
              <c:strCache>
                <c:ptCount val="1"/>
                <c:pt idx="0">
                  <c:v>Státní sociální podpora**</c:v>
                </c:pt>
              </c:strCache>
            </c:strRef>
          </c:tx>
          <c:spPr>
            <a:ln w="15875">
              <a:solidFill>
                <a:srgbClr val="C00000"/>
              </a:solidFill>
            </a:ln>
          </c:spPr>
          <c:marker>
            <c:symbol val="none"/>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'G2-St.rozpočet-výdaje-2024'!$F$33:$F$50</c:f>
              <c:numCache>
                <c:formatCode>General</c:formatCode>
                <c:ptCount val="18"/>
                <c:pt idx="0">
                  <c:v>11.18</c:v>
                </c:pt>
                <c:pt idx="1">
                  <c:v>11.07</c:v>
                </c:pt>
                <c:pt idx="2">
                  <c:v>10.200000000000001</c:v>
                </c:pt>
                <c:pt idx="3">
                  <c:v>10.3</c:v>
                </c:pt>
                <c:pt idx="4">
                  <c:v>9.3800000000000008</c:v>
                </c:pt>
                <c:pt idx="5">
                  <c:v>8.89</c:v>
                </c:pt>
                <c:pt idx="6">
                  <c:v>9.2200000000000024</c:v>
                </c:pt>
                <c:pt idx="7">
                  <c:v>9.3700000000000028</c:v>
                </c:pt>
                <c:pt idx="8">
                  <c:v>9.33</c:v>
                </c:pt>
                <c:pt idx="9">
                  <c:v>9.3800000000000008</c:v>
                </c:pt>
                <c:pt idx="10">
                  <c:v>9.2900000000000009</c:v>
                </c:pt>
                <c:pt idx="11">
                  <c:v>9.48</c:v>
                </c:pt>
                <c:pt idx="12" formatCode="0.00">
                  <c:v>9.5169305102400052</c:v>
                </c:pt>
                <c:pt idx="13">
                  <c:v>11.83410995721</c:v>
                </c:pt>
                <c:pt idx="14" formatCode="0.00">
                  <c:v>12.157197793090001</c:v>
                </c:pt>
                <c:pt idx="15" formatCode="0.00">
                  <c:v>11.866110551240004</c:v>
                </c:pt>
                <c:pt idx="16" formatCode="0.00">
                  <c:v>14.593402478900003</c:v>
                </c:pt>
                <c:pt idx="17" formatCode="0.00">
                  <c:v>15.160950428290001</c:v>
                </c:pt>
              </c:numCache>
            </c:numRef>
          </c:val>
          <c:smooth val="0"/>
          <c:extLst>
            <c:ext xmlns:c16="http://schemas.microsoft.com/office/drawing/2014/chart" uri="{C3380CC4-5D6E-409C-BE32-E72D297353CC}">
              <c16:uniqueId val="{00000004-91C6-4900-BBE1-043EEB511248}"/>
            </c:ext>
          </c:extLst>
        </c:ser>
        <c:ser>
          <c:idx val="3"/>
          <c:order val="5"/>
          <c:tx>
            <c:strRef>
              <c:f>'G2-St.rozpočet-výdaje-2024'!$G$30</c:f>
              <c:strCache>
                <c:ptCount val="1"/>
                <c:pt idx="0">
                  <c:v>Dávky nemocenského pojištění</c:v>
                </c:pt>
              </c:strCache>
            </c:strRef>
          </c:tx>
          <c:spPr>
            <a:ln w="15875">
              <a:solidFill>
                <a:srgbClr val="7030A0"/>
              </a:solidFill>
            </a:ln>
          </c:spPr>
          <c:marker>
            <c:symbol val="none"/>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'G2-St.rozpočet-výdaje-2024'!$G$33:$G$50</c:f>
              <c:numCache>
                <c:formatCode>0.00</c:formatCode>
                <c:ptCount val="18"/>
                <c:pt idx="0">
                  <c:v>9.6080000000000005</c:v>
                </c:pt>
                <c:pt idx="1">
                  <c:v>9.09</c:v>
                </c:pt>
                <c:pt idx="2">
                  <c:v>7.2700000000000014</c:v>
                </c:pt>
                <c:pt idx="3">
                  <c:v>6.07</c:v>
                </c:pt>
                <c:pt idx="4">
                  <c:v>6.07</c:v>
                </c:pt>
                <c:pt idx="5">
                  <c:v>5.21</c:v>
                </c:pt>
                <c:pt idx="6">
                  <c:v>5.3</c:v>
                </c:pt>
                <c:pt idx="7">
                  <c:v>5.4700000000000015</c:v>
                </c:pt>
                <c:pt idx="8">
                  <c:v>6.21</c:v>
                </c:pt>
                <c:pt idx="9">
                  <c:v>6.67</c:v>
                </c:pt>
                <c:pt idx="10">
                  <c:v>7.4700000000000015</c:v>
                </c:pt>
                <c:pt idx="11">
                  <c:v>8.2900000000000009</c:v>
                </c:pt>
                <c:pt idx="12">
                  <c:v>9.92</c:v>
                </c:pt>
                <c:pt idx="13">
                  <c:v>10.97</c:v>
                </c:pt>
                <c:pt idx="14">
                  <c:v>13.3</c:v>
                </c:pt>
                <c:pt idx="15">
                  <c:v>13.360000000000003</c:v>
                </c:pt>
                <c:pt idx="16">
                  <c:v>12.6</c:v>
                </c:pt>
                <c:pt idx="17">
                  <c:v>12.8</c:v>
                </c:pt>
              </c:numCache>
            </c:numRef>
          </c:val>
          <c:smooth val="0"/>
          <c:extLst>
            <c:ext xmlns:c16="http://schemas.microsoft.com/office/drawing/2014/chart" uri="{C3380CC4-5D6E-409C-BE32-E72D297353CC}">
              <c16:uniqueId val="{00000005-91C6-4900-BBE1-043EEB511248}"/>
            </c:ext>
          </c:extLst>
        </c:ser>
        <c:ser>
          <c:idx val="4"/>
          <c:order val="6"/>
          <c:tx>
            <c:strRef>
              <c:f>'G2-St.rozpočet-výdaje-2024'!$H$30</c:f>
              <c:strCache>
                <c:ptCount val="1"/>
                <c:pt idx="0">
                  <c:v>Dávky sociální péče***</c:v>
                </c:pt>
              </c:strCache>
            </c:strRef>
          </c:tx>
          <c:spPr>
            <a:ln w="15875">
              <a:solidFill>
                <a:srgbClr val="00B050"/>
              </a:solidFill>
              <a:prstDash val="solid"/>
            </a:ln>
          </c:spPr>
          <c:marker>
            <c:symbol val="none"/>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'G2-St.rozpočet-výdaje-2024'!$H$33:$H$50</c:f>
              <c:numCache>
                <c:formatCode>0.00</c:formatCode>
                <c:ptCount val="18"/>
                <c:pt idx="0">
                  <c:v>8.8000000000000007</c:v>
                </c:pt>
                <c:pt idx="1">
                  <c:v>7.8000000000000007</c:v>
                </c:pt>
                <c:pt idx="2">
                  <c:v>7.1</c:v>
                </c:pt>
                <c:pt idx="3">
                  <c:v>7.1999999999999975</c:v>
                </c:pt>
                <c:pt idx="4">
                  <c:v>6.68</c:v>
                </c:pt>
                <c:pt idx="5">
                  <c:v>6.37</c:v>
                </c:pt>
                <c:pt idx="6">
                  <c:v>7.64</c:v>
                </c:pt>
                <c:pt idx="7">
                  <c:v>8.2100000000000009</c:v>
                </c:pt>
                <c:pt idx="8">
                  <c:v>8.44</c:v>
                </c:pt>
                <c:pt idx="9">
                  <c:v>8.34</c:v>
                </c:pt>
                <c:pt idx="10">
                  <c:v>8.8500000000000032</c:v>
                </c:pt>
                <c:pt idx="11">
                  <c:v>8.48</c:v>
                </c:pt>
                <c:pt idx="12">
                  <c:v>8.3800000000000008</c:v>
                </c:pt>
                <c:pt idx="13">
                  <c:v>9.91</c:v>
                </c:pt>
                <c:pt idx="14">
                  <c:v>10.200000000000001</c:v>
                </c:pt>
                <c:pt idx="15">
                  <c:v>11.6</c:v>
                </c:pt>
                <c:pt idx="16">
                  <c:v>13.9</c:v>
                </c:pt>
                <c:pt idx="17">
                  <c:v>13.5</c:v>
                </c:pt>
              </c:numCache>
            </c:numRef>
          </c:val>
          <c:smooth val="0"/>
          <c:extLst>
            <c:ext xmlns:c16="http://schemas.microsoft.com/office/drawing/2014/chart" uri="{C3380CC4-5D6E-409C-BE32-E72D297353CC}">
              <c16:uniqueId val="{00000006-91C6-4900-BBE1-043EEB511248}"/>
            </c:ext>
          </c:extLst>
        </c:ser>
        <c:ser>
          <c:idx val="5"/>
          <c:order val="7"/>
          <c:tx>
            <c:strRef>
              <c:f>'G2-St.rozpočet-výdaje-2024'!$I$30</c:f>
              <c:strCache>
                <c:ptCount val="1"/>
                <c:pt idx="0">
                  <c:v>Neinv. nákupy a souvis.výdaje****</c:v>
                </c:pt>
              </c:strCache>
            </c:strRef>
          </c:tx>
          <c:spPr>
            <a:ln w="15875">
              <a:solidFill>
                <a:srgbClr val="00B0F0"/>
              </a:solidFill>
              <a:prstDash val="solid"/>
            </a:ln>
          </c:spPr>
          <c:marker>
            <c:symbol val="none"/>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'G2-St.rozpočet-výdaje-2024'!$I$33:$I$50</c:f>
              <c:numCache>
                <c:formatCode>General</c:formatCode>
                <c:ptCount val="18"/>
                <c:pt idx="5" formatCode="0.0">
                  <c:v>14.04</c:v>
                </c:pt>
                <c:pt idx="6" formatCode="0.0">
                  <c:v>11.8</c:v>
                </c:pt>
                <c:pt idx="7" formatCode="0.0">
                  <c:v>10.3</c:v>
                </c:pt>
                <c:pt idx="8" formatCode="0.0">
                  <c:v>12.43</c:v>
                </c:pt>
                <c:pt idx="9" formatCode="0.0">
                  <c:v>11.780000000000001</c:v>
                </c:pt>
                <c:pt idx="10" formatCode="0.0">
                  <c:v>14.34</c:v>
                </c:pt>
                <c:pt idx="11" formatCode="0.0">
                  <c:v>15.51</c:v>
                </c:pt>
                <c:pt idx="12" formatCode="0.0">
                  <c:v>13.6</c:v>
                </c:pt>
                <c:pt idx="13" formatCode="0.0">
                  <c:v>18.41289837491999</c:v>
                </c:pt>
                <c:pt idx="14" formatCode="0.0">
                  <c:v>13.877945219840006</c:v>
                </c:pt>
                <c:pt idx="15" formatCode="0.0">
                  <c:v>15.432360398750003</c:v>
                </c:pt>
                <c:pt idx="16" formatCode="0.0">
                  <c:v>15.294108232550002</c:v>
                </c:pt>
                <c:pt idx="17" formatCode="0.0">
                  <c:v>19.290269691899994</c:v>
                </c:pt>
              </c:numCache>
            </c:numRef>
          </c:val>
          <c:smooth val="0"/>
          <c:extLst>
            <c:ext xmlns:c16="http://schemas.microsoft.com/office/drawing/2014/chart" uri="{C3380CC4-5D6E-409C-BE32-E72D297353CC}">
              <c16:uniqueId val="{00000007-91C6-4900-BBE1-043EEB511248}"/>
            </c:ext>
          </c:extLst>
        </c:ser>
        <c:ser>
          <c:idx val="9"/>
          <c:order val="8"/>
          <c:tx>
            <c:strRef>
              <c:f>'G2-St.rozpočet-výdaje-2024'!$J$30</c:f>
              <c:strCache>
                <c:ptCount val="1"/>
                <c:pt idx="0">
                  <c:v>Neinvestič. transfery podnikatelům</c:v>
                </c:pt>
              </c:strCache>
            </c:strRef>
          </c:tx>
          <c:spPr>
            <a:ln w="12700">
              <a:solidFill>
                <a:schemeClr val="accent6">
                  <a:lumMod val="75000"/>
                </a:schemeClr>
              </a:solidFill>
              <a:prstDash val="sysDot"/>
            </a:ln>
          </c:spPr>
          <c:marker>
            <c:symbol val="diamond"/>
            <c:size val="5"/>
            <c:spPr>
              <a:solidFill>
                <a:schemeClr val="accent6">
                  <a:lumMod val="75000"/>
                </a:schemeClr>
              </a:solidFill>
              <a:ln>
                <a:noFill/>
              </a:ln>
            </c:spPr>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'G2-St.rozpočet-výdaje-2024'!$J$33:$J$50</c:f>
              <c:numCache>
                <c:formatCode>General</c:formatCode>
                <c:ptCount val="18"/>
                <c:pt idx="5" formatCode="0.0">
                  <c:v>8.6300000000000008</c:v>
                </c:pt>
                <c:pt idx="6" formatCode="0.0">
                  <c:v>7.9300000000000015</c:v>
                </c:pt>
                <c:pt idx="7" formatCode="0.0">
                  <c:v>9.3800000000000008</c:v>
                </c:pt>
                <c:pt idx="8" formatCode="0.0">
                  <c:v>10.44</c:v>
                </c:pt>
                <c:pt idx="9" formatCode="0.0">
                  <c:v>9.8800000000000008</c:v>
                </c:pt>
                <c:pt idx="10" formatCode="0.0">
                  <c:v>13.31</c:v>
                </c:pt>
                <c:pt idx="11" formatCode="0.0">
                  <c:v>11.74</c:v>
                </c:pt>
                <c:pt idx="12" formatCode="0.0">
                  <c:v>15.29</c:v>
                </c:pt>
                <c:pt idx="13" formatCode="0.0">
                  <c:v>15.09</c:v>
                </c:pt>
                <c:pt idx="14" formatCode="0.0">
                  <c:v>38.603799745230006</c:v>
                </c:pt>
                <c:pt idx="15" formatCode="0.0">
                  <c:v>13.316887891790005</c:v>
                </c:pt>
                <c:pt idx="16" formatCode="0.0">
                  <c:v>44.217813779380002</c:v>
                </c:pt>
                <c:pt idx="17" formatCode="0.0">
                  <c:v>28.32795992501001</c:v>
                </c:pt>
              </c:numCache>
            </c:numRef>
          </c:val>
          <c:smooth val="0"/>
          <c:extLst>
            <c:ext xmlns:c16="http://schemas.microsoft.com/office/drawing/2014/chart" uri="{C3380CC4-5D6E-409C-BE32-E72D297353CC}">
              <c16:uniqueId val="{00000008-91C6-4900-BBE1-043EEB511248}"/>
            </c:ext>
          </c:extLst>
        </c:ser>
        <c:ser>
          <c:idx val="8"/>
          <c:order val="9"/>
          <c:tx>
            <c:strRef>
              <c:f>'G2-St.rozpočet-výdaje-2024'!$K$30</c:f>
              <c:strCache>
                <c:ptCount val="1"/>
                <c:pt idx="0">
                  <c:v>Kapitálové výdaje</c:v>
                </c:pt>
              </c:strCache>
            </c:strRef>
          </c:tx>
          <c:spPr>
            <a:ln w="15875">
              <a:solidFill>
                <a:schemeClr val="tx1">
                  <a:lumMod val="95000"/>
                  <a:lumOff val="5000"/>
                </a:schemeClr>
              </a:solidFill>
              <a:prstDash val="dash"/>
            </a:ln>
          </c:spPr>
          <c:marker>
            <c:symbol val="none"/>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'G2-St.rozpočet-výdaje-2024'!$K$33:$K$50</c:f>
              <c:numCache>
                <c:formatCode>0.0</c:formatCode>
                <c:ptCount val="18"/>
                <c:pt idx="0">
                  <c:v>10.07</c:v>
                </c:pt>
                <c:pt idx="1">
                  <c:v>31.85</c:v>
                </c:pt>
                <c:pt idx="2">
                  <c:v>31.88</c:v>
                </c:pt>
                <c:pt idx="3">
                  <c:v>33.1</c:v>
                </c:pt>
                <c:pt idx="4">
                  <c:v>26.12</c:v>
                </c:pt>
                <c:pt idx="5">
                  <c:v>22.19</c:v>
                </c:pt>
                <c:pt idx="6">
                  <c:v>17.690000000000001</c:v>
                </c:pt>
                <c:pt idx="7">
                  <c:v>14.93</c:v>
                </c:pt>
                <c:pt idx="8">
                  <c:v>19.779999999999994</c:v>
                </c:pt>
                <c:pt idx="9">
                  <c:v>20.02</c:v>
                </c:pt>
                <c:pt idx="10">
                  <c:v>6.2700000000000014</c:v>
                </c:pt>
                <c:pt idx="11">
                  <c:v>11.73</c:v>
                </c:pt>
                <c:pt idx="12">
                  <c:v>16.43</c:v>
                </c:pt>
                <c:pt idx="13">
                  <c:v>23.367157547710001</c:v>
                </c:pt>
                <c:pt idx="14">
                  <c:v>23.477695399889999</c:v>
                </c:pt>
                <c:pt idx="15">
                  <c:v>15.967599178880004</c:v>
                </c:pt>
                <c:pt idx="16">
                  <c:v>36.131603101170001</c:v>
                </c:pt>
                <c:pt idx="17">
                  <c:v>33.577472576440002</c:v>
                </c:pt>
              </c:numCache>
            </c:numRef>
          </c:val>
          <c:smooth val="0"/>
          <c:extLst>
            <c:ext xmlns:c16="http://schemas.microsoft.com/office/drawing/2014/chart" uri="{C3380CC4-5D6E-409C-BE32-E72D297353CC}">
              <c16:uniqueId val="{00000009-91C6-4900-BBE1-043EEB511248}"/>
            </c:ext>
          </c:extLst>
        </c:ser>
        <c:dLbls>
          <c:showLegendKey val="0"/>
          <c:showVal val="0"/>
          <c:showCatName val="0"/>
          <c:showSerName val="0"/>
          <c:showPercent val="0"/>
          <c:showBubbleSize val="0"/>
        </c:dLbls>
        <c:marker val="1"/>
        <c:smooth val="0"/>
        <c:axId val="109555712"/>
        <c:axId val="109557248"/>
      </c:lineChart>
      <c:catAx>
        <c:axId val="109555712"/>
        <c:scaling>
          <c:orientation val="minMax"/>
        </c:scaling>
        <c:delete val="0"/>
        <c:axPos val="b"/>
        <c:numFmt formatCode="General" sourceLinked="1"/>
        <c:majorTickMark val="out"/>
        <c:minorTickMark val="none"/>
        <c:tickLblPos val="low"/>
        <c:spPr>
          <a:ln w="6350">
            <a:solidFill>
              <a:schemeClr val="bg1">
                <a:lumMod val="50000"/>
              </a:schemeClr>
            </a:solidFill>
          </a:ln>
        </c:spPr>
        <c:crossAx val="109557248"/>
        <c:crosses val="autoZero"/>
        <c:auto val="1"/>
        <c:lblAlgn val="ctr"/>
        <c:lblOffset val="0"/>
        <c:noMultiLvlLbl val="0"/>
      </c:catAx>
      <c:valAx>
        <c:axId val="109557248"/>
        <c:scaling>
          <c:orientation val="minMax"/>
          <c:max val="45"/>
          <c:min val="0"/>
        </c:scaling>
        <c:delete val="0"/>
        <c:axPos val="l"/>
        <c:majorGridlines>
          <c:spPr>
            <a:ln w="6350">
              <a:solidFill>
                <a:schemeClr val="bg1">
                  <a:lumMod val="75000"/>
                </a:schemeClr>
              </a:solidFill>
            </a:ln>
          </c:spPr>
        </c:majorGridlines>
        <c:title>
          <c:tx>
            <c:rich>
              <a:bodyPr/>
              <a:lstStyle/>
              <a:p>
                <a:pPr>
                  <a:defRPr sz="700" b="0" i="1"/>
                </a:pPr>
                <a:r>
                  <a:rPr lang="cs-CZ" sz="700" b="0" i="1"/>
                  <a:t>Vybrané</a:t>
                </a:r>
                <a:r>
                  <a:rPr lang="cs-CZ" sz="700" b="0" i="1" baseline="0"/>
                  <a:t> </a:t>
                </a:r>
                <a:r>
                  <a:rPr lang="cs-CZ" sz="700" b="0" i="1"/>
                  <a:t>výdaje</a:t>
                </a:r>
              </a:p>
            </c:rich>
          </c:tx>
          <c:layout/>
          <c:overlay val="0"/>
        </c:title>
        <c:numFmt formatCode="0" sourceLinked="0"/>
        <c:majorTickMark val="out"/>
        <c:minorTickMark val="none"/>
        <c:tickLblPos val="nextTo"/>
        <c:spPr>
          <a:ln w="6350">
            <a:solidFill>
              <a:schemeClr val="tx1"/>
            </a:solidFill>
          </a:ln>
        </c:spPr>
        <c:crossAx val="109555712"/>
        <c:crosses val="autoZero"/>
        <c:crossBetween val="between"/>
        <c:majorUnit val="5"/>
      </c:valAx>
      <c:valAx>
        <c:axId val="109559168"/>
        <c:scaling>
          <c:orientation val="minMax"/>
          <c:max val="540"/>
          <c:min val="0"/>
        </c:scaling>
        <c:delete val="0"/>
        <c:axPos val="r"/>
        <c:title>
          <c:tx>
            <c:rich>
              <a:bodyPr/>
              <a:lstStyle/>
              <a:p>
                <a:pPr>
                  <a:defRPr sz="700" b="0" i="1"/>
                </a:pPr>
                <a:r>
                  <a:rPr lang="cs-CZ" sz="700" b="0" i="1"/>
                  <a:t>Běžné výdaje celkem, důchody</a:t>
                </a:r>
              </a:p>
            </c:rich>
          </c:tx>
          <c:layout>
            <c:manualLayout>
              <c:xMode val="edge"/>
              <c:yMode val="edge"/>
              <c:x val="0.96904913646362545"/>
              <c:y val="0.25018610067154745"/>
            </c:manualLayout>
          </c:layout>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109561344"/>
        <c:crosses val="max"/>
        <c:crossBetween val="between"/>
        <c:majorUnit val="60"/>
        <c:minorUnit val="10"/>
      </c:valAx>
      <c:catAx>
        <c:axId val="109561344"/>
        <c:scaling>
          <c:orientation val="minMax"/>
        </c:scaling>
        <c:delete val="1"/>
        <c:axPos val="b"/>
        <c:numFmt formatCode="General" sourceLinked="1"/>
        <c:majorTickMark val="out"/>
        <c:minorTickMark val="none"/>
        <c:tickLblPos val="none"/>
        <c:crossAx val="109559168"/>
        <c:crosses val="autoZero"/>
        <c:auto val="1"/>
        <c:lblAlgn val="ctr"/>
        <c:lblOffset val="100"/>
        <c:noMultiLvlLbl val="0"/>
      </c:catAx>
      <c:spPr>
        <a:ln w="6350">
          <a:solidFill>
            <a:schemeClr val="tx1"/>
          </a:solidFill>
        </a:ln>
      </c:spPr>
    </c:plotArea>
    <c:legend>
      <c:legendPos val="b"/>
      <c:layout>
        <c:manualLayout>
          <c:xMode val="edge"/>
          <c:yMode val="edge"/>
          <c:x val="6.8616098225395772E-2"/>
          <c:y val="0.82695584929121102"/>
          <c:w val="0.85495724737605294"/>
          <c:h val="0.16585489978301932"/>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204C7C21F48A488F44995C5F8FB06D" ma:contentTypeVersion="11" ma:contentTypeDescription="Vytvoří nový dokument" ma:contentTypeScope="" ma:versionID="9a58d24f60b264923fe9c7150327a53c">
  <xsd:schema xmlns:xsd="http://www.w3.org/2001/XMLSchema" xmlns:xs="http://www.w3.org/2001/XMLSchema" xmlns:p="http://schemas.microsoft.com/office/2006/metadata/properties" xmlns:ns3="b8c0c86d-151e-4fca-b0d5-747e6692fa1d" targetNamespace="http://schemas.microsoft.com/office/2006/metadata/properties" ma:root="true" ma:fieldsID="91c8efd7c542b57fe84d8bfb95d003d1" ns3:_="">
    <xsd:import namespace="b8c0c86d-151e-4fca-b0d5-747e6692fa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c86d-151e-4fca-b0d5-747e6692f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2.xml><?xml version="1.0" encoding="utf-8"?>
<ds:datastoreItem xmlns:ds="http://schemas.openxmlformats.org/officeDocument/2006/customXml" ds:itemID="{1E238702-393C-4E0B-95FC-639749005827}">
  <ds:schemaRef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b8c0c86d-151e-4fca-b0d5-747e6692fa1d"/>
    <ds:schemaRef ds:uri="http://schemas.microsoft.com/office/2006/metadata/properties"/>
  </ds:schemaRefs>
</ds:datastoreItem>
</file>

<file path=customXml/itemProps3.xml><?xml version="1.0" encoding="utf-8"?>
<ds:datastoreItem xmlns:ds="http://schemas.openxmlformats.org/officeDocument/2006/customXml" ds:itemID="{CB628BEE-D3B6-471C-BFAD-E9D2E34E1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c86d-151e-4fca-b0d5-747e6692f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83131-4944-4BEA-8C7D-CB5A1B4C0CC2}">
  <ds:schemaRefs>
    <ds:schemaRef ds:uri="http://schemas.openxmlformats.org/officeDocument/2006/bibliography"/>
  </ds:schemaRefs>
</ds:datastoreItem>
</file>

<file path=customXml/itemProps5.xml><?xml version="1.0" encoding="utf-8"?>
<ds:datastoreItem xmlns:ds="http://schemas.openxmlformats.org/officeDocument/2006/customXml" ds:itemID="{551C491C-09B4-4040-8213-FBB315C4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6</Pages>
  <Words>2957</Words>
  <Characters>17447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Karolína Súkupová</dc:creator>
  <cp:keywords/>
  <dc:description/>
  <cp:lastModifiedBy>Zábojníková Karolína</cp:lastModifiedBy>
  <cp:revision>3</cp:revision>
  <cp:lastPrinted>2023-06-09T17:23:00Z</cp:lastPrinted>
  <dcterms:created xsi:type="dcterms:W3CDTF">2024-06-14T09:49:00Z</dcterms:created>
  <dcterms:modified xsi:type="dcterms:W3CDTF">2024-06-14T10:06:00Z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0x01010070204C7C21F48A488F44995C5F8FB06D</vt:lpwstr>
  </property>
</Properties>
</file>