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D4A79" w14:textId="77777777" w:rsidR="001C004D" w:rsidRPr="00DE3DEB" w:rsidRDefault="001C004D" w:rsidP="00346C2F">
      <w:pPr>
        <w:spacing w:after="0" w:line="240" w:lineRule="auto"/>
        <w:rPr>
          <w:rFonts w:ascii="Arial" w:hAnsi="Arial"/>
          <w:b/>
          <w:i/>
          <w:iCs/>
          <w:sz w:val="24"/>
          <w:szCs w:val="24"/>
          <w:u w:val="single"/>
          <w:lang w:val="en-GB"/>
        </w:rPr>
      </w:pPr>
      <w:r w:rsidRPr="00DE3DEB">
        <w:rPr>
          <w:rFonts w:ascii="Arial" w:hAnsi="Arial"/>
          <w:b/>
          <w:i/>
          <w:iCs/>
          <w:sz w:val="24"/>
          <w:szCs w:val="24"/>
          <w:lang w:val="en-GB"/>
        </w:rPr>
        <w:t>Methodical comments</w:t>
      </w:r>
    </w:p>
    <w:p w14:paraId="55AEE237" w14:textId="77777777" w:rsidR="00346C2F" w:rsidRDefault="00346C2F" w:rsidP="00346C2F">
      <w:pPr>
        <w:spacing w:after="0" w:line="240" w:lineRule="auto"/>
        <w:jc w:val="both"/>
        <w:rPr>
          <w:rFonts w:ascii="Arial" w:hAnsi="Arial"/>
          <w:i/>
          <w:iCs/>
          <w:sz w:val="20"/>
          <w:lang w:val="en-GB"/>
        </w:rPr>
      </w:pPr>
    </w:p>
    <w:p w14:paraId="31294527"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Economic Accounts for Agriculture (EAA) are the basic systematic implements for measurement of the economic size and efficiency of the agriculture sector, tangibly agricultural basic industry within national economy. EAA are divided into four sections: The production account, the generation of income account, the entrepreneurial income account and the capital account. The fourth section of EAA has been compiled for final results, not for preliminary results of the year. </w:t>
      </w:r>
    </w:p>
    <w:p w14:paraId="174EB599" w14:textId="77777777" w:rsidR="001C004D" w:rsidRDefault="001C004D" w:rsidP="00346C2F">
      <w:pPr>
        <w:pStyle w:val="Zkladntextodsazen"/>
        <w:spacing w:before="0" w:after="0"/>
        <w:ind w:firstLine="0"/>
        <w:rPr>
          <w:i/>
          <w:iCs/>
          <w:lang w:val="en-GB"/>
        </w:rPr>
      </w:pPr>
      <w:r>
        <w:rPr>
          <w:i/>
          <w:iCs/>
          <w:lang w:val="en-GB"/>
        </w:rPr>
        <w:t>The deadlines obligatory for member states of the EU for sending EAA data to Eurostat (Regulation (EC) No 138/2004 of the European Parliament and of the Council of 5 December 2003 on the economic accounts for agriculture in the Community):</w:t>
      </w:r>
    </w:p>
    <w:p w14:paraId="41996C8C" w14:textId="77777777" w:rsidR="001C004D" w:rsidRDefault="001C004D" w:rsidP="00346C2F">
      <w:pPr>
        <w:pStyle w:val="Zkladntextodsazen"/>
        <w:spacing w:before="0" w:after="0"/>
        <w:ind w:firstLine="708"/>
        <w:rPr>
          <w:i/>
          <w:iCs/>
          <w:lang w:val="en-GB"/>
        </w:rPr>
      </w:pPr>
      <w:r>
        <w:rPr>
          <w:i/>
          <w:iCs/>
          <w:lang w:val="en-GB"/>
        </w:rPr>
        <w:t>The 1</w:t>
      </w:r>
      <w:r>
        <w:rPr>
          <w:i/>
          <w:iCs/>
          <w:vertAlign w:val="superscript"/>
          <w:lang w:val="en-GB"/>
        </w:rPr>
        <w:t xml:space="preserve">st </w:t>
      </w:r>
      <w:r>
        <w:rPr>
          <w:i/>
          <w:iCs/>
          <w:lang w:val="en-GB"/>
        </w:rPr>
        <w:t xml:space="preserve">estimate of EAA for the year </w:t>
      </w:r>
      <w:r>
        <w:rPr>
          <w:lang w:val="en-GB"/>
        </w:rPr>
        <w:t>n</w:t>
      </w:r>
      <w:r>
        <w:rPr>
          <w:i/>
          <w:iCs/>
          <w:lang w:val="en-GB"/>
        </w:rPr>
        <w:t xml:space="preserve"> in November of the year </w:t>
      </w:r>
      <w:r>
        <w:rPr>
          <w:lang w:val="en-GB"/>
        </w:rPr>
        <w:t>n</w:t>
      </w:r>
      <w:r>
        <w:rPr>
          <w:i/>
          <w:iCs/>
          <w:lang w:val="en-GB"/>
        </w:rPr>
        <w:t>.</w:t>
      </w:r>
    </w:p>
    <w:p w14:paraId="35E61904" w14:textId="77777777" w:rsidR="001C004D" w:rsidRDefault="001C004D" w:rsidP="00346C2F">
      <w:pPr>
        <w:pStyle w:val="Zkladntextodsazen"/>
        <w:spacing w:before="0" w:after="0"/>
        <w:ind w:firstLine="708"/>
        <w:rPr>
          <w:i/>
          <w:iCs/>
          <w:lang w:val="en-GB"/>
        </w:rPr>
      </w:pPr>
      <w:r>
        <w:rPr>
          <w:i/>
          <w:iCs/>
          <w:lang w:val="en-GB"/>
        </w:rPr>
        <w:t>The 2</w:t>
      </w:r>
      <w:r>
        <w:rPr>
          <w:i/>
          <w:iCs/>
          <w:vertAlign w:val="superscript"/>
          <w:lang w:val="en-GB"/>
        </w:rPr>
        <w:t xml:space="preserve">nd </w:t>
      </w:r>
      <w:r>
        <w:rPr>
          <w:i/>
          <w:iCs/>
          <w:lang w:val="en-GB"/>
        </w:rPr>
        <w:t xml:space="preserve">estimate of EAA for the year </w:t>
      </w:r>
      <w:r>
        <w:rPr>
          <w:lang w:val="en-GB"/>
        </w:rPr>
        <w:t>n</w:t>
      </w:r>
      <w:r>
        <w:rPr>
          <w:i/>
          <w:iCs/>
          <w:lang w:val="en-GB"/>
        </w:rPr>
        <w:t xml:space="preserve"> in January of the year </w:t>
      </w:r>
      <w:r>
        <w:rPr>
          <w:lang w:val="en-GB"/>
        </w:rPr>
        <w:t>n+1.</w:t>
      </w:r>
    </w:p>
    <w:p w14:paraId="575A8658" w14:textId="77777777" w:rsidR="001C004D" w:rsidRDefault="001C004D" w:rsidP="00346C2F">
      <w:pPr>
        <w:pStyle w:val="Zkladntextodsazen"/>
        <w:spacing w:before="0" w:after="0"/>
        <w:ind w:firstLine="708"/>
        <w:rPr>
          <w:i/>
          <w:iCs/>
          <w:lang w:val="en-GB"/>
        </w:rPr>
      </w:pPr>
      <w:r>
        <w:rPr>
          <w:i/>
          <w:iCs/>
          <w:lang w:val="en-GB"/>
        </w:rPr>
        <w:t>P</w:t>
      </w:r>
      <w:r>
        <w:rPr>
          <w:lang w:val="en-GB"/>
        </w:rPr>
        <w:t xml:space="preserve">reliminary </w:t>
      </w:r>
      <w:r>
        <w:rPr>
          <w:i/>
          <w:iCs/>
          <w:lang w:val="en-GB"/>
        </w:rPr>
        <w:t>data of EAA for the year</w:t>
      </w:r>
      <w:r>
        <w:rPr>
          <w:lang w:val="en-GB"/>
        </w:rPr>
        <w:t xml:space="preserve"> n</w:t>
      </w:r>
      <w:r>
        <w:rPr>
          <w:i/>
          <w:iCs/>
          <w:lang w:val="en-GB"/>
        </w:rPr>
        <w:t xml:space="preserve"> in September of the year </w:t>
      </w:r>
      <w:r>
        <w:rPr>
          <w:lang w:val="en-GB"/>
        </w:rPr>
        <w:t>n+1</w:t>
      </w:r>
      <w:r>
        <w:rPr>
          <w:i/>
          <w:iCs/>
          <w:lang w:val="en-GB"/>
        </w:rPr>
        <w:t>.</w:t>
      </w:r>
    </w:p>
    <w:p w14:paraId="46E0BA48" w14:textId="77777777" w:rsidR="001C004D" w:rsidRDefault="001C004D" w:rsidP="00346C2F">
      <w:pPr>
        <w:pStyle w:val="Zkladntextodsazen"/>
        <w:spacing w:before="0" w:after="0"/>
        <w:ind w:firstLine="708"/>
        <w:rPr>
          <w:i/>
          <w:iCs/>
          <w:lang w:val="en-GB"/>
        </w:rPr>
      </w:pPr>
      <w:r>
        <w:rPr>
          <w:i/>
          <w:iCs/>
          <w:lang w:val="en-GB"/>
        </w:rPr>
        <w:t xml:space="preserve">Final data of EAA for the year </w:t>
      </w:r>
      <w:r>
        <w:rPr>
          <w:lang w:val="en-GB"/>
        </w:rPr>
        <w:t>n</w:t>
      </w:r>
      <w:r>
        <w:rPr>
          <w:i/>
          <w:iCs/>
          <w:lang w:val="en-GB"/>
        </w:rPr>
        <w:t xml:space="preserve"> in September of the year </w:t>
      </w:r>
      <w:r>
        <w:rPr>
          <w:lang w:val="en-GB"/>
        </w:rPr>
        <w:t>n+2</w:t>
      </w:r>
      <w:r>
        <w:rPr>
          <w:i/>
          <w:iCs/>
          <w:lang w:val="en-GB"/>
        </w:rPr>
        <w:t>.</w:t>
      </w:r>
    </w:p>
    <w:p w14:paraId="36572D9B" w14:textId="77777777" w:rsidR="001C004D" w:rsidRDefault="001C004D" w:rsidP="00346C2F">
      <w:pPr>
        <w:pStyle w:val="Zkladntextodsazen"/>
        <w:spacing w:before="0" w:after="0"/>
        <w:ind w:firstLine="0"/>
        <w:rPr>
          <w:i/>
          <w:iCs/>
          <w:lang w:val="en-GB"/>
        </w:rPr>
      </w:pPr>
    </w:p>
    <w:p w14:paraId="497D57CB" w14:textId="77777777" w:rsidR="00346C2F" w:rsidRDefault="00346C2F" w:rsidP="00346C2F">
      <w:pPr>
        <w:spacing w:after="0" w:line="240" w:lineRule="auto"/>
        <w:jc w:val="both"/>
        <w:rPr>
          <w:rFonts w:ascii="Arial" w:hAnsi="Arial"/>
          <w:b/>
          <w:bCs/>
          <w:i/>
          <w:iCs/>
          <w:lang w:val="en-GB"/>
        </w:rPr>
      </w:pPr>
    </w:p>
    <w:p w14:paraId="689DE155" w14:textId="77777777" w:rsidR="001C004D" w:rsidRPr="00164017" w:rsidRDefault="001C004D" w:rsidP="00346C2F">
      <w:pPr>
        <w:spacing w:after="0" w:line="240" w:lineRule="auto"/>
        <w:jc w:val="both"/>
        <w:rPr>
          <w:rFonts w:ascii="Arial" w:hAnsi="Arial"/>
          <w:b/>
          <w:bCs/>
          <w:i/>
          <w:iCs/>
          <w:lang w:val="en-GB"/>
        </w:rPr>
      </w:pPr>
      <w:r w:rsidRPr="00164017">
        <w:rPr>
          <w:rFonts w:ascii="Arial" w:hAnsi="Arial"/>
          <w:b/>
          <w:bCs/>
          <w:i/>
          <w:iCs/>
          <w:lang w:val="en-GB"/>
        </w:rPr>
        <w:t>EAA include next basic indicators:</w:t>
      </w:r>
    </w:p>
    <w:p w14:paraId="0BDA6AE0" w14:textId="77777777" w:rsidR="00346C2F" w:rsidRDefault="00346C2F" w:rsidP="00346C2F">
      <w:pPr>
        <w:pStyle w:val="Zkladntext"/>
        <w:rPr>
          <w:rFonts w:ascii="Arial" w:hAnsi="Arial"/>
          <w:b/>
          <w:bCs/>
          <w:i/>
          <w:iCs/>
          <w:sz w:val="20"/>
        </w:rPr>
      </w:pPr>
    </w:p>
    <w:p w14:paraId="5542C38E" w14:textId="77777777" w:rsidR="001C004D" w:rsidRDefault="001C004D" w:rsidP="00346C2F">
      <w:pPr>
        <w:pStyle w:val="Zkladntext"/>
        <w:rPr>
          <w:rFonts w:ascii="Arial" w:hAnsi="Arial"/>
          <w:i/>
          <w:iCs/>
          <w:sz w:val="20"/>
        </w:rPr>
      </w:pPr>
      <w:r>
        <w:rPr>
          <w:rFonts w:ascii="Arial" w:hAnsi="Arial"/>
          <w:b/>
          <w:bCs/>
          <w:i/>
          <w:iCs/>
          <w:sz w:val="20"/>
        </w:rPr>
        <w:t>1. Output of agricultural activities</w:t>
      </w:r>
      <w:r>
        <w:rPr>
          <w:rFonts w:ascii="Arial" w:hAnsi="Arial"/>
          <w:i/>
          <w:iCs/>
          <w:sz w:val="20"/>
        </w:rPr>
        <w:t xml:space="preserve"> in value statement that represents the whole final output of the agriculture sector.</w:t>
      </w:r>
    </w:p>
    <w:p w14:paraId="7D54F08E"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the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14:paraId="3E9D6CD9"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14:paraId="3865A503"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output is to be valued at the basic prices according to the revised manual from the year 1997.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w:t>
      </w:r>
    </w:p>
    <w:p w14:paraId="2E783850" w14:textId="3495FE21" w:rsidR="001C004D" w:rsidRDefault="001C004D" w:rsidP="00346C2F">
      <w:pPr>
        <w:spacing w:after="0" w:line="240" w:lineRule="auto"/>
        <w:jc w:val="both"/>
        <w:rPr>
          <w:rFonts w:ascii="Arial" w:hAnsi="Arial"/>
          <w:i/>
          <w:iCs/>
          <w:sz w:val="20"/>
          <w:lang w:val="en-GB"/>
        </w:rPr>
      </w:pPr>
      <w:r>
        <w:rPr>
          <w:rFonts w:ascii="Arial" w:hAnsi="Arial"/>
          <w:i/>
          <w:iCs/>
          <w:sz w:val="20"/>
          <w:lang w:val="en-GB"/>
        </w:rPr>
        <w:t>The preliminary results of EAA for the year 20</w:t>
      </w:r>
      <w:r w:rsidR="001E33A8">
        <w:rPr>
          <w:rFonts w:ascii="Arial" w:hAnsi="Arial"/>
          <w:i/>
          <w:iCs/>
          <w:sz w:val="20"/>
          <w:lang w:val="en-GB"/>
        </w:rPr>
        <w:t>2</w:t>
      </w:r>
      <w:r w:rsidR="003D5FE7">
        <w:rPr>
          <w:rFonts w:ascii="Arial" w:hAnsi="Arial"/>
          <w:i/>
          <w:iCs/>
          <w:sz w:val="20"/>
          <w:lang w:val="en-GB"/>
        </w:rPr>
        <w:t>1</w:t>
      </w:r>
      <w:bookmarkStart w:id="0" w:name="_GoBack"/>
      <w:bookmarkEnd w:id="0"/>
      <w:r>
        <w:rPr>
          <w:rFonts w:ascii="Arial" w:hAnsi="Arial"/>
          <w:i/>
          <w:iCs/>
          <w:sz w:val="20"/>
          <w:lang w:val="en-GB"/>
        </w:rPr>
        <w:t xml:space="preserve"> were compiled in this manner. The whole production account was expressed at the basic prices. </w:t>
      </w:r>
    </w:p>
    <w:p w14:paraId="55150ED5"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On the grounds of change NACE rev. 2, since 2010 the item “Spices, aromatic, drug and pharmaceutical crops” have been transferred from code 02.5/3 (Other industrial crops) under code 09.3 (Other crop products: others). Amendment has been made retrospectively since 1998. </w:t>
      </w:r>
    </w:p>
    <w:p w14:paraId="23E6DCF1"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2. Intermediate consumption</w:t>
      </w:r>
      <w:r>
        <w:rPr>
          <w:rFonts w:ascii="Arial" w:hAnsi="Arial"/>
          <w:i/>
          <w:iCs/>
          <w:sz w:val="20"/>
          <w:lang w:val="en-GB"/>
        </w:rPr>
        <w:t xml:space="preserve"> as the complex of all inputs into the agricultural units at the value statement.</w:t>
      </w:r>
    </w:p>
    <w:p w14:paraId="6AB6E20A"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It includes intra-unit consumption of animal feedingstuffs, purchases of goods and services for intermediate consumption from outside the industry for items seeds and planting stock, energy and lubricants, fertilisers and soil improvers, plant protection products and pesticides, animal feedingstuffs, maintenance of materials, maintenance of buildings, veterinary expenses and the others. </w:t>
      </w:r>
    </w:p>
    <w:p w14:paraId="050A8755"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Products used for intermediate consumption should be valued at the purchaser market prices for similar goods and services valid at the same time of their insertion into the production process. This price includes taxes less subsidies on products (but excluding deductible taxes like VAT on the products). </w:t>
      </w:r>
    </w:p>
    <w:p w14:paraId="7FF6785B"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3. Gross value added</w:t>
      </w:r>
      <w:r>
        <w:rPr>
          <w:rFonts w:ascii="Arial" w:hAnsi="Arial"/>
          <w:i/>
          <w:iCs/>
          <w:sz w:val="20"/>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14:paraId="2D7428E8"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4. Net value added</w:t>
      </w:r>
      <w:r>
        <w:rPr>
          <w:rFonts w:ascii="Arial" w:hAnsi="Arial"/>
          <w:i/>
          <w:iCs/>
          <w:sz w:val="20"/>
          <w:lang w:val="en-GB"/>
        </w:rPr>
        <w:t xml:space="preserve"> is the value that is generated by all agricultural units after the deduction of the fixed capital consumption.</w:t>
      </w:r>
    </w:p>
    <w:p w14:paraId="5C520AD8"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5. Other taxes /other subsidies on production</w:t>
      </w:r>
      <w:r>
        <w:rPr>
          <w:rFonts w:ascii="Arial" w:hAnsi="Arial"/>
          <w:i/>
          <w:iCs/>
          <w:sz w:val="20"/>
          <w:lang w:val="en-GB"/>
        </w:rPr>
        <w:t xml:space="preserve"> that are posted to account within the framework of the Generation of Income Account. </w:t>
      </w:r>
    </w:p>
    <w:p w14:paraId="5276F402"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6. Factor income</w:t>
      </w:r>
      <w:r>
        <w:rPr>
          <w:rFonts w:ascii="Arial" w:hAnsi="Arial"/>
          <w:i/>
          <w:iCs/>
          <w:sz w:val="20"/>
          <w:lang w:val="en-GB"/>
        </w:rPr>
        <w:t xml:space="preserve"> that measures the remuneration of all factors of production and represents l the total value generated by units engaged in their production activities. </w:t>
      </w:r>
    </w:p>
    <w:p w14:paraId="387BCE03"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lastRenderedPageBreak/>
        <w:t>7. Net operating surplus/mixed income</w:t>
      </w:r>
      <w:r>
        <w:rPr>
          <w:rFonts w:ascii="Arial" w:hAnsi="Arial"/>
          <w:i/>
          <w:iCs/>
          <w:sz w:val="20"/>
          <w:lang w:val="en-GB"/>
        </w:rPr>
        <w:t xml:space="preserve"> that measures the yield from land, capital and unpaid labour. It is the balance of the generation of income account, which indicates the distribution of income between the factors of production and the general government sector. </w:t>
      </w:r>
    </w:p>
    <w:p w14:paraId="009B2867"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8. Entrepreneurial income</w:t>
      </w:r>
      <w:r>
        <w:rPr>
          <w:rFonts w:ascii="Arial" w:hAnsi="Arial"/>
          <w:i/>
          <w:iCs/>
          <w:sz w:val="20"/>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 </w:t>
      </w:r>
    </w:p>
    <w:p w14:paraId="5B69ACB1"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9. Elements of the capital account</w:t>
      </w:r>
      <w:r>
        <w:rPr>
          <w:rFonts w:ascii="Arial" w:hAnsi="Arial"/>
          <w:i/>
          <w:iCs/>
          <w:sz w:val="20"/>
          <w:lang w:val="en-GB"/>
        </w:rPr>
        <w:t xml:space="preserve"> pick up the gross fixed capital formation (GFCF) according to particular kinds of estate. Capital account has been compiled in the final version of the year </w:t>
      </w:r>
      <w:r>
        <w:rPr>
          <w:rFonts w:ascii="Arial" w:hAnsi="Arial"/>
          <w:sz w:val="20"/>
          <w:lang w:val="en-GB"/>
        </w:rPr>
        <w:t>n-2</w:t>
      </w:r>
      <w:r>
        <w:rPr>
          <w:rFonts w:ascii="Arial" w:hAnsi="Arial"/>
          <w:i/>
          <w:iCs/>
          <w:sz w:val="20"/>
          <w:lang w:val="en-GB"/>
        </w:rPr>
        <w:t xml:space="preserve"> and in the preliminary version of the year </w:t>
      </w:r>
      <w:r>
        <w:rPr>
          <w:rFonts w:ascii="Arial" w:hAnsi="Arial"/>
          <w:sz w:val="20"/>
          <w:lang w:val="en-GB"/>
        </w:rPr>
        <w:t>n-1</w:t>
      </w:r>
      <w:r>
        <w:rPr>
          <w:rFonts w:ascii="Arial" w:hAnsi="Arial"/>
          <w:i/>
          <w:iCs/>
          <w:sz w:val="20"/>
          <w:lang w:val="en-GB"/>
        </w:rPr>
        <w:t xml:space="preserve"> in the September of the year </w:t>
      </w:r>
      <w:r>
        <w:rPr>
          <w:rFonts w:ascii="Arial" w:hAnsi="Arial"/>
          <w:sz w:val="20"/>
          <w:lang w:val="en-GB"/>
        </w:rPr>
        <w:t>n</w:t>
      </w:r>
      <w:r>
        <w:rPr>
          <w:rFonts w:ascii="Arial" w:hAnsi="Arial"/>
          <w:i/>
          <w:iCs/>
          <w:sz w:val="20"/>
          <w:lang w:val="en-GB"/>
        </w:rPr>
        <w:t>.</w:t>
      </w:r>
    </w:p>
    <w:p w14:paraId="0012E1C4" w14:textId="77777777" w:rsidR="001C004D" w:rsidRDefault="001C004D" w:rsidP="00346C2F">
      <w:pPr>
        <w:pStyle w:val="Zhlav"/>
      </w:pPr>
    </w:p>
    <w:p w14:paraId="6F6BC483" w14:textId="77777777" w:rsidR="00164017" w:rsidRDefault="00164017" w:rsidP="00346C2F">
      <w:pPr>
        <w:pStyle w:val="Zhlav"/>
      </w:pPr>
    </w:p>
    <w:p w14:paraId="145ECB28" w14:textId="77777777" w:rsidR="001C004D" w:rsidRPr="001C004D" w:rsidRDefault="001C004D" w:rsidP="00346C2F">
      <w:pPr>
        <w:pStyle w:val="Nadpis1"/>
        <w:spacing w:before="0" w:after="0"/>
        <w:ind w:firstLine="0"/>
        <w:rPr>
          <w:rFonts w:cs="Arial"/>
          <w:i w:val="0"/>
          <w:iCs w:val="0"/>
          <w:lang w:val="en-GB"/>
        </w:rPr>
      </w:pPr>
      <w:r>
        <w:rPr>
          <w:rFonts w:cs="Arial"/>
          <w:i w:val="0"/>
          <w:iCs w:val="0"/>
          <w:lang w:val="en-GB"/>
        </w:rPr>
        <w:t>Agricultural Labour Input</w:t>
      </w:r>
    </w:p>
    <w:p w14:paraId="13A47E7F" w14:textId="77777777" w:rsidR="001C004D" w:rsidRDefault="001C004D" w:rsidP="00346C2F">
      <w:pPr>
        <w:pStyle w:val="Zkladntextodsazen"/>
        <w:spacing w:before="0" w:after="0"/>
        <w:ind w:firstLine="0"/>
        <w:rPr>
          <w:i/>
          <w:iCs/>
          <w:lang w:val="en-GB"/>
        </w:rPr>
      </w:pPr>
      <w:r>
        <w:rPr>
          <w:i/>
          <w:iCs/>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 xml:space="preserve">ALI (which sum up both two previous categories). </w:t>
      </w:r>
    </w:p>
    <w:p w14:paraId="2895941F" w14:textId="77777777" w:rsidR="001C004D" w:rsidRDefault="001C004D" w:rsidP="00346C2F">
      <w:pPr>
        <w:pStyle w:val="Zkladntextodsazen"/>
        <w:spacing w:before="0" w:after="0"/>
        <w:ind w:firstLine="0"/>
        <w:rPr>
          <w:i/>
          <w:iCs/>
          <w:lang w:val="en-GB"/>
        </w:rPr>
      </w:pPr>
      <w:r>
        <w:rPr>
          <w:i/>
          <w:iCs/>
          <w:lang w:val="en-GB"/>
        </w:rPr>
        <w:t xml:space="preserve">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 </w:t>
      </w:r>
    </w:p>
    <w:p w14:paraId="0D6035C4"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principal objective of calculating agricultural labour input statistics is to provide a systematic and comparable overview of the volume of labour in the agricultural industry and to monitor the trends in agricultural income. </w:t>
      </w:r>
    </w:p>
    <w:p w14:paraId="3EFB6523" w14:textId="77777777" w:rsidR="00164017" w:rsidRDefault="00164017" w:rsidP="001C004D">
      <w:pPr>
        <w:pStyle w:val="Zkladntext2"/>
        <w:spacing w:after="0" w:line="240" w:lineRule="auto"/>
        <w:rPr>
          <w:b/>
          <w:bCs/>
          <w:i/>
          <w:iCs/>
          <w:sz w:val="24"/>
          <w:lang w:val="en-GB"/>
        </w:rPr>
      </w:pPr>
    </w:p>
    <w:p w14:paraId="4D63CDC0" w14:textId="77777777" w:rsidR="00164017" w:rsidRDefault="00164017" w:rsidP="001C004D">
      <w:pPr>
        <w:pStyle w:val="Zkladntext2"/>
        <w:spacing w:after="0" w:line="240" w:lineRule="auto"/>
        <w:rPr>
          <w:b/>
          <w:bCs/>
          <w:i/>
          <w:iCs/>
          <w:sz w:val="24"/>
          <w:lang w:val="en-GB"/>
        </w:rPr>
      </w:pPr>
    </w:p>
    <w:sectPr w:rsidR="00164017" w:rsidSect="006D3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61A45" w14:textId="77777777" w:rsidR="00D91B8C" w:rsidRDefault="00D91B8C" w:rsidP="001C004D">
      <w:pPr>
        <w:spacing w:after="0" w:line="240" w:lineRule="auto"/>
      </w:pPr>
      <w:r>
        <w:separator/>
      </w:r>
    </w:p>
  </w:endnote>
  <w:endnote w:type="continuationSeparator" w:id="0">
    <w:p w14:paraId="0DBAB257" w14:textId="77777777" w:rsidR="00D91B8C" w:rsidRDefault="00D91B8C" w:rsidP="001C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4F5BA" w14:textId="77777777" w:rsidR="00D91B8C" w:rsidRDefault="00D91B8C" w:rsidP="001C004D">
      <w:pPr>
        <w:spacing w:after="0" w:line="240" w:lineRule="auto"/>
      </w:pPr>
      <w:r>
        <w:separator/>
      </w:r>
    </w:p>
  </w:footnote>
  <w:footnote w:type="continuationSeparator" w:id="0">
    <w:p w14:paraId="64CB2217" w14:textId="77777777" w:rsidR="00D91B8C" w:rsidRDefault="00D91B8C" w:rsidP="001C0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4D"/>
    <w:rsid w:val="00164017"/>
    <w:rsid w:val="00197A10"/>
    <w:rsid w:val="001C004D"/>
    <w:rsid w:val="001E33A8"/>
    <w:rsid w:val="0020630B"/>
    <w:rsid w:val="00346C2F"/>
    <w:rsid w:val="00372FF8"/>
    <w:rsid w:val="003D5FE7"/>
    <w:rsid w:val="004447BA"/>
    <w:rsid w:val="004D13FB"/>
    <w:rsid w:val="005C73D5"/>
    <w:rsid w:val="005D5A37"/>
    <w:rsid w:val="00651E5A"/>
    <w:rsid w:val="006677FB"/>
    <w:rsid w:val="006C2D31"/>
    <w:rsid w:val="006C7F1B"/>
    <w:rsid w:val="006D3D53"/>
    <w:rsid w:val="008B2530"/>
    <w:rsid w:val="00996E3F"/>
    <w:rsid w:val="00A06011"/>
    <w:rsid w:val="00B611C3"/>
    <w:rsid w:val="00BD18C7"/>
    <w:rsid w:val="00C00E1A"/>
    <w:rsid w:val="00D91B8C"/>
    <w:rsid w:val="00DA1002"/>
    <w:rsid w:val="00DE3DEB"/>
    <w:rsid w:val="00F45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D288"/>
  <w15:docId w15:val="{0BF93D61-6CB3-4C97-AF93-8A97DC68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1C004D"/>
    <w:pPr>
      <w:keepNext/>
      <w:spacing w:before="120" w:after="120" w:line="240" w:lineRule="auto"/>
      <w:ind w:firstLine="284"/>
      <w:jc w:val="both"/>
      <w:outlineLvl w:val="0"/>
    </w:pPr>
    <w:rPr>
      <w:rFonts w:ascii="Arial" w:eastAsia="Times New Roman" w:hAnsi="Arial" w:cs="Times New Roman"/>
      <w:b/>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C004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C004D"/>
  </w:style>
  <w:style w:type="paragraph" w:styleId="Zpat">
    <w:name w:val="footer"/>
    <w:basedOn w:val="Normln"/>
    <w:link w:val="ZpatChar"/>
    <w:uiPriority w:val="99"/>
    <w:semiHidden/>
    <w:unhideWhenUsed/>
    <w:rsid w:val="001C004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C004D"/>
  </w:style>
  <w:style w:type="paragraph" w:styleId="Zkladntextodsazen">
    <w:name w:val="Body Text Indent"/>
    <w:basedOn w:val="Normln"/>
    <w:link w:val="ZkladntextodsazenChar"/>
    <w:semiHidden/>
    <w:rsid w:val="001C004D"/>
    <w:pPr>
      <w:overflowPunct w:val="0"/>
      <w:autoSpaceDE w:val="0"/>
      <w:autoSpaceDN w:val="0"/>
      <w:adjustRightInd w:val="0"/>
      <w:spacing w:before="120" w:after="120" w:line="240" w:lineRule="auto"/>
      <w:ind w:firstLine="426"/>
      <w:jc w:val="both"/>
      <w:textAlignment w:val="baseline"/>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semiHidden/>
    <w:rsid w:val="001C004D"/>
    <w:rPr>
      <w:rFonts w:ascii="Arial" w:eastAsia="Times New Roman" w:hAnsi="Arial" w:cs="Times New Roman"/>
      <w:sz w:val="20"/>
      <w:szCs w:val="20"/>
      <w:lang w:eastAsia="cs-CZ"/>
    </w:rPr>
  </w:style>
  <w:style w:type="paragraph" w:styleId="Zkladntext">
    <w:name w:val="Body Text"/>
    <w:basedOn w:val="Normln"/>
    <w:link w:val="ZkladntextChar"/>
    <w:semiHidden/>
    <w:rsid w:val="001C004D"/>
    <w:pPr>
      <w:spacing w:after="0" w:line="240" w:lineRule="auto"/>
      <w:jc w:val="both"/>
    </w:pPr>
    <w:rPr>
      <w:rFonts w:ascii="Times New Roman" w:eastAsia="Times New Roman" w:hAnsi="Times New Roman" w:cs="Times New Roman"/>
      <w:sz w:val="24"/>
      <w:szCs w:val="24"/>
      <w:lang w:val="en-GB"/>
    </w:rPr>
  </w:style>
  <w:style w:type="character" w:customStyle="1" w:styleId="ZkladntextChar">
    <w:name w:val="Základní text Char"/>
    <w:basedOn w:val="Standardnpsmoodstavce"/>
    <w:link w:val="Zkladntext"/>
    <w:semiHidden/>
    <w:rsid w:val="001C004D"/>
    <w:rPr>
      <w:rFonts w:ascii="Times New Roman" w:eastAsia="Times New Roman" w:hAnsi="Times New Roman" w:cs="Times New Roman"/>
      <w:sz w:val="24"/>
      <w:szCs w:val="24"/>
      <w:lang w:val="en-GB" w:eastAsia="cs-CZ"/>
    </w:rPr>
  </w:style>
  <w:style w:type="character" w:customStyle="1" w:styleId="Nadpis1Char">
    <w:name w:val="Nadpis 1 Char"/>
    <w:basedOn w:val="Standardnpsmoodstavce"/>
    <w:link w:val="Nadpis1"/>
    <w:rsid w:val="001C004D"/>
    <w:rPr>
      <w:rFonts w:ascii="Arial" w:eastAsia="Times New Roman" w:hAnsi="Arial" w:cs="Times New Roman"/>
      <w:b/>
      <w:i/>
      <w:iCs/>
      <w:sz w:val="24"/>
      <w:szCs w:val="24"/>
      <w:lang w:eastAsia="cs-CZ"/>
    </w:rPr>
  </w:style>
  <w:style w:type="paragraph" w:styleId="Zkladntext2">
    <w:name w:val="Body Text 2"/>
    <w:basedOn w:val="Normln"/>
    <w:link w:val="Zkladntext2Char"/>
    <w:uiPriority w:val="99"/>
    <w:semiHidden/>
    <w:unhideWhenUsed/>
    <w:rsid w:val="001C004D"/>
    <w:pPr>
      <w:spacing w:after="120" w:line="480" w:lineRule="auto"/>
    </w:pPr>
  </w:style>
  <w:style w:type="character" w:customStyle="1" w:styleId="Zkladntext2Char">
    <w:name w:val="Základní text 2 Char"/>
    <w:basedOn w:val="Standardnpsmoodstavce"/>
    <w:link w:val="Zkladntext2"/>
    <w:uiPriority w:val="99"/>
    <w:semiHidden/>
    <w:rsid w:val="001C0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1002</Words>
  <Characters>5912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gregorova2239</dc:creator>
  <cp:lastModifiedBy>malkova124</cp:lastModifiedBy>
  <cp:revision>3</cp:revision>
  <dcterms:created xsi:type="dcterms:W3CDTF">2022-03-14T13:21:00Z</dcterms:created>
  <dcterms:modified xsi:type="dcterms:W3CDTF">2022-03-14T13:22:00Z</dcterms:modified>
</cp:coreProperties>
</file>