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1" w:rsidRDefault="006E2211" w:rsidP="006E2211">
      <w:pPr>
        <w:pStyle w:val="Nadpisvlastn1"/>
        <w:numPr>
          <w:ilvl w:val="0"/>
          <w:numId w:val="37"/>
        </w:numPr>
        <w:rPr>
          <w:szCs w:val="35"/>
        </w:rPr>
      </w:pPr>
      <w:r>
        <w:rPr>
          <w:szCs w:val="35"/>
        </w:rPr>
        <w:t>Výdaje zdravotních pojišťoven</w:t>
      </w:r>
    </w:p>
    <w:p w:rsidR="006E2211" w:rsidRDefault="006E2211" w:rsidP="006E2211">
      <w:pPr>
        <w:pStyle w:val="Textvlastn"/>
        <w:rPr>
          <w:sz w:val="20"/>
          <w:szCs w:val="17"/>
        </w:rPr>
      </w:pPr>
      <w:r>
        <w:rPr>
          <w:sz w:val="20"/>
          <w:szCs w:val="17"/>
        </w:rPr>
        <w:t>Největší podíl na financování zdravotní péče – 77,</w:t>
      </w:r>
      <w:r w:rsidR="00580F5C">
        <w:rPr>
          <w:sz w:val="20"/>
          <w:szCs w:val="17"/>
        </w:rPr>
        <w:t>4</w:t>
      </w:r>
      <w:r>
        <w:rPr>
          <w:sz w:val="20"/>
          <w:szCs w:val="17"/>
        </w:rPr>
        <w:t xml:space="preserve">% - připadá na zdravotní pojišťovny. Zdravotní péče je v našem systému hrazená převážně z veřejného zdravotního pojištění a pouze v některých případech bývá doplněna o spoluúčast pacientů (např. doplatky za některé léky, stomatologická péče apod.) </w:t>
      </w:r>
    </w:p>
    <w:p w:rsidR="006E2211" w:rsidRPr="00603C19" w:rsidRDefault="006E2211" w:rsidP="006E2211">
      <w:pPr>
        <w:pStyle w:val="Textvlastn"/>
        <w:rPr>
          <w:sz w:val="20"/>
        </w:rPr>
      </w:pPr>
      <w:r>
        <w:rPr>
          <w:sz w:val="20"/>
          <w:szCs w:val="17"/>
        </w:rPr>
        <w:t xml:space="preserve">Výdaje zdravotních pojišťoven jsou získávány ve velmi podrobné struktuře a dají se členit podle druhu péče (ICHA-HC), typu poskytovatele zdravotní péče (ICHA-HP), </w:t>
      </w:r>
      <w:r>
        <w:rPr>
          <w:sz w:val="20"/>
        </w:rPr>
        <w:t>Mezinárodní statistické</w:t>
      </w:r>
      <w:r w:rsidRPr="00603C19">
        <w:rPr>
          <w:sz w:val="20"/>
        </w:rPr>
        <w:t xml:space="preserve"> klasifikace nemocí a přidružených zdravotních problémů</w:t>
      </w:r>
      <w:r>
        <w:rPr>
          <w:sz w:val="20"/>
        </w:rPr>
        <w:t xml:space="preserve"> (</w:t>
      </w:r>
      <w:r w:rsidRPr="00603C19">
        <w:rPr>
          <w:sz w:val="20"/>
        </w:rPr>
        <w:t>MKN-10</w:t>
      </w:r>
      <w:r>
        <w:rPr>
          <w:sz w:val="20"/>
        </w:rPr>
        <w:t>)</w:t>
      </w:r>
      <w:r w:rsidRPr="00603C19">
        <w:rPr>
          <w:sz w:val="20"/>
        </w:rPr>
        <w:t xml:space="preserve"> a také podle  věku a pohlaví pojištěnců.</w:t>
      </w:r>
    </w:p>
    <w:p w:rsidR="006E2211" w:rsidRDefault="006E2211" w:rsidP="006E2211">
      <w:pPr>
        <w:pStyle w:val="Textvlastn"/>
        <w:rPr>
          <w:sz w:val="20"/>
          <w:szCs w:val="17"/>
        </w:rPr>
      </w:pPr>
      <w:r>
        <w:rPr>
          <w:sz w:val="20"/>
          <w:szCs w:val="17"/>
        </w:rPr>
        <w:t>Z pohledu věrohodnosti dat lze konstatovat, že údaje od zdravotních pojišťoven patří mezi nejkvalitnější zdroje informací.</w:t>
      </w:r>
    </w:p>
    <w:p w:rsidR="006E2211" w:rsidRDefault="006E2211" w:rsidP="006E2211">
      <w:pPr>
        <w:pStyle w:val="Nadpisvlastn2"/>
        <w:rPr>
          <w:szCs w:val="35"/>
        </w:rPr>
      </w:pPr>
      <w:bookmarkStart w:id="0" w:name="_Toc127174557"/>
      <w:bookmarkStart w:id="1" w:name="_Toc127757329"/>
      <w:bookmarkStart w:id="2" w:name="_Toc127758619"/>
      <w:bookmarkStart w:id="3" w:name="_Toc130184764"/>
      <w:bookmarkStart w:id="4" w:name="_Toc162152457"/>
      <w:bookmarkStart w:id="5" w:name="_Toc256065141"/>
      <w:r>
        <w:t>3.1 Výdaje na zdravotní péči podle hlavních skupin diagnóz MKN-10</w:t>
      </w:r>
      <w:bookmarkEnd w:id="0"/>
      <w:bookmarkEnd w:id="1"/>
      <w:bookmarkEnd w:id="2"/>
      <w:bookmarkEnd w:id="3"/>
      <w:bookmarkEnd w:id="4"/>
      <w:bookmarkEnd w:id="5"/>
    </w:p>
    <w:p w:rsidR="006E2211" w:rsidRDefault="006E2211" w:rsidP="006E2211"/>
    <w:p w:rsidR="006E2211" w:rsidRDefault="006E2211" w:rsidP="006E2211">
      <w:pPr>
        <w:pStyle w:val="Textvlastn"/>
        <w:rPr>
          <w:sz w:val="20"/>
          <w:szCs w:val="17"/>
        </w:rPr>
      </w:pPr>
      <w:r>
        <w:rPr>
          <w:sz w:val="20"/>
          <w:szCs w:val="17"/>
        </w:rPr>
        <w:t>V této části se budeme věnovat výdajům na zdravotní péči podle dalších rozměrů, nejprve podle hlavních skupin diagnóz vycházejících z Mezinárodní statistické klasifikace nemocí a přidružených zdravotních problémů (MKN-10). Výdaje na zdravotní péči ve zmíněném třídění je zatím možno určit pouze u zdravotní péče financované zdravotními pojišťovnami.</w:t>
      </w:r>
    </w:p>
    <w:p w:rsidR="006E2211" w:rsidRDefault="006E2211" w:rsidP="006E2211">
      <w:pPr>
        <w:pStyle w:val="Textvlastn"/>
        <w:rPr>
          <w:sz w:val="20"/>
          <w:szCs w:val="17"/>
        </w:rPr>
      </w:pPr>
    </w:p>
    <w:p w:rsidR="006E2211" w:rsidRDefault="006E2211" w:rsidP="006E2211">
      <w:pPr>
        <w:pStyle w:val="Textvlastn"/>
        <w:jc w:val="center"/>
        <w:rPr>
          <w:sz w:val="20"/>
          <w:szCs w:val="17"/>
        </w:rPr>
      </w:pPr>
      <w:r w:rsidRPr="00DB3077">
        <w:rPr>
          <w:b/>
          <w:bCs/>
          <w:szCs w:val="17"/>
        </w:rPr>
        <w:t>Tabulka 3.1: Výdaje na zdravotní péči podle diagnóz v mil. Kč</w:t>
      </w:r>
      <w:r>
        <w:rPr>
          <w:b/>
          <w:bCs/>
          <w:szCs w:val="17"/>
        </w:rPr>
        <w:t xml:space="preserve"> 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54"/>
        <w:gridCol w:w="835"/>
        <w:gridCol w:w="834"/>
        <w:gridCol w:w="834"/>
        <w:gridCol w:w="834"/>
        <w:gridCol w:w="834"/>
        <w:gridCol w:w="815"/>
        <w:gridCol w:w="1032"/>
      </w:tblGrid>
      <w:tr w:rsidR="00AC79B0" w:rsidTr="00580F5C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AC79B0" w:rsidRPr="00DB3077" w:rsidRDefault="00AC79B0" w:rsidP="00580F5C">
            <w:pPr>
              <w:pStyle w:val="Nadpis2"/>
              <w:jc w:val="center"/>
              <w:rPr>
                <w:rFonts w:ascii="Times New Roman" w:eastAsia="Arial Unicode MS" w:hAnsi="Times New Roman" w:cs="Times New Roman"/>
              </w:rPr>
            </w:pPr>
            <w:r w:rsidRPr="00DB3077">
              <w:rPr>
                <w:rFonts w:ascii="Times New Roman" w:hAnsi="Times New Roman" w:cs="Times New Roman"/>
              </w:rPr>
              <w:t>MKN-10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AC79B0" w:rsidRPr="00DB3077" w:rsidRDefault="00AC79B0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DB3077"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834" w:type="dxa"/>
            <w:vAlign w:val="center"/>
          </w:tcPr>
          <w:p w:rsidR="00AC79B0" w:rsidRPr="00DB3077" w:rsidRDefault="00AC79B0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DB3077">
              <w:rPr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834" w:type="dxa"/>
            <w:vAlign w:val="center"/>
          </w:tcPr>
          <w:p w:rsidR="00AC79B0" w:rsidRPr="00DB3077" w:rsidRDefault="00AC79B0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DB3077">
              <w:rPr>
                <w:rFonts w:eastAsia="Arial Unicode MS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834" w:type="dxa"/>
            <w:vAlign w:val="center"/>
          </w:tcPr>
          <w:p w:rsidR="00AC79B0" w:rsidRPr="00DB3077" w:rsidRDefault="00AC79B0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834" w:type="dxa"/>
            <w:vAlign w:val="center"/>
          </w:tcPr>
          <w:p w:rsidR="00AC79B0" w:rsidRPr="00DB3077" w:rsidRDefault="00AC79B0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AC79B0" w:rsidRPr="00DB3077" w:rsidRDefault="00AC79B0" w:rsidP="00AC79B0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DB3077">
              <w:rPr>
                <w:b/>
                <w:bCs/>
                <w:sz w:val="16"/>
                <w:szCs w:val="16"/>
              </w:rPr>
              <w:t>Index 201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DB3077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2" w:type="dxa"/>
          </w:tcPr>
          <w:p w:rsidR="00AC79B0" w:rsidRDefault="00AC79B0" w:rsidP="00580F5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Průměrné roční tempo růstu</w:t>
            </w:r>
          </w:p>
          <w:p w:rsidR="00AC79B0" w:rsidRPr="00DB3077" w:rsidRDefault="00AC79B0" w:rsidP="00580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(v %)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01 Infekční a parazitární nemoci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1 521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2 075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2 384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CD2E82">
              <w:rPr>
                <w:sz w:val="16"/>
                <w:szCs w:val="16"/>
              </w:rPr>
              <w:t>223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804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87,0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4,40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02 Novotvary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7 222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9 013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19 217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666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080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81,8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8,62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03 Nemoci krve a krvetvorných orgánů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1 237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2 111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2 359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469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987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80,5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-0,86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04 Nemoci endokrinní a metabolické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2 319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3 435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5 690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719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889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8,01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05 Poruchy duševní a poruchy chování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3 460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5 029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7 783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888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661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6,20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06 Nemoci nervové soustavy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1 821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2 814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5 832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303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876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93,2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11,09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07 Nemoci oka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1 717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2 202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2 816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187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155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5,27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08 Nemoci ucha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483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651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940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021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101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7,80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09 Nemoci oběhové soustavy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7 464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16 263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26 758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932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769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80,8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4,25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10 Nemoci dýchací soustavy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4 450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5 980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8 551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520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976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4,20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11 Nemoci trávicí soustavy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8 903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10 835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13 213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034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012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2,65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12 Nemoci kůže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1 053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1 461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2 096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232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086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93,5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5,22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13 Nemoci svalové, kosterní a pojivové tkáně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5 962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8 761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10 659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725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112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124,5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4,74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14 Nemoci močové a pohlavní soustavy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6 145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7 579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11 355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970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176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101,7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7,01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15 Těhotenství, porod a šestinedělí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1 435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1 808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2 884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606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443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93,7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4,39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16 Stavy vzniklé v perinatálním období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839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1 131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2 091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933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676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86,7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5,78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17 Vrozené vady a deformace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273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673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932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019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991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97,3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5,68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18 Příznaky, znaky…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2 376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3 739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5 400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714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010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105,2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7,02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19 Poranění, otravy aj.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5 126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6 426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6 530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889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839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150,1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4,66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20 Vnější příčiny nemocnosti a úmrtnosti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115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105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97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69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84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C717F0" w:rsidRDefault="005F4BC9" w:rsidP="00C717F0">
            <w:pPr>
              <w:jc w:val="right"/>
              <w:rPr>
                <w:color w:val="000000"/>
                <w:sz w:val="16"/>
                <w:szCs w:val="16"/>
              </w:rPr>
            </w:pPr>
            <w:r w:rsidRPr="00C717F0">
              <w:rPr>
                <w:color w:val="000000"/>
                <w:sz w:val="16"/>
                <w:szCs w:val="16"/>
              </w:rPr>
              <w:t>121,7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-3,14</w:t>
            </w:r>
          </w:p>
        </w:tc>
      </w:tr>
      <w:tr w:rsidR="005F4BC9" w:rsidTr="005F4BC9">
        <w:trPr>
          <w:trHeight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21 Faktory ovlivňující zdravotní stav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5 528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8 604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12 614</w:t>
            </w:r>
          </w:p>
        </w:tc>
        <w:tc>
          <w:tcPr>
            <w:tcW w:w="834" w:type="dxa"/>
            <w:vAlign w:val="center"/>
          </w:tcPr>
          <w:p w:rsidR="005F4BC9" w:rsidRPr="00CD2E82" w:rsidRDefault="005F4BC9" w:rsidP="00580F5C">
            <w:pPr>
              <w:jc w:val="right"/>
              <w:rPr>
                <w:sz w:val="16"/>
                <w:szCs w:val="16"/>
              </w:rPr>
            </w:pPr>
            <w:r w:rsidRPr="00CD2E8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CD2E82">
              <w:rPr>
                <w:sz w:val="16"/>
                <w:szCs w:val="16"/>
              </w:rPr>
              <w:t>928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756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105,5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9,03</w:t>
            </w:r>
          </w:p>
        </w:tc>
      </w:tr>
      <w:tr w:rsidR="005F4BC9" w:rsidTr="005F4BC9">
        <w:trPr>
          <w:trHeight w:hRule="exact" w:val="255"/>
        </w:trPr>
        <w:tc>
          <w:tcPr>
            <w:tcW w:w="3054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DB3077">
              <w:rPr>
                <w:color w:val="000000"/>
                <w:sz w:val="16"/>
                <w:szCs w:val="16"/>
              </w:rPr>
              <w:t>00 Neznámá diagnóza</w:t>
            </w:r>
          </w:p>
        </w:tc>
        <w:tc>
          <w:tcPr>
            <w:tcW w:w="83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46 345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69 399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63 700</w:t>
            </w:r>
          </w:p>
        </w:tc>
        <w:tc>
          <w:tcPr>
            <w:tcW w:w="834" w:type="dxa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67 809</w:t>
            </w:r>
          </w:p>
        </w:tc>
        <w:tc>
          <w:tcPr>
            <w:tcW w:w="834" w:type="dxa"/>
            <w:vAlign w:val="center"/>
          </w:tcPr>
          <w:p w:rsidR="005F4BC9" w:rsidRPr="00E24890" w:rsidRDefault="005F4BC9" w:rsidP="00E24890">
            <w:pPr>
              <w:jc w:val="right"/>
              <w:rPr>
                <w:sz w:val="16"/>
                <w:szCs w:val="16"/>
              </w:rPr>
            </w:pPr>
            <w:r w:rsidRPr="00E24890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 xml:space="preserve"> </w:t>
            </w:r>
            <w:r w:rsidRPr="00E24890">
              <w:rPr>
                <w:sz w:val="16"/>
                <w:szCs w:val="16"/>
              </w:rPr>
              <w:t>552</w:t>
            </w:r>
          </w:p>
        </w:tc>
        <w:tc>
          <w:tcPr>
            <w:tcW w:w="815" w:type="dxa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112,9</w:t>
            </w:r>
          </w:p>
        </w:tc>
        <w:tc>
          <w:tcPr>
            <w:tcW w:w="1032" w:type="dxa"/>
            <w:vAlign w:val="center"/>
          </w:tcPr>
          <w:p w:rsidR="005F4BC9" w:rsidRPr="005F4BC9" w:rsidRDefault="005F4BC9" w:rsidP="005F4BC9">
            <w:pPr>
              <w:jc w:val="right"/>
              <w:rPr>
                <w:sz w:val="16"/>
                <w:szCs w:val="16"/>
              </w:rPr>
            </w:pPr>
            <w:r w:rsidRPr="005F4BC9">
              <w:rPr>
                <w:sz w:val="16"/>
                <w:szCs w:val="16"/>
              </w:rPr>
              <w:t>1,41</w:t>
            </w:r>
          </w:p>
        </w:tc>
      </w:tr>
      <w:tr w:rsidR="005F4BC9" w:rsidTr="005F4BC9">
        <w:trPr>
          <w:trHeight w:val="270"/>
        </w:trPr>
        <w:tc>
          <w:tcPr>
            <w:tcW w:w="3054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rPr>
                <w:rFonts w:eastAsia="Arial Unicode MS"/>
                <w:b/>
                <w:bCs/>
                <w:color w:val="000000"/>
                <w:sz w:val="16"/>
                <w:szCs w:val="16"/>
              </w:rPr>
            </w:pPr>
            <w:r w:rsidRPr="00DB3077">
              <w:rPr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 w:rsidRPr="00DB3077">
              <w:rPr>
                <w:b/>
                <w:bCs/>
                <w:sz w:val="16"/>
                <w:szCs w:val="16"/>
              </w:rPr>
              <w:t>115 792</w:t>
            </w:r>
          </w:p>
        </w:tc>
        <w:tc>
          <w:tcPr>
            <w:tcW w:w="834" w:type="dxa"/>
            <w:shd w:val="clear" w:color="auto" w:fill="D9D9D9" w:themeFill="background1" w:themeFillShade="D9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 w:rsidRPr="00DB3077">
              <w:rPr>
                <w:b/>
                <w:bCs/>
                <w:sz w:val="16"/>
                <w:szCs w:val="16"/>
              </w:rPr>
              <w:t>170 093</w:t>
            </w:r>
          </w:p>
        </w:tc>
        <w:tc>
          <w:tcPr>
            <w:tcW w:w="834" w:type="dxa"/>
            <w:shd w:val="clear" w:color="auto" w:fill="D9D9D9" w:themeFill="background1" w:themeFillShade="D9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 w:rsidRPr="00DB3077">
              <w:rPr>
                <w:rFonts w:eastAsia="Arial Unicode MS"/>
                <w:b/>
                <w:bCs/>
                <w:sz w:val="16"/>
                <w:szCs w:val="16"/>
              </w:rPr>
              <w:t>213 900</w:t>
            </w:r>
          </w:p>
        </w:tc>
        <w:tc>
          <w:tcPr>
            <w:tcW w:w="834" w:type="dxa"/>
            <w:shd w:val="clear" w:color="auto" w:fill="D9D9D9" w:themeFill="background1" w:themeFillShade="D9"/>
            <w:vAlign w:val="center"/>
          </w:tcPr>
          <w:p w:rsidR="005F4BC9" w:rsidRPr="00DB3077" w:rsidRDefault="005F4BC9" w:rsidP="00580F5C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222 856</w:t>
            </w:r>
          </w:p>
        </w:tc>
        <w:tc>
          <w:tcPr>
            <w:tcW w:w="834" w:type="dxa"/>
            <w:shd w:val="clear" w:color="auto" w:fill="D9D9D9" w:themeFill="background1" w:themeFillShade="D9"/>
            <w:vAlign w:val="center"/>
          </w:tcPr>
          <w:p w:rsidR="005F4BC9" w:rsidRPr="00E24890" w:rsidRDefault="005F4BC9" w:rsidP="00E24890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 w:rsidRPr="00E24890">
              <w:rPr>
                <w:rFonts w:eastAsia="Arial Unicode MS"/>
                <w:b/>
                <w:bCs/>
                <w:sz w:val="16"/>
                <w:szCs w:val="16"/>
              </w:rPr>
              <w:t xml:space="preserve">226 035 </w:t>
            </w:r>
          </w:p>
        </w:tc>
        <w:tc>
          <w:tcPr>
            <w:tcW w:w="815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5F4BC9" w:rsidRPr="00100560" w:rsidRDefault="005F4BC9" w:rsidP="00580F5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101,4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5F4BC9" w:rsidRPr="001D36A9" w:rsidRDefault="005F4BC9" w:rsidP="005F4BC9">
            <w:pPr>
              <w:jc w:val="right"/>
              <w:rPr>
                <w:b/>
                <w:sz w:val="16"/>
                <w:szCs w:val="16"/>
              </w:rPr>
            </w:pPr>
            <w:r w:rsidRPr="001D36A9">
              <w:rPr>
                <w:b/>
                <w:sz w:val="16"/>
                <w:szCs w:val="16"/>
              </w:rPr>
              <w:t>4,15</w:t>
            </w:r>
          </w:p>
        </w:tc>
      </w:tr>
    </w:tbl>
    <w:p w:rsidR="006E2211" w:rsidRDefault="006E2211" w:rsidP="006E2211"/>
    <w:p w:rsidR="006E2211" w:rsidRPr="00550747" w:rsidRDefault="006E2211" w:rsidP="006E2211">
      <w:pPr>
        <w:pStyle w:val="Textvlastn"/>
        <w:rPr>
          <w:sz w:val="20"/>
        </w:rPr>
      </w:pPr>
      <w:r>
        <w:rPr>
          <w:sz w:val="20"/>
        </w:rPr>
        <w:t>Tabulka 3.1 ukazuje výdaje na zdravotní péči podle diagnóz v jednotlivých letech 2000 až 201</w:t>
      </w:r>
      <w:r w:rsidR="001D36A9">
        <w:rPr>
          <w:sz w:val="20"/>
        </w:rPr>
        <w:t>2</w:t>
      </w:r>
      <w:r>
        <w:rPr>
          <w:sz w:val="20"/>
        </w:rPr>
        <w:t xml:space="preserve">. V meziročním srovnání byl zaznamenán rapidní nárůst nákladů na léčení </w:t>
      </w:r>
      <w:r w:rsidR="003A53EB">
        <w:rPr>
          <w:sz w:val="20"/>
        </w:rPr>
        <w:t>poranění, otrav a některých jiných následků vnějších příči</w:t>
      </w:r>
      <w:r w:rsidR="00D74951">
        <w:rPr>
          <w:sz w:val="20"/>
        </w:rPr>
        <w:t xml:space="preserve">n. </w:t>
      </w:r>
      <w:r w:rsidR="00D74951" w:rsidRPr="00550747">
        <w:rPr>
          <w:sz w:val="20"/>
        </w:rPr>
        <w:t xml:space="preserve">Zvýšené náklady souvisí do určité míry s aférou kolem ilegální výroby </w:t>
      </w:r>
      <w:r w:rsidR="00D74951" w:rsidRPr="00550747">
        <w:rPr>
          <w:sz w:val="20"/>
        </w:rPr>
        <w:lastRenderedPageBreak/>
        <w:t>lihovin, které obsahovaly jedovatý metylalkohol.</w:t>
      </w:r>
      <w:r w:rsidR="009C7D4D" w:rsidRPr="00550747">
        <w:rPr>
          <w:sz w:val="20"/>
        </w:rPr>
        <w:t xml:space="preserve"> V této souvislosti vzrostly výdaje na léčbu pacientů, nákup léků i testovacích vzorků alkoholu.</w:t>
      </w:r>
    </w:p>
    <w:p w:rsidR="006E2211" w:rsidRDefault="006E2211" w:rsidP="006E2211">
      <w:pPr>
        <w:pStyle w:val="Textvlastn"/>
        <w:rPr>
          <w:sz w:val="20"/>
        </w:rPr>
      </w:pPr>
    </w:p>
    <w:p w:rsidR="006E2211" w:rsidRPr="00751D60" w:rsidRDefault="006E2211" w:rsidP="006E2211">
      <w:pPr>
        <w:pStyle w:val="Textvlastn"/>
        <w:jc w:val="center"/>
        <w:rPr>
          <w:b/>
          <w:bCs/>
          <w:sz w:val="4"/>
          <w:szCs w:val="4"/>
        </w:rPr>
      </w:pPr>
    </w:p>
    <w:p w:rsidR="006E2211" w:rsidRPr="0053382C" w:rsidRDefault="006E2211" w:rsidP="006E2211">
      <w:pPr>
        <w:pStyle w:val="Textvlastn"/>
        <w:jc w:val="center"/>
        <w:rPr>
          <w:szCs w:val="18"/>
        </w:rPr>
      </w:pPr>
      <w:r w:rsidRPr="0053382C">
        <w:rPr>
          <w:b/>
          <w:bCs/>
          <w:szCs w:val="18"/>
        </w:rPr>
        <w:t>Graf 3.1: Porovnání výdajů na zdravotnictví podle diagnóz v letech 2000 a 201</w:t>
      </w:r>
      <w:r w:rsidR="00E24890">
        <w:rPr>
          <w:b/>
          <w:bCs/>
          <w:szCs w:val="18"/>
        </w:rPr>
        <w:t>2</w:t>
      </w:r>
      <w:r w:rsidR="006247F3">
        <w:rPr>
          <w:b/>
          <w:bCs/>
          <w:szCs w:val="18"/>
        </w:rPr>
        <w:t xml:space="preserve"> v mil. Kč</w:t>
      </w:r>
    </w:p>
    <w:p w:rsidR="006E2211" w:rsidRDefault="00E24890" w:rsidP="006E2211">
      <w:r w:rsidRPr="00E24890">
        <w:rPr>
          <w:noProof/>
        </w:rPr>
        <w:drawing>
          <wp:inline distT="0" distB="0" distL="0" distR="0">
            <wp:extent cx="5762625" cy="343852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2F35" w:rsidRDefault="00592F35" w:rsidP="00592F35">
      <w:pPr>
        <w:pStyle w:val="Textvlastn"/>
        <w:rPr>
          <w:sz w:val="20"/>
        </w:rPr>
      </w:pPr>
      <w:r>
        <w:rPr>
          <w:sz w:val="20"/>
        </w:rPr>
        <w:t xml:space="preserve">Zatímco v roce 2000 nemoci trávicí soustavy vykázaly největší objem výdajů, v ostatních letech bylo nejvíce finančních prostředků vynaloženo na léčení nemocí oběhové soustavy a novotvarů. Uvedené skupiny onemocnění současně patří dlouhodobě k nejčastějším příčinám úmrtí v České republice. V roce 2012 se náklady na léčbu onemocnění oběhové soustavy i onkologických onemocnění snížily </w:t>
      </w:r>
      <w:r w:rsidR="00400B6F">
        <w:rPr>
          <w:sz w:val="20"/>
        </w:rPr>
        <w:t xml:space="preserve">oproti roku 2011 </w:t>
      </w:r>
      <w:r>
        <w:rPr>
          <w:sz w:val="20"/>
        </w:rPr>
        <w:t>téměř o pětinu na 21 769 mil. Kč respektive 16 080 mil. Kč. Výdaje léčení nemocí trávicí soustavy poklesly v meziročním srovnání o 7% na 13 012 mil.</w:t>
      </w:r>
      <w:r w:rsidR="006247F3">
        <w:rPr>
          <w:sz w:val="20"/>
        </w:rPr>
        <w:t xml:space="preserve"> </w:t>
      </w:r>
      <w:r>
        <w:rPr>
          <w:sz w:val="20"/>
        </w:rPr>
        <w:t>Kč..</w:t>
      </w:r>
    </w:p>
    <w:p w:rsidR="00886532" w:rsidRDefault="00886532" w:rsidP="00592F35">
      <w:pPr>
        <w:pStyle w:val="Textvlastn"/>
        <w:rPr>
          <w:sz w:val="20"/>
        </w:rPr>
      </w:pPr>
    </w:p>
    <w:p w:rsidR="00886532" w:rsidRDefault="00886532" w:rsidP="00592F35">
      <w:pPr>
        <w:pStyle w:val="Textvlastn"/>
        <w:rPr>
          <w:sz w:val="20"/>
        </w:rPr>
      </w:pPr>
    </w:p>
    <w:p w:rsidR="00886532" w:rsidRDefault="00886532" w:rsidP="00592F35">
      <w:pPr>
        <w:pStyle w:val="Textvlastn"/>
        <w:rPr>
          <w:sz w:val="20"/>
        </w:rPr>
      </w:pPr>
    </w:p>
    <w:p w:rsidR="00886532" w:rsidRDefault="00886532" w:rsidP="00592F35">
      <w:pPr>
        <w:pStyle w:val="Textvlastn"/>
        <w:rPr>
          <w:sz w:val="20"/>
        </w:rPr>
      </w:pPr>
    </w:p>
    <w:p w:rsidR="00886532" w:rsidRDefault="00886532" w:rsidP="00592F35">
      <w:pPr>
        <w:pStyle w:val="Textvlastn"/>
        <w:rPr>
          <w:sz w:val="20"/>
        </w:rPr>
      </w:pPr>
    </w:p>
    <w:p w:rsidR="00886532" w:rsidRDefault="00886532" w:rsidP="00592F35">
      <w:pPr>
        <w:pStyle w:val="Textvlastn"/>
        <w:rPr>
          <w:sz w:val="20"/>
        </w:rPr>
      </w:pPr>
    </w:p>
    <w:p w:rsidR="00886532" w:rsidRDefault="00886532" w:rsidP="00592F35">
      <w:pPr>
        <w:pStyle w:val="Textvlastn"/>
        <w:rPr>
          <w:sz w:val="20"/>
        </w:rPr>
      </w:pPr>
    </w:p>
    <w:p w:rsidR="00886532" w:rsidRDefault="00886532" w:rsidP="00592F35">
      <w:pPr>
        <w:pStyle w:val="Textvlastn"/>
        <w:rPr>
          <w:sz w:val="20"/>
        </w:rPr>
      </w:pPr>
    </w:p>
    <w:p w:rsidR="00886532" w:rsidRDefault="00886532" w:rsidP="00592F35">
      <w:pPr>
        <w:pStyle w:val="Textvlastn"/>
        <w:rPr>
          <w:sz w:val="20"/>
        </w:rPr>
      </w:pPr>
    </w:p>
    <w:p w:rsidR="00886532" w:rsidRDefault="00886532" w:rsidP="00592F35">
      <w:pPr>
        <w:pStyle w:val="Textvlastn"/>
        <w:rPr>
          <w:sz w:val="20"/>
        </w:rPr>
      </w:pPr>
    </w:p>
    <w:p w:rsidR="00886532" w:rsidRDefault="00886532" w:rsidP="00592F35">
      <w:pPr>
        <w:pStyle w:val="Textvlastn"/>
        <w:rPr>
          <w:sz w:val="20"/>
        </w:rPr>
      </w:pPr>
    </w:p>
    <w:p w:rsidR="00886532" w:rsidRDefault="00886532" w:rsidP="00592F35">
      <w:pPr>
        <w:pStyle w:val="Textvlastn"/>
        <w:rPr>
          <w:sz w:val="20"/>
        </w:rPr>
      </w:pPr>
    </w:p>
    <w:p w:rsidR="00886532" w:rsidRDefault="00886532" w:rsidP="00592F35">
      <w:pPr>
        <w:pStyle w:val="Textvlastn"/>
        <w:rPr>
          <w:sz w:val="20"/>
        </w:rPr>
      </w:pPr>
    </w:p>
    <w:p w:rsidR="00886532" w:rsidRDefault="00886532" w:rsidP="00592F35">
      <w:pPr>
        <w:pStyle w:val="Textvlastn"/>
        <w:rPr>
          <w:sz w:val="20"/>
        </w:rPr>
      </w:pPr>
    </w:p>
    <w:p w:rsidR="00886532" w:rsidRDefault="00886532" w:rsidP="00592F35">
      <w:pPr>
        <w:pStyle w:val="Textvlastn"/>
        <w:rPr>
          <w:sz w:val="20"/>
        </w:rPr>
      </w:pPr>
    </w:p>
    <w:p w:rsidR="00886532" w:rsidRDefault="00886532" w:rsidP="00592F35">
      <w:pPr>
        <w:pStyle w:val="Textvlastn"/>
        <w:rPr>
          <w:sz w:val="20"/>
        </w:rPr>
      </w:pPr>
    </w:p>
    <w:p w:rsidR="00886532" w:rsidRPr="0053382C" w:rsidRDefault="00886532" w:rsidP="00886532">
      <w:pPr>
        <w:pStyle w:val="Textvlastn"/>
        <w:jc w:val="center"/>
        <w:rPr>
          <w:szCs w:val="18"/>
        </w:rPr>
      </w:pPr>
      <w:r w:rsidRPr="0053382C">
        <w:rPr>
          <w:b/>
          <w:bCs/>
          <w:szCs w:val="18"/>
        </w:rPr>
        <w:lastRenderedPageBreak/>
        <w:t>Graf 3.</w:t>
      </w:r>
      <w:r w:rsidR="001D246B">
        <w:rPr>
          <w:b/>
          <w:bCs/>
          <w:szCs w:val="18"/>
        </w:rPr>
        <w:t>1a</w:t>
      </w:r>
      <w:r w:rsidRPr="0053382C">
        <w:rPr>
          <w:b/>
          <w:bCs/>
          <w:szCs w:val="18"/>
        </w:rPr>
        <w:t>:</w:t>
      </w:r>
      <w:r>
        <w:rPr>
          <w:b/>
          <w:bCs/>
          <w:szCs w:val="18"/>
        </w:rPr>
        <w:t xml:space="preserve"> </w:t>
      </w:r>
      <w:r w:rsidR="00400B6F">
        <w:rPr>
          <w:b/>
          <w:bCs/>
          <w:szCs w:val="18"/>
        </w:rPr>
        <w:t xml:space="preserve">Nárůst </w:t>
      </w:r>
      <w:r w:rsidR="00412AA6">
        <w:rPr>
          <w:b/>
          <w:bCs/>
          <w:szCs w:val="18"/>
        </w:rPr>
        <w:t>výdaj</w:t>
      </w:r>
      <w:r w:rsidR="00400B6F">
        <w:rPr>
          <w:b/>
          <w:bCs/>
          <w:szCs w:val="18"/>
        </w:rPr>
        <w:t>ů</w:t>
      </w:r>
      <w:r w:rsidRPr="0053382C">
        <w:rPr>
          <w:b/>
          <w:bCs/>
          <w:szCs w:val="18"/>
        </w:rPr>
        <w:t xml:space="preserve"> na zdravotnictví podle diagnóz </w:t>
      </w:r>
      <w:r w:rsidR="00400B6F">
        <w:rPr>
          <w:b/>
          <w:bCs/>
          <w:szCs w:val="18"/>
        </w:rPr>
        <w:t xml:space="preserve">2000 - </w:t>
      </w:r>
      <w:r w:rsidR="00412AA6">
        <w:rPr>
          <w:b/>
          <w:bCs/>
          <w:szCs w:val="18"/>
        </w:rPr>
        <w:t xml:space="preserve">2012 </w:t>
      </w:r>
      <w:r w:rsidR="00400B6F">
        <w:rPr>
          <w:b/>
          <w:bCs/>
          <w:szCs w:val="18"/>
        </w:rPr>
        <w:t xml:space="preserve">v </w:t>
      </w:r>
      <w:r>
        <w:rPr>
          <w:b/>
          <w:bCs/>
          <w:szCs w:val="18"/>
        </w:rPr>
        <w:t>mil. Kč</w:t>
      </w:r>
    </w:p>
    <w:p w:rsidR="00886532" w:rsidRDefault="00886532" w:rsidP="006E2211">
      <w:pPr>
        <w:pStyle w:val="Textvlastn"/>
        <w:rPr>
          <w:color w:val="000000"/>
          <w:sz w:val="20"/>
        </w:rPr>
      </w:pPr>
      <w:r w:rsidRPr="00886532">
        <w:rPr>
          <w:color w:val="000000"/>
          <w:sz w:val="20"/>
        </w:rPr>
        <w:drawing>
          <wp:inline distT="0" distB="0" distL="0" distR="0">
            <wp:extent cx="5760720" cy="3416255"/>
            <wp:effectExtent l="0" t="0" r="0" b="0"/>
            <wp:docPr id="5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6532" w:rsidRDefault="006247F3" w:rsidP="006E2211">
      <w:pPr>
        <w:pStyle w:val="Textvlastn"/>
        <w:rPr>
          <w:color w:val="000000"/>
          <w:sz w:val="20"/>
        </w:rPr>
      </w:pPr>
      <w:r>
        <w:rPr>
          <w:color w:val="000000"/>
          <w:sz w:val="20"/>
        </w:rPr>
        <w:t xml:space="preserve">Z grafu je patrné, že </w:t>
      </w:r>
      <w:r w:rsidR="00400B6F">
        <w:rPr>
          <w:color w:val="000000"/>
          <w:sz w:val="20"/>
        </w:rPr>
        <w:t>za uplynulých 12 let, tedy od roku 2000,</w:t>
      </w:r>
      <w:r>
        <w:rPr>
          <w:color w:val="000000"/>
          <w:sz w:val="20"/>
        </w:rPr>
        <w:t xml:space="preserve"> </w:t>
      </w:r>
      <w:r w:rsidR="00400B6F">
        <w:rPr>
          <w:color w:val="000000"/>
          <w:sz w:val="20"/>
        </w:rPr>
        <w:t xml:space="preserve">se </w:t>
      </w:r>
      <w:r>
        <w:rPr>
          <w:color w:val="000000"/>
          <w:sz w:val="20"/>
        </w:rPr>
        <w:t xml:space="preserve">nejvíce </w:t>
      </w:r>
      <w:r w:rsidR="00400B6F">
        <w:rPr>
          <w:color w:val="000000"/>
          <w:sz w:val="20"/>
        </w:rPr>
        <w:t>zvýšily</w:t>
      </w:r>
      <w:r>
        <w:rPr>
          <w:color w:val="000000"/>
          <w:sz w:val="20"/>
        </w:rPr>
        <w:t xml:space="preserve"> </w:t>
      </w:r>
      <w:r w:rsidR="00400B6F">
        <w:rPr>
          <w:color w:val="000000"/>
          <w:sz w:val="20"/>
        </w:rPr>
        <w:t>náklady</w:t>
      </w:r>
      <w:r>
        <w:rPr>
          <w:color w:val="000000"/>
          <w:sz w:val="20"/>
        </w:rPr>
        <w:t xml:space="preserve"> na léčení nemocí oběhové soustavy</w:t>
      </w:r>
      <w:r w:rsidR="00400B6F">
        <w:rPr>
          <w:color w:val="000000"/>
          <w:sz w:val="20"/>
        </w:rPr>
        <w:t xml:space="preserve"> - </w:t>
      </w:r>
      <w:r>
        <w:rPr>
          <w:color w:val="000000"/>
          <w:sz w:val="20"/>
        </w:rPr>
        <w:t>o více než 14 miliard Kč</w:t>
      </w:r>
      <w:r w:rsidR="003F583E">
        <w:rPr>
          <w:color w:val="000000"/>
          <w:sz w:val="20"/>
        </w:rPr>
        <w:t xml:space="preserve">. </w:t>
      </w:r>
      <w:r w:rsidR="0055267C">
        <w:rPr>
          <w:color w:val="000000"/>
          <w:sz w:val="20"/>
        </w:rPr>
        <w:t>U diagnózy s názvem f</w:t>
      </w:r>
      <w:r w:rsidR="003F583E">
        <w:rPr>
          <w:color w:val="000000"/>
          <w:sz w:val="20"/>
        </w:rPr>
        <w:t>aktory ovlivňující zdravotní stav (</w:t>
      </w:r>
      <w:r w:rsidR="0055267C">
        <w:rPr>
          <w:color w:val="000000"/>
          <w:sz w:val="20"/>
        </w:rPr>
        <w:t xml:space="preserve">zahrnuje </w:t>
      </w:r>
      <w:r w:rsidR="003F583E">
        <w:rPr>
          <w:color w:val="000000"/>
          <w:sz w:val="20"/>
        </w:rPr>
        <w:t xml:space="preserve">např. speciální vyšetření očí, zubů, uší, genetické poradny, pozorování pro podezření na různá onemocnění atd.) </w:t>
      </w:r>
      <w:r w:rsidR="0055267C">
        <w:rPr>
          <w:color w:val="000000"/>
          <w:sz w:val="20"/>
        </w:rPr>
        <w:t xml:space="preserve">vzrostly náklady </w:t>
      </w:r>
      <w:r w:rsidR="001D246B">
        <w:rPr>
          <w:color w:val="000000"/>
          <w:sz w:val="20"/>
        </w:rPr>
        <w:t>ve</w:t>
      </w:r>
      <w:r w:rsidR="0055267C">
        <w:rPr>
          <w:color w:val="000000"/>
          <w:sz w:val="20"/>
        </w:rPr>
        <w:t xml:space="preserve"> stejné</w:t>
      </w:r>
      <w:r w:rsidR="001D246B">
        <w:rPr>
          <w:color w:val="000000"/>
          <w:sz w:val="20"/>
        </w:rPr>
        <w:t>m</w:t>
      </w:r>
      <w:r w:rsidR="0055267C">
        <w:rPr>
          <w:color w:val="000000"/>
          <w:sz w:val="20"/>
        </w:rPr>
        <w:t xml:space="preserve"> období o 10 miliard Kč.</w:t>
      </w:r>
    </w:p>
    <w:p w:rsidR="006E2211" w:rsidRDefault="006E2211" w:rsidP="006E2211">
      <w:pPr>
        <w:pStyle w:val="Textvlastn"/>
        <w:rPr>
          <w:sz w:val="20"/>
          <w:szCs w:val="17"/>
        </w:rPr>
      </w:pPr>
      <w:r>
        <w:rPr>
          <w:color w:val="000000"/>
          <w:sz w:val="20"/>
        </w:rPr>
        <w:t xml:space="preserve">Nyní se zaměříme na </w:t>
      </w:r>
      <w:r>
        <w:rPr>
          <w:sz w:val="20"/>
        </w:rPr>
        <w:t xml:space="preserve">výdaje na zdravotní péči strukturované podle věku a pohlaví. Každá věková skupina má odlišný počet pojištěnců, který přímo úměrně ovlivňuje výši celkových vynaložených výdajů. Při vyčíslení výdajů na jednoho pojištěnce </w:t>
      </w:r>
      <w:r>
        <w:rPr>
          <w:sz w:val="20"/>
          <w:szCs w:val="17"/>
        </w:rPr>
        <w:t>se ukazuje jako potřebné vzít v úvahu i věk pojištěnce, protože v různém věku se stejná nemoc projevuje různě, odlišnou délkou léčení, různými komplikacemi, odlišným průběhem a tudíž i různými výdaji. Velmi zajímavé je také srovnání výdajů na zdravotní péči poskytovanou mužům a ženám. Ženy se obecně dožívají vyššího věku než muži, i proto je výše uvedená struktura výdajů členěná dle věku a pohlaví odlišná.</w:t>
      </w:r>
    </w:p>
    <w:p w:rsidR="006E2211" w:rsidRDefault="006E2211" w:rsidP="006E2211"/>
    <w:p w:rsidR="006E2211" w:rsidRDefault="006E2211" w:rsidP="006E2211"/>
    <w:p w:rsidR="006E2211" w:rsidRDefault="006E2211" w:rsidP="006E2211"/>
    <w:p w:rsidR="006E2211" w:rsidRDefault="006E2211" w:rsidP="006E2211"/>
    <w:p w:rsidR="006E2211" w:rsidRDefault="006E2211" w:rsidP="006E2211"/>
    <w:p w:rsidR="006E2211" w:rsidRDefault="006E2211" w:rsidP="006E2211"/>
    <w:p w:rsidR="006E2211" w:rsidRDefault="006E2211" w:rsidP="006E2211"/>
    <w:p w:rsidR="006E2211" w:rsidRDefault="006E2211" w:rsidP="006E2211"/>
    <w:p w:rsidR="006E2211" w:rsidRDefault="006E2211" w:rsidP="006E2211"/>
    <w:p w:rsidR="006E2211" w:rsidRDefault="006E2211" w:rsidP="006E2211"/>
    <w:p w:rsidR="006E2211" w:rsidRDefault="006E2211" w:rsidP="006E2211"/>
    <w:p w:rsidR="006E2211" w:rsidRDefault="006E2211" w:rsidP="006E2211"/>
    <w:p w:rsidR="006E2211" w:rsidRDefault="006E2211" w:rsidP="006E2211"/>
    <w:p w:rsidR="001D36A9" w:rsidRDefault="001D36A9" w:rsidP="006E2211"/>
    <w:p w:rsidR="0055267C" w:rsidRDefault="0055267C" w:rsidP="006E2211"/>
    <w:p w:rsidR="006E2211" w:rsidRDefault="006E2211" w:rsidP="006E2211"/>
    <w:p w:rsidR="006E2211" w:rsidRDefault="006E2211" w:rsidP="006E2211"/>
    <w:p w:rsidR="006E2211" w:rsidRDefault="006E2211" w:rsidP="006E2211"/>
    <w:p w:rsidR="006E2211" w:rsidRDefault="006E2211" w:rsidP="006E2211"/>
    <w:p w:rsidR="006E2211" w:rsidRDefault="006E2211" w:rsidP="006E2211">
      <w:pPr>
        <w:pStyle w:val="Textvlastn"/>
        <w:rPr>
          <w:sz w:val="20"/>
        </w:rPr>
      </w:pPr>
      <w:r>
        <w:rPr>
          <w:sz w:val="20"/>
        </w:rPr>
        <w:lastRenderedPageBreak/>
        <w:t>Následující tabulka popisuje výdaje na zdravotní péči podle věku a pohlaví:</w:t>
      </w:r>
    </w:p>
    <w:p w:rsidR="006E2211" w:rsidRDefault="006E2211" w:rsidP="006E2211">
      <w:pPr>
        <w:pStyle w:val="Textvlastn"/>
        <w:spacing w:before="0"/>
        <w:jc w:val="center"/>
        <w:rPr>
          <w:b/>
          <w:bCs/>
          <w:szCs w:val="17"/>
        </w:rPr>
      </w:pPr>
    </w:p>
    <w:p w:rsidR="006E2211" w:rsidRDefault="006E2211" w:rsidP="006E2211">
      <w:pPr>
        <w:pStyle w:val="Textvlastn"/>
        <w:jc w:val="center"/>
        <w:rPr>
          <w:b/>
          <w:bCs/>
          <w:szCs w:val="17"/>
        </w:rPr>
      </w:pPr>
      <w:r w:rsidRPr="00DB3077">
        <w:rPr>
          <w:b/>
          <w:bCs/>
          <w:szCs w:val="17"/>
        </w:rPr>
        <w:t>Tabulka 3.2: Výdaje na zdravotní péči podle věku a pohlaví v mil. Kč</w:t>
      </w:r>
      <w:r>
        <w:rPr>
          <w:b/>
          <w:bCs/>
          <w:szCs w:val="17"/>
        </w:rPr>
        <w:t xml:space="preserve"> </w:t>
      </w:r>
    </w:p>
    <w:p w:rsidR="006E2211" w:rsidRDefault="006E2211" w:rsidP="006E2211">
      <w:pPr>
        <w:pStyle w:val="Textvlastn"/>
        <w:spacing w:before="0"/>
        <w:jc w:val="center"/>
        <w:rPr>
          <w:b/>
          <w:bCs/>
          <w:szCs w:val="17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20"/>
        <w:gridCol w:w="660"/>
        <w:gridCol w:w="660"/>
        <w:gridCol w:w="640"/>
        <w:gridCol w:w="640"/>
        <w:gridCol w:w="644"/>
        <w:gridCol w:w="736"/>
        <w:gridCol w:w="736"/>
        <w:gridCol w:w="736"/>
        <w:gridCol w:w="710"/>
        <w:gridCol w:w="710"/>
        <w:gridCol w:w="740"/>
        <w:gridCol w:w="740"/>
      </w:tblGrid>
      <w:tr w:rsidR="00AC79B0" w:rsidTr="00580F5C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bottom"/>
          </w:tcPr>
          <w:p w:rsidR="00AC79B0" w:rsidRPr="00DB3077" w:rsidRDefault="00AC79B0" w:rsidP="00580F5C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 w:rsidRPr="00DB30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AC79B0" w:rsidRPr="009035CA" w:rsidRDefault="00AC79B0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1280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AC79B0" w:rsidRPr="009035CA" w:rsidRDefault="00AC79B0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380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AC79B0" w:rsidRPr="009035CA" w:rsidRDefault="00AC79B0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rFonts w:eastAsia="Arial Unicode MS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472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AC79B0" w:rsidRPr="009035CA" w:rsidRDefault="00AC79B0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rFonts w:eastAsia="Arial Unicode MS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420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AC79B0" w:rsidRPr="009035CA" w:rsidRDefault="00AC79B0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rFonts w:eastAsia="Arial Unicode MS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480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AC79B0" w:rsidRPr="009035CA" w:rsidRDefault="00AC79B0" w:rsidP="00AC79B0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Index 2012/2011</w:t>
            </w:r>
          </w:p>
        </w:tc>
      </w:tr>
      <w:tr w:rsidR="009A02D6" w:rsidTr="00580F5C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bottom"/>
          </w:tcPr>
          <w:p w:rsidR="009A02D6" w:rsidRPr="00DB3077" w:rsidRDefault="009A02D6" w:rsidP="00580F5C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 w:rsidRPr="00DB30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9A02D6" w:rsidRPr="009035CA" w:rsidRDefault="009A02D6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9A02D6" w:rsidRPr="009035CA" w:rsidRDefault="009A02D6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9A02D6" w:rsidRPr="009035CA" w:rsidRDefault="009A02D6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9A02D6" w:rsidRPr="009035CA" w:rsidRDefault="009A02D6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9A02D6" w:rsidRPr="009035CA" w:rsidRDefault="009A02D6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9A02D6" w:rsidRPr="009035CA" w:rsidRDefault="009A02D6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9A02D6" w:rsidRPr="009035CA" w:rsidRDefault="009A02D6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9A02D6" w:rsidRPr="009035CA" w:rsidRDefault="009A02D6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9A02D6" w:rsidRPr="009035CA" w:rsidRDefault="009A02D6" w:rsidP="008B4A2D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9A02D6" w:rsidRPr="009035CA" w:rsidRDefault="009A02D6" w:rsidP="008B4A2D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9A02D6" w:rsidRPr="009035CA" w:rsidRDefault="009A02D6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bottom"/>
          </w:tcPr>
          <w:p w:rsidR="009A02D6" w:rsidRPr="009035CA" w:rsidRDefault="009A02D6" w:rsidP="00580F5C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Ženy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00-04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2 464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2 062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3 346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2 762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4 756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3 572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5 321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4 475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5 022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4 314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94,4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96,4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05-09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1 675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1 493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1 910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1 607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2 216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1 688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2 639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2 094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2 708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2 162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103,2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10-14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1 925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1 778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2 369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2 190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2 084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2 127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2 403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2 168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2 451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2 467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113,8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15-19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1 939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2 219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2 293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2 744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2 464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2 885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2 658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3 074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2 571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2 992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96,7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97,3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20-24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2 189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3 090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2 170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2 939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2 331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3 173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2 608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3 465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2 679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3 546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102,3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25-29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2 293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3 550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2 963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4 813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3 003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4 946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3 077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4 735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3 086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4 700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99,3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30-34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1 939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2 771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3 232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4 817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4 150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7 089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4 159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6 240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4 056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6 063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97,5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97,2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35-39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2 084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2 774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2 942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3 912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4 280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5 475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4 806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6 312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5 026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6 588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104,4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40-44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2 594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3 234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3 466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4 173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4 868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5 259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4 558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5 188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4 664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5 446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45-49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3 832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4 667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4 529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5 241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4 999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5 729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5 450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6 123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5 596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6 203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101,3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50-54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5 049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5 877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7 009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7 438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7 701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8 164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6 831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7 082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6 524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6 943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95,5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98,0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55-59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5 005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5 116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9 035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8 613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10 131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9 595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10 392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9 515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10 267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9 394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98,8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98,7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60-64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3 954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4 403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8 299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8 016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13 328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11 023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13 045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11 435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12 875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11 373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98,7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99,5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65-69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4 235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5 269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6 840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7 128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10 782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11 442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12 182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11 669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13 200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12 374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106,0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70-74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4 258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5 790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7 012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8 131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8 150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9 682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9 187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9 815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9 807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10 325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105,2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75-79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3 320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5 573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5 785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8 130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7 230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9 207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7 433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9 574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7 339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9 382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98,7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98,0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80-84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1 233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2 520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3 389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6 324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4 592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7 571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5 114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8 360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5 238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8 429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100,8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A02D6" w:rsidP="009035CA">
            <w:pPr>
              <w:rPr>
                <w:rFonts w:eastAsia="Arial Unicode MS"/>
                <w:sz w:val="16"/>
                <w:szCs w:val="16"/>
              </w:rPr>
            </w:pPr>
            <w:r w:rsidRPr="00DB3077">
              <w:rPr>
                <w:sz w:val="16"/>
                <w:szCs w:val="16"/>
              </w:rPr>
              <w:t>85+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927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2 691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1 225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3 302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2 272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5 935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2 824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6 846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3 052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7 174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104,8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noWrap/>
            <w:tcMar>
              <w:left w:w="57" w:type="dxa"/>
              <w:right w:w="57" w:type="dxa"/>
            </w:tcMar>
            <w:vAlign w:val="center"/>
          </w:tcPr>
          <w:p w:rsidR="009A02D6" w:rsidRPr="00DB3077" w:rsidRDefault="009035CA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9A02D6" w:rsidRPr="00DB3077">
              <w:rPr>
                <w:sz w:val="16"/>
                <w:szCs w:val="16"/>
              </w:rPr>
              <w:t>elkem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50 914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64 878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77 814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92 279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99 336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sz w:val="16"/>
                <w:szCs w:val="16"/>
              </w:rPr>
            </w:pPr>
            <w:r w:rsidRPr="009035CA">
              <w:rPr>
                <w:sz w:val="16"/>
                <w:szCs w:val="16"/>
              </w:rPr>
              <w:t>114 564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104 687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118 169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106 160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119 875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9035CA">
              <w:rPr>
                <w:color w:val="000000"/>
                <w:sz w:val="16"/>
                <w:szCs w:val="16"/>
              </w:rPr>
              <w:t>101,4</w:t>
            </w:r>
          </w:p>
        </w:tc>
      </w:tr>
      <w:tr w:rsidR="009A02D6" w:rsidRPr="001118E7" w:rsidTr="009035CA">
        <w:trPr>
          <w:trHeight w:val="255"/>
          <w:jc w:val="center"/>
        </w:trPr>
        <w:tc>
          <w:tcPr>
            <w:tcW w:w="920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rPr>
                <w:rFonts w:eastAsia="Arial Unicode MS"/>
                <w:b/>
                <w:sz w:val="16"/>
                <w:szCs w:val="16"/>
              </w:rPr>
            </w:pPr>
            <w:r w:rsidRPr="009035CA">
              <w:rPr>
                <w:b/>
                <w:sz w:val="16"/>
                <w:szCs w:val="16"/>
              </w:rPr>
              <w:t>Celkový součet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115 792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b/>
                <w:bCs/>
                <w:sz w:val="16"/>
                <w:szCs w:val="16"/>
              </w:rPr>
              <w:t>170 093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rFonts w:eastAsia="Arial Unicode MS"/>
                <w:b/>
                <w:bCs/>
                <w:sz w:val="16"/>
                <w:szCs w:val="16"/>
              </w:rPr>
              <w:t>213 900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rFonts w:eastAsia="Arial Unicode MS"/>
                <w:b/>
                <w:bCs/>
                <w:sz w:val="16"/>
                <w:szCs w:val="16"/>
              </w:rPr>
              <w:t>222 856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rFonts w:eastAsia="Arial Unicode MS"/>
                <w:b/>
                <w:bCs/>
                <w:sz w:val="16"/>
                <w:szCs w:val="16"/>
              </w:rPr>
              <w:t>226 03</w:t>
            </w:r>
            <w:r w:rsidR="008B4A2D">
              <w:rPr>
                <w:rFonts w:eastAsia="Arial Unicode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9A02D6" w:rsidRPr="009035CA" w:rsidRDefault="009A02D6" w:rsidP="009035C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9035CA">
              <w:rPr>
                <w:rFonts w:eastAsia="Arial Unicode MS"/>
                <w:b/>
                <w:bCs/>
                <w:sz w:val="16"/>
                <w:szCs w:val="16"/>
              </w:rPr>
              <w:t>101,4</w:t>
            </w:r>
          </w:p>
        </w:tc>
      </w:tr>
    </w:tbl>
    <w:p w:rsidR="006E2211" w:rsidRDefault="006E2211" w:rsidP="006E2211">
      <w:pPr>
        <w:pStyle w:val="Textvlastn"/>
        <w:rPr>
          <w:sz w:val="20"/>
        </w:rPr>
      </w:pPr>
    </w:p>
    <w:p w:rsidR="006E2211" w:rsidRDefault="006E2211" w:rsidP="006E2211">
      <w:pPr>
        <w:pStyle w:val="Textvlastn"/>
        <w:rPr>
          <w:sz w:val="20"/>
        </w:rPr>
      </w:pPr>
      <w:r>
        <w:rPr>
          <w:sz w:val="20"/>
        </w:rPr>
        <w:t>V roce 201</w:t>
      </w:r>
      <w:r w:rsidR="008B4A2D">
        <w:rPr>
          <w:sz w:val="20"/>
        </w:rPr>
        <w:t>2</w:t>
      </w:r>
      <w:r>
        <w:rPr>
          <w:sz w:val="20"/>
        </w:rPr>
        <w:t xml:space="preserve"> se vyskytovaly vyšší výdaje na zdravotní péči mužů ve věkových skupinách 00 - </w:t>
      </w:r>
      <w:r w:rsidR="008B4A2D">
        <w:rPr>
          <w:sz w:val="20"/>
        </w:rPr>
        <w:t>09</w:t>
      </w:r>
      <w:r>
        <w:rPr>
          <w:sz w:val="20"/>
        </w:rPr>
        <w:t xml:space="preserve"> a 55 - 69. V ostatních věkových skupinách byly zaznamenány vyšší náklady v případě žen. Nejvyšší výdaje se objevují u </w:t>
      </w:r>
      <w:r w:rsidR="008B4A2D">
        <w:rPr>
          <w:sz w:val="20"/>
        </w:rPr>
        <w:t>obou pohlaví v</w:t>
      </w:r>
      <w:r>
        <w:rPr>
          <w:sz w:val="20"/>
        </w:rPr>
        <w:t>e věkové skupině 6</w:t>
      </w:r>
      <w:r w:rsidR="008B4A2D">
        <w:rPr>
          <w:sz w:val="20"/>
        </w:rPr>
        <w:t>5</w:t>
      </w:r>
      <w:r>
        <w:rPr>
          <w:sz w:val="20"/>
        </w:rPr>
        <w:t xml:space="preserve"> - 6</w:t>
      </w:r>
      <w:r w:rsidR="008B4A2D">
        <w:rPr>
          <w:sz w:val="20"/>
        </w:rPr>
        <w:t>9</w:t>
      </w:r>
      <w:r>
        <w:rPr>
          <w:sz w:val="20"/>
        </w:rPr>
        <w:t xml:space="preserve"> let. V porovnání s rokem 201</w:t>
      </w:r>
      <w:r w:rsidR="008B4A2D">
        <w:rPr>
          <w:sz w:val="20"/>
        </w:rPr>
        <w:t>1</w:t>
      </w:r>
      <w:r>
        <w:rPr>
          <w:sz w:val="20"/>
        </w:rPr>
        <w:t xml:space="preserve"> nejvíce vzrostly výdaje u mužů </w:t>
      </w:r>
      <w:r w:rsidR="008B4A2D">
        <w:rPr>
          <w:sz w:val="20"/>
        </w:rPr>
        <w:t xml:space="preserve">ve věku 65-69 let a ve skupině </w:t>
      </w:r>
      <w:r>
        <w:rPr>
          <w:sz w:val="20"/>
        </w:rPr>
        <w:t xml:space="preserve">starších 85 let a u </w:t>
      </w:r>
      <w:r w:rsidR="008B4A2D">
        <w:rPr>
          <w:sz w:val="20"/>
        </w:rPr>
        <w:t xml:space="preserve">mladých </w:t>
      </w:r>
      <w:r>
        <w:rPr>
          <w:sz w:val="20"/>
        </w:rPr>
        <w:t xml:space="preserve">žen </w:t>
      </w:r>
      <w:r w:rsidR="008B4A2D">
        <w:rPr>
          <w:sz w:val="20"/>
        </w:rPr>
        <w:t>ve věku 10 – 14 let.</w:t>
      </w:r>
    </w:p>
    <w:p w:rsidR="006E2211" w:rsidRDefault="006E2211" w:rsidP="006E2211">
      <w:pPr>
        <w:pStyle w:val="Textvlastn"/>
        <w:rPr>
          <w:sz w:val="20"/>
        </w:rPr>
      </w:pPr>
      <w:r>
        <w:rPr>
          <w:sz w:val="20"/>
        </w:rPr>
        <w:t>Z časového hlediska se od roku 2000 celkové výdaje v běžných cenách zvýšily o 92,5%, přičemž v případě mužů o 10</w:t>
      </w:r>
      <w:r w:rsidR="008B4A2D">
        <w:rPr>
          <w:sz w:val="20"/>
        </w:rPr>
        <w:t>8</w:t>
      </w:r>
      <w:r>
        <w:rPr>
          <w:sz w:val="20"/>
        </w:rPr>
        <w:t>,</w:t>
      </w:r>
      <w:r w:rsidR="008B4A2D">
        <w:rPr>
          <w:sz w:val="20"/>
        </w:rPr>
        <w:t>5</w:t>
      </w:r>
      <w:r>
        <w:rPr>
          <w:sz w:val="20"/>
        </w:rPr>
        <w:t>% a v případě žen o 8</w:t>
      </w:r>
      <w:r w:rsidR="008B4A2D">
        <w:rPr>
          <w:sz w:val="20"/>
        </w:rPr>
        <w:t>4</w:t>
      </w:r>
      <w:r>
        <w:rPr>
          <w:sz w:val="20"/>
        </w:rPr>
        <w:t>,</w:t>
      </w:r>
      <w:r w:rsidR="008B4A2D">
        <w:rPr>
          <w:sz w:val="20"/>
        </w:rPr>
        <w:t>8</w:t>
      </w:r>
      <w:r>
        <w:rPr>
          <w:sz w:val="20"/>
        </w:rPr>
        <w:t>%. Největší nárůst výdajů na zdravotní péči u mužů i žen byl zaznamenán u věkové skupiny 80 - 84 let. Naopak nejméně vzrostly výdaje na zdravotní péči u obou pohlaví ve věkové skupině 20 – 24 let.</w:t>
      </w:r>
    </w:p>
    <w:p w:rsidR="006E2211" w:rsidRDefault="006E2211" w:rsidP="006E2211">
      <w:pPr>
        <w:pStyle w:val="Textvlastn"/>
        <w:jc w:val="center"/>
        <w:rPr>
          <w:b/>
          <w:bCs/>
          <w:sz w:val="20"/>
        </w:rPr>
      </w:pPr>
    </w:p>
    <w:p w:rsidR="006E2211" w:rsidRDefault="006E2211" w:rsidP="006E2211">
      <w:pPr>
        <w:pStyle w:val="Textvlastn"/>
        <w:jc w:val="center"/>
        <w:rPr>
          <w:b/>
          <w:bCs/>
          <w:sz w:val="20"/>
        </w:rPr>
      </w:pPr>
    </w:p>
    <w:p w:rsidR="006E2211" w:rsidRDefault="006E2211" w:rsidP="006E2211">
      <w:pPr>
        <w:pStyle w:val="Textvlastn"/>
        <w:jc w:val="center"/>
        <w:rPr>
          <w:b/>
          <w:bCs/>
          <w:sz w:val="20"/>
        </w:rPr>
      </w:pPr>
    </w:p>
    <w:p w:rsidR="006E2211" w:rsidRDefault="006E2211" w:rsidP="006E2211">
      <w:pPr>
        <w:pStyle w:val="Textvlastn"/>
        <w:jc w:val="center"/>
        <w:rPr>
          <w:b/>
          <w:bCs/>
          <w:sz w:val="20"/>
        </w:rPr>
      </w:pPr>
    </w:p>
    <w:p w:rsidR="006E2211" w:rsidRDefault="006E2211" w:rsidP="006E2211">
      <w:pPr>
        <w:pStyle w:val="Textvlastn"/>
        <w:jc w:val="center"/>
        <w:rPr>
          <w:b/>
          <w:bCs/>
          <w:sz w:val="20"/>
        </w:rPr>
      </w:pPr>
    </w:p>
    <w:p w:rsidR="006E2211" w:rsidRDefault="006E2211" w:rsidP="006E2211">
      <w:pPr>
        <w:pStyle w:val="Textvlastn"/>
        <w:jc w:val="center"/>
        <w:rPr>
          <w:b/>
          <w:bCs/>
          <w:sz w:val="20"/>
        </w:rPr>
      </w:pPr>
    </w:p>
    <w:p w:rsidR="006E2211" w:rsidRDefault="006E2211" w:rsidP="006E2211">
      <w:pPr>
        <w:pStyle w:val="Textvlastn"/>
        <w:jc w:val="center"/>
        <w:rPr>
          <w:b/>
          <w:bCs/>
          <w:sz w:val="20"/>
        </w:rPr>
      </w:pPr>
    </w:p>
    <w:p w:rsidR="006E2211" w:rsidRDefault="006E2211" w:rsidP="006E2211">
      <w:pPr>
        <w:pStyle w:val="Textvlastn"/>
        <w:jc w:val="center"/>
        <w:rPr>
          <w:b/>
          <w:bCs/>
          <w:sz w:val="20"/>
        </w:rPr>
      </w:pPr>
    </w:p>
    <w:p w:rsidR="006E2211" w:rsidRDefault="006E2211" w:rsidP="006E2211">
      <w:pPr>
        <w:pStyle w:val="Textvlastn"/>
        <w:jc w:val="center"/>
        <w:rPr>
          <w:b/>
          <w:bCs/>
          <w:sz w:val="20"/>
        </w:rPr>
      </w:pPr>
    </w:p>
    <w:p w:rsidR="006E2211" w:rsidRDefault="006E2211" w:rsidP="006E2211">
      <w:pPr>
        <w:pStyle w:val="Textvlastn"/>
        <w:jc w:val="center"/>
        <w:rPr>
          <w:b/>
          <w:bCs/>
          <w:sz w:val="20"/>
        </w:rPr>
      </w:pPr>
    </w:p>
    <w:p w:rsidR="006E2211" w:rsidRDefault="006E2211" w:rsidP="006E2211">
      <w:pPr>
        <w:pStyle w:val="Textvlastn"/>
        <w:jc w:val="center"/>
        <w:rPr>
          <w:b/>
          <w:bCs/>
          <w:sz w:val="20"/>
        </w:rPr>
      </w:pPr>
    </w:p>
    <w:p w:rsidR="006E2211" w:rsidRDefault="006E2211" w:rsidP="006E2211"/>
    <w:p w:rsidR="001D36A9" w:rsidRDefault="001D36A9" w:rsidP="006E2211"/>
    <w:p w:rsidR="006E2211" w:rsidRPr="00E87734" w:rsidRDefault="006E2211" w:rsidP="006E2211">
      <w:pPr>
        <w:pStyle w:val="Textvlastn"/>
        <w:jc w:val="center"/>
        <w:rPr>
          <w:b/>
          <w:bCs/>
          <w:szCs w:val="18"/>
        </w:rPr>
      </w:pPr>
      <w:r w:rsidRPr="00E87734">
        <w:rPr>
          <w:b/>
          <w:bCs/>
          <w:szCs w:val="18"/>
        </w:rPr>
        <w:lastRenderedPageBreak/>
        <w:t>Graf 3.2: Výdaje na zdravotní péči podle věku a pohlaví v roce 201</w:t>
      </w:r>
      <w:r w:rsidR="00E43D5C">
        <w:rPr>
          <w:b/>
          <w:bCs/>
          <w:szCs w:val="18"/>
        </w:rPr>
        <w:t>2</w:t>
      </w:r>
      <w:r w:rsidRPr="00E87734">
        <w:rPr>
          <w:b/>
          <w:bCs/>
          <w:szCs w:val="18"/>
        </w:rPr>
        <w:t xml:space="preserve"> (v mil. Kč)</w:t>
      </w:r>
    </w:p>
    <w:p w:rsidR="006E2211" w:rsidRDefault="00E43D5C" w:rsidP="006E2211">
      <w:pPr>
        <w:pStyle w:val="Textvlastn"/>
        <w:rPr>
          <w:sz w:val="20"/>
          <w:szCs w:val="17"/>
        </w:rPr>
      </w:pPr>
      <w:r w:rsidRPr="00E43D5C">
        <w:rPr>
          <w:noProof/>
          <w:sz w:val="20"/>
          <w:szCs w:val="17"/>
        </w:rPr>
        <w:drawing>
          <wp:inline distT="0" distB="0" distL="0" distR="0">
            <wp:extent cx="5648325" cy="27432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2211" w:rsidRDefault="006E2211" w:rsidP="006E2211">
      <w:pPr>
        <w:pStyle w:val="Textvlastn"/>
        <w:rPr>
          <w:sz w:val="20"/>
          <w:szCs w:val="17"/>
        </w:rPr>
      </w:pPr>
      <w:r>
        <w:rPr>
          <w:sz w:val="20"/>
          <w:szCs w:val="17"/>
        </w:rPr>
        <w:t>Zajímavou strukturu mají výdaje na zdravotní péči na jednoho pojištěnce podle pohlaví a věku. Obecně lze říci, že výdaje na zdravotní péči rostou s věkem a v jednotlivých věkových skupinách se jejich výše liší i v závislosti na pohlaví. Tabulka o počtu pojištěnců podle věku a pohlaví je uvedena v příloze (viz tabulka 8).</w:t>
      </w:r>
    </w:p>
    <w:p w:rsidR="006E2211" w:rsidRDefault="006E2211" w:rsidP="006E2211">
      <w:pPr>
        <w:pStyle w:val="Textvlastn"/>
        <w:spacing w:before="0"/>
        <w:jc w:val="center"/>
        <w:rPr>
          <w:b/>
          <w:bCs/>
          <w:szCs w:val="17"/>
        </w:rPr>
      </w:pPr>
    </w:p>
    <w:p w:rsidR="006E2211" w:rsidRDefault="006E2211" w:rsidP="006E2211">
      <w:pPr>
        <w:pStyle w:val="Textvlastn"/>
        <w:jc w:val="center"/>
        <w:rPr>
          <w:b/>
          <w:bCs/>
          <w:szCs w:val="17"/>
        </w:rPr>
      </w:pPr>
      <w:r w:rsidRPr="0035030A">
        <w:rPr>
          <w:b/>
          <w:bCs/>
          <w:szCs w:val="17"/>
        </w:rPr>
        <w:t>Tabulka 3.3: Průměrné výdaje na zdravotní péči na jednoho pojištěnce podle věku a pohlaví (v Kč)</w:t>
      </w:r>
    </w:p>
    <w:p w:rsidR="006E2211" w:rsidRPr="0035030A" w:rsidRDefault="006E2211" w:rsidP="006E2211">
      <w:pPr>
        <w:pStyle w:val="Textvlastn"/>
        <w:spacing w:before="0"/>
        <w:jc w:val="center"/>
        <w:rPr>
          <w:b/>
          <w:bCs/>
          <w:szCs w:val="17"/>
        </w:rPr>
      </w:pP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7"/>
        <w:gridCol w:w="663"/>
        <w:gridCol w:w="725"/>
        <w:gridCol w:w="725"/>
        <w:gridCol w:w="905"/>
        <w:gridCol w:w="915"/>
        <w:gridCol w:w="715"/>
        <w:gridCol w:w="910"/>
        <w:gridCol w:w="905"/>
        <w:gridCol w:w="905"/>
        <w:gridCol w:w="855"/>
      </w:tblGrid>
      <w:tr w:rsidR="00AC79B0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right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1388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163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63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815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76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</w:rPr>
              <w:t>2012</w:t>
            </w:r>
          </w:p>
        </w:tc>
      </w:tr>
      <w:tr w:rsidR="00AC79B0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right"/>
              <w:rPr>
                <w:rFonts w:eastAsia="Arial Unicode MS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 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AC79B0" w:rsidRDefault="00AC79B0" w:rsidP="009035CA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Ženy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00-04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10 796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9 542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13 700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11 962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B021E3">
              <w:rPr>
                <w:color w:val="000000"/>
                <w:sz w:val="16"/>
                <w:szCs w:val="16"/>
              </w:rPr>
              <w:t>987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598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598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737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5 519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5 189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8 231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7 316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342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623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10-14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5 742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5 561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7 902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7 698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883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571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842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949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15-19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5 440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6 531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6 847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8 572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037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398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528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20-24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4 908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7 264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6 021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8 648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858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887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021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25-29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5 300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8 642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6 632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11 504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449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049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978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880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30-34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5 458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8 231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7 372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11 626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678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431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35-39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5 918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8 274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8 271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11 670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348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715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718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40-44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7 267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9 336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9 797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12 421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678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456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364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45-49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9 518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11 638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13 031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15 472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14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18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072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399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868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12 704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14 432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17 967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18 896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22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364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23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971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694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709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16 532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15 722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23 709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21 546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27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24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767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28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25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28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24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874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18 382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17 655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29 626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25 426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38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28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734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37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29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36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29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183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21 460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20 938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35 787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30 171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43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593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38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492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46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945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37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46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807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36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747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25 755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23 636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44 281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36 516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44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924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54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735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43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829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54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979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43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739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28 252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26 370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47 936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40 273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58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577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47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507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61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61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022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50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649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663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30 148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29 635</w:t>
            </w:r>
          </w:p>
        </w:tc>
        <w:tc>
          <w:tcPr>
            <w:tcW w:w="72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48 147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42 438</w:t>
            </w:r>
          </w:p>
        </w:tc>
        <w:tc>
          <w:tcPr>
            <w:tcW w:w="9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58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814</w:t>
            </w:r>
          </w:p>
        </w:tc>
        <w:tc>
          <w:tcPr>
            <w:tcW w:w="71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50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910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63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55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90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63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855" w:type="dxa"/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54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724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85+</w:t>
            </w:r>
          </w:p>
        </w:tc>
        <w:tc>
          <w:tcPr>
            <w:tcW w:w="663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25 710</w:t>
            </w:r>
          </w:p>
        </w:tc>
        <w:tc>
          <w:tcPr>
            <w:tcW w:w="72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29 045</w:t>
            </w:r>
          </w:p>
        </w:tc>
        <w:tc>
          <w:tcPr>
            <w:tcW w:w="72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45 399</w:t>
            </w:r>
          </w:p>
        </w:tc>
        <w:tc>
          <w:tcPr>
            <w:tcW w:w="90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44 718</w:t>
            </w:r>
          </w:p>
        </w:tc>
        <w:tc>
          <w:tcPr>
            <w:tcW w:w="91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B021E3">
              <w:rPr>
                <w:color w:val="000000"/>
                <w:sz w:val="16"/>
                <w:szCs w:val="16"/>
              </w:rPr>
              <w:t>56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021E3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71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4F5499">
              <w:rPr>
                <w:color w:val="000000"/>
                <w:sz w:val="16"/>
                <w:szCs w:val="16"/>
              </w:rPr>
              <w:t>55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F5499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910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66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90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A47D9" w:rsidRPr="006175D3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6175D3">
              <w:rPr>
                <w:color w:val="000000"/>
                <w:sz w:val="16"/>
                <w:szCs w:val="16"/>
              </w:rPr>
              <w:t>61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175D3">
              <w:rPr>
                <w:color w:val="000000"/>
                <w:sz w:val="16"/>
                <w:szCs w:val="16"/>
              </w:rPr>
              <w:t>045</w:t>
            </w:r>
          </w:p>
        </w:tc>
        <w:tc>
          <w:tcPr>
            <w:tcW w:w="90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66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855" w:type="dxa"/>
            <w:tcBorders>
              <w:bottom w:val="single" w:sz="6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A47D9" w:rsidRPr="000A47D9" w:rsidRDefault="000A47D9" w:rsidP="009035CA">
            <w:pPr>
              <w:jc w:val="right"/>
              <w:rPr>
                <w:color w:val="000000"/>
                <w:sz w:val="16"/>
                <w:szCs w:val="16"/>
              </w:rPr>
            </w:pPr>
            <w:r w:rsidRPr="000A47D9">
              <w:rPr>
                <w:color w:val="000000"/>
                <w:sz w:val="16"/>
                <w:szCs w:val="16"/>
              </w:rPr>
              <w:t>60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A47D9">
              <w:rPr>
                <w:color w:val="000000"/>
                <w:sz w:val="16"/>
                <w:szCs w:val="16"/>
              </w:rPr>
              <w:t>721</w:t>
            </w:r>
          </w:p>
        </w:tc>
      </w:tr>
      <w:tr w:rsidR="000A47D9" w:rsidTr="009035CA">
        <w:trPr>
          <w:trHeight w:val="255"/>
          <w:jc w:val="center"/>
        </w:trPr>
        <w:tc>
          <w:tcPr>
            <w:tcW w:w="78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Průměr</w:t>
            </w:r>
          </w:p>
        </w:tc>
        <w:tc>
          <w:tcPr>
            <w:tcW w:w="663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10 099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12 273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15 463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0A47D9" w:rsidRDefault="000A47D9" w:rsidP="009035CA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17 644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0A47D9" w:rsidRPr="00B021E3" w:rsidRDefault="000A47D9" w:rsidP="009035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021E3">
              <w:rPr>
                <w:b/>
                <w:color w:val="000000"/>
                <w:sz w:val="16"/>
                <w:szCs w:val="16"/>
              </w:rPr>
              <w:t>19 502</w:t>
            </w:r>
          </w:p>
        </w:tc>
        <w:tc>
          <w:tcPr>
            <w:tcW w:w="71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0A47D9" w:rsidRPr="004F5499" w:rsidRDefault="000A47D9" w:rsidP="009035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F5499">
              <w:rPr>
                <w:b/>
                <w:color w:val="000000"/>
                <w:sz w:val="16"/>
                <w:szCs w:val="16"/>
              </w:rPr>
              <w:t>21 738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0A47D9" w:rsidRPr="001711A0" w:rsidRDefault="000A47D9" w:rsidP="009035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711A0">
              <w:rPr>
                <w:b/>
                <w:color w:val="000000"/>
                <w:sz w:val="16"/>
                <w:szCs w:val="16"/>
              </w:rPr>
              <w:t>20 646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0A47D9" w:rsidRPr="001711A0" w:rsidRDefault="000A47D9" w:rsidP="009035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711A0">
              <w:rPr>
                <w:b/>
                <w:color w:val="000000"/>
                <w:sz w:val="16"/>
                <w:szCs w:val="16"/>
              </w:rPr>
              <w:t>22 427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0A47D9" w:rsidRPr="009035CA" w:rsidRDefault="000A47D9" w:rsidP="009035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035CA">
              <w:rPr>
                <w:b/>
                <w:color w:val="000000"/>
                <w:sz w:val="16"/>
                <w:szCs w:val="16"/>
              </w:rPr>
              <w:t>20 539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0A47D9" w:rsidRPr="009035CA" w:rsidRDefault="000A47D9" w:rsidP="009035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035CA">
              <w:rPr>
                <w:b/>
                <w:color w:val="000000"/>
                <w:sz w:val="16"/>
                <w:szCs w:val="16"/>
              </w:rPr>
              <w:t>22 414</w:t>
            </w:r>
          </w:p>
        </w:tc>
      </w:tr>
    </w:tbl>
    <w:p w:rsidR="006E2211" w:rsidRDefault="006E2211" w:rsidP="006E2211">
      <w:pPr>
        <w:pStyle w:val="Textvlastn"/>
        <w:rPr>
          <w:sz w:val="20"/>
        </w:rPr>
      </w:pPr>
    </w:p>
    <w:p w:rsidR="006E2211" w:rsidRPr="00C338D5" w:rsidRDefault="006E2211" w:rsidP="006E2211">
      <w:pPr>
        <w:jc w:val="both"/>
        <w:rPr>
          <w:rFonts w:ascii="Arial" w:hAnsi="Arial" w:cs="Arial"/>
        </w:rPr>
      </w:pPr>
      <w:r w:rsidRPr="00C338D5">
        <w:rPr>
          <w:rFonts w:ascii="Arial" w:hAnsi="Arial" w:cs="Arial"/>
          <w:sz w:val="20"/>
        </w:rPr>
        <w:t>Výdaje na jednoho pojištěnce se odlišují zejména v závislosti na věku a částečně i na pohlaví. Důvodem je čerpání velmi odlišné zdravotní péče u každé věkové skupiny. V roce 201</w:t>
      </w:r>
      <w:r w:rsidR="008B4A2D">
        <w:rPr>
          <w:rFonts w:ascii="Arial" w:hAnsi="Arial" w:cs="Arial"/>
          <w:sz w:val="20"/>
        </w:rPr>
        <w:t>2</w:t>
      </w:r>
      <w:r w:rsidRPr="00C338D5">
        <w:rPr>
          <w:rFonts w:ascii="Arial" w:hAnsi="Arial" w:cs="Arial"/>
          <w:sz w:val="20"/>
        </w:rPr>
        <w:t xml:space="preserve"> byly poměrně vysoké výdaje na jednoho pojištěnce vykazovány ve skupině 00 - 04 let, pak jejich hodnota klesala až</w:t>
      </w:r>
    </w:p>
    <w:p w:rsidR="006E2211" w:rsidRDefault="006E2211" w:rsidP="008B4A2D">
      <w:pPr>
        <w:pStyle w:val="Textvlastn"/>
        <w:spacing w:before="0"/>
        <w:rPr>
          <w:sz w:val="20"/>
        </w:rPr>
      </w:pPr>
      <w:r>
        <w:rPr>
          <w:sz w:val="20"/>
        </w:rPr>
        <w:t xml:space="preserve">na 7 </w:t>
      </w:r>
      <w:r w:rsidR="008B4A2D">
        <w:rPr>
          <w:sz w:val="20"/>
        </w:rPr>
        <w:t>887</w:t>
      </w:r>
      <w:r>
        <w:rPr>
          <w:sz w:val="20"/>
        </w:rPr>
        <w:t xml:space="preserve"> Kč u mužů (20–24 let) resp. 8 </w:t>
      </w:r>
      <w:r w:rsidR="008B4A2D">
        <w:rPr>
          <w:sz w:val="20"/>
        </w:rPr>
        <w:t>623</w:t>
      </w:r>
      <w:r>
        <w:rPr>
          <w:sz w:val="20"/>
        </w:rPr>
        <w:t xml:space="preserve"> Kč u žen (05 - 09 let). Následně se výdaje zdravotní péči zvyšovaly s narůstajícím věkem. Tuto situaci přehledně zachycuje graf 3.3a.</w:t>
      </w:r>
    </w:p>
    <w:p w:rsidR="006E2211" w:rsidRDefault="006E2211" w:rsidP="006E2211">
      <w:pPr>
        <w:pStyle w:val="Textvlastn"/>
        <w:spacing w:before="0"/>
        <w:rPr>
          <w:rFonts w:cs="Arial"/>
          <w:sz w:val="20"/>
          <w:szCs w:val="16"/>
        </w:rPr>
      </w:pPr>
      <w:r>
        <w:rPr>
          <w:rFonts w:cs="Arial"/>
          <w:sz w:val="20"/>
        </w:rPr>
        <w:lastRenderedPageBreak/>
        <w:t>Celkově byly v roce 201</w:t>
      </w:r>
      <w:r w:rsidR="008B4A2D">
        <w:rPr>
          <w:rFonts w:cs="Arial"/>
          <w:sz w:val="20"/>
        </w:rPr>
        <w:t>2</w:t>
      </w:r>
      <w:r>
        <w:rPr>
          <w:rFonts w:cs="Arial"/>
          <w:sz w:val="20"/>
        </w:rPr>
        <w:t xml:space="preserve"> průměrné výdaje na jednu ženu (22 4</w:t>
      </w:r>
      <w:r w:rsidR="008B4A2D">
        <w:rPr>
          <w:rFonts w:cs="Arial"/>
          <w:sz w:val="20"/>
        </w:rPr>
        <w:t>14</w:t>
      </w:r>
      <w:r>
        <w:rPr>
          <w:rFonts w:cs="Arial"/>
          <w:sz w:val="20"/>
        </w:rPr>
        <w:t xml:space="preserve"> Kč) o 9% vyšší než průměrné výdaje na jednoho muže (20 </w:t>
      </w:r>
      <w:r w:rsidR="008B4A2D">
        <w:rPr>
          <w:rFonts w:cs="Arial"/>
          <w:sz w:val="20"/>
        </w:rPr>
        <w:t>539</w:t>
      </w:r>
      <w:r>
        <w:rPr>
          <w:rFonts w:cs="Arial"/>
          <w:sz w:val="20"/>
        </w:rPr>
        <w:t xml:space="preserve"> Kč). </w:t>
      </w:r>
      <w:r w:rsidR="0055267C">
        <w:rPr>
          <w:rFonts w:cs="Arial"/>
          <w:sz w:val="20"/>
        </w:rPr>
        <w:t xml:space="preserve">Časem se tento rozdíl snižuje; v roce 2000 činil 21,5% </w:t>
      </w:r>
      <w:r w:rsidR="00C672B5">
        <w:rPr>
          <w:rFonts w:cs="Arial"/>
          <w:sz w:val="20"/>
        </w:rPr>
        <w:t>a o pět let později 14,1%,</w:t>
      </w:r>
    </w:p>
    <w:p w:rsidR="006E2211" w:rsidRDefault="006E2211" w:rsidP="006E2211"/>
    <w:p w:rsidR="006E2211" w:rsidRDefault="006E2211" w:rsidP="006E2211">
      <w:pPr>
        <w:pStyle w:val="Textvlastn"/>
        <w:jc w:val="center"/>
        <w:rPr>
          <w:b/>
          <w:bCs/>
          <w:szCs w:val="17"/>
        </w:rPr>
      </w:pPr>
      <w:r>
        <w:rPr>
          <w:b/>
          <w:bCs/>
          <w:sz w:val="20"/>
        </w:rPr>
        <w:t>Graf 3.3a :</w:t>
      </w:r>
      <w:r>
        <w:rPr>
          <w:b/>
          <w:bCs/>
          <w:szCs w:val="17"/>
        </w:rPr>
        <w:t xml:space="preserve"> Průměrné výdaje na zdravotní péči podle věku a pohlaví v roce 201</w:t>
      </w:r>
      <w:r w:rsidR="009035CA">
        <w:rPr>
          <w:b/>
          <w:bCs/>
          <w:szCs w:val="17"/>
        </w:rPr>
        <w:t>2</w:t>
      </w:r>
      <w:r>
        <w:rPr>
          <w:b/>
          <w:bCs/>
          <w:szCs w:val="17"/>
        </w:rPr>
        <w:t xml:space="preserve"> (v Kč)</w:t>
      </w:r>
    </w:p>
    <w:p w:rsidR="009035CA" w:rsidRDefault="009035CA" w:rsidP="006E2211">
      <w:pPr>
        <w:pStyle w:val="Textvlastn"/>
        <w:jc w:val="center"/>
        <w:rPr>
          <w:b/>
          <w:bCs/>
          <w:szCs w:val="17"/>
        </w:rPr>
      </w:pPr>
      <w:r w:rsidRPr="009035CA">
        <w:rPr>
          <w:b/>
          <w:bCs/>
          <w:noProof/>
          <w:szCs w:val="17"/>
        </w:rPr>
        <w:drawing>
          <wp:inline distT="0" distB="0" distL="0" distR="0">
            <wp:extent cx="5734050" cy="27432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35CA" w:rsidRDefault="009035CA" w:rsidP="006E2211">
      <w:pPr>
        <w:pStyle w:val="Textvlastn"/>
        <w:jc w:val="center"/>
        <w:rPr>
          <w:b/>
          <w:bCs/>
          <w:szCs w:val="17"/>
        </w:rPr>
      </w:pPr>
    </w:p>
    <w:p w:rsidR="006E2211" w:rsidRDefault="006E2211" w:rsidP="006E2211">
      <w:pPr>
        <w:pStyle w:val="Textvlastn"/>
        <w:rPr>
          <w:rFonts w:cs="Arial"/>
          <w:sz w:val="20"/>
        </w:rPr>
      </w:pPr>
      <w:r>
        <w:rPr>
          <w:rFonts w:cs="Arial"/>
          <w:sz w:val="20"/>
        </w:rPr>
        <w:t>Od roku 2000 vzrostly průměrné výdaje na jednoho pojištěnce</w:t>
      </w:r>
      <w:r w:rsidR="001D246B">
        <w:rPr>
          <w:rFonts w:cs="Arial"/>
          <w:sz w:val="20"/>
        </w:rPr>
        <w:t xml:space="preserve"> - muže</w:t>
      </w:r>
      <w:r>
        <w:rPr>
          <w:rFonts w:cs="Arial"/>
          <w:sz w:val="20"/>
        </w:rPr>
        <w:t xml:space="preserve"> o 10</w:t>
      </w:r>
      <w:r w:rsidR="00FC5AE8">
        <w:rPr>
          <w:rFonts w:cs="Arial"/>
          <w:sz w:val="20"/>
        </w:rPr>
        <w:t>3</w:t>
      </w:r>
      <w:r>
        <w:rPr>
          <w:rFonts w:cs="Arial"/>
          <w:sz w:val="20"/>
        </w:rPr>
        <w:t xml:space="preserve">% a </w:t>
      </w:r>
      <w:r w:rsidR="001D246B">
        <w:rPr>
          <w:rFonts w:cs="Arial"/>
          <w:sz w:val="20"/>
        </w:rPr>
        <w:t xml:space="preserve">na jednu ženu </w:t>
      </w:r>
      <w:r>
        <w:rPr>
          <w:rFonts w:cs="Arial"/>
          <w:sz w:val="20"/>
        </w:rPr>
        <w:t xml:space="preserve">o </w:t>
      </w:r>
      <w:r w:rsidR="00FC5AE8">
        <w:rPr>
          <w:rFonts w:cs="Arial"/>
          <w:sz w:val="20"/>
        </w:rPr>
        <w:t>83</w:t>
      </w:r>
      <w:r>
        <w:rPr>
          <w:rFonts w:cs="Arial"/>
          <w:sz w:val="20"/>
        </w:rPr>
        <w:t xml:space="preserve">%. Největší nárůst výdajů byl zaznamenán u obou pohlaví ve skupině 85 a více let. Naopak nejméně vzrostly výdaje ve věkové skupině </w:t>
      </w:r>
      <w:r w:rsidR="00FC5AE8">
        <w:rPr>
          <w:rFonts w:cs="Arial"/>
          <w:sz w:val="20"/>
        </w:rPr>
        <w:t xml:space="preserve">00-04 let </w:t>
      </w:r>
      <w:r w:rsidR="001D246B">
        <w:rPr>
          <w:rFonts w:cs="Arial"/>
          <w:sz w:val="20"/>
        </w:rPr>
        <w:t>(</w:t>
      </w:r>
      <w:r w:rsidR="00FC5AE8">
        <w:rPr>
          <w:rFonts w:cs="Arial"/>
          <w:sz w:val="20"/>
        </w:rPr>
        <w:t>muž</w:t>
      </w:r>
      <w:r w:rsidR="001D246B">
        <w:rPr>
          <w:rFonts w:cs="Arial"/>
          <w:sz w:val="20"/>
        </w:rPr>
        <w:t>i)</w:t>
      </w:r>
      <w:r w:rsidR="00FC5AE8">
        <w:rPr>
          <w:rFonts w:cs="Arial"/>
          <w:sz w:val="20"/>
        </w:rPr>
        <w:t xml:space="preserve"> a </w:t>
      </w:r>
      <w:r w:rsidR="003F71F7">
        <w:rPr>
          <w:rFonts w:cs="Arial"/>
          <w:sz w:val="20"/>
        </w:rPr>
        <w:t>50-54 let</w:t>
      </w:r>
      <w:r w:rsidR="001D246B">
        <w:rPr>
          <w:rFonts w:cs="Arial"/>
          <w:sz w:val="20"/>
        </w:rPr>
        <w:t xml:space="preserve"> (ženy)</w:t>
      </w:r>
      <w:r w:rsidR="003F71F7">
        <w:rPr>
          <w:rFonts w:cs="Arial"/>
          <w:sz w:val="20"/>
        </w:rPr>
        <w:t>.</w:t>
      </w:r>
    </w:p>
    <w:p w:rsidR="006E2211" w:rsidRDefault="006E2211" w:rsidP="006E2211">
      <w:pPr>
        <w:pStyle w:val="Textvlastn"/>
        <w:rPr>
          <w:rFonts w:cs="Arial"/>
          <w:sz w:val="20"/>
        </w:rPr>
      </w:pPr>
    </w:p>
    <w:p w:rsidR="006E2211" w:rsidRPr="00BE4EE6" w:rsidRDefault="006E2211" w:rsidP="006E2211">
      <w:pPr>
        <w:pStyle w:val="Textvlastn"/>
        <w:jc w:val="center"/>
        <w:rPr>
          <w:b/>
          <w:bCs/>
        </w:rPr>
      </w:pPr>
      <w:r>
        <w:rPr>
          <w:b/>
          <w:bCs/>
        </w:rPr>
        <w:t xml:space="preserve">Graf 3.3b: Porovnání výdajů na jednoho muže v letech 2000 a </w:t>
      </w:r>
      <w:r w:rsidR="009035CA">
        <w:rPr>
          <w:b/>
          <w:bCs/>
        </w:rPr>
        <w:t>2012</w:t>
      </w:r>
    </w:p>
    <w:p w:rsidR="006E2211" w:rsidRDefault="006E2211" w:rsidP="006E2211"/>
    <w:p w:rsidR="006E2211" w:rsidRDefault="009035CA" w:rsidP="006E2211">
      <w:r w:rsidRPr="009035CA">
        <w:rPr>
          <w:noProof/>
        </w:rPr>
        <w:drawing>
          <wp:inline distT="0" distB="0" distL="0" distR="0">
            <wp:extent cx="5762625" cy="287655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2211" w:rsidRDefault="006E2211" w:rsidP="006E2211"/>
    <w:p w:rsidR="006E2211" w:rsidRDefault="006E2211" w:rsidP="006E2211"/>
    <w:p w:rsidR="006E2211" w:rsidRDefault="006E2211" w:rsidP="006E2211"/>
    <w:p w:rsidR="006E2211" w:rsidRDefault="006E2211" w:rsidP="006E2211"/>
    <w:p w:rsidR="006E2211" w:rsidRDefault="006E2211" w:rsidP="006E2211"/>
    <w:p w:rsidR="003F71F7" w:rsidRDefault="003F71F7" w:rsidP="006E2211">
      <w:pPr>
        <w:pStyle w:val="Textvlastn"/>
        <w:jc w:val="center"/>
        <w:rPr>
          <w:b/>
          <w:bCs/>
        </w:rPr>
      </w:pPr>
    </w:p>
    <w:p w:rsidR="006E2211" w:rsidRDefault="006E2211" w:rsidP="006E2211">
      <w:pPr>
        <w:pStyle w:val="Textvlastn"/>
        <w:jc w:val="center"/>
        <w:rPr>
          <w:b/>
          <w:bCs/>
        </w:rPr>
      </w:pPr>
      <w:r>
        <w:rPr>
          <w:b/>
          <w:bCs/>
        </w:rPr>
        <w:t>Graf 3.3c: Porovnání výdajů na jednu ženu v letech 2000 a 201</w:t>
      </w:r>
      <w:r w:rsidR="00B44BB2">
        <w:rPr>
          <w:b/>
          <w:bCs/>
        </w:rPr>
        <w:t>2</w:t>
      </w:r>
    </w:p>
    <w:p w:rsidR="00B44BB2" w:rsidRDefault="00B44BB2" w:rsidP="006E2211">
      <w:pPr>
        <w:pStyle w:val="Textvlastn"/>
        <w:jc w:val="center"/>
        <w:rPr>
          <w:b/>
          <w:bCs/>
        </w:rPr>
      </w:pPr>
      <w:r w:rsidRPr="00B44BB2">
        <w:rPr>
          <w:b/>
          <w:bCs/>
          <w:noProof/>
        </w:rPr>
        <w:drawing>
          <wp:inline distT="0" distB="0" distL="0" distR="0">
            <wp:extent cx="5760720" cy="2663061"/>
            <wp:effectExtent l="0" t="0" r="0" b="0"/>
            <wp:docPr id="10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4BB2" w:rsidRDefault="00B44BB2" w:rsidP="006E2211">
      <w:pPr>
        <w:pStyle w:val="Textvlastn"/>
        <w:jc w:val="center"/>
        <w:rPr>
          <w:b/>
          <w:bCs/>
        </w:rPr>
      </w:pPr>
    </w:p>
    <w:p w:rsidR="006E2211" w:rsidRPr="00C36CA0" w:rsidRDefault="006E2211" w:rsidP="006E2211">
      <w:pPr>
        <w:pStyle w:val="Textvlastn"/>
        <w:rPr>
          <w:bCs/>
          <w:sz w:val="20"/>
        </w:rPr>
      </w:pPr>
      <w:r w:rsidRPr="00C36CA0">
        <w:rPr>
          <w:bCs/>
          <w:sz w:val="20"/>
        </w:rPr>
        <w:t>Výdaje jsou samozřejmě uváděny v běžných cenách a proto se na ro</w:t>
      </w:r>
      <w:r w:rsidR="001D246B">
        <w:rPr>
          <w:bCs/>
          <w:sz w:val="20"/>
        </w:rPr>
        <w:t>zdílu výdajů (přírůstků) podílejí.</w:t>
      </w:r>
      <w:r w:rsidRPr="00C36CA0">
        <w:rPr>
          <w:bCs/>
          <w:sz w:val="20"/>
        </w:rPr>
        <w:t xml:space="preserve">spolu se změnou rozsahu a kvality zdravotní péče také cenové pohyby.  </w:t>
      </w: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p w:rsidR="006E2211" w:rsidRDefault="006E2211" w:rsidP="006E2211">
      <w:pPr>
        <w:ind w:firstLine="708"/>
      </w:pPr>
    </w:p>
    <w:sectPr w:rsidR="006E2211" w:rsidSect="006E2211">
      <w:footerReference w:type="default" r:id="rId13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343" w:rsidRDefault="00772343" w:rsidP="006E2211">
      <w:r>
        <w:separator/>
      </w:r>
    </w:p>
  </w:endnote>
  <w:endnote w:type="continuationSeparator" w:id="1">
    <w:p w:rsidR="00772343" w:rsidRDefault="00772343" w:rsidP="006E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0688"/>
      <w:docPartObj>
        <w:docPartGallery w:val="Page Numbers (Bottom of Page)"/>
        <w:docPartUnique/>
      </w:docPartObj>
    </w:sdtPr>
    <w:sdtEndPr>
      <w:rPr>
        <w:rFonts w:ascii="Arial" w:hAnsi="Arial"/>
        <w:sz w:val="18"/>
      </w:rPr>
    </w:sdtEndPr>
    <w:sdtContent>
      <w:p w:rsidR="00DF7D50" w:rsidRPr="006E2211" w:rsidRDefault="00DF7D50">
        <w:pPr>
          <w:pStyle w:val="Zpat"/>
          <w:jc w:val="center"/>
          <w:rPr>
            <w:rFonts w:ascii="Arial" w:hAnsi="Arial"/>
            <w:sz w:val="18"/>
          </w:rPr>
        </w:pPr>
        <w:r w:rsidRPr="006E2211">
          <w:rPr>
            <w:rFonts w:ascii="Arial" w:hAnsi="Arial"/>
            <w:sz w:val="18"/>
          </w:rPr>
          <w:fldChar w:fldCharType="begin"/>
        </w:r>
        <w:r w:rsidRPr="006E2211">
          <w:rPr>
            <w:rFonts w:ascii="Arial" w:hAnsi="Arial"/>
            <w:sz w:val="18"/>
          </w:rPr>
          <w:instrText xml:space="preserve"> PAGE   \* MERGEFORMAT </w:instrText>
        </w:r>
        <w:r w:rsidRPr="006E2211">
          <w:rPr>
            <w:rFonts w:ascii="Arial" w:hAnsi="Arial"/>
            <w:sz w:val="18"/>
          </w:rPr>
          <w:fldChar w:fldCharType="separate"/>
        </w:r>
        <w:r w:rsidR="001D246B">
          <w:rPr>
            <w:rFonts w:ascii="Arial" w:hAnsi="Arial"/>
            <w:noProof/>
            <w:sz w:val="18"/>
          </w:rPr>
          <w:t>20</w:t>
        </w:r>
        <w:r w:rsidRPr="006E2211">
          <w:rPr>
            <w:rFonts w:ascii="Arial" w:hAnsi="Arial"/>
            <w:sz w:val="18"/>
          </w:rPr>
          <w:fldChar w:fldCharType="end"/>
        </w:r>
      </w:p>
    </w:sdtContent>
  </w:sdt>
  <w:p w:rsidR="00DF7D50" w:rsidRDefault="00DF7D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343" w:rsidRDefault="00772343" w:rsidP="006E2211">
      <w:r>
        <w:separator/>
      </w:r>
    </w:p>
  </w:footnote>
  <w:footnote w:type="continuationSeparator" w:id="1">
    <w:p w:rsidR="00772343" w:rsidRDefault="00772343" w:rsidP="006E2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A67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228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A8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FCF6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40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2E0D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8CC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E68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725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8A6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B1DC9"/>
    <w:multiLevelType w:val="hybridMultilevel"/>
    <w:tmpl w:val="67FA68B4"/>
    <w:lvl w:ilvl="0" w:tplc="2C0AD92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E8A7C">
      <w:numFmt w:val="none"/>
      <w:lvlText w:val=""/>
      <w:lvlJc w:val="left"/>
      <w:pPr>
        <w:tabs>
          <w:tab w:val="num" w:pos="360"/>
        </w:tabs>
      </w:pPr>
    </w:lvl>
    <w:lvl w:ilvl="2" w:tplc="2690D6EA">
      <w:numFmt w:val="none"/>
      <w:lvlText w:val=""/>
      <w:lvlJc w:val="left"/>
      <w:pPr>
        <w:tabs>
          <w:tab w:val="num" w:pos="360"/>
        </w:tabs>
      </w:pPr>
    </w:lvl>
    <w:lvl w:ilvl="3" w:tplc="8AC4E8AC">
      <w:numFmt w:val="none"/>
      <w:lvlText w:val=""/>
      <w:lvlJc w:val="left"/>
      <w:pPr>
        <w:tabs>
          <w:tab w:val="num" w:pos="360"/>
        </w:tabs>
      </w:pPr>
    </w:lvl>
    <w:lvl w:ilvl="4" w:tplc="CEAAF480">
      <w:numFmt w:val="none"/>
      <w:lvlText w:val=""/>
      <w:lvlJc w:val="left"/>
      <w:pPr>
        <w:tabs>
          <w:tab w:val="num" w:pos="360"/>
        </w:tabs>
      </w:pPr>
    </w:lvl>
    <w:lvl w:ilvl="5" w:tplc="55F2C0D4">
      <w:numFmt w:val="none"/>
      <w:lvlText w:val=""/>
      <w:lvlJc w:val="left"/>
      <w:pPr>
        <w:tabs>
          <w:tab w:val="num" w:pos="360"/>
        </w:tabs>
      </w:pPr>
    </w:lvl>
    <w:lvl w:ilvl="6" w:tplc="356E4E62">
      <w:numFmt w:val="none"/>
      <w:lvlText w:val=""/>
      <w:lvlJc w:val="left"/>
      <w:pPr>
        <w:tabs>
          <w:tab w:val="num" w:pos="360"/>
        </w:tabs>
      </w:pPr>
    </w:lvl>
    <w:lvl w:ilvl="7" w:tplc="6220DC1A">
      <w:numFmt w:val="none"/>
      <w:lvlText w:val=""/>
      <w:lvlJc w:val="left"/>
      <w:pPr>
        <w:tabs>
          <w:tab w:val="num" w:pos="360"/>
        </w:tabs>
      </w:pPr>
    </w:lvl>
    <w:lvl w:ilvl="8" w:tplc="81E223C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476467C"/>
    <w:multiLevelType w:val="hybridMultilevel"/>
    <w:tmpl w:val="385C84B4"/>
    <w:lvl w:ilvl="0" w:tplc="49BC0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6C5C28"/>
    <w:multiLevelType w:val="multilevel"/>
    <w:tmpl w:val="77580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099267FE"/>
    <w:multiLevelType w:val="hybridMultilevel"/>
    <w:tmpl w:val="60E4974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0955AE"/>
    <w:multiLevelType w:val="hybridMultilevel"/>
    <w:tmpl w:val="6B3C60E0"/>
    <w:lvl w:ilvl="0" w:tplc="0F54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20CC3C">
      <w:numFmt w:val="none"/>
      <w:lvlText w:val=""/>
      <w:lvlJc w:val="left"/>
      <w:pPr>
        <w:tabs>
          <w:tab w:val="num" w:pos="360"/>
        </w:tabs>
      </w:pPr>
    </w:lvl>
    <w:lvl w:ilvl="2" w:tplc="BA16928E">
      <w:numFmt w:val="none"/>
      <w:lvlText w:val=""/>
      <w:lvlJc w:val="left"/>
      <w:pPr>
        <w:tabs>
          <w:tab w:val="num" w:pos="360"/>
        </w:tabs>
      </w:pPr>
    </w:lvl>
    <w:lvl w:ilvl="3" w:tplc="F4363D4E">
      <w:numFmt w:val="none"/>
      <w:lvlText w:val=""/>
      <w:lvlJc w:val="left"/>
      <w:pPr>
        <w:tabs>
          <w:tab w:val="num" w:pos="360"/>
        </w:tabs>
      </w:pPr>
    </w:lvl>
    <w:lvl w:ilvl="4" w:tplc="6E4CC74A">
      <w:numFmt w:val="none"/>
      <w:lvlText w:val=""/>
      <w:lvlJc w:val="left"/>
      <w:pPr>
        <w:tabs>
          <w:tab w:val="num" w:pos="360"/>
        </w:tabs>
      </w:pPr>
    </w:lvl>
    <w:lvl w:ilvl="5" w:tplc="EAA2EA30">
      <w:numFmt w:val="none"/>
      <w:lvlText w:val=""/>
      <w:lvlJc w:val="left"/>
      <w:pPr>
        <w:tabs>
          <w:tab w:val="num" w:pos="360"/>
        </w:tabs>
      </w:pPr>
    </w:lvl>
    <w:lvl w:ilvl="6" w:tplc="D4A2E606">
      <w:numFmt w:val="none"/>
      <w:lvlText w:val=""/>
      <w:lvlJc w:val="left"/>
      <w:pPr>
        <w:tabs>
          <w:tab w:val="num" w:pos="360"/>
        </w:tabs>
      </w:pPr>
    </w:lvl>
    <w:lvl w:ilvl="7" w:tplc="155A7A5E">
      <w:numFmt w:val="none"/>
      <w:lvlText w:val=""/>
      <w:lvlJc w:val="left"/>
      <w:pPr>
        <w:tabs>
          <w:tab w:val="num" w:pos="360"/>
        </w:tabs>
      </w:pPr>
    </w:lvl>
    <w:lvl w:ilvl="8" w:tplc="F3023A6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0E767CCE"/>
    <w:multiLevelType w:val="multilevel"/>
    <w:tmpl w:val="BBB82A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F7167E"/>
    <w:multiLevelType w:val="hybridMultilevel"/>
    <w:tmpl w:val="61C64A2E"/>
    <w:lvl w:ilvl="0" w:tplc="4DA65BE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 w:tplc="57827550">
      <w:numFmt w:val="none"/>
      <w:lvlText w:val=""/>
      <w:lvlJc w:val="left"/>
      <w:pPr>
        <w:tabs>
          <w:tab w:val="num" w:pos="360"/>
        </w:tabs>
      </w:pPr>
    </w:lvl>
    <w:lvl w:ilvl="2" w:tplc="D99264F4">
      <w:numFmt w:val="none"/>
      <w:lvlText w:val=""/>
      <w:lvlJc w:val="left"/>
      <w:pPr>
        <w:tabs>
          <w:tab w:val="num" w:pos="360"/>
        </w:tabs>
      </w:pPr>
    </w:lvl>
    <w:lvl w:ilvl="3" w:tplc="80BC1474">
      <w:numFmt w:val="none"/>
      <w:lvlText w:val=""/>
      <w:lvlJc w:val="left"/>
      <w:pPr>
        <w:tabs>
          <w:tab w:val="num" w:pos="360"/>
        </w:tabs>
      </w:pPr>
    </w:lvl>
    <w:lvl w:ilvl="4" w:tplc="0BA64C98">
      <w:numFmt w:val="none"/>
      <w:lvlText w:val=""/>
      <w:lvlJc w:val="left"/>
      <w:pPr>
        <w:tabs>
          <w:tab w:val="num" w:pos="360"/>
        </w:tabs>
      </w:pPr>
    </w:lvl>
    <w:lvl w:ilvl="5" w:tplc="D54A0AA6">
      <w:numFmt w:val="none"/>
      <w:lvlText w:val=""/>
      <w:lvlJc w:val="left"/>
      <w:pPr>
        <w:tabs>
          <w:tab w:val="num" w:pos="360"/>
        </w:tabs>
      </w:pPr>
    </w:lvl>
    <w:lvl w:ilvl="6" w:tplc="CE8430E2">
      <w:numFmt w:val="none"/>
      <w:lvlText w:val=""/>
      <w:lvlJc w:val="left"/>
      <w:pPr>
        <w:tabs>
          <w:tab w:val="num" w:pos="360"/>
        </w:tabs>
      </w:pPr>
    </w:lvl>
    <w:lvl w:ilvl="7" w:tplc="9426ED52">
      <w:numFmt w:val="none"/>
      <w:lvlText w:val=""/>
      <w:lvlJc w:val="left"/>
      <w:pPr>
        <w:tabs>
          <w:tab w:val="num" w:pos="360"/>
        </w:tabs>
      </w:pPr>
    </w:lvl>
    <w:lvl w:ilvl="8" w:tplc="03226C4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18342B79"/>
    <w:multiLevelType w:val="hybridMultilevel"/>
    <w:tmpl w:val="57FE17DA"/>
    <w:lvl w:ilvl="0" w:tplc="16728D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E7221D"/>
    <w:multiLevelType w:val="multilevel"/>
    <w:tmpl w:val="00D8D1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0710B0"/>
    <w:multiLevelType w:val="multilevel"/>
    <w:tmpl w:val="EB0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22A13180"/>
    <w:multiLevelType w:val="multilevel"/>
    <w:tmpl w:val="3C54E4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22FC50B9"/>
    <w:multiLevelType w:val="multilevel"/>
    <w:tmpl w:val="A3428F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253DCF"/>
    <w:multiLevelType w:val="hybridMultilevel"/>
    <w:tmpl w:val="C7360314"/>
    <w:lvl w:ilvl="0" w:tplc="267E35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681C8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CE6780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046265"/>
    <w:multiLevelType w:val="multilevel"/>
    <w:tmpl w:val="74B499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6DE16D3"/>
    <w:multiLevelType w:val="multilevel"/>
    <w:tmpl w:val="B97C7A7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36EB02A6"/>
    <w:multiLevelType w:val="multilevel"/>
    <w:tmpl w:val="D6760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39E4207C"/>
    <w:multiLevelType w:val="hybridMultilevel"/>
    <w:tmpl w:val="E37231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EE31F7"/>
    <w:multiLevelType w:val="multilevel"/>
    <w:tmpl w:val="1DF0E336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2322D3E"/>
    <w:multiLevelType w:val="hybridMultilevel"/>
    <w:tmpl w:val="5C98965E"/>
    <w:lvl w:ilvl="0" w:tplc="1A9079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455F2D"/>
    <w:multiLevelType w:val="hybridMultilevel"/>
    <w:tmpl w:val="0F3A82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Roman"/>
      <w:lvlText w:val="%2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374F00"/>
    <w:multiLevelType w:val="multilevel"/>
    <w:tmpl w:val="F91EB52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521120B8"/>
    <w:multiLevelType w:val="hybridMultilevel"/>
    <w:tmpl w:val="507027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4716A1"/>
    <w:multiLevelType w:val="hybridMultilevel"/>
    <w:tmpl w:val="9CBC517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77050D"/>
    <w:multiLevelType w:val="hybridMultilevel"/>
    <w:tmpl w:val="A798EF88"/>
    <w:lvl w:ilvl="0" w:tplc="DC1E12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8E3EA">
      <w:numFmt w:val="none"/>
      <w:lvlText w:val=""/>
      <w:lvlJc w:val="left"/>
      <w:pPr>
        <w:tabs>
          <w:tab w:val="num" w:pos="360"/>
        </w:tabs>
      </w:pPr>
    </w:lvl>
    <w:lvl w:ilvl="2" w:tplc="25D6CB34">
      <w:numFmt w:val="none"/>
      <w:lvlText w:val=""/>
      <w:lvlJc w:val="left"/>
      <w:pPr>
        <w:tabs>
          <w:tab w:val="num" w:pos="360"/>
        </w:tabs>
      </w:pPr>
    </w:lvl>
    <w:lvl w:ilvl="3" w:tplc="05D4DBAC">
      <w:numFmt w:val="none"/>
      <w:lvlText w:val=""/>
      <w:lvlJc w:val="left"/>
      <w:pPr>
        <w:tabs>
          <w:tab w:val="num" w:pos="360"/>
        </w:tabs>
      </w:pPr>
    </w:lvl>
    <w:lvl w:ilvl="4" w:tplc="FC062514">
      <w:numFmt w:val="none"/>
      <w:lvlText w:val=""/>
      <w:lvlJc w:val="left"/>
      <w:pPr>
        <w:tabs>
          <w:tab w:val="num" w:pos="360"/>
        </w:tabs>
      </w:pPr>
    </w:lvl>
    <w:lvl w:ilvl="5" w:tplc="F2C6200C">
      <w:numFmt w:val="none"/>
      <w:lvlText w:val=""/>
      <w:lvlJc w:val="left"/>
      <w:pPr>
        <w:tabs>
          <w:tab w:val="num" w:pos="360"/>
        </w:tabs>
      </w:pPr>
    </w:lvl>
    <w:lvl w:ilvl="6" w:tplc="B4C45714">
      <w:numFmt w:val="none"/>
      <w:lvlText w:val=""/>
      <w:lvlJc w:val="left"/>
      <w:pPr>
        <w:tabs>
          <w:tab w:val="num" w:pos="360"/>
        </w:tabs>
      </w:pPr>
    </w:lvl>
    <w:lvl w:ilvl="7" w:tplc="1CCC3900">
      <w:numFmt w:val="none"/>
      <w:lvlText w:val=""/>
      <w:lvlJc w:val="left"/>
      <w:pPr>
        <w:tabs>
          <w:tab w:val="num" w:pos="360"/>
        </w:tabs>
      </w:pPr>
    </w:lvl>
    <w:lvl w:ilvl="8" w:tplc="3064CBE2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5E9831AB"/>
    <w:multiLevelType w:val="multilevel"/>
    <w:tmpl w:val="FED60EF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1471D22"/>
    <w:multiLevelType w:val="hybridMultilevel"/>
    <w:tmpl w:val="96CA3A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78541B"/>
    <w:multiLevelType w:val="hybridMultilevel"/>
    <w:tmpl w:val="CAC0A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D3C99"/>
    <w:multiLevelType w:val="hybridMultilevel"/>
    <w:tmpl w:val="E500EEC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785B94"/>
    <w:multiLevelType w:val="hybridMultilevel"/>
    <w:tmpl w:val="E320C5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76B841B2"/>
    <w:multiLevelType w:val="multilevel"/>
    <w:tmpl w:val="F3B4088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A9B68A7"/>
    <w:multiLevelType w:val="multilevel"/>
    <w:tmpl w:val="5B3A29B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D1438C3"/>
    <w:multiLevelType w:val="hybridMultilevel"/>
    <w:tmpl w:val="A128E4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C12D09"/>
    <w:multiLevelType w:val="multilevel"/>
    <w:tmpl w:val="E372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C54CAD"/>
    <w:multiLevelType w:val="hybridMultilevel"/>
    <w:tmpl w:val="9A541C3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5"/>
  </w:num>
  <w:num w:numId="4">
    <w:abstractNumId w:val="38"/>
  </w:num>
  <w:num w:numId="5">
    <w:abstractNumId w:val="34"/>
  </w:num>
  <w:num w:numId="6">
    <w:abstractNumId w:val="14"/>
  </w:num>
  <w:num w:numId="7">
    <w:abstractNumId w:val="34"/>
    <w:lvlOverride w:ilvl="0">
      <w:startOverride w:val="2"/>
    </w:lvlOverride>
  </w:num>
  <w:num w:numId="8">
    <w:abstractNumId w:val="32"/>
  </w:num>
  <w:num w:numId="9">
    <w:abstractNumId w:val="39"/>
  </w:num>
  <w:num w:numId="10">
    <w:abstractNumId w:val="30"/>
  </w:num>
  <w:num w:numId="11">
    <w:abstractNumId w:val="18"/>
  </w:num>
  <w:num w:numId="12">
    <w:abstractNumId w:val="15"/>
  </w:num>
  <w:num w:numId="13">
    <w:abstractNumId w:val="22"/>
  </w:num>
  <w:num w:numId="14">
    <w:abstractNumId w:val="27"/>
  </w:num>
  <w:num w:numId="15">
    <w:abstractNumId w:val="44"/>
  </w:num>
  <w:num w:numId="16">
    <w:abstractNumId w:val="45"/>
  </w:num>
  <w:num w:numId="17">
    <w:abstractNumId w:val="33"/>
  </w:num>
  <w:num w:numId="18">
    <w:abstractNumId w:val="43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2"/>
  </w:num>
  <w:num w:numId="30">
    <w:abstractNumId w:val="31"/>
  </w:num>
  <w:num w:numId="31">
    <w:abstractNumId w:val="26"/>
  </w:num>
  <w:num w:numId="32">
    <w:abstractNumId w:val="20"/>
  </w:num>
  <w:num w:numId="33">
    <w:abstractNumId w:val="10"/>
  </w:num>
  <w:num w:numId="34">
    <w:abstractNumId w:val="13"/>
  </w:num>
  <w:num w:numId="35">
    <w:abstractNumId w:val="41"/>
  </w:num>
  <w:num w:numId="36">
    <w:abstractNumId w:val="28"/>
  </w:num>
  <w:num w:numId="37">
    <w:abstractNumId w:val="35"/>
  </w:num>
  <w:num w:numId="38">
    <w:abstractNumId w:val="17"/>
  </w:num>
  <w:num w:numId="39">
    <w:abstractNumId w:val="11"/>
  </w:num>
  <w:num w:numId="40">
    <w:abstractNumId w:val="36"/>
  </w:num>
  <w:num w:numId="41">
    <w:abstractNumId w:val="16"/>
  </w:num>
  <w:num w:numId="42">
    <w:abstractNumId w:val="40"/>
  </w:num>
  <w:num w:numId="43">
    <w:abstractNumId w:val="19"/>
  </w:num>
  <w:num w:numId="44">
    <w:abstractNumId w:val="42"/>
  </w:num>
  <w:num w:numId="45">
    <w:abstractNumId w:val="37"/>
  </w:num>
  <w:num w:numId="46">
    <w:abstractNumId w:val="24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211"/>
    <w:rsid w:val="000A47D9"/>
    <w:rsid w:val="001D246B"/>
    <w:rsid w:val="001D36A9"/>
    <w:rsid w:val="002068F4"/>
    <w:rsid w:val="00241F47"/>
    <w:rsid w:val="002F38D1"/>
    <w:rsid w:val="003A53EB"/>
    <w:rsid w:val="003F583E"/>
    <w:rsid w:val="003F71F7"/>
    <w:rsid w:val="00400B6F"/>
    <w:rsid w:val="00412AA6"/>
    <w:rsid w:val="00550747"/>
    <w:rsid w:val="0055267C"/>
    <w:rsid w:val="00580F5C"/>
    <w:rsid w:val="00592F35"/>
    <w:rsid w:val="005951BD"/>
    <w:rsid w:val="005F4BC9"/>
    <w:rsid w:val="006247F3"/>
    <w:rsid w:val="00666888"/>
    <w:rsid w:val="006811B8"/>
    <w:rsid w:val="006E2211"/>
    <w:rsid w:val="00772343"/>
    <w:rsid w:val="007D2D0C"/>
    <w:rsid w:val="00886532"/>
    <w:rsid w:val="008B4A2D"/>
    <w:rsid w:val="009035CA"/>
    <w:rsid w:val="00994CF1"/>
    <w:rsid w:val="009A02D6"/>
    <w:rsid w:val="009A6F8E"/>
    <w:rsid w:val="009C7D4D"/>
    <w:rsid w:val="009D48AA"/>
    <w:rsid w:val="00AC79B0"/>
    <w:rsid w:val="00B07C8E"/>
    <w:rsid w:val="00B44BB2"/>
    <w:rsid w:val="00C672B5"/>
    <w:rsid w:val="00C717F0"/>
    <w:rsid w:val="00CA7FC5"/>
    <w:rsid w:val="00CB5928"/>
    <w:rsid w:val="00D74951"/>
    <w:rsid w:val="00DF7D50"/>
    <w:rsid w:val="00E11150"/>
    <w:rsid w:val="00E24890"/>
    <w:rsid w:val="00E41E93"/>
    <w:rsid w:val="00E43D5C"/>
    <w:rsid w:val="00EA480E"/>
    <w:rsid w:val="00F46567"/>
    <w:rsid w:val="00F53324"/>
    <w:rsid w:val="00F8286B"/>
    <w:rsid w:val="00FA1CD7"/>
    <w:rsid w:val="00FC5AE8"/>
    <w:rsid w:val="00F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E2211"/>
    <w:pPr>
      <w:keepNext/>
      <w:jc w:val="center"/>
      <w:outlineLvl w:val="0"/>
    </w:pPr>
    <w:rPr>
      <w:rFonts w:ascii="Arial" w:hAnsi="Arial"/>
      <w:b/>
      <w:bCs/>
      <w:sz w:val="16"/>
      <w:szCs w:val="15"/>
    </w:rPr>
  </w:style>
  <w:style w:type="paragraph" w:styleId="Nadpis2">
    <w:name w:val="heading 2"/>
    <w:basedOn w:val="Normln"/>
    <w:next w:val="Normln"/>
    <w:link w:val="Nadpis2Char"/>
    <w:qFormat/>
    <w:rsid w:val="006E2211"/>
    <w:pPr>
      <w:keepNext/>
      <w:jc w:val="right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link w:val="Nadpis3Char"/>
    <w:qFormat/>
    <w:rsid w:val="006E2211"/>
    <w:pPr>
      <w:keepNext/>
      <w:spacing w:before="240" w:after="60"/>
      <w:jc w:val="both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qFormat/>
    <w:rsid w:val="006E2211"/>
    <w:pPr>
      <w:keepNext/>
      <w:jc w:val="center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paragraph" w:styleId="Nadpis5">
    <w:name w:val="heading 5"/>
    <w:basedOn w:val="Normln"/>
    <w:next w:val="Normln"/>
    <w:link w:val="Nadpis5Char"/>
    <w:qFormat/>
    <w:rsid w:val="006E2211"/>
    <w:pPr>
      <w:keepNext/>
      <w:jc w:val="center"/>
      <w:outlineLvl w:val="4"/>
    </w:pPr>
    <w:rPr>
      <w:rFonts w:ascii="Arial" w:hAnsi="Arial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6E2211"/>
    <w:pPr>
      <w:keepNext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2211"/>
    <w:rPr>
      <w:rFonts w:ascii="Arial" w:eastAsia="Times New Roman" w:hAnsi="Arial" w:cs="Times New Roman"/>
      <w:b/>
      <w:bCs/>
      <w:sz w:val="16"/>
      <w:szCs w:val="15"/>
      <w:lang w:eastAsia="cs-CZ"/>
    </w:rPr>
  </w:style>
  <w:style w:type="character" w:customStyle="1" w:styleId="Nadpis2Char">
    <w:name w:val="Nadpis 2 Char"/>
    <w:basedOn w:val="Standardnpsmoodstavce"/>
    <w:link w:val="Nadpis2"/>
    <w:rsid w:val="006E2211"/>
    <w:rPr>
      <w:rFonts w:ascii="Arial" w:eastAsia="Times New Roman" w:hAnsi="Arial" w:cs="Arial"/>
      <w:b/>
      <w:bCs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6E2211"/>
    <w:rPr>
      <w:rFonts w:ascii="Arial" w:eastAsia="Times New Roman" w:hAnsi="Arial" w:cs="Arial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E2211"/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rsid w:val="006E2211"/>
    <w:rPr>
      <w:rFonts w:ascii="Arial" w:eastAsia="Times New Roman" w:hAnsi="Arial" w:cs="Times New Roman"/>
      <w:b/>
      <w:bCs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rsid w:val="006E2211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paragraph" w:customStyle="1" w:styleId="Nadpisvlastn1">
    <w:name w:val="Nadpis vlastní 1"/>
    <w:basedOn w:val="Normln"/>
    <w:rsid w:val="006E2211"/>
    <w:pPr>
      <w:spacing w:after="360"/>
      <w:jc w:val="both"/>
    </w:pPr>
    <w:rPr>
      <w:rFonts w:ascii="Arial" w:hAnsi="Arial"/>
      <w:b/>
      <w:bCs/>
      <w:shadow/>
      <w:sz w:val="36"/>
      <w:szCs w:val="20"/>
    </w:rPr>
  </w:style>
  <w:style w:type="character" w:styleId="Znakapoznpodarou">
    <w:name w:val="footnote reference"/>
    <w:basedOn w:val="Standardnpsmoodstavce"/>
    <w:semiHidden/>
    <w:rsid w:val="006E2211"/>
    <w:rPr>
      <w:vertAlign w:val="superscript"/>
    </w:rPr>
  </w:style>
  <w:style w:type="paragraph" w:customStyle="1" w:styleId="Textvlastn">
    <w:name w:val="Text vlastní"/>
    <w:basedOn w:val="Normln"/>
    <w:rsid w:val="006E2211"/>
    <w:pPr>
      <w:spacing w:before="120"/>
      <w:jc w:val="both"/>
    </w:pPr>
    <w:rPr>
      <w:rFonts w:ascii="Arial" w:hAnsi="Arial"/>
      <w:sz w:val="18"/>
      <w:szCs w:val="20"/>
    </w:rPr>
  </w:style>
  <w:style w:type="paragraph" w:customStyle="1" w:styleId="Nadpisvlastn2">
    <w:name w:val="Nadpis vlastní 2"/>
    <w:basedOn w:val="Nadpisvlastn1"/>
    <w:rsid w:val="006E2211"/>
    <w:pPr>
      <w:spacing w:before="360" w:after="120"/>
    </w:pPr>
    <w:rPr>
      <w:sz w:val="28"/>
    </w:rPr>
  </w:style>
  <w:style w:type="paragraph" w:styleId="Textpoznpodarou">
    <w:name w:val="footnote text"/>
    <w:basedOn w:val="Normln"/>
    <w:link w:val="TextpoznpodarouChar"/>
    <w:semiHidden/>
    <w:rsid w:val="006E2211"/>
    <w:pPr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E2211"/>
    <w:rPr>
      <w:rFonts w:ascii="Arial" w:eastAsia="Times New Roman" w:hAnsi="Arial" w:cs="Times New Roman"/>
      <w:sz w:val="16"/>
      <w:szCs w:val="20"/>
      <w:lang w:eastAsia="cs-CZ"/>
    </w:rPr>
  </w:style>
  <w:style w:type="character" w:styleId="Hypertextovodkaz">
    <w:name w:val="Hyperlink"/>
    <w:basedOn w:val="Standardnpsmoodstavce"/>
    <w:semiHidden/>
    <w:rsid w:val="006E221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E22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2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E2211"/>
    <w:pPr>
      <w:jc w:val="center"/>
    </w:pPr>
    <w:rPr>
      <w:rFonts w:ascii="Arial" w:hAnsi="Arial"/>
      <w:b/>
      <w:sz w:val="20"/>
      <w:szCs w:val="20"/>
    </w:rPr>
  </w:style>
  <w:style w:type="character" w:customStyle="1" w:styleId="NzevChar">
    <w:name w:val="Název Char"/>
    <w:basedOn w:val="Standardnpsmoodstavce"/>
    <w:link w:val="Nzev"/>
    <w:rsid w:val="006E2211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E2211"/>
    <w:pPr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E22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">
    <w:name w:val="xl25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6E22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4">
    <w:name w:val="xl24"/>
    <w:basedOn w:val="Normln"/>
    <w:rsid w:val="006E2211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6E22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6E22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8">
    <w:name w:val="xl38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6E22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6E22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6E22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6">
    <w:name w:val="xl46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7">
    <w:name w:val="xl47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8">
    <w:name w:val="xl48"/>
    <w:basedOn w:val="Normln"/>
    <w:rsid w:val="006E22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50">
    <w:name w:val="xl50"/>
    <w:basedOn w:val="Normln"/>
    <w:rsid w:val="006E22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6E22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6E22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54">
    <w:name w:val="xl54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55">
    <w:name w:val="xl55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56">
    <w:name w:val="xl56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6E22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6E22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60">
    <w:name w:val="xl60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ln"/>
    <w:rsid w:val="006E22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ln"/>
    <w:rsid w:val="006E22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3">
    <w:name w:val="xl63"/>
    <w:basedOn w:val="Normln"/>
    <w:rsid w:val="006E22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4">
    <w:name w:val="xl64"/>
    <w:basedOn w:val="Normln"/>
    <w:rsid w:val="006E221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5">
    <w:name w:val="xl65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6">
    <w:name w:val="xl66"/>
    <w:basedOn w:val="Normln"/>
    <w:rsid w:val="006E22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7">
    <w:name w:val="xl67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ln"/>
    <w:rsid w:val="006E22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9">
    <w:name w:val="xl69"/>
    <w:basedOn w:val="Normln"/>
    <w:rsid w:val="006E22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0">
    <w:name w:val="xl70"/>
    <w:basedOn w:val="Normln"/>
    <w:rsid w:val="006E221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71">
    <w:name w:val="xl71"/>
    <w:basedOn w:val="Normln"/>
    <w:rsid w:val="006E221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72">
    <w:name w:val="xl72"/>
    <w:basedOn w:val="Normln"/>
    <w:rsid w:val="006E221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73">
    <w:name w:val="xl73"/>
    <w:basedOn w:val="Normln"/>
    <w:rsid w:val="006E221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74">
    <w:name w:val="xl74"/>
    <w:basedOn w:val="Normln"/>
    <w:rsid w:val="006E221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75">
    <w:name w:val="xl75"/>
    <w:basedOn w:val="Normln"/>
    <w:rsid w:val="006E22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6E22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77">
    <w:name w:val="xl77"/>
    <w:basedOn w:val="Normln"/>
    <w:rsid w:val="006E22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ln"/>
    <w:rsid w:val="006E22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character" w:styleId="slostrnky">
    <w:name w:val="page number"/>
    <w:basedOn w:val="Standardnpsmoodstavce"/>
    <w:semiHidden/>
    <w:rsid w:val="006E2211"/>
  </w:style>
  <w:style w:type="paragraph" w:styleId="Zkladntext">
    <w:name w:val="Body Text"/>
    <w:basedOn w:val="Normln"/>
    <w:link w:val="ZkladntextChar"/>
    <w:semiHidden/>
    <w:rsid w:val="006E221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6E22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6E2211"/>
  </w:style>
  <w:style w:type="paragraph" w:styleId="Obsah2">
    <w:name w:val="toc 2"/>
    <w:basedOn w:val="Normln"/>
    <w:next w:val="Normln"/>
    <w:autoRedefine/>
    <w:semiHidden/>
    <w:rsid w:val="006E2211"/>
    <w:pPr>
      <w:ind w:left="240"/>
    </w:pPr>
  </w:style>
  <w:style w:type="paragraph" w:styleId="Obsah3">
    <w:name w:val="toc 3"/>
    <w:basedOn w:val="Normln"/>
    <w:next w:val="Normln"/>
    <w:autoRedefine/>
    <w:semiHidden/>
    <w:rsid w:val="006E2211"/>
    <w:pPr>
      <w:ind w:left="480"/>
    </w:pPr>
  </w:style>
  <w:style w:type="paragraph" w:styleId="Obsah4">
    <w:name w:val="toc 4"/>
    <w:basedOn w:val="Normln"/>
    <w:next w:val="Normln"/>
    <w:autoRedefine/>
    <w:semiHidden/>
    <w:rsid w:val="006E2211"/>
    <w:pPr>
      <w:ind w:left="720"/>
    </w:pPr>
  </w:style>
  <w:style w:type="paragraph" w:styleId="Obsah5">
    <w:name w:val="toc 5"/>
    <w:basedOn w:val="Normln"/>
    <w:next w:val="Normln"/>
    <w:autoRedefine/>
    <w:semiHidden/>
    <w:rsid w:val="006E2211"/>
    <w:pPr>
      <w:ind w:left="960"/>
    </w:pPr>
  </w:style>
  <w:style w:type="paragraph" w:styleId="Obsah6">
    <w:name w:val="toc 6"/>
    <w:basedOn w:val="Normln"/>
    <w:next w:val="Normln"/>
    <w:autoRedefine/>
    <w:semiHidden/>
    <w:rsid w:val="006E2211"/>
    <w:pPr>
      <w:ind w:left="1200"/>
    </w:pPr>
  </w:style>
  <w:style w:type="paragraph" w:styleId="Obsah7">
    <w:name w:val="toc 7"/>
    <w:basedOn w:val="Normln"/>
    <w:next w:val="Normln"/>
    <w:autoRedefine/>
    <w:semiHidden/>
    <w:rsid w:val="006E2211"/>
    <w:pPr>
      <w:ind w:left="1440"/>
    </w:pPr>
  </w:style>
  <w:style w:type="paragraph" w:styleId="Obsah8">
    <w:name w:val="toc 8"/>
    <w:basedOn w:val="Normln"/>
    <w:next w:val="Normln"/>
    <w:autoRedefine/>
    <w:semiHidden/>
    <w:rsid w:val="006E2211"/>
    <w:pPr>
      <w:ind w:left="1680"/>
    </w:pPr>
  </w:style>
  <w:style w:type="paragraph" w:styleId="Obsah9">
    <w:name w:val="toc 9"/>
    <w:basedOn w:val="Normln"/>
    <w:next w:val="Normln"/>
    <w:autoRedefine/>
    <w:semiHidden/>
    <w:rsid w:val="006E2211"/>
    <w:pPr>
      <w:ind w:left="1920"/>
    </w:pPr>
  </w:style>
  <w:style w:type="paragraph" w:styleId="Zhlav">
    <w:name w:val="header"/>
    <w:basedOn w:val="Normln"/>
    <w:link w:val="ZhlavChar"/>
    <w:semiHidden/>
    <w:rsid w:val="006E22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E221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semiHidden/>
    <w:rsid w:val="006E2211"/>
    <w:rPr>
      <w:color w:val="800080"/>
      <w:u w:val="single"/>
    </w:rPr>
  </w:style>
  <w:style w:type="paragraph" w:customStyle="1" w:styleId="normalnsodrkami">
    <w:name w:val="normalní s odrážkami"/>
    <w:basedOn w:val="Normln"/>
    <w:rsid w:val="006E2211"/>
    <w:pPr>
      <w:numPr>
        <w:numId w:val="43"/>
      </w:numPr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semiHidden/>
    <w:rsid w:val="006E2211"/>
    <w:pPr>
      <w:jc w:val="both"/>
    </w:pPr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E2211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Default">
    <w:name w:val="Default"/>
    <w:rsid w:val="006E2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6E2211"/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6E2211"/>
    <w:rPr>
      <w:rFonts w:ascii="Arial" w:eastAsia="Times New Roman" w:hAnsi="Arial" w:cs="Arial"/>
      <w:sz w:val="20"/>
      <w:szCs w:val="24"/>
      <w:lang w:eastAsia="cs-CZ"/>
    </w:rPr>
  </w:style>
  <w:style w:type="paragraph" w:styleId="Textvysvtlivek">
    <w:name w:val="endnote text"/>
    <w:basedOn w:val="Normln"/>
    <w:link w:val="TextvysvtlivekChar"/>
    <w:semiHidden/>
    <w:rsid w:val="006E221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E22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rsid w:val="006E221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211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6E2211"/>
    <w:rPr>
      <w:b/>
      <w:bCs/>
    </w:rPr>
  </w:style>
  <w:style w:type="character" w:customStyle="1" w:styleId="longtext1">
    <w:name w:val="long_text1"/>
    <w:basedOn w:val="Standardnpsmoodstavce"/>
    <w:rsid w:val="006E221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HA%202013\Anal&#253;za%202014\Tabulky+grafy%20TKanal&#253;za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HA%202013\Anal&#253;za%202014\Tabulky+grafy%20TKanal&#253;za%2020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HA%202013\Anal&#253;za%202014\Tabulky+grafy%20TKanal&#253;za%20201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HA%202013\Anal&#253;za%202014\Tabulky+grafy%20TKanal&#253;za%20201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HA%202013\Anal&#253;za%202014\Tabulky+grafy%20TKanal&#253;za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bar"/>
        <c:grouping val="clustered"/>
        <c:ser>
          <c:idx val="0"/>
          <c:order val="0"/>
          <c:tx>
            <c:strRef>
              <c:f>'Slide 10'!$C$28</c:f>
              <c:strCache>
                <c:ptCount val="1"/>
                <c:pt idx="0">
                  <c:v>2000</c:v>
                </c:pt>
              </c:strCache>
            </c:strRef>
          </c:tx>
          <c:cat>
            <c:strRef>
              <c:f>'Slide 10'!$B$29:$B$49</c:f>
              <c:strCache>
                <c:ptCount val="21"/>
                <c:pt idx="0">
                  <c:v>Vnější příčiny nemocnosti a úmrtnosti</c:v>
                </c:pt>
                <c:pt idx="1">
                  <c:v>Vrozené vady a deformace</c:v>
                </c:pt>
                <c:pt idx="2">
                  <c:v>Nemoci ucha</c:v>
                </c:pt>
                <c:pt idx="3">
                  <c:v>Stavy vzniklé v perinatálním období</c:v>
                </c:pt>
                <c:pt idx="4">
                  <c:v>Nemoci krve a krvetvorných orgánů</c:v>
                </c:pt>
                <c:pt idx="5">
                  <c:v>Nemoci kůže</c:v>
                </c:pt>
                <c:pt idx="6">
                  <c:v>Těhotenství, porod a šestinedělí</c:v>
                </c:pt>
                <c:pt idx="7">
                  <c:v>Infekční a parazitární nemoci</c:v>
                </c:pt>
                <c:pt idx="8">
                  <c:v>Nemoci oka</c:v>
                </c:pt>
                <c:pt idx="9">
                  <c:v>Nemoci nervové soustavy</c:v>
                </c:pt>
                <c:pt idx="10">
                  <c:v>Nemoci endokrinní a metabolické</c:v>
                </c:pt>
                <c:pt idx="11">
                  <c:v>Příznaky, znaky…</c:v>
                </c:pt>
                <c:pt idx="12">
                  <c:v>Poruchy duševní a poruchy chování</c:v>
                </c:pt>
                <c:pt idx="13">
                  <c:v>Nemoci dýchací soustavy</c:v>
                </c:pt>
                <c:pt idx="14">
                  <c:v>Poranění, otravy aj.</c:v>
                </c:pt>
                <c:pt idx="15">
                  <c:v>Nemoci svalové, kosterní a pojivové tkáně</c:v>
                </c:pt>
                <c:pt idx="16">
                  <c:v>Nemoci močové a pohlavní soustavy</c:v>
                </c:pt>
                <c:pt idx="17">
                  <c:v>Nemoci trávicí soustavy</c:v>
                </c:pt>
                <c:pt idx="18">
                  <c:v>Faktory ovlivňující zdravotní stav</c:v>
                </c:pt>
                <c:pt idx="19">
                  <c:v>Novotvary</c:v>
                </c:pt>
                <c:pt idx="20">
                  <c:v>Nemoci oběhové soustavy</c:v>
                </c:pt>
              </c:strCache>
            </c:strRef>
          </c:cat>
          <c:val>
            <c:numRef>
              <c:f>'Slide 10'!$C$29:$C$49</c:f>
              <c:numCache>
                <c:formatCode>General</c:formatCode>
                <c:ptCount val="21"/>
                <c:pt idx="0">
                  <c:v>115</c:v>
                </c:pt>
                <c:pt idx="1">
                  <c:v>273</c:v>
                </c:pt>
                <c:pt idx="2">
                  <c:v>483</c:v>
                </c:pt>
                <c:pt idx="3">
                  <c:v>839</c:v>
                </c:pt>
                <c:pt idx="4" formatCode="#,##0">
                  <c:v>1237</c:v>
                </c:pt>
                <c:pt idx="5" formatCode="#,##0">
                  <c:v>1053</c:v>
                </c:pt>
                <c:pt idx="6" formatCode="#,##0">
                  <c:v>1435</c:v>
                </c:pt>
                <c:pt idx="7" formatCode="#,##0">
                  <c:v>1521</c:v>
                </c:pt>
                <c:pt idx="8" formatCode="#,##0">
                  <c:v>1717</c:v>
                </c:pt>
                <c:pt idx="9" formatCode="#,##0">
                  <c:v>1821</c:v>
                </c:pt>
                <c:pt idx="10" formatCode="#,##0">
                  <c:v>2319</c:v>
                </c:pt>
                <c:pt idx="11" formatCode="#,##0">
                  <c:v>2376</c:v>
                </c:pt>
                <c:pt idx="12" formatCode="#,##0">
                  <c:v>3460</c:v>
                </c:pt>
                <c:pt idx="13" formatCode="#,##0">
                  <c:v>4450</c:v>
                </c:pt>
                <c:pt idx="14" formatCode="#,##0">
                  <c:v>5126</c:v>
                </c:pt>
                <c:pt idx="15" formatCode="#,##0">
                  <c:v>5962</c:v>
                </c:pt>
                <c:pt idx="16" formatCode="#,##0">
                  <c:v>6145</c:v>
                </c:pt>
                <c:pt idx="17" formatCode="#,##0">
                  <c:v>8903</c:v>
                </c:pt>
                <c:pt idx="18" formatCode="#,##0">
                  <c:v>5528</c:v>
                </c:pt>
                <c:pt idx="19" formatCode="#,##0">
                  <c:v>7222</c:v>
                </c:pt>
                <c:pt idx="20" formatCode="#,##0">
                  <c:v>7464</c:v>
                </c:pt>
              </c:numCache>
            </c:numRef>
          </c:val>
        </c:ser>
        <c:ser>
          <c:idx val="1"/>
          <c:order val="1"/>
          <c:tx>
            <c:strRef>
              <c:f>'Slide 10'!$D$28</c:f>
              <c:strCache>
                <c:ptCount val="1"/>
                <c:pt idx="0">
                  <c:v>2012</c:v>
                </c:pt>
              </c:strCache>
            </c:strRef>
          </c:tx>
          <c:dLbls>
            <c:showVal val="1"/>
          </c:dLbls>
          <c:cat>
            <c:strRef>
              <c:f>'Slide 10'!$B$29:$B$49</c:f>
              <c:strCache>
                <c:ptCount val="21"/>
                <c:pt idx="0">
                  <c:v>Vnější příčiny nemocnosti a úmrtnosti</c:v>
                </c:pt>
                <c:pt idx="1">
                  <c:v>Vrozené vady a deformace</c:v>
                </c:pt>
                <c:pt idx="2">
                  <c:v>Nemoci ucha</c:v>
                </c:pt>
                <c:pt idx="3">
                  <c:v>Stavy vzniklé v perinatálním období</c:v>
                </c:pt>
                <c:pt idx="4">
                  <c:v>Nemoci krve a krvetvorných orgánů</c:v>
                </c:pt>
                <c:pt idx="5">
                  <c:v>Nemoci kůže</c:v>
                </c:pt>
                <c:pt idx="6">
                  <c:v>Těhotenství, porod a šestinedělí</c:v>
                </c:pt>
                <c:pt idx="7">
                  <c:v>Infekční a parazitární nemoci</c:v>
                </c:pt>
                <c:pt idx="8">
                  <c:v>Nemoci oka</c:v>
                </c:pt>
                <c:pt idx="9">
                  <c:v>Nemoci nervové soustavy</c:v>
                </c:pt>
                <c:pt idx="10">
                  <c:v>Nemoci endokrinní a metabolické</c:v>
                </c:pt>
                <c:pt idx="11">
                  <c:v>Příznaky, znaky…</c:v>
                </c:pt>
                <c:pt idx="12">
                  <c:v>Poruchy duševní a poruchy chování</c:v>
                </c:pt>
                <c:pt idx="13">
                  <c:v>Nemoci dýchací soustavy</c:v>
                </c:pt>
                <c:pt idx="14">
                  <c:v>Poranění, otravy aj.</c:v>
                </c:pt>
                <c:pt idx="15">
                  <c:v>Nemoci svalové, kosterní a pojivové tkáně</c:v>
                </c:pt>
                <c:pt idx="16">
                  <c:v>Nemoci močové a pohlavní soustavy</c:v>
                </c:pt>
                <c:pt idx="17">
                  <c:v>Nemoci trávicí soustavy</c:v>
                </c:pt>
                <c:pt idx="18">
                  <c:v>Faktory ovlivňující zdravotní stav</c:v>
                </c:pt>
                <c:pt idx="19">
                  <c:v>Novotvary</c:v>
                </c:pt>
                <c:pt idx="20">
                  <c:v>Nemoci oběhové soustavy</c:v>
                </c:pt>
              </c:strCache>
            </c:strRef>
          </c:cat>
          <c:val>
            <c:numRef>
              <c:f>'Slide 10'!$D$29:$D$49</c:f>
              <c:numCache>
                <c:formatCode>#,##0</c:formatCode>
                <c:ptCount val="21"/>
                <c:pt idx="0">
                  <c:v>84</c:v>
                </c:pt>
                <c:pt idx="1">
                  <c:v>991</c:v>
                </c:pt>
                <c:pt idx="2">
                  <c:v>1101</c:v>
                </c:pt>
                <c:pt idx="3">
                  <c:v>1676</c:v>
                </c:pt>
                <c:pt idx="4">
                  <c:v>1987</c:v>
                </c:pt>
                <c:pt idx="5">
                  <c:v>2086</c:v>
                </c:pt>
                <c:pt idx="6">
                  <c:v>2443</c:v>
                </c:pt>
                <c:pt idx="7">
                  <c:v>2804</c:v>
                </c:pt>
                <c:pt idx="8">
                  <c:v>3155</c:v>
                </c:pt>
                <c:pt idx="9">
                  <c:v>5876</c:v>
                </c:pt>
                <c:pt idx="10">
                  <c:v>5889</c:v>
                </c:pt>
                <c:pt idx="11">
                  <c:v>6010</c:v>
                </c:pt>
                <c:pt idx="12">
                  <c:v>7661</c:v>
                </c:pt>
                <c:pt idx="13">
                  <c:v>7976</c:v>
                </c:pt>
                <c:pt idx="14">
                  <c:v>8839</c:v>
                </c:pt>
                <c:pt idx="15">
                  <c:v>12112</c:v>
                </c:pt>
                <c:pt idx="16">
                  <c:v>12176</c:v>
                </c:pt>
                <c:pt idx="17">
                  <c:v>13012</c:v>
                </c:pt>
                <c:pt idx="18">
                  <c:v>15756</c:v>
                </c:pt>
                <c:pt idx="19">
                  <c:v>16080</c:v>
                </c:pt>
                <c:pt idx="20">
                  <c:v>21769</c:v>
                </c:pt>
              </c:numCache>
            </c:numRef>
          </c:val>
        </c:ser>
        <c:axId val="99006720"/>
        <c:axId val="100062336"/>
      </c:barChart>
      <c:catAx>
        <c:axId val="99006720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00062336"/>
        <c:crosses val="autoZero"/>
        <c:auto val="1"/>
        <c:lblAlgn val="ctr"/>
        <c:lblOffset val="100"/>
      </c:catAx>
      <c:valAx>
        <c:axId val="100062336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99006720"/>
        <c:crosses val="autoZero"/>
        <c:crossBetween val="between"/>
      </c:valAx>
    </c:plotArea>
    <c:legend>
      <c:legendPos val="r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4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cs-CZ"/>
              </a:p>
            </c:txPr>
            <c:showVal val="1"/>
          </c:dLbls>
          <c:cat>
            <c:strRef>
              <c:f>List1!$A$30:$A$49</c:f>
              <c:strCache>
                <c:ptCount val="20"/>
                <c:pt idx="0">
                  <c:v>Nemoci ucha</c:v>
                </c:pt>
                <c:pt idx="1">
                  <c:v>Vrozené vady a deformace</c:v>
                </c:pt>
                <c:pt idx="2">
                  <c:v>Nemoci krve a krvetvorných orgánů</c:v>
                </c:pt>
                <c:pt idx="3">
                  <c:v>Stavy vzniklé v perinatálním období</c:v>
                </c:pt>
                <c:pt idx="4">
                  <c:v>Těhotenství, porod a šestinedělí</c:v>
                </c:pt>
                <c:pt idx="5">
                  <c:v>Nemoci kůže</c:v>
                </c:pt>
                <c:pt idx="6">
                  <c:v>Infekční a parazitární nemoci</c:v>
                </c:pt>
                <c:pt idx="7">
                  <c:v>Nemoci oka</c:v>
                </c:pt>
                <c:pt idx="8">
                  <c:v>Nemoci dýchací soustavy</c:v>
                </c:pt>
                <c:pt idx="9">
                  <c:v>Nemoci endokrinní a metabolické</c:v>
                </c:pt>
                <c:pt idx="10">
                  <c:v>Příznaky, znaky…</c:v>
                </c:pt>
                <c:pt idx="11">
                  <c:v>Poranění, otravy aj.</c:v>
                </c:pt>
                <c:pt idx="12">
                  <c:v>Nemoci nervové soustavy</c:v>
                </c:pt>
                <c:pt idx="13">
                  <c:v>Nemoci trávicí soustavy</c:v>
                </c:pt>
                <c:pt idx="14">
                  <c:v>Poruchy duševní a poruchy chování</c:v>
                </c:pt>
                <c:pt idx="15">
                  <c:v>Nemoci močové a pohlavní soustavy</c:v>
                </c:pt>
                <c:pt idx="16">
                  <c:v>Nemoci svalové, kosterní a pojivové tkáně</c:v>
                </c:pt>
                <c:pt idx="17">
                  <c:v>Novotvary</c:v>
                </c:pt>
                <c:pt idx="18">
                  <c:v>Faktory ovlivňující zdravotní stav</c:v>
                </c:pt>
                <c:pt idx="19">
                  <c:v>Nemoci oběhové soustavy</c:v>
                </c:pt>
              </c:strCache>
            </c:strRef>
          </c:cat>
          <c:val>
            <c:numRef>
              <c:f>List1!$B$30:$B$49</c:f>
              <c:numCache>
                <c:formatCode>#,##0</c:formatCode>
                <c:ptCount val="20"/>
                <c:pt idx="0">
                  <c:v>618</c:v>
                </c:pt>
                <c:pt idx="1">
                  <c:v>718</c:v>
                </c:pt>
                <c:pt idx="2">
                  <c:v>750</c:v>
                </c:pt>
                <c:pt idx="3">
                  <c:v>837</c:v>
                </c:pt>
                <c:pt idx="4">
                  <c:v>1008</c:v>
                </c:pt>
                <c:pt idx="5">
                  <c:v>1033</c:v>
                </c:pt>
                <c:pt idx="6">
                  <c:v>1283</c:v>
                </c:pt>
                <c:pt idx="7">
                  <c:v>1438</c:v>
                </c:pt>
                <c:pt idx="8">
                  <c:v>3526</c:v>
                </c:pt>
                <c:pt idx="9">
                  <c:v>3570</c:v>
                </c:pt>
                <c:pt idx="10">
                  <c:v>3634</c:v>
                </c:pt>
                <c:pt idx="11">
                  <c:v>3713</c:v>
                </c:pt>
                <c:pt idx="12">
                  <c:v>4055</c:v>
                </c:pt>
                <c:pt idx="13">
                  <c:v>4109</c:v>
                </c:pt>
                <c:pt idx="14">
                  <c:v>4201</c:v>
                </c:pt>
                <c:pt idx="15">
                  <c:v>6031</c:v>
                </c:pt>
                <c:pt idx="16">
                  <c:v>6150</c:v>
                </c:pt>
                <c:pt idx="17">
                  <c:v>8858</c:v>
                </c:pt>
                <c:pt idx="18">
                  <c:v>10228</c:v>
                </c:pt>
                <c:pt idx="19">
                  <c:v>14305</c:v>
                </c:pt>
              </c:numCache>
            </c:numRef>
          </c:val>
        </c:ser>
        <c:axId val="100824192"/>
        <c:axId val="100825728"/>
      </c:barChart>
      <c:catAx>
        <c:axId val="100824192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00825728"/>
        <c:crosses val="autoZero"/>
        <c:auto val="1"/>
        <c:lblAlgn val="ctr"/>
        <c:lblOffset val="100"/>
      </c:catAx>
      <c:valAx>
        <c:axId val="100825728"/>
        <c:scaling>
          <c:orientation val="minMax"/>
        </c:scaling>
        <c:axPos val="b"/>
        <c:majorGridlines/>
        <c:numFmt formatCode="#,##0" sourceLinked="1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0082419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tx>
            <c:strRef>
              <c:f>'Graf 3.2'!$F$29</c:f>
              <c:strCache>
                <c:ptCount val="1"/>
                <c:pt idx="0">
                  <c:v>Muži</c:v>
                </c:pt>
              </c:strCache>
            </c:strRef>
          </c:tx>
          <c:cat>
            <c:strRef>
              <c:f>'Graf 3.2'!$E$30:$E$47</c:f>
              <c:strCache>
                <c:ptCount val="18"/>
                <c:pt idx="0">
                  <c:v>00-04</c:v>
                </c:pt>
                <c:pt idx="1">
                  <c:v>05-09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85+</c:v>
                </c:pt>
              </c:strCache>
            </c:strRef>
          </c:cat>
          <c:val>
            <c:numRef>
              <c:f>'Graf 3.2'!$F$30:$F$47</c:f>
              <c:numCache>
                <c:formatCode>0</c:formatCode>
                <c:ptCount val="18"/>
                <c:pt idx="0">
                  <c:v>5021.6580306250034</c:v>
                </c:pt>
                <c:pt idx="1">
                  <c:v>2707.6030666249999</c:v>
                </c:pt>
                <c:pt idx="2">
                  <c:v>2450.8313216250012</c:v>
                </c:pt>
                <c:pt idx="3">
                  <c:v>2570.8635936250002</c:v>
                </c:pt>
                <c:pt idx="4">
                  <c:v>2678.5806756249963</c:v>
                </c:pt>
                <c:pt idx="5">
                  <c:v>3086.0317756250001</c:v>
                </c:pt>
                <c:pt idx="6">
                  <c:v>4055.7748496249942</c:v>
                </c:pt>
                <c:pt idx="7">
                  <c:v>5025.6087016249994</c:v>
                </c:pt>
                <c:pt idx="8">
                  <c:v>4664.4370896249975</c:v>
                </c:pt>
                <c:pt idx="9">
                  <c:v>5595.8803916250044</c:v>
                </c:pt>
                <c:pt idx="10">
                  <c:v>6524.3481606250034</c:v>
                </c:pt>
                <c:pt idx="11">
                  <c:v>10267.154452624998</c:v>
                </c:pt>
                <c:pt idx="12">
                  <c:v>12875.053612624986</c:v>
                </c:pt>
                <c:pt idx="13">
                  <c:v>13199.778812625</c:v>
                </c:pt>
                <c:pt idx="14">
                  <c:v>9807.1812356249866</c:v>
                </c:pt>
                <c:pt idx="15">
                  <c:v>7339.3446856249993</c:v>
                </c:pt>
                <c:pt idx="16">
                  <c:v>5238.2924316250064</c:v>
                </c:pt>
                <c:pt idx="17">
                  <c:v>3051.5018341249997</c:v>
                </c:pt>
              </c:numCache>
            </c:numRef>
          </c:val>
        </c:ser>
        <c:ser>
          <c:idx val="1"/>
          <c:order val="1"/>
          <c:tx>
            <c:strRef>
              <c:f>'Graf 3.2'!$G$29</c:f>
              <c:strCache>
                <c:ptCount val="1"/>
                <c:pt idx="0">
                  <c:v>Ženy</c:v>
                </c:pt>
              </c:strCache>
            </c:strRef>
          </c:tx>
          <c:cat>
            <c:strRef>
              <c:f>'Graf 3.2'!$E$30:$E$47</c:f>
              <c:strCache>
                <c:ptCount val="18"/>
                <c:pt idx="0">
                  <c:v>00-04</c:v>
                </c:pt>
                <c:pt idx="1">
                  <c:v>05-09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85+</c:v>
                </c:pt>
              </c:strCache>
            </c:strRef>
          </c:cat>
          <c:val>
            <c:numRef>
              <c:f>'Graf 3.2'!$G$30:$G$47</c:f>
              <c:numCache>
                <c:formatCode>0</c:formatCode>
                <c:ptCount val="18"/>
                <c:pt idx="0">
                  <c:v>4314.1550666250068</c:v>
                </c:pt>
                <c:pt idx="1">
                  <c:v>2162.0501866250002</c:v>
                </c:pt>
                <c:pt idx="2">
                  <c:v>2467.420836625</c:v>
                </c:pt>
                <c:pt idx="3">
                  <c:v>2991.8425776249996</c:v>
                </c:pt>
                <c:pt idx="4">
                  <c:v>3545.8056306249996</c:v>
                </c:pt>
                <c:pt idx="5">
                  <c:v>4700.2725836250002</c:v>
                </c:pt>
                <c:pt idx="6">
                  <c:v>6062.6019286250057</c:v>
                </c:pt>
                <c:pt idx="7">
                  <c:v>6588.2979516249998</c:v>
                </c:pt>
                <c:pt idx="8">
                  <c:v>5445.6269386250096</c:v>
                </c:pt>
                <c:pt idx="9">
                  <c:v>6202.8822486250065</c:v>
                </c:pt>
                <c:pt idx="10">
                  <c:v>6942.5088256250001</c:v>
                </c:pt>
                <c:pt idx="11">
                  <c:v>9394.4157116249844</c:v>
                </c:pt>
                <c:pt idx="12">
                  <c:v>11373.117192624986</c:v>
                </c:pt>
                <c:pt idx="13">
                  <c:v>12374.400872624989</c:v>
                </c:pt>
                <c:pt idx="14">
                  <c:v>10325.358962624981</c:v>
                </c:pt>
                <c:pt idx="15">
                  <c:v>9382.2214096249991</c:v>
                </c:pt>
                <c:pt idx="16">
                  <c:v>8428.5143086249991</c:v>
                </c:pt>
                <c:pt idx="17">
                  <c:v>7173.5820366250064</c:v>
                </c:pt>
              </c:numCache>
            </c:numRef>
          </c:val>
        </c:ser>
        <c:axId val="112231168"/>
        <c:axId val="100012416"/>
      </c:barChart>
      <c:catAx>
        <c:axId val="1122311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00012416"/>
        <c:crosses val="autoZero"/>
        <c:auto val="1"/>
        <c:lblAlgn val="ctr"/>
        <c:lblOffset val="100"/>
      </c:catAx>
      <c:valAx>
        <c:axId val="100012416"/>
        <c:scaling>
          <c:orientation val="minMax"/>
        </c:scaling>
        <c:axPos val="l"/>
        <c:majorGridlines/>
        <c:numFmt formatCode="0" sourceLinked="1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2231168"/>
        <c:crosses val="autoZero"/>
        <c:crossBetween val="between"/>
      </c:valAx>
    </c:plotArea>
    <c:legend>
      <c:legendPos val="r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tx>
            <c:strRef>
              <c:f>'Grafy 3.3'!$B$95</c:f>
              <c:strCache>
                <c:ptCount val="1"/>
                <c:pt idx="0">
                  <c:v>Muži</c:v>
                </c:pt>
              </c:strCache>
            </c:strRef>
          </c:tx>
          <c:cat>
            <c:strRef>
              <c:f>'Grafy 3.3'!$A$96:$A$114</c:f>
              <c:strCache>
                <c:ptCount val="19"/>
                <c:pt idx="0">
                  <c:v>00-04</c:v>
                </c:pt>
                <c:pt idx="1">
                  <c:v>05-09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85+</c:v>
                </c:pt>
                <c:pt idx="18">
                  <c:v>Průměr</c:v>
                </c:pt>
              </c:strCache>
            </c:strRef>
          </c:cat>
          <c:val>
            <c:numRef>
              <c:f>'Grafy 3.3'!$B$96:$B$114</c:f>
              <c:numCache>
                <c:formatCode>0</c:formatCode>
                <c:ptCount val="19"/>
                <c:pt idx="0">
                  <c:v>16365.721648497592</c:v>
                </c:pt>
                <c:pt idx="1">
                  <c:v>10223.735785017088</c:v>
                </c:pt>
                <c:pt idx="2">
                  <c:v>10288.878017921763</c:v>
                </c:pt>
                <c:pt idx="3">
                  <c:v>9397.6334458903948</c:v>
                </c:pt>
                <c:pt idx="4">
                  <c:v>7886.9004417385095</c:v>
                </c:pt>
                <c:pt idx="5">
                  <c:v>8604.361735311255</c:v>
                </c:pt>
                <c:pt idx="6">
                  <c:v>9682.842677600247</c:v>
                </c:pt>
                <c:pt idx="7">
                  <c:v>10609.7798745242</c:v>
                </c:pt>
                <c:pt idx="8">
                  <c:v>12455.70438532427</c:v>
                </c:pt>
                <c:pt idx="9">
                  <c:v>15399.273476757498</c:v>
                </c:pt>
                <c:pt idx="10">
                  <c:v>20023.779764370949</c:v>
                </c:pt>
                <c:pt idx="11">
                  <c:v>28032.57390316391</c:v>
                </c:pt>
                <c:pt idx="12">
                  <c:v>36247.539717636355</c:v>
                </c:pt>
                <c:pt idx="13">
                  <c:v>46807.228336666594</c:v>
                </c:pt>
                <c:pt idx="14">
                  <c:v>54978.844359124647</c:v>
                </c:pt>
                <c:pt idx="15">
                  <c:v>61021.872438141239</c:v>
                </c:pt>
                <c:pt idx="16">
                  <c:v>63194.185586365384</c:v>
                </c:pt>
                <c:pt idx="17">
                  <c:v>66791.468779411938</c:v>
                </c:pt>
                <c:pt idx="18">
                  <c:v>20539.177933475883</c:v>
                </c:pt>
              </c:numCache>
            </c:numRef>
          </c:val>
        </c:ser>
        <c:ser>
          <c:idx val="1"/>
          <c:order val="1"/>
          <c:tx>
            <c:strRef>
              <c:f>'Grafy 3.3'!$C$95</c:f>
              <c:strCache>
                <c:ptCount val="1"/>
                <c:pt idx="0">
                  <c:v>Ženy</c:v>
                </c:pt>
              </c:strCache>
            </c:strRef>
          </c:tx>
          <c:cat>
            <c:strRef>
              <c:f>'Grafy 3.3'!$A$96:$A$114</c:f>
              <c:strCache>
                <c:ptCount val="19"/>
                <c:pt idx="0">
                  <c:v>00-04</c:v>
                </c:pt>
                <c:pt idx="1">
                  <c:v>05-09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85+</c:v>
                </c:pt>
                <c:pt idx="18">
                  <c:v>Průměr</c:v>
                </c:pt>
              </c:strCache>
            </c:strRef>
          </c:cat>
          <c:val>
            <c:numRef>
              <c:f>'Grafy 3.3'!$C$96:$C$114</c:f>
              <c:numCache>
                <c:formatCode>0</c:formatCode>
                <c:ptCount val="19"/>
                <c:pt idx="0">
                  <c:v>14737.105723574763</c:v>
                </c:pt>
                <c:pt idx="1">
                  <c:v>8622.6088434526318</c:v>
                </c:pt>
                <c:pt idx="2">
                  <c:v>10948.845338437783</c:v>
                </c:pt>
                <c:pt idx="3">
                  <c:v>11527.526027398579</c:v>
                </c:pt>
                <c:pt idx="4">
                  <c:v>11021.368299318347</c:v>
                </c:pt>
                <c:pt idx="5">
                  <c:v>13880.342392315475</c:v>
                </c:pt>
                <c:pt idx="6">
                  <c:v>15430.629962852594</c:v>
                </c:pt>
                <c:pt idx="7">
                  <c:v>14718.473779436175</c:v>
                </c:pt>
                <c:pt idx="8">
                  <c:v>15363.813676663502</c:v>
                </c:pt>
                <c:pt idx="9">
                  <c:v>17867.708605425229</c:v>
                </c:pt>
                <c:pt idx="10">
                  <c:v>21708.772382990101</c:v>
                </c:pt>
                <c:pt idx="11">
                  <c:v>24874.272422989547</c:v>
                </c:pt>
                <c:pt idx="12">
                  <c:v>29182.566060060621</c:v>
                </c:pt>
                <c:pt idx="13">
                  <c:v>36747.096089400002</c:v>
                </c:pt>
                <c:pt idx="14">
                  <c:v>43739.103570702384</c:v>
                </c:pt>
                <c:pt idx="15">
                  <c:v>50648.730084727424</c:v>
                </c:pt>
                <c:pt idx="16">
                  <c:v>54724.216056727142</c:v>
                </c:pt>
                <c:pt idx="17">
                  <c:v>60721.026211486424</c:v>
                </c:pt>
                <c:pt idx="18">
                  <c:v>22413.854243615369</c:v>
                </c:pt>
              </c:numCache>
            </c:numRef>
          </c:val>
        </c:ser>
        <c:axId val="100028800"/>
        <c:axId val="100030336"/>
      </c:barChart>
      <c:catAx>
        <c:axId val="1000288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00030336"/>
        <c:crosses val="autoZero"/>
        <c:auto val="1"/>
        <c:lblAlgn val="ctr"/>
        <c:lblOffset val="100"/>
      </c:catAx>
      <c:valAx>
        <c:axId val="100030336"/>
        <c:scaling>
          <c:orientation val="minMax"/>
        </c:scaling>
        <c:axPos val="l"/>
        <c:majorGridlines/>
        <c:numFmt formatCode="0" sourceLinked="1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00028800"/>
        <c:crosses val="autoZero"/>
        <c:crossBetween val="between"/>
      </c:valAx>
    </c:plotArea>
    <c:legend>
      <c:legendPos val="r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7.5515238281165284E-2"/>
          <c:y val="3.9289426570023163E-2"/>
          <c:w val="0.79872158955337291"/>
          <c:h val="0.6070480262814848"/>
        </c:manualLayout>
      </c:layout>
      <c:barChart>
        <c:barDir val="col"/>
        <c:grouping val="clustered"/>
        <c:ser>
          <c:idx val="0"/>
          <c:order val="0"/>
          <c:tx>
            <c:strRef>
              <c:f>'Grafy 3.3'!$B$50</c:f>
              <c:strCache>
                <c:ptCount val="1"/>
                <c:pt idx="0">
                  <c:v>2000</c:v>
                </c:pt>
              </c:strCache>
            </c:strRef>
          </c:tx>
          <c:cat>
            <c:strRef>
              <c:f>'Grafy 3.3'!$A$51:$A$69</c:f>
              <c:strCache>
                <c:ptCount val="19"/>
                <c:pt idx="0">
                  <c:v>00-04</c:v>
                </c:pt>
                <c:pt idx="1">
                  <c:v>05-09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85+</c:v>
                </c:pt>
                <c:pt idx="18">
                  <c:v>Průměr</c:v>
                </c:pt>
              </c:strCache>
            </c:strRef>
          </c:cat>
          <c:val>
            <c:numRef>
              <c:f>'Grafy 3.3'!$B$51:$B$69</c:f>
              <c:numCache>
                <c:formatCode>0</c:formatCode>
                <c:ptCount val="19"/>
                <c:pt idx="0">
                  <c:v>10796</c:v>
                </c:pt>
                <c:pt idx="1">
                  <c:v>5519</c:v>
                </c:pt>
                <c:pt idx="2">
                  <c:v>5742</c:v>
                </c:pt>
                <c:pt idx="3">
                  <c:v>5440</c:v>
                </c:pt>
                <c:pt idx="4">
                  <c:v>4908</c:v>
                </c:pt>
                <c:pt idx="5">
                  <c:v>5300</c:v>
                </c:pt>
                <c:pt idx="6">
                  <c:v>5458</c:v>
                </c:pt>
                <c:pt idx="7">
                  <c:v>5918</c:v>
                </c:pt>
                <c:pt idx="8">
                  <c:v>7267</c:v>
                </c:pt>
                <c:pt idx="9">
                  <c:v>9518</c:v>
                </c:pt>
                <c:pt idx="10">
                  <c:v>12704</c:v>
                </c:pt>
                <c:pt idx="11">
                  <c:v>16532</c:v>
                </c:pt>
                <c:pt idx="12">
                  <c:v>18382</c:v>
                </c:pt>
                <c:pt idx="13">
                  <c:v>21460</c:v>
                </c:pt>
                <c:pt idx="14">
                  <c:v>25755</c:v>
                </c:pt>
                <c:pt idx="15">
                  <c:v>28252</c:v>
                </c:pt>
                <c:pt idx="16">
                  <c:v>30148</c:v>
                </c:pt>
                <c:pt idx="17">
                  <c:v>25710</c:v>
                </c:pt>
                <c:pt idx="18">
                  <c:v>10099</c:v>
                </c:pt>
              </c:numCache>
            </c:numRef>
          </c:val>
        </c:ser>
        <c:ser>
          <c:idx val="1"/>
          <c:order val="1"/>
          <c:tx>
            <c:strRef>
              <c:f>'Grafy 3.3'!$C$50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'Grafy 3.3'!$A$51:$A$69</c:f>
              <c:strCache>
                <c:ptCount val="19"/>
                <c:pt idx="0">
                  <c:v>00-04</c:v>
                </c:pt>
                <c:pt idx="1">
                  <c:v>05-09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85+</c:v>
                </c:pt>
                <c:pt idx="18">
                  <c:v>Průměr</c:v>
                </c:pt>
              </c:strCache>
            </c:strRef>
          </c:cat>
          <c:val>
            <c:numRef>
              <c:f>'Grafy 3.3'!$C$51:$C$69</c:f>
              <c:numCache>
                <c:formatCode>0</c:formatCode>
                <c:ptCount val="19"/>
                <c:pt idx="0">
                  <c:v>16365.721648497592</c:v>
                </c:pt>
                <c:pt idx="1">
                  <c:v>10223.735785017088</c:v>
                </c:pt>
                <c:pt idx="2">
                  <c:v>10288.878017921763</c:v>
                </c:pt>
                <c:pt idx="3">
                  <c:v>9397.6334458903948</c:v>
                </c:pt>
                <c:pt idx="4">
                  <c:v>7886.9004417385095</c:v>
                </c:pt>
                <c:pt idx="5">
                  <c:v>8604.361735311255</c:v>
                </c:pt>
                <c:pt idx="6">
                  <c:v>9682.842677600247</c:v>
                </c:pt>
                <c:pt idx="7">
                  <c:v>10609.7798745242</c:v>
                </c:pt>
                <c:pt idx="8">
                  <c:v>12455.70438532427</c:v>
                </c:pt>
                <c:pt idx="9">
                  <c:v>15399.273476757498</c:v>
                </c:pt>
                <c:pt idx="10">
                  <c:v>20023.779764370949</c:v>
                </c:pt>
                <c:pt idx="11">
                  <c:v>28032.57390316391</c:v>
                </c:pt>
                <c:pt idx="12">
                  <c:v>36247.539717636355</c:v>
                </c:pt>
                <c:pt idx="13">
                  <c:v>46807.228336666594</c:v>
                </c:pt>
                <c:pt idx="14">
                  <c:v>54978.844359124647</c:v>
                </c:pt>
                <c:pt idx="15">
                  <c:v>61021.872438141239</c:v>
                </c:pt>
                <c:pt idx="16">
                  <c:v>63194.185586365384</c:v>
                </c:pt>
                <c:pt idx="17">
                  <c:v>66791.468779411938</c:v>
                </c:pt>
                <c:pt idx="18">
                  <c:v>20539.177933475883</c:v>
                </c:pt>
              </c:numCache>
            </c:numRef>
          </c:val>
        </c:ser>
        <c:axId val="100050816"/>
        <c:axId val="100052352"/>
      </c:barChart>
      <c:catAx>
        <c:axId val="1000508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00052352"/>
        <c:crosses val="autoZero"/>
        <c:auto val="1"/>
        <c:lblAlgn val="ctr"/>
        <c:lblOffset val="100"/>
      </c:catAx>
      <c:valAx>
        <c:axId val="100052352"/>
        <c:scaling>
          <c:orientation val="minMax"/>
        </c:scaling>
        <c:axPos val="l"/>
        <c:majorGridlines/>
        <c:numFmt formatCode="0" sourceLinked="1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00050816"/>
        <c:crosses val="autoZero"/>
        <c:crossBetween val="between"/>
      </c:valAx>
    </c:plotArea>
    <c:legend>
      <c:legendPos val="tr"/>
      <c:layout>
        <c:manualLayout>
          <c:xMode val="edge"/>
          <c:yMode val="edge"/>
          <c:x val="0.91828695024232998"/>
          <c:y val="0.33505747716083573"/>
          <c:w val="7.7303878681831431E-2"/>
          <c:h val="0.14844467960678381"/>
        </c:manualLayout>
      </c:layout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tx>
            <c:strRef>
              <c:f>'Grafy 3.3'!$B$72</c:f>
              <c:strCache>
                <c:ptCount val="1"/>
                <c:pt idx="0">
                  <c:v>2000</c:v>
                </c:pt>
              </c:strCache>
            </c:strRef>
          </c:tx>
          <c:cat>
            <c:strRef>
              <c:f>'Grafy 3.3'!$A$73:$A$91</c:f>
              <c:strCache>
                <c:ptCount val="19"/>
                <c:pt idx="0">
                  <c:v>00-04</c:v>
                </c:pt>
                <c:pt idx="1">
                  <c:v>05-09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85+</c:v>
                </c:pt>
                <c:pt idx="18">
                  <c:v>Průměr</c:v>
                </c:pt>
              </c:strCache>
            </c:strRef>
          </c:cat>
          <c:val>
            <c:numRef>
              <c:f>'Grafy 3.3'!$B$73:$B$91</c:f>
              <c:numCache>
                <c:formatCode>#,##0</c:formatCode>
                <c:ptCount val="19"/>
                <c:pt idx="0">
                  <c:v>9542</c:v>
                </c:pt>
                <c:pt idx="1">
                  <c:v>5189</c:v>
                </c:pt>
                <c:pt idx="2">
                  <c:v>5561</c:v>
                </c:pt>
                <c:pt idx="3">
                  <c:v>6531</c:v>
                </c:pt>
                <c:pt idx="4">
                  <c:v>7264</c:v>
                </c:pt>
                <c:pt idx="5">
                  <c:v>8642</c:v>
                </c:pt>
                <c:pt idx="6">
                  <c:v>8231</c:v>
                </c:pt>
                <c:pt idx="7">
                  <c:v>8274</c:v>
                </c:pt>
                <c:pt idx="8">
                  <c:v>9336</c:v>
                </c:pt>
                <c:pt idx="9">
                  <c:v>11638</c:v>
                </c:pt>
                <c:pt idx="10">
                  <c:v>14432</c:v>
                </c:pt>
                <c:pt idx="11">
                  <c:v>15722</c:v>
                </c:pt>
                <c:pt idx="12">
                  <c:v>17655</c:v>
                </c:pt>
                <c:pt idx="13">
                  <c:v>20938</c:v>
                </c:pt>
                <c:pt idx="14">
                  <c:v>23636</c:v>
                </c:pt>
                <c:pt idx="15">
                  <c:v>26370</c:v>
                </c:pt>
                <c:pt idx="16">
                  <c:v>29635</c:v>
                </c:pt>
                <c:pt idx="17">
                  <c:v>29045</c:v>
                </c:pt>
                <c:pt idx="18">
                  <c:v>12273</c:v>
                </c:pt>
              </c:numCache>
            </c:numRef>
          </c:val>
        </c:ser>
        <c:ser>
          <c:idx val="1"/>
          <c:order val="1"/>
          <c:tx>
            <c:strRef>
              <c:f>'Grafy 3.3'!$C$72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'Grafy 3.3'!$A$73:$A$91</c:f>
              <c:strCache>
                <c:ptCount val="19"/>
                <c:pt idx="0">
                  <c:v>00-04</c:v>
                </c:pt>
                <c:pt idx="1">
                  <c:v>05-09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85+</c:v>
                </c:pt>
                <c:pt idx="18">
                  <c:v>Průměr</c:v>
                </c:pt>
              </c:strCache>
            </c:strRef>
          </c:cat>
          <c:val>
            <c:numRef>
              <c:f>'Grafy 3.3'!$C$73:$C$91</c:f>
              <c:numCache>
                <c:formatCode>0</c:formatCode>
                <c:ptCount val="19"/>
                <c:pt idx="0">
                  <c:v>14737.105723574763</c:v>
                </c:pt>
                <c:pt idx="1">
                  <c:v>8622.6088434526318</c:v>
                </c:pt>
                <c:pt idx="2">
                  <c:v>10948.845338437783</c:v>
                </c:pt>
                <c:pt idx="3">
                  <c:v>11527.526027398579</c:v>
                </c:pt>
                <c:pt idx="4">
                  <c:v>11021.368299318347</c:v>
                </c:pt>
                <c:pt idx="5">
                  <c:v>13880.342392315475</c:v>
                </c:pt>
                <c:pt idx="6">
                  <c:v>15430.629962852594</c:v>
                </c:pt>
                <c:pt idx="7">
                  <c:v>14718.473779436175</c:v>
                </c:pt>
                <c:pt idx="8">
                  <c:v>15363.813676663502</c:v>
                </c:pt>
                <c:pt idx="9">
                  <c:v>17867.708605425229</c:v>
                </c:pt>
                <c:pt idx="10">
                  <c:v>21708.772382990101</c:v>
                </c:pt>
                <c:pt idx="11">
                  <c:v>24874.272422989547</c:v>
                </c:pt>
                <c:pt idx="12">
                  <c:v>29182.566060060621</c:v>
                </c:pt>
                <c:pt idx="13">
                  <c:v>36747.096089400002</c:v>
                </c:pt>
                <c:pt idx="14">
                  <c:v>43739.103570702384</c:v>
                </c:pt>
                <c:pt idx="15">
                  <c:v>50648.730084727424</c:v>
                </c:pt>
                <c:pt idx="16">
                  <c:v>54724.216056727142</c:v>
                </c:pt>
                <c:pt idx="17">
                  <c:v>60721.026211486424</c:v>
                </c:pt>
                <c:pt idx="18">
                  <c:v>22413.854243615369</c:v>
                </c:pt>
              </c:numCache>
            </c:numRef>
          </c:val>
        </c:ser>
        <c:axId val="100072832"/>
        <c:axId val="100799616"/>
      </c:barChart>
      <c:catAx>
        <c:axId val="1000728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00799616"/>
        <c:crosses val="autoZero"/>
        <c:auto val="1"/>
        <c:lblAlgn val="ctr"/>
        <c:lblOffset val="100"/>
      </c:catAx>
      <c:valAx>
        <c:axId val="100799616"/>
        <c:scaling>
          <c:orientation val="minMax"/>
        </c:scaling>
        <c:axPos val="l"/>
        <c:majorGridlines/>
        <c:numFmt formatCode="0" sourceLinked="0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00072832"/>
        <c:crosses val="autoZero"/>
        <c:crossBetween val="between"/>
      </c:valAx>
    </c:plotArea>
    <c:legend>
      <c:legendPos val="r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4116</TotalTime>
  <Pages>7</Pages>
  <Words>1607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kalnicka3601</dc:creator>
  <cp:keywords/>
  <dc:description/>
  <cp:lastModifiedBy>Vladimíra Kalnická</cp:lastModifiedBy>
  <cp:revision>13</cp:revision>
  <cp:lastPrinted>2014-02-19T15:21:00Z</cp:lastPrinted>
  <dcterms:created xsi:type="dcterms:W3CDTF">2013-03-18T12:52:00Z</dcterms:created>
  <dcterms:modified xsi:type="dcterms:W3CDTF">2014-03-13T09:46:00Z</dcterms:modified>
</cp:coreProperties>
</file>