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16" w:rsidRPr="004018E4" w:rsidRDefault="00317116" w:rsidP="00317116">
      <w:pPr>
        <w:pStyle w:val="Nadpis1"/>
        <w:numPr>
          <w:ilvl w:val="0"/>
          <w:numId w:val="14"/>
        </w:numPr>
        <w:tabs>
          <w:tab w:val="left" w:pos="567"/>
          <w:tab w:val="left" w:pos="5787"/>
        </w:tabs>
        <w:spacing w:after="200"/>
        <w:ind w:left="0" w:firstLine="0"/>
        <w:contextualSpacing w:val="0"/>
      </w:pPr>
      <w:r>
        <w:t>Základní údaje o šetření</w:t>
      </w:r>
      <w:r w:rsidRPr="004018E4">
        <w:t xml:space="preserve"> </w:t>
      </w:r>
    </w:p>
    <w:tbl>
      <w:tblPr>
        <w:tblW w:w="9889" w:type="dxa"/>
        <w:tblLook w:val="04A0" w:firstRow="1" w:lastRow="0" w:firstColumn="1" w:lastColumn="0" w:noHBand="0" w:noVBand="1"/>
      </w:tblPr>
      <w:tblGrid>
        <w:gridCol w:w="2376"/>
        <w:gridCol w:w="7513"/>
      </w:tblGrid>
      <w:tr w:rsidR="00317116" w:rsidRPr="00240717" w:rsidTr="00446BD4">
        <w:trPr>
          <w:trHeight w:val="290"/>
        </w:trPr>
        <w:tc>
          <w:tcPr>
            <w:tcW w:w="2376" w:type="dxa"/>
            <w:shd w:val="pct10" w:color="auto" w:fill="auto"/>
            <w:vAlign w:val="center"/>
          </w:tcPr>
          <w:p w:rsidR="00317116" w:rsidRPr="006A2632" w:rsidRDefault="00317116" w:rsidP="00AB72DF">
            <w:pPr>
              <w:tabs>
                <w:tab w:val="left" w:pos="567"/>
              </w:tabs>
              <w:spacing w:before="120" w:after="120"/>
              <w:rPr>
                <w:rFonts w:cs="Arial"/>
                <w:szCs w:val="20"/>
              </w:rPr>
            </w:pPr>
            <w:r w:rsidRPr="006A2632">
              <w:rPr>
                <w:rFonts w:cs="Arial"/>
                <w:szCs w:val="20"/>
              </w:rPr>
              <w:t>Název šetření:</w:t>
            </w:r>
          </w:p>
        </w:tc>
        <w:tc>
          <w:tcPr>
            <w:tcW w:w="7513" w:type="dxa"/>
            <w:vAlign w:val="center"/>
          </w:tcPr>
          <w:p w:rsidR="00317116" w:rsidRPr="006A2632" w:rsidRDefault="00317116" w:rsidP="00AE4B9E">
            <w:pPr>
              <w:tabs>
                <w:tab w:val="left" w:pos="567"/>
              </w:tabs>
              <w:spacing w:before="120" w:after="120"/>
              <w:rPr>
                <w:rFonts w:cs="Arial"/>
                <w:szCs w:val="20"/>
              </w:rPr>
            </w:pPr>
            <w:r w:rsidRPr="006A2632">
              <w:rPr>
                <w:rFonts w:cs="Arial"/>
                <w:szCs w:val="20"/>
              </w:rPr>
              <w:t xml:space="preserve">Roční </w:t>
            </w:r>
            <w:r w:rsidR="00AE4B9E">
              <w:rPr>
                <w:rFonts w:cs="Arial"/>
                <w:szCs w:val="20"/>
              </w:rPr>
              <w:t>zjišťování</w:t>
            </w:r>
            <w:r w:rsidRPr="006A2632">
              <w:rPr>
                <w:rFonts w:cs="Arial"/>
                <w:szCs w:val="20"/>
              </w:rPr>
              <w:t xml:space="preserve"> o licencích</w:t>
            </w:r>
          </w:p>
        </w:tc>
      </w:tr>
      <w:tr w:rsidR="00317116" w:rsidRPr="00240717"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Technika šetření:</w:t>
            </w:r>
          </w:p>
        </w:tc>
        <w:tc>
          <w:tcPr>
            <w:tcW w:w="7513" w:type="dxa"/>
          </w:tcPr>
          <w:p w:rsidR="00317116" w:rsidRPr="005475F7" w:rsidRDefault="00317116" w:rsidP="00AB72DF">
            <w:pPr>
              <w:tabs>
                <w:tab w:val="left" w:pos="567"/>
              </w:tabs>
              <w:rPr>
                <w:rFonts w:cs="Arial"/>
                <w:szCs w:val="20"/>
              </w:rPr>
            </w:pPr>
            <w:r w:rsidRPr="005475F7">
              <w:rPr>
                <w:rFonts w:cs="Arial"/>
                <w:szCs w:val="20"/>
              </w:rPr>
              <w:t>Výkaz rozeslaný zpravodajským jednotkám na elektronickou nebo poštovní adresu. Možnost vyplnění editovatelného pdf, klasického tištěného dotazníku</w:t>
            </w:r>
            <w:r w:rsidR="00A87010">
              <w:rPr>
                <w:rFonts w:cs="Arial"/>
                <w:szCs w:val="20"/>
              </w:rPr>
              <w:t xml:space="preserve"> nebo elektronické verze výkazu</w:t>
            </w:r>
            <w:r w:rsidR="00664C18">
              <w:rPr>
                <w:rFonts w:cs="Arial"/>
                <w:szCs w:val="20"/>
              </w:rPr>
              <w:t>.</w:t>
            </w:r>
          </w:p>
        </w:tc>
      </w:tr>
      <w:tr w:rsidR="00317116" w:rsidRPr="005F58A2"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Periodicita šetření:</w:t>
            </w:r>
          </w:p>
        </w:tc>
        <w:tc>
          <w:tcPr>
            <w:tcW w:w="7513" w:type="dxa"/>
          </w:tcPr>
          <w:p w:rsidR="00317116" w:rsidRPr="005475F7" w:rsidRDefault="00AE4B9E" w:rsidP="00AE4B9E">
            <w:pPr>
              <w:tabs>
                <w:tab w:val="left" w:pos="567"/>
              </w:tabs>
              <w:rPr>
                <w:rFonts w:cs="Arial"/>
                <w:szCs w:val="20"/>
              </w:rPr>
            </w:pPr>
            <w:r>
              <w:rPr>
                <w:rFonts w:cs="Arial"/>
                <w:szCs w:val="20"/>
              </w:rPr>
              <w:t>Roční</w:t>
            </w:r>
          </w:p>
        </w:tc>
      </w:tr>
      <w:tr w:rsidR="00317116" w:rsidRPr="005F58A2" w:rsidTr="00446BD4">
        <w:tc>
          <w:tcPr>
            <w:tcW w:w="2376" w:type="dxa"/>
            <w:shd w:val="pct10" w:color="auto" w:fill="auto"/>
          </w:tcPr>
          <w:p w:rsidR="00317116" w:rsidRPr="005F58A2" w:rsidRDefault="00317116" w:rsidP="00AB72DF">
            <w:pPr>
              <w:tabs>
                <w:tab w:val="left" w:pos="567"/>
              </w:tabs>
              <w:rPr>
                <w:rFonts w:cs="Arial"/>
                <w:szCs w:val="20"/>
              </w:rPr>
            </w:pPr>
            <w:r>
              <w:rPr>
                <w:rFonts w:cs="Arial"/>
                <w:szCs w:val="20"/>
              </w:rPr>
              <w:t>Druh šetření:</w:t>
            </w:r>
          </w:p>
        </w:tc>
        <w:tc>
          <w:tcPr>
            <w:tcW w:w="7513" w:type="dxa"/>
          </w:tcPr>
          <w:p w:rsidR="00317116" w:rsidRPr="006B2852" w:rsidRDefault="00317116" w:rsidP="00AB72DF">
            <w:pPr>
              <w:pStyle w:val="Odstavecseseznamem"/>
              <w:tabs>
                <w:tab w:val="left" w:pos="567"/>
              </w:tabs>
              <w:spacing w:before="0"/>
              <w:ind w:left="0"/>
              <w:contextualSpacing/>
              <w:rPr>
                <w:rFonts w:cs="Arial"/>
                <w:szCs w:val="20"/>
              </w:rPr>
            </w:pPr>
            <w:r w:rsidRPr="006B2852">
              <w:rPr>
                <w:rFonts w:cs="Arial"/>
                <w:szCs w:val="20"/>
              </w:rPr>
              <w:t>Vyčerpávající šetření</w:t>
            </w:r>
            <w:bookmarkStart w:id="0" w:name="_GoBack"/>
            <w:bookmarkEnd w:id="0"/>
          </w:p>
        </w:tc>
      </w:tr>
      <w:tr w:rsidR="00317116" w:rsidRPr="005F58A2" w:rsidTr="00446BD4">
        <w:tc>
          <w:tcPr>
            <w:tcW w:w="2376" w:type="dxa"/>
            <w:shd w:val="pct10" w:color="auto" w:fill="auto"/>
          </w:tcPr>
          <w:p w:rsidR="00317116" w:rsidRPr="00DF186C" w:rsidRDefault="00317116" w:rsidP="00AB72DF">
            <w:pPr>
              <w:tabs>
                <w:tab w:val="left" w:pos="567"/>
              </w:tabs>
              <w:rPr>
                <w:rFonts w:cs="Arial"/>
                <w:szCs w:val="20"/>
              </w:rPr>
            </w:pPr>
            <w:r>
              <w:rPr>
                <w:rFonts w:cs="Arial"/>
                <w:szCs w:val="20"/>
              </w:rPr>
              <w:t>Výběrový soubor:</w:t>
            </w:r>
          </w:p>
        </w:tc>
        <w:tc>
          <w:tcPr>
            <w:tcW w:w="7513" w:type="dxa"/>
          </w:tcPr>
          <w:p w:rsidR="00F768E1" w:rsidRPr="001E75E2" w:rsidRDefault="00817727" w:rsidP="00007FA2">
            <w:pPr>
              <w:tabs>
                <w:tab w:val="left" w:pos="567"/>
              </w:tabs>
              <w:rPr>
                <w:rFonts w:cs="Arial"/>
                <w:szCs w:val="20"/>
              </w:rPr>
            </w:pPr>
            <w:r>
              <w:rPr>
                <w:rFonts w:cs="Arial"/>
                <w:szCs w:val="20"/>
              </w:rPr>
              <w:t>6</w:t>
            </w:r>
            <w:r w:rsidR="00960A8B">
              <w:rPr>
                <w:rFonts w:cs="Arial"/>
                <w:szCs w:val="20"/>
              </w:rPr>
              <w:t>65</w:t>
            </w:r>
            <w:r w:rsidR="00317116">
              <w:rPr>
                <w:rFonts w:cs="Arial"/>
                <w:szCs w:val="20"/>
              </w:rPr>
              <w:t xml:space="preserve"> zpravodajských jednotek</w:t>
            </w:r>
            <w:r w:rsidR="00F768E1">
              <w:rPr>
                <w:rFonts w:cs="Arial"/>
                <w:szCs w:val="20"/>
              </w:rPr>
              <w:t>. Plošný výběr je prováděn na základě údajů z </w:t>
            </w:r>
            <w:r w:rsidR="00F768E1" w:rsidRPr="00F768E1">
              <w:rPr>
                <w:rFonts w:cs="Arial"/>
                <w:szCs w:val="20"/>
              </w:rPr>
              <w:t xml:space="preserve">Ročního výkazu o výzkumu a vývoj </w:t>
            </w:r>
            <w:r w:rsidR="00F768E1">
              <w:rPr>
                <w:rFonts w:cs="Arial"/>
                <w:szCs w:val="20"/>
              </w:rPr>
              <w:t>(</w:t>
            </w:r>
            <w:r w:rsidR="00F768E1" w:rsidRPr="00F768E1">
              <w:rPr>
                <w:rFonts w:cs="Arial"/>
                <w:szCs w:val="20"/>
              </w:rPr>
              <w:t>VTR 5-01</w:t>
            </w:r>
            <w:r w:rsidR="00F768E1">
              <w:rPr>
                <w:rFonts w:cs="Arial"/>
                <w:szCs w:val="20"/>
              </w:rPr>
              <w:t xml:space="preserve">), Čtvrtletního výkazu o dovozu a vývozu služeb (ZO 1-04), </w:t>
            </w:r>
            <w:r w:rsidR="00F768E1" w:rsidRPr="00F768E1">
              <w:rPr>
                <w:rFonts w:cs="Arial"/>
                <w:szCs w:val="20"/>
              </w:rPr>
              <w:t>Roční</w:t>
            </w:r>
            <w:r w:rsidR="00F768E1">
              <w:rPr>
                <w:rFonts w:cs="Arial"/>
                <w:szCs w:val="20"/>
              </w:rPr>
              <w:t>ho</w:t>
            </w:r>
            <w:r w:rsidR="00F768E1" w:rsidRPr="00F768E1">
              <w:rPr>
                <w:rFonts w:cs="Arial"/>
                <w:szCs w:val="20"/>
              </w:rPr>
              <w:t xml:space="preserve"> výkaz ekonomických subjekt</w:t>
            </w:r>
            <w:r w:rsidR="00F768E1">
              <w:rPr>
                <w:rFonts w:cs="Arial"/>
                <w:szCs w:val="20"/>
              </w:rPr>
              <w:t>ů vybraných produkčních odvětví</w:t>
            </w:r>
            <w:r w:rsidR="00F768E1" w:rsidRPr="00F768E1">
              <w:rPr>
                <w:rFonts w:cs="Arial"/>
                <w:szCs w:val="20"/>
              </w:rPr>
              <w:t xml:space="preserve"> (P5-01)</w:t>
            </w:r>
            <w:r w:rsidR="00F768E1">
              <w:rPr>
                <w:rFonts w:cs="Arial"/>
                <w:szCs w:val="20"/>
              </w:rPr>
              <w:t xml:space="preserve"> a Úřadu průmyslového vlastnictví.</w:t>
            </w:r>
          </w:p>
        </w:tc>
      </w:tr>
      <w:tr w:rsidR="00317116" w:rsidRPr="00DF186C" w:rsidTr="00446BD4">
        <w:tc>
          <w:tcPr>
            <w:tcW w:w="2376" w:type="dxa"/>
            <w:shd w:val="pct10" w:color="auto" w:fill="auto"/>
          </w:tcPr>
          <w:p w:rsidR="00317116" w:rsidRPr="00DF186C" w:rsidRDefault="00317116" w:rsidP="00AB72DF">
            <w:pPr>
              <w:tabs>
                <w:tab w:val="left" w:pos="567"/>
              </w:tabs>
              <w:rPr>
                <w:rFonts w:cs="Arial"/>
                <w:szCs w:val="20"/>
              </w:rPr>
            </w:pPr>
            <w:r w:rsidRPr="00DF186C">
              <w:rPr>
                <w:rFonts w:cs="Arial"/>
                <w:szCs w:val="20"/>
              </w:rPr>
              <w:t>Návratnost výkazu</w:t>
            </w:r>
            <w:r>
              <w:rPr>
                <w:rFonts w:cs="Arial"/>
                <w:szCs w:val="20"/>
              </w:rPr>
              <w:t>:</w:t>
            </w:r>
          </w:p>
        </w:tc>
        <w:tc>
          <w:tcPr>
            <w:tcW w:w="7513" w:type="dxa"/>
          </w:tcPr>
          <w:p w:rsidR="00317116" w:rsidRPr="001A7855" w:rsidRDefault="00A12D46" w:rsidP="00960A8B">
            <w:pPr>
              <w:tabs>
                <w:tab w:val="left" w:pos="567"/>
              </w:tabs>
              <w:ind w:right="-811"/>
              <w:rPr>
                <w:rFonts w:cs="Arial"/>
                <w:szCs w:val="20"/>
              </w:rPr>
            </w:pPr>
            <w:r w:rsidRPr="001A7855">
              <w:rPr>
                <w:rFonts w:cs="Arial"/>
                <w:szCs w:val="20"/>
              </w:rPr>
              <w:t>9</w:t>
            </w:r>
            <w:r w:rsidR="00960A8B" w:rsidRPr="001A7855">
              <w:rPr>
                <w:rFonts w:cs="Arial"/>
                <w:szCs w:val="20"/>
              </w:rPr>
              <w:t>8</w:t>
            </w:r>
            <w:r w:rsidR="00817727" w:rsidRPr="001A7855">
              <w:rPr>
                <w:rFonts w:cs="Arial"/>
                <w:szCs w:val="20"/>
              </w:rPr>
              <w:t xml:space="preserve"> % v roce 202</w:t>
            </w:r>
            <w:r w:rsidR="00960A8B" w:rsidRPr="001A7855">
              <w:rPr>
                <w:rFonts w:cs="Arial"/>
                <w:szCs w:val="20"/>
              </w:rPr>
              <w:t>2 (za referenční rok 2022)</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Zpravodajské jednotky:</w:t>
            </w:r>
          </w:p>
        </w:tc>
        <w:tc>
          <w:tcPr>
            <w:tcW w:w="7513" w:type="dxa"/>
          </w:tcPr>
          <w:p w:rsidR="00317116" w:rsidRPr="00E311C4" w:rsidRDefault="00AE4B9E" w:rsidP="00AE4B9E">
            <w:pPr>
              <w:tabs>
                <w:tab w:val="left" w:pos="567"/>
              </w:tabs>
              <w:rPr>
                <w:rFonts w:cs="Arial"/>
                <w:szCs w:val="20"/>
              </w:rPr>
            </w:pPr>
            <w:r>
              <w:rPr>
                <w:rFonts w:cs="Arial"/>
                <w:szCs w:val="20"/>
              </w:rPr>
              <w:t>Výkazem</w:t>
            </w:r>
            <w:r w:rsidR="00317116" w:rsidRPr="00E311C4">
              <w:rPr>
                <w:rFonts w:cs="Arial"/>
                <w:szCs w:val="20"/>
              </w:rPr>
              <w:t xml:space="preserve"> LIC 5-01 </w:t>
            </w:r>
            <w:r>
              <w:rPr>
                <w:rFonts w:cs="Arial"/>
                <w:szCs w:val="20"/>
              </w:rPr>
              <w:t>jsou obesílány všechny</w:t>
            </w:r>
            <w:r w:rsidR="00317116" w:rsidRPr="00E311C4">
              <w:rPr>
                <w:rFonts w:cs="Arial"/>
                <w:szCs w:val="20"/>
              </w:rPr>
              <w:t xml:space="preserve"> ekonomické subjekty bez ohledu na jejich převažující ekonomickou činnost (CZ-NACE) nebo institucionální sektor, ma</w:t>
            </w:r>
            <w:r w:rsidR="00317116">
              <w:rPr>
                <w:rFonts w:cs="Arial"/>
                <w:szCs w:val="20"/>
              </w:rPr>
              <w:t xml:space="preserve">jící licenční smlouvu uzavřenou na poskytnutí nebo nabytí práva používat některou z </w:t>
            </w:r>
            <w:r w:rsidR="00317116" w:rsidRPr="00E311C4">
              <w:rPr>
                <w:rFonts w:cs="Arial"/>
                <w:szCs w:val="20"/>
              </w:rPr>
              <w:t>oc</w:t>
            </w:r>
            <w:r w:rsidR="00317116">
              <w:rPr>
                <w:rFonts w:cs="Arial"/>
                <w:szCs w:val="20"/>
              </w:rPr>
              <w:t xml:space="preserve">hran </w:t>
            </w:r>
            <w:r w:rsidR="00317116" w:rsidRPr="00E311C4">
              <w:rPr>
                <w:rFonts w:cs="Arial"/>
                <w:szCs w:val="20"/>
              </w:rPr>
              <w:t>průmyslového vlastnictví, j</w:t>
            </w:r>
            <w:r>
              <w:rPr>
                <w:rFonts w:cs="Arial"/>
                <w:szCs w:val="20"/>
              </w:rPr>
              <w:t>ejíž platnost ještě neskončila.</w:t>
            </w:r>
          </w:p>
        </w:tc>
      </w:tr>
      <w:tr w:rsidR="00317116" w:rsidRPr="0028197D"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Předmět šetření:</w:t>
            </w:r>
          </w:p>
        </w:tc>
        <w:tc>
          <w:tcPr>
            <w:tcW w:w="7513" w:type="dxa"/>
          </w:tcPr>
          <w:p w:rsidR="00317116" w:rsidRPr="0028197D" w:rsidRDefault="00317116" w:rsidP="00AB72DF">
            <w:pPr>
              <w:tabs>
                <w:tab w:val="left" w:pos="567"/>
              </w:tabs>
              <w:rPr>
                <w:rFonts w:cs="Arial"/>
                <w:szCs w:val="20"/>
              </w:rPr>
            </w:pPr>
            <w:r w:rsidRPr="0034109A">
              <w:rPr>
                <w:rFonts w:cs="Arial"/>
                <w:szCs w:val="20"/>
              </w:rPr>
              <w:t>Získání údajů o licencích na některou z ochran průmyslového vlastnictví (patenty, užitné vzory, know-how, průmyslové vzory, topografie polovodičových výrobků, nové odrůdy rostlin a pl</w:t>
            </w:r>
            <w:r w:rsidR="00A87010">
              <w:rPr>
                <w:rFonts w:cs="Arial"/>
                <w:szCs w:val="20"/>
              </w:rPr>
              <w:t>emena zvířat a ochranné známky)</w:t>
            </w:r>
          </w:p>
        </w:tc>
      </w:tr>
      <w:tr w:rsidR="00317116" w:rsidRPr="00240717" w:rsidTr="00446BD4">
        <w:tc>
          <w:tcPr>
            <w:tcW w:w="2376" w:type="dxa"/>
            <w:shd w:val="pct10" w:color="auto" w:fill="auto"/>
          </w:tcPr>
          <w:p w:rsidR="00317116" w:rsidRPr="00240717" w:rsidRDefault="00317116" w:rsidP="00317116">
            <w:pPr>
              <w:tabs>
                <w:tab w:val="left" w:pos="567"/>
              </w:tabs>
              <w:jc w:val="left"/>
              <w:rPr>
                <w:rFonts w:cs="Arial"/>
                <w:szCs w:val="20"/>
              </w:rPr>
            </w:pPr>
            <w:r w:rsidRPr="0028197D">
              <w:rPr>
                <w:rFonts w:cs="Arial"/>
                <w:szCs w:val="20"/>
              </w:rPr>
              <w:t>Hlavní zjišťované ukazatele</w:t>
            </w:r>
            <w:r w:rsidRPr="00240717">
              <w:rPr>
                <w:rFonts w:cs="Arial"/>
                <w:szCs w:val="20"/>
              </w:rPr>
              <w:t>:</w:t>
            </w:r>
          </w:p>
        </w:tc>
        <w:tc>
          <w:tcPr>
            <w:tcW w:w="7513" w:type="dxa"/>
          </w:tcPr>
          <w:p w:rsidR="00317116" w:rsidRPr="008D2795" w:rsidRDefault="00317116" w:rsidP="00317116">
            <w:pPr>
              <w:tabs>
                <w:tab w:val="left" w:pos="567"/>
              </w:tabs>
              <w:spacing w:after="60"/>
              <w:rPr>
                <w:rFonts w:cs="Arial"/>
                <w:szCs w:val="20"/>
              </w:rPr>
            </w:pPr>
            <w:r w:rsidRPr="008D2795">
              <w:rPr>
                <w:rFonts w:cs="Arial"/>
                <w:szCs w:val="20"/>
              </w:rPr>
              <w:t>Počet subjektů s platnou lice</w:t>
            </w:r>
            <w:r w:rsidR="00A87010">
              <w:rPr>
                <w:rFonts w:cs="Arial"/>
                <w:szCs w:val="20"/>
              </w:rPr>
              <w:t>ncí poskytnutou jinému subjektu</w:t>
            </w:r>
          </w:p>
          <w:p w:rsidR="00317116" w:rsidRPr="008D2795" w:rsidRDefault="00317116" w:rsidP="00317116">
            <w:pPr>
              <w:tabs>
                <w:tab w:val="left" w:pos="567"/>
              </w:tabs>
              <w:spacing w:after="60"/>
              <w:rPr>
                <w:rFonts w:cs="Arial"/>
                <w:szCs w:val="20"/>
              </w:rPr>
            </w:pPr>
            <w:r w:rsidRPr="008D2795">
              <w:rPr>
                <w:rFonts w:cs="Arial"/>
                <w:szCs w:val="20"/>
              </w:rPr>
              <w:t xml:space="preserve">Počet subjektů s novou licencí poskytnutou ve </w:t>
            </w:r>
            <w:r w:rsidR="00A87010">
              <w:rPr>
                <w:rFonts w:cs="Arial"/>
                <w:szCs w:val="20"/>
              </w:rPr>
              <w:t>sledovaném roce jinému subjektu</w:t>
            </w:r>
          </w:p>
          <w:p w:rsidR="00317116" w:rsidRPr="008D2795" w:rsidRDefault="00317116" w:rsidP="00317116">
            <w:pPr>
              <w:tabs>
                <w:tab w:val="left" w:pos="567"/>
              </w:tabs>
              <w:spacing w:after="60"/>
              <w:rPr>
                <w:rFonts w:cs="Arial"/>
                <w:szCs w:val="20"/>
              </w:rPr>
            </w:pPr>
            <w:r w:rsidRPr="008D2795">
              <w:rPr>
                <w:rFonts w:cs="Arial"/>
                <w:szCs w:val="20"/>
              </w:rPr>
              <w:t>Celkové příjmy z poskytnutých patentových licencí platných v sledovaném roce</w:t>
            </w:r>
          </w:p>
          <w:p w:rsidR="00317116" w:rsidRPr="008D2795" w:rsidRDefault="00317116" w:rsidP="00317116">
            <w:pPr>
              <w:tabs>
                <w:tab w:val="left" w:pos="567"/>
              </w:tabs>
              <w:spacing w:after="60"/>
              <w:rPr>
                <w:rFonts w:cs="Arial"/>
                <w:szCs w:val="20"/>
              </w:rPr>
            </w:pPr>
            <w:r w:rsidRPr="008D2795">
              <w:rPr>
                <w:rFonts w:cs="Arial"/>
                <w:szCs w:val="20"/>
              </w:rPr>
              <w:t>Příjmy z patentových licencí poskytnutých poprvé (nově) v sle</w:t>
            </w:r>
            <w:r w:rsidR="00A87010">
              <w:rPr>
                <w:rFonts w:cs="Arial"/>
                <w:szCs w:val="20"/>
              </w:rPr>
              <w:t>dovaném roce</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Pr>
                <w:rFonts w:cs="Arial"/>
                <w:szCs w:val="20"/>
              </w:rPr>
              <w:t>Používan</w:t>
            </w:r>
            <w:r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7513" w:type="dxa"/>
          </w:tcPr>
          <w:p w:rsidR="00317116" w:rsidRPr="00B90F49" w:rsidRDefault="00317116" w:rsidP="00317116">
            <w:pPr>
              <w:tabs>
                <w:tab w:val="left" w:pos="567"/>
              </w:tabs>
              <w:spacing w:after="60"/>
              <w:rPr>
                <w:rFonts w:cs="Arial"/>
                <w:szCs w:val="20"/>
              </w:rPr>
            </w:pPr>
            <w:r w:rsidRPr="00B90F49">
              <w:rPr>
                <w:rFonts w:cs="Arial"/>
                <w:szCs w:val="20"/>
              </w:rPr>
              <w:t>Předmět licenční smlouvy (patenty, užitné vzory, know-how, průmyslové vzory, nové odrůdy rostlin a plemen zvířat)</w:t>
            </w:r>
          </w:p>
          <w:p w:rsidR="00317116" w:rsidRPr="00B90F49" w:rsidRDefault="00317116" w:rsidP="00317116">
            <w:pPr>
              <w:tabs>
                <w:tab w:val="left" w:pos="567"/>
              </w:tabs>
              <w:spacing w:after="60"/>
              <w:rPr>
                <w:rFonts w:cs="Arial"/>
                <w:szCs w:val="20"/>
              </w:rPr>
            </w:pPr>
            <w:r w:rsidRPr="00B90F49">
              <w:rPr>
                <w:rFonts w:cs="Arial"/>
                <w:szCs w:val="20"/>
              </w:rPr>
              <w:t>Země smluvního partnera licenční smlouvy uzavřené se subjektem působícím na území ČR nebo s partnerem ze zah</w:t>
            </w:r>
            <w:r w:rsidR="00A87010">
              <w:rPr>
                <w:rFonts w:cs="Arial"/>
                <w:szCs w:val="20"/>
              </w:rPr>
              <w:t>raničí</w:t>
            </w:r>
          </w:p>
          <w:p w:rsidR="00317116" w:rsidRDefault="00317116" w:rsidP="00317116">
            <w:pPr>
              <w:tabs>
                <w:tab w:val="left" w:pos="567"/>
              </w:tabs>
              <w:spacing w:after="60"/>
              <w:rPr>
                <w:rFonts w:cs="Arial"/>
                <w:szCs w:val="20"/>
              </w:rPr>
            </w:pPr>
            <w:r w:rsidRPr="00B90F49">
              <w:rPr>
                <w:rFonts w:cs="Arial"/>
                <w:szCs w:val="20"/>
              </w:rPr>
              <w:t xml:space="preserve">Produkce, jež je předmětem licenční </w:t>
            </w:r>
            <w:r w:rsidR="003C0034">
              <w:rPr>
                <w:rFonts w:cs="Arial"/>
                <w:szCs w:val="20"/>
              </w:rPr>
              <w:t>smlouvy</w:t>
            </w:r>
          </w:p>
          <w:p w:rsidR="00317116" w:rsidRDefault="00317116" w:rsidP="00AB72DF">
            <w:pPr>
              <w:tabs>
                <w:tab w:val="left" w:pos="567"/>
              </w:tabs>
              <w:spacing w:after="120"/>
              <w:rPr>
                <w:rFonts w:cs="Arial"/>
                <w:szCs w:val="20"/>
              </w:rPr>
            </w:pPr>
            <w:r w:rsidRPr="00B90F49">
              <w:rPr>
                <w:rFonts w:cs="Arial"/>
                <w:szCs w:val="20"/>
              </w:rPr>
              <w:t>Při třídění zpravodajských jednotek s uzavřenou licenční smlouvou bylo využito da</w:t>
            </w:r>
            <w:r>
              <w:rPr>
                <w:rFonts w:cs="Arial"/>
                <w:szCs w:val="20"/>
              </w:rPr>
              <w:t>lších ukazatelů</w:t>
            </w:r>
            <w:r w:rsidRPr="00B90F49">
              <w:rPr>
                <w:rFonts w:cs="Arial"/>
                <w:szCs w:val="20"/>
              </w:rPr>
              <w:t>:</w:t>
            </w:r>
          </w:p>
          <w:p w:rsidR="00317116" w:rsidRDefault="00317116" w:rsidP="00317116">
            <w:pPr>
              <w:tabs>
                <w:tab w:val="left" w:pos="567"/>
              </w:tabs>
              <w:spacing w:after="60"/>
              <w:rPr>
                <w:rFonts w:cs="Arial"/>
                <w:szCs w:val="20"/>
              </w:rPr>
            </w:pPr>
            <w:r>
              <w:rPr>
                <w:rFonts w:cs="Arial"/>
                <w:szCs w:val="20"/>
              </w:rPr>
              <w:t>- typu poskytovatele, definovaný na základě číselníků uvedených v Registru ekonomických subjektů (RES)</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sídla subjektů s uzavřenou licenční smlouvou (CZ-NUTS)</w:t>
            </w:r>
          </w:p>
          <w:p w:rsidR="00317116" w:rsidRDefault="00317116" w:rsidP="00317116">
            <w:pPr>
              <w:tabs>
                <w:tab w:val="left" w:pos="567"/>
              </w:tabs>
              <w:spacing w:after="60"/>
              <w:rPr>
                <w:rFonts w:cs="Arial"/>
                <w:szCs w:val="20"/>
              </w:rPr>
            </w:pPr>
            <w:r>
              <w:rPr>
                <w:rFonts w:cs="Arial"/>
                <w:szCs w:val="20"/>
              </w:rPr>
              <w:t>- velikostní skupiny na základě počtu zaměstnanců</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klasifikace ekonomických činností</w:t>
            </w:r>
            <w:r>
              <w:rPr>
                <w:rFonts w:cs="Arial"/>
                <w:szCs w:val="20"/>
              </w:rPr>
              <w:t xml:space="preserve"> (CZ-NACE)</w:t>
            </w:r>
          </w:p>
        </w:tc>
      </w:tr>
    </w:tbl>
    <w:p w:rsidR="00317116" w:rsidRDefault="00317116" w:rsidP="00317116">
      <w:pPr>
        <w:pStyle w:val="Nadpis1"/>
        <w:tabs>
          <w:tab w:val="left" w:pos="567"/>
        </w:tabs>
      </w:pPr>
      <w:r w:rsidRPr="00237539">
        <w:rPr>
          <w:bCs w:val="0"/>
        </w:rPr>
        <w:lastRenderedPageBreak/>
        <w:t>2.</w:t>
      </w:r>
      <w:r>
        <w:tab/>
      </w:r>
      <w:r w:rsidRPr="00EE17B2">
        <w:t>Metodika</w:t>
      </w:r>
      <w:r>
        <w:t xml:space="preserve"> šetření</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Cílem tét</w:t>
      </w:r>
      <w:r w:rsidR="00B02587">
        <w:rPr>
          <w:rFonts w:cs="Arial"/>
          <w:color w:val="000000"/>
          <w:szCs w:val="20"/>
        </w:rPr>
        <w:t>o publikace je prezentace souhrnných výstup</w:t>
      </w:r>
      <w:r w:rsidR="0053725B">
        <w:rPr>
          <w:rFonts w:cs="Arial"/>
          <w:color w:val="000000"/>
          <w:szCs w:val="20"/>
        </w:rPr>
        <w:t>ů</w:t>
      </w:r>
      <w:r>
        <w:rPr>
          <w:rFonts w:cs="Arial"/>
          <w:color w:val="000000"/>
          <w:szCs w:val="20"/>
        </w:rPr>
        <w:t xml:space="preserve"> pravidelného Ročního šetření o licencích (Lic 5-01)</w:t>
      </w:r>
      <w:r>
        <w:rPr>
          <w:rStyle w:val="Znakapoznpodarou"/>
          <w:rFonts w:cs="Arial"/>
          <w:color w:val="000000"/>
          <w:szCs w:val="20"/>
        </w:rPr>
        <w:footnoteReference w:id="1"/>
      </w:r>
      <w:r>
        <w:rPr>
          <w:rFonts w:cs="Arial"/>
          <w:color w:val="000000"/>
          <w:szCs w:val="20"/>
        </w:rPr>
        <w:t xml:space="preserve">. </w:t>
      </w:r>
      <w:r w:rsidR="00AE4B9E" w:rsidRPr="00AE4B9E">
        <w:rPr>
          <w:rFonts w:cs="Arial"/>
          <w:color w:val="000000"/>
          <w:szCs w:val="20"/>
        </w:rPr>
        <w:t>Výsledky z tohoto zjišťování přinášejí podrobné údaje o poskytnutých licencích patřícím tuzemských subjektům třetím su</w:t>
      </w:r>
      <w:r w:rsidR="00AE4B9E">
        <w:rPr>
          <w:rFonts w:cs="Arial"/>
          <w:color w:val="000000"/>
          <w:szCs w:val="20"/>
        </w:rPr>
        <w:t>bjektům na využívání</w:t>
      </w:r>
      <w:r>
        <w:rPr>
          <w:rFonts w:cs="Arial"/>
          <w:color w:val="000000"/>
          <w:szCs w:val="20"/>
        </w:rPr>
        <w:t xml:space="preserve"> práv plynoucích z ochrany průmyslového vlastnictví platných na území České republiky včetně povahy uzavřených licenčních smluv. Zpravodajskými jednotkami jsou všechny právnické subjekty s platnými licenčními smlouvami uzavřenými na poskytnutí práv užívat některé z ochran průmyslového vlastnictví.</w:t>
      </w:r>
    </w:p>
    <w:p w:rsidR="003B516B" w:rsidRDefault="00317116" w:rsidP="003B516B">
      <w:pPr>
        <w:tabs>
          <w:tab w:val="left" w:pos="567"/>
        </w:tabs>
        <w:autoSpaceDE w:val="0"/>
        <w:autoSpaceDN w:val="0"/>
        <w:adjustRightInd w:val="0"/>
        <w:spacing w:after="60"/>
        <w:rPr>
          <w:rFonts w:cs="Arial"/>
          <w:color w:val="000000"/>
          <w:szCs w:val="20"/>
        </w:rPr>
      </w:pPr>
      <w:r>
        <w:rPr>
          <w:rFonts w:cs="Arial"/>
          <w:color w:val="000000"/>
          <w:szCs w:val="20"/>
        </w:rPr>
        <w:t xml:space="preserve">Za účelem zjišťování struktury uzavřených licenčních smluv z hlediska povahy ochrany průmyslového vlastnictví jsou v rámci šetření rozlišeny následující formy: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patenty,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užitné vzory,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nepatentované vynálezy (know-how),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průmyslové vzory</w:t>
      </w:r>
      <w:r w:rsidR="0012546F">
        <w:rPr>
          <w:rFonts w:cs="Arial"/>
          <w:color w:val="000000"/>
          <w:szCs w:val="20"/>
        </w:rPr>
        <w:t>,</w:t>
      </w:r>
      <w:r w:rsidRPr="001C2955">
        <w:rPr>
          <w:rFonts w:cs="Arial"/>
          <w:color w:val="000000"/>
          <w:szCs w:val="20"/>
        </w:rPr>
        <w:t xml:space="preserve">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nové odrůdy rostlin a plemen zvířat. </w:t>
      </w:r>
    </w:p>
    <w:p w:rsidR="00317116" w:rsidRDefault="00317116" w:rsidP="003B516B">
      <w:pPr>
        <w:tabs>
          <w:tab w:val="left" w:pos="567"/>
        </w:tabs>
        <w:autoSpaceDE w:val="0"/>
        <w:autoSpaceDN w:val="0"/>
        <w:adjustRightInd w:val="0"/>
        <w:spacing w:before="120" w:after="160"/>
        <w:rPr>
          <w:rFonts w:cs="Arial"/>
          <w:color w:val="000000"/>
          <w:szCs w:val="20"/>
        </w:rPr>
      </w:pPr>
      <w:r>
        <w:rPr>
          <w:rFonts w:cs="Arial"/>
          <w:color w:val="000000"/>
          <w:szCs w:val="20"/>
        </w:rPr>
        <w:t>Vedle povahy licenčních smluv jsou statistickým výkazem podchyceny údaje o nově uzavřených licenčních smlouvách, zemích smluvních partnerů a kódu produkce. Roční statistické šetření o licencích rovněž zjišťuje výš</w:t>
      </w:r>
      <w:r w:rsidR="00AE4B9E">
        <w:rPr>
          <w:rFonts w:cs="Arial"/>
          <w:color w:val="000000"/>
          <w:szCs w:val="20"/>
        </w:rPr>
        <w:t>i</w:t>
      </w:r>
      <w:r>
        <w:rPr>
          <w:rFonts w:cs="Arial"/>
          <w:color w:val="000000"/>
          <w:szCs w:val="20"/>
        </w:rPr>
        <w:t xml:space="preserve"> přijatých licenčních poplatků ekonomickými subjekty sídlícími na území České republiky.</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Licenční smlouva </w:t>
      </w:r>
      <w:r>
        <w:rPr>
          <w:rFonts w:cs="Arial"/>
          <w:color w:val="000000"/>
          <w:szCs w:val="20"/>
        </w:rPr>
        <w:t xml:space="preserve">je definována jako poskytnutí práva k nabytí či poskytnutí licence na některou z ochran průmyslového vlastnictví. Licenční smlouvy se uzavírají k patentovaným vynálezům, resp. zapsaným užitným vzorům, průmyslovým vzorům či novým odrůdám rostlin a plemenům zvířat písemnou smlouvou. Poskytovatel opravňuje nabyvatele ve sjednaném rozsahu a na sjednaném území k výkonu práv z průmyslového vlastnictví a nabyvatel se zavazuje k poskytování úplaty (licenčních poplatků) nebo jiné majetkové hodnoty. Licenční poplatky lze platit v pravidelných splátkách (např. ročních). Platba může proběhnout jednorázově při uzavření licenční smlouvy. Vyskytují se také případy, kdy je licence poskytnuta bezplatně. Licenční smlouva nabývá v České republice účinnosti vůči třetím osobám zápisem do registru u </w:t>
      </w:r>
      <w:hyperlink r:id="rId8" w:history="1">
        <w:r>
          <w:rPr>
            <w:rStyle w:val="Hypertextovodkaz"/>
            <w:rFonts w:cs="Arial"/>
            <w:szCs w:val="20"/>
          </w:rPr>
          <w:t>Úřadu průmyslového vlastnictví České republiky</w:t>
        </w:r>
      </w:hyperlink>
      <w:r>
        <w:rPr>
          <w:rFonts w:cs="Arial"/>
          <w:color w:val="000000"/>
          <w:szCs w:val="20"/>
        </w:rPr>
        <w:t xml:space="preserve"> (dále jako ÚPV ČR) se sídlem v hl. městě Praze.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Licence lze dále členit dle rozsahu poskytovaných práv, kde rozlišujeme výlučné a nevýlučné licence</w:t>
      </w:r>
      <w:r>
        <w:rPr>
          <w:rStyle w:val="Znakapoznpodarou"/>
          <w:rFonts w:cs="Arial"/>
          <w:color w:val="000000"/>
          <w:szCs w:val="20"/>
        </w:rPr>
        <w:footnoteReference w:id="2"/>
      </w:r>
      <w:r>
        <w:rPr>
          <w:rFonts w:cs="Arial"/>
          <w:color w:val="000000"/>
          <w:szCs w:val="20"/>
        </w:rPr>
        <w:t xml:space="preserve">. Získáním </w:t>
      </w:r>
      <w:r>
        <w:rPr>
          <w:rFonts w:cs="Arial"/>
          <w:b/>
          <w:color w:val="000000"/>
          <w:szCs w:val="20"/>
        </w:rPr>
        <w:t>v</w:t>
      </w:r>
      <w:r>
        <w:rPr>
          <w:rFonts w:cs="Arial"/>
          <w:b/>
          <w:bCs/>
          <w:color w:val="000000"/>
          <w:szCs w:val="20"/>
        </w:rPr>
        <w:t xml:space="preserve">ýlučné </w:t>
      </w:r>
      <w:r>
        <w:rPr>
          <w:rFonts w:cs="Arial"/>
          <w:bCs/>
          <w:color w:val="000000"/>
          <w:szCs w:val="20"/>
        </w:rPr>
        <w:t xml:space="preserve">licence se nabyvatel stává jediným </w:t>
      </w:r>
      <w:r>
        <w:rPr>
          <w:rFonts w:cs="Arial"/>
          <w:color w:val="000000"/>
          <w:szCs w:val="20"/>
        </w:rPr>
        <w:t xml:space="preserve">uživatelem poskytnutých práv </w:t>
      </w:r>
      <w:r>
        <w:rPr>
          <w:rFonts w:cs="Arial"/>
          <w:bCs/>
          <w:color w:val="000000"/>
          <w:szCs w:val="20"/>
        </w:rPr>
        <w:t>na stanoveném smluvním území</w:t>
      </w:r>
      <w:r>
        <w:rPr>
          <w:rFonts w:cs="Arial"/>
          <w:color w:val="000000"/>
          <w:szCs w:val="20"/>
        </w:rPr>
        <w:t xml:space="preserve">. Poskytovatel nesmí po dobu platnosti licence narušovat výlučnost nabyvatele uzavíráním dalších smluv se třetími osobami. Poskytne-li poskytovatel v době trvání výlučné licence bez písemného souhlasu nabyvatele licenci třetí osobě, licence nevznikne. Není-li výslovně sjednána výhradní licence, jedná se nevýhradní licenci. U </w:t>
      </w:r>
      <w:r>
        <w:rPr>
          <w:rFonts w:cs="Arial"/>
          <w:b/>
          <w:color w:val="000000"/>
          <w:szCs w:val="20"/>
        </w:rPr>
        <w:t>n</w:t>
      </w:r>
      <w:r>
        <w:rPr>
          <w:rFonts w:cs="Arial"/>
          <w:b/>
          <w:bCs/>
          <w:color w:val="000000"/>
          <w:szCs w:val="20"/>
        </w:rPr>
        <w:t xml:space="preserve">evýlučných </w:t>
      </w:r>
      <w:r>
        <w:rPr>
          <w:rFonts w:cs="Arial"/>
          <w:bCs/>
          <w:color w:val="000000"/>
          <w:szCs w:val="20"/>
        </w:rPr>
        <w:t xml:space="preserve">licencí je poskytovatel </w:t>
      </w:r>
      <w:r>
        <w:rPr>
          <w:rFonts w:cs="Arial"/>
          <w:color w:val="000000"/>
          <w:szCs w:val="20"/>
        </w:rPr>
        <w:t>v době platnosti licenční smlouvy oprávněn uzavírat obdobné licenční smlouvy s třetími osobami na smluvním území. Původní nabyvatel nezískává monopolní výhody, čímž může být nabyvatelů licencí se stejným předmětem licenční smlouvy více.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Jak bylo uvedeno v předcházejícím textu, na základě povahy licenční smlouvy rozlišujeme několik skupin licencí: </w:t>
      </w:r>
      <w:r>
        <w:rPr>
          <w:rFonts w:cs="Arial"/>
          <w:b/>
          <w:bCs/>
          <w:color w:val="000000"/>
          <w:szCs w:val="20"/>
        </w:rPr>
        <w:t>patentové licence</w:t>
      </w:r>
      <w:r>
        <w:rPr>
          <w:rFonts w:cs="Arial"/>
          <w:bCs/>
          <w:color w:val="000000"/>
          <w:szCs w:val="20"/>
        </w:rPr>
        <w:t>, jejichž p</w:t>
      </w:r>
      <w:r>
        <w:rPr>
          <w:rFonts w:cs="Arial"/>
          <w:color w:val="000000"/>
          <w:szCs w:val="20"/>
        </w:rPr>
        <w:t xml:space="preserve">ředmětem jsou vynálezy chráněné patentem; </w:t>
      </w:r>
      <w:r>
        <w:rPr>
          <w:rFonts w:cs="Arial"/>
          <w:b/>
          <w:bCs/>
          <w:color w:val="000000"/>
          <w:szCs w:val="20"/>
        </w:rPr>
        <w:t>licence vzorové</w:t>
      </w:r>
      <w:r>
        <w:rPr>
          <w:rFonts w:cs="Arial"/>
          <w:bCs/>
          <w:color w:val="000000"/>
          <w:szCs w:val="20"/>
        </w:rPr>
        <w:t xml:space="preserve">, vztahující se na </w:t>
      </w:r>
      <w:r>
        <w:rPr>
          <w:rFonts w:cs="Arial"/>
          <w:color w:val="000000"/>
          <w:szCs w:val="20"/>
        </w:rPr>
        <w:t xml:space="preserve">průmyslové nebo užitné vzory; </w:t>
      </w:r>
      <w:r>
        <w:rPr>
          <w:rFonts w:cs="Arial"/>
          <w:b/>
          <w:bCs/>
          <w:color w:val="000000"/>
          <w:szCs w:val="20"/>
        </w:rPr>
        <w:t>licence na know-how</w:t>
      </w:r>
      <w:r>
        <w:rPr>
          <w:rFonts w:cs="Arial"/>
          <w:bCs/>
          <w:color w:val="000000"/>
          <w:szCs w:val="20"/>
        </w:rPr>
        <w:t xml:space="preserve">, jejichž předmětem </w:t>
      </w:r>
      <w:r>
        <w:rPr>
          <w:rFonts w:cs="Arial"/>
          <w:color w:val="000000"/>
          <w:szCs w:val="20"/>
        </w:rPr>
        <w:t xml:space="preserve">jsou různá technická a technologická zlepšení a výrobní zkušenosti, jež nemohou být předmětem patentové ochrany a </w:t>
      </w:r>
      <w:r>
        <w:rPr>
          <w:rFonts w:cs="Arial"/>
          <w:b/>
          <w:bCs/>
          <w:color w:val="000000"/>
          <w:szCs w:val="20"/>
        </w:rPr>
        <w:t>smíšené licence</w:t>
      </w:r>
      <w:r>
        <w:rPr>
          <w:rFonts w:cs="Arial"/>
          <w:color w:val="000000"/>
          <w:szCs w:val="20"/>
        </w:rPr>
        <w:t>. Předmětem smíšených licencí jsou patentová práva a výrobně technické poznatky (know-</w:t>
      </w:r>
      <w:r>
        <w:rPr>
          <w:rFonts w:cs="Arial"/>
          <w:color w:val="000000"/>
          <w:szCs w:val="20"/>
        </w:rPr>
        <w:lastRenderedPageBreak/>
        <w:t>how), bez jejichž znalosti by nabyvatel v mnoha případech ani nemohl patent využívat. Předmětem může být např. i právo na výrobu určitého výrobku s tím, že nabyvatel bude moci tyto výrobky označovat ochrannou známkou poskytovatele.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Patent </w:t>
      </w:r>
      <w:r>
        <w:rPr>
          <w:rFonts w:cs="Arial"/>
          <w:color w:val="000000"/>
          <w:szCs w:val="20"/>
        </w:rPr>
        <w:t>je veřejnou listinou vydanou UPV ČR</w:t>
      </w:r>
      <w:r>
        <w:rPr>
          <w:rStyle w:val="Znakapoznpodarou"/>
          <w:rFonts w:cs="Arial"/>
          <w:color w:val="000000"/>
          <w:szCs w:val="20"/>
        </w:rPr>
        <w:footnoteReference w:id="3"/>
      </w:r>
      <w:r>
        <w:rPr>
          <w:rFonts w:cs="Arial"/>
          <w:color w:val="000000"/>
          <w:szCs w:val="20"/>
        </w:rPr>
        <w:t xml:space="preserve"> sídlícím v hl. městě Praze</w:t>
      </w:r>
      <w:r>
        <w:rPr>
          <w:rStyle w:val="Znakapoznpodarou"/>
          <w:rFonts w:cs="Arial"/>
          <w:color w:val="000000"/>
          <w:szCs w:val="20"/>
        </w:rPr>
        <w:footnoteReference w:id="4"/>
      </w:r>
      <w:r>
        <w:rPr>
          <w:rFonts w:cs="Arial"/>
          <w:color w:val="000000"/>
          <w:szCs w:val="20"/>
        </w:rPr>
        <w:t xml:space="preserve"> či jiným národním nebo mezinárodním patentovým úřadem poskytujícím právní ochranu původním výsledkům vynálezecké činnosti či výzkumu a vývoje. Bez souhlasu majitele patentu nesmí být vyráběn, nabízet či uvádět na trh. Délka platnosti patentu může trvat až 20 let od podání přihlášky, jsou-li hrazeny poplatky za udržování jeho platnosti. Platí na teritoriu, pro něž byl úřadem vydán. Patenty chrání nové vynálezy, jež jsou výsledky vynálezecké činnosti a jsou průmyslově využitelné. </w:t>
      </w:r>
      <w:r w:rsidR="00993995" w:rsidRPr="00993995">
        <w:rPr>
          <w:rFonts w:cs="Arial"/>
          <w:color w:val="000000"/>
          <w:szCs w:val="20"/>
        </w:rPr>
        <w:t>Patent je průmyslově využitelný, je-li jeho předmět vyráběn nebo jinak využíván v průmyslu, zemědělství či jiných hospodářských oblastech. Lze patentovat nejen nové výrobky a technologie, ale i chemicky vyrobené látky, léčiva, průmyslové produkční mikroorganismy, biotechnologické postupy a produkty získané jejich pomocí.</w:t>
      </w:r>
      <w:r w:rsidR="00993995">
        <w:rPr>
          <w:rFonts w:cs="Arial"/>
          <w:color w:val="000000"/>
          <w:szCs w:val="20"/>
        </w:rPr>
        <w:t xml:space="preserve"> </w:t>
      </w:r>
      <w:r>
        <w:rPr>
          <w:rFonts w:cs="Arial"/>
          <w:color w:val="000000"/>
          <w:szCs w:val="20"/>
        </w:rPr>
        <w:t>Účinky patentu nastávají ode dne oznámení o udělení patentu ve Věstníku ÚPV. Souhlas k využívání vynálezu chráněného patentem se poskytuje licenční smlouvou. Za patenty se nepovažují patentové přihlášky v jakékoli fázi řízení o udělení patentu.</w:t>
      </w:r>
      <w:r>
        <w:rPr>
          <w:rStyle w:val="Znakapoznpodarou"/>
          <w:rFonts w:cs="Arial"/>
          <w:color w:val="000000"/>
          <w:szCs w:val="20"/>
        </w:rPr>
        <w:footnoteReference w:id="5"/>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Patentová </w:t>
      </w:r>
      <w:r w:rsidR="001367B2">
        <w:rPr>
          <w:rFonts w:cs="Arial"/>
          <w:color w:val="000000"/>
          <w:szCs w:val="20"/>
        </w:rPr>
        <w:t xml:space="preserve">ochrana </w:t>
      </w:r>
      <w:r>
        <w:rPr>
          <w:rFonts w:cs="Arial"/>
          <w:color w:val="000000"/>
          <w:szCs w:val="20"/>
        </w:rPr>
        <w:t>nemusí být vždy nejvhodnější formou ochrany jedinečných technických řešení. K ochraně vynálezu lze zvolit jednodušší, rychlejší a levnější ochranu užitným vzorem.</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Užitný vzor</w:t>
      </w:r>
      <w:r>
        <w:rPr>
          <w:rStyle w:val="Znakapoznpodarou"/>
          <w:rFonts w:cs="Arial"/>
          <w:b/>
          <w:bCs/>
          <w:color w:val="000000"/>
          <w:szCs w:val="20"/>
        </w:rPr>
        <w:footnoteReference w:id="6"/>
      </w:r>
      <w:r>
        <w:rPr>
          <w:rFonts w:cs="Arial"/>
          <w:b/>
          <w:bCs/>
          <w:color w:val="000000"/>
          <w:szCs w:val="20"/>
        </w:rPr>
        <w:t xml:space="preserve"> </w:t>
      </w:r>
      <w:r>
        <w:rPr>
          <w:rFonts w:cs="Arial"/>
          <w:bCs/>
          <w:color w:val="000000"/>
          <w:szCs w:val="20"/>
        </w:rPr>
        <w:t xml:space="preserve">je jakýmsi </w:t>
      </w:r>
      <w:r>
        <w:rPr>
          <w:rFonts w:cs="Arial"/>
          <w:color w:val="000000"/>
          <w:szCs w:val="20"/>
        </w:rPr>
        <w:t>„malým patentem“, jež má ke standardnímu patentu velmi blízko. Užitnými vzory lze chránit průmyslově využitelná technická řešení</w:t>
      </w:r>
      <w:r>
        <w:rPr>
          <w:rStyle w:val="Znakapoznpodarou"/>
          <w:rFonts w:cs="Arial"/>
          <w:color w:val="000000"/>
          <w:szCs w:val="20"/>
        </w:rPr>
        <w:footnoteReference w:id="7"/>
      </w:r>
      <w:r>
        <w:rPr>
          <w:rFonts w:cs="Arial"/>
          <w:color w:val="000000"/>
          <w:szCs w:val="20"/>
        </w:rPr>
        <w:t>, jež přesahují rámec pouhé odborné dovednosti. Technické řešení, jež je podstatou užitného vzoru a je po vydání osvědčení o zápisu chráněno, nemusí dosahovat dimenzí vynálezu. Požaduje se však, aby nebylo pouhou vnější úpravou výrobku. Ochrana užitným vzorem je vhodnější pro předměty s kratší životností. Základní rozdíl mezi užitným vzorem a patentem spočívají v povaze řízení, které je u užitných vzorů založeno na tzv. registračním principu. Úřad zkoumá jen splnění základních podmínek pro ochranu a zapisuje užitný vzor do rejstříku, aniž by zkoumal, je-li předmět přihlášky z hlediska novosti a tvůrčí úrovně způsobilý k ochraně. Na rozdíl od patentové ochrany může dojít k zápisu užitného vzoru velmi rychle, zpravidla za 3 – 4 měsíce od podání přihlášky, přičemž účinky zápisu užitného vzoru jsou stejné jako účinky patentu. Poplatky za užitný vzor jsou však řádově nižší. Doba ochrany užitného vzoru trvá jen čtyři roky, lze ji však na žádost majitele prodloužit dvakrát o tři roky. Maximální délka platnost užitného vzoru je tím oproti patentu poloviční. Mezinárodní ochranu poskytuje užitným vzorům podle Pařížské úmluvy asi 40 států.</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Know-how </w:t>
      </w:r>
      <w:r>
        <w:rPr>
          <w:rFonts w:cs="Arial"/>
          <w:b/>
          <w:color w:val="000000"/>
          <w:szCs w:val="20"/>
        </w:rPr>
        <w:t>(nepatentovaný vynález)</w:t>
      </w:r>
      <w:r>
        <w:rPr>
          <w:rFonts w:cs="Arial"/>
          <w:color w:val="000000"/>
          <w:szCs w:val="20"/>
        </w:rPr>
        <w:t xml:space="preserve"> jsou znalosti, zkušenosti či poznatky z oblasti výroby, obchodu, služeb či ekonomiky, jež nejsou chráněny některou z ochran průmyslového vlastnictví. Za know-how lze dále považovat informace, které byly získány za účelem usnadnění určité podnikatelské činnosti. Jedním ze znaků know-how je jeho užitečnost pro uživatele, který jeho užíváním dosahuje pozitivních výsledků, kterých </w:t>
      </w:r>
      <w:r>
        <w:rPr>
          <w:rFonts w:cs="Arial"/>
          <w:color w:val="000000"/>
          <w:szCs w:val="20"/>
        </w:rPr>
        <w:lastRenderedPageBreak/>
        <w:t>by bez znalosti know-how nedosahoval. Majitel know-how ho utajuje, aby nevešlo ve všeobecnou známost a nestalo se dostupným, což by se negativně odrazilo v jeho hodnotě (ceně). Podstatným znakem know-how je jeho využitelnost třetími osobami.</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Průmyslový vzor</w:t>
      </w:r>
      <w:r>
        <w:rPr>
          <w:rStyle w:val="Znakapoznpodarou"/>
          <w:rFonts w:cs="Arial"/>
          <w:b/>
          <w:bCs/>
          <w:color w:val="000000"/>
          <w:szCs w:val="20"/>
        </w:rPr>
        <w:footnoteReference w:id="8"/>
      </w:r>
      <w:r>
        <w:rPr>
          <w:rFonts w:cs="Arial"/>
          <w:b/>
          <w:bCs/>
          <w:color w:val="000000"/>
          <w:szCs w:val="20"/>
        </w:rPr>
        <w:t xml:space="preserve"> </w:t>
      </w:r>
      <w:r>
        <w:rPr>
          <w:rFonts w:cs="Arial"/>
          <w:bCs/>
          <w:color w:val="000000"/>
          <w:szCs w:val="20"/>
        </w:rPr>
        <w:t>řeší</w:t>
      </w:r>
      <w:r>
        <w:rPr>
          <w:rFonts w:cs="Arial"/>
          <w:color w:val="000000"/>
          <w:szCs w:val="20"/>
        </w:rPr>
        <w:t xml:space="preserve"> vyřešení vnější úpravy (vzhledu) výrobku nebo jeho části. Vnější úprava výrobku spočívá zejména ve znacích linií, obrysů, barev a jejich uspořádání, tvaru, struktury nebo materiálů výrobku samotného či jeho zdobení. Průmyslový vzor je způsobilý ochrany, je-li nový a má-li individuální povahu. Průmyslový vzor lze aplikovat také na součástku složeného výrobku, je-li součástka po začlenění do složeného výrobku při běžném využívání viditelná a nese viditelné znaky novosti a individuální povahy. Novost</w:t>
      </w:r>
      <w:r>
        <w:rPr>
          <w:rStyle w:val="Znakapoznpodarou"/>
          <w:rFonts w:cs="Arial"/>
          <w:color w:val="000000"/>
          <w:szCs w:val="20"/>
        </w:rPr>
        <w:footnoteReference w:id="9"/>
      </w:r>
      <w:r>
        <w:rPr>
          <w:rFonts w:cs="Arial"/>
          <w:color w:val="000000"/>
          <w:szCs w:val="20"/>
        </w:rPr>
        <w:t xml:space="preserve"> zkoumá ÚPV ČR podle přihlášky, kterou podrobuje průzkumu formálnímu i věcnému. Ochrana začíná zápisem průmyslového vzoru do rejstříku, přičemž trvá 5 let od data podání přihlášky. Opakovaným obnovováním ho lze prodloužit až na celkovou dobu 25 let.</w:t>
      </w:r>
    </w:p>
    <w:p w:rsidR="00F704D2" w:rsidRDefault="00317116" w:rsidP="00F704D2">
      <w:pPr>
        <w:tabs>
          <w:tab w:val="left" w:pos="567"/>
        </w:tabs>
        <w:autoSpaceDE w:val="0"/>
        <w:autoSpaceDN w:val="0"/>
        <w:adjustRightInd w:val="0"/>
        <w:spacing w:after="60"/>
        <w:rPr>
          <w:rFonts w:cs="Arial"/>
          <w:color w:val="000000"/>
          <w:szCs w:val="20"/>
        </w:rPr>
      </w:pPr>
      <w:r>
        <w:rPr>
          <w:rFonts w:cs="Arial"/>
          <w:b/>
          <w:bCs/>
          <w:color w:val="000000"/>
          <w:szCs w:val="20"/>
        </w:rPr>
        <w:t>Ochrana práv k novým odrůdám rostlin a plemenům zvířat</w:t>
      </w:r>
      <w:r>
        <w:rPr>
          <w:rStyle w:val="Znakapoznpodarou"/>
          <w:rFonts w:cs="Arial"/>
          <w:b/>
          <w:bCs/>
          <w:color w:val="000000"/>
          <w:szCs w:val="20"/>
        </w:rPr>
        <w:footnoteReference w:id="10"/>
      </w:r>
      <w:r>
        <w:rPr>
          <w:rFonts w:cs="Arial"/>
          <w:b/>
          <w:bCs/>
          <w:color w:val="000000"/>
          <w:szCs w:val="20"/>
        </w:rPr>
        <w:t xml:space="preserve"> </w:t>
      </w:r>
      <w:r>
        <w:rPr>
          <w:rFonts w:cs="Arial"/>
          <w:color w:val="000000"/>
          <w:szCs w:val="20"/>
        </w:rPr>
        <w:t>je šlechtitelské osvědčení vydané přihlašovateli (šlechtiteli nebo jeho právnímu zástupci) Ministerstvem zemědělství. Šlechtitelským osvědčením se stvrzuje vyšlechtění odrůdy či plemene, jeho název s uvedením druhu (rodu), původcovství, právo majitele šlechtitelského osvědčení obchodně využívat odrůdu či plemeno a doba ochrany práv. Původcovství přitom vzniká vytvořením nové odrůdy/plemene, jež má</w:t>
      </w:r>
      <w:r w:rsidR="00F704D2">
        <w:rPr>
          <w:rFonts w:cs="Arial"/>
          <w:color w:val="000000"/>
          <w:szCs w:val="20"/>
        </w:rPr>
        <w:t>:</w:t>
      </w:r>
      <w:r>
        <w:rPr>
          <w:rFonts w:cs="Arial"/>
          <w:color w:val="000000"/>
          <w:szCs w:val="20"/>
        </w:rPr>
        <w:t xml:space="preserve">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odlišnost alespoň jednoho podstatného znaku od každé jiné odrůdy/plemene obecně známé ke dni podání přihlášky,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je vyrovnaná přiměřeně biologickým vlastnostem daného materiálu, </w:t>
      </w:r>
    </w:p>
    <w:p w:rsidR="00317116"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stálá v podstatných znacích při respektování zvláštností, které vyžaduje při množení.</w:t>
      </w:r>
    </w:p>
    <w:p w:rsidR="00317116" w:rsidRDefault="00317116" w:rsidP="00317116">
      <w:pPr>
        <w:pStyle w:val="Nadpis2"/>
        <w:tabs>
          <w:tab w:val="left" w:pos="567"/>
        </w:tabs>
      </w:pPr>
      <w:r>
        <w:br w:type="page"/>
      </w:r>
      <w:r>
        <w:lastRenderedPageBreak/>
        <w:t>Základní členění zpravodajských jednotek s uzavřenou licenční smlouvou</w:t>
      </w:r>
    </w:p>
    <w:p w:rsidR="00317116" w:rsidRDefault="00317116" w:rsidP="00317116">
      <w:pPr>
        <w:tabs>
          <w:tab w:val="left" w:pos="567"/>
        </w:tabs>
        <w:autoSpaceDE w:val="0"/>
        <w:autoSpaceDN w:val="0"/>
        <w:adjustRightInd w:val="0"/>
        <w:rPr>
          <w:rFonts w:cs="Arial"/>
          <w:color w:val="000000"/>
          <w:szCs w:val="20"/>
        </w:rPr>
      </w:pPr>
      <w:r>
        <w:rPr>
          <w:rFonts w:cs="Arial"/>
          <w:color w:val="000000"/>
          <w:szCs w:val="20"/>
        </w:rPr>
        <w:t>Jak bylo uvedeno, statistické šetření o licencích zjišťuje povahu a strukturu uzavřených licenčních smluv a výš</w:t>
      </w:r>
      <w:r w:rsidR="00AE4B9E">
        <w:rPr>
          <w:rFonts w:cs="Arial"/>
          <w:color w:val="000000"/>
          <w:szCs w:val="20"/>
        </w:rPr>
        <w:t>i</w:t>
      </w:r>
      <w:r>
        <w:rPr>
          <w:rFonts w:cs="Arial"/>
          <w:color w:val="000000"/>
          <w:szCs w:val="20"/>
        </w:rPr>
        <w:t xml:space="preserve"> přijatých poplatků. Vedle toho jsou měřeny další charakteristiky umožňující třídění uzavřených licenčních smluv, kterými jsou zejména:</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Země smluvního partnera </w:t>
      </w:r>
      <w:r>
        <w:rPr>
          <w:rFonts w:cs="Arial"/>
          <w:color w:val="000000"/>
          <w:szCs w:val="20"/>
        </w:rPr>
        <w:t>licenční smlouvy uzavřené se subjektem působícím na území ČR nebo s partnerem ze zahraničí.</w:t>
      </w:r>
      <w:r>
        <w:rPr>
          <w:rStyle w:val="Znakapoznpodarou"/>
          <w:rFonts w:cs="Arial"/>
          <w:color w:val="000000"/>
          <w:szCs w:val="20"/>
        </w:rPr>
        <w:footnoteReference w:id="11"/>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Produkce</w:t>
      </w:r>
      <w:r>
        <w:rPr>
          <w:rFonts w:cs="Arial"/>
          <w:bCs/>
          <w:color w:val="000000"/>
          <w:szCs w:val="20"/>
        </w:rPr>
        <w:t xml:space="preserve">, jež </w:t>
      </w:r>
      <w:r>
        <w:rPr>
          <w:rFonts w:cs="Arial"/>
          <w:color w:val="000000"/>
          <w:szCs w:val="20"/>
        </w:rPr>
        <w:t>je předmětem licenční smlouvy. Za produkci lze považovat nejen hmotné výrobky, odpady a ostatní druhotné suroviny, díly průmyslových výrobků, kompletační výrobky a příslušenství průmyslových výrobku, ale také průmyslové a neprůmyslové práce, služby a činnosti, které neprobíhají za účelem vytváření nových hmotných výrobků.</w:t>
      </w:r>
    </w:p>
    <w:p w:rsidR="00317116" w:rsidRDefault="00317116" w:rsidP="00317116">
      <w:pPr>
        <w:tabs>
          <w:tab w:val="left" w:pos="567"/>
        </w:tabs>
        <w:autoSpaceDE w:val="0"/>
        <w:autoSpaceDN w:val="0"/>
        <w:adjustRightInd w:val="0"/>
        <w:spacing w:after="160"/>
        <w:rPr>
          <w:rFonts w:cs="Arial"/>
          <w:color w:val="000000"/>
          <w:szCs w:val="20"/>
          <w:u w:val="single"/>
        </w:rPr>
      </w:pPr>
      <w:r>
        <w:rPr>
          <w:rFonts w:cs="Arial"/>
          <w:color w:val="000000"/>
          <w:szCs w:val="20"/>
          <w:u w:val="single"/>
        </w:rPr>
        <w:t>Při třídění zpravodajských jednotek s uzavřenou licenční smlouvou bylo využito dalších ukazatelů a to:</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typu poskytovatele</w:t>
      </w:r>
      <w:r>
        <w:rPr>
          <w:rFonts w:cs="Arial"/>
          <w:bCs/>
          <w:color w:val="000000"/>
          <w:szCs w:val="20"/>
        </w:rPr>
        <w:t>, jenž byl definován</w:t>
      </w:r>
      <w:r>
        <w:rPr>
          <w:rFonts w:cs="Arial"/>
          <w:b/>
          <w:bCs/>
          <w:color w:val="000000"/>
          <w:szCs w:val="20"/>
        </w:rPr>
        <w:t xml:space="preserve"> </w:t>
      </w:r>
      <w:r>
        <w:rPr>
          <w:rFonts w:cs="Arial"/>
          <w:color w:val="000000"/>
          <w:szCs w:val="20"/>
        </w:rPr>
        <w:t>na základě číselníků uvedených v Registru ekonomických subjektů (RES). Jmenovitě lze uvést právní formu organizace, institucionální sektor (ISEKTOR)</w:t>
      </w:r>
      <w:r>
        <w:rPr>
          <w:rStyle w:val="Znakapoznpodarou"/>
          <w:rFonts w:cs="Arial"/>
          <w:color w:val="000000"/>
          <w:szCs w:val="20"/>
        </w:rPr>
        <w:footnoteReference w:id="12"/>
      </w:r>
      <w:r>
        <w:rPr>
          <w:rFonts w:cs="Arial"/>
          <w:color w:val="000000"/>
          <w:szCs w:val="20"/>
        </w:rPr>
        <w:t xml:space="preserve"> a převažující ekonomickou činnost dle Klasifikace ekonomických činností (CZ-NACE)</w:t>
      </w:r>
      <w:r>
        <w:rPr>
          <w:rStyle w:val="Znakapoznpodarou"/>
          <w:rFonts w:cs="Arial"/>
          <w:color w:val="000000"/>
          <w:szCs w:val="20"/>
        </w:rPr>
        <w:footnoteReference w:id="13"/>
      </w:r>
      <w:r>
        <w:rPr>
          <w:rFonts w:cs="Arial"/>
          <w:color w:val="000000"/>
          <w:szCs w:val="20"/>
        </w:rPr>
        <w:t>. Z hlediska uvedených klasifikací rozlišujeme následující typy přihlašovatelů: veřejné vysoké školy, veřejné výzkumné instituce, podniky, fyzické osoby, ostatní vládní a veřejná organizace, nemocnice, sdružení a neziskové organizace.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sídla </w:t>
      </w:r>
      <w:r>
        <w:rPr>
          <w:rFonts w:cs="Arial"/>
          <w:b/>
          <w:color w:val="000000"/>
          <w:szCs w:val="20"/>
        </w:rPr>
        <w:t>subjektů s uzavřenou licenční smlouvou</w:t>
      </w:r>
      <w:r>
        <w:rPr>
          <w:rFonts w:cs="Arial"/>
          <w:color w:val="000000"/>
          <w:szCs w:val="20"/>
        </w:rPr>
        <w:t xml:space="preserve"> vymezeného dle Klasifikace územních statistických jednotek (CZ-NUTS)</w:t>
      </w:r>
      <w:r>
        <w:rPr>
          <w:rStyle w:val="Znakapoznpodarou"/>
          <w:rFonts w:cs="Arial"/>
          <w:color w:val="000000"/>
          <w:szCs w:val="20"/>
        </w:rPr>
        <w:footnoteReference w:id="14"/>
      </w:r>
      <w:r>
        <w:rPr>
          <w:rFonts w:cs="Arial"/>
          <w:color w:val="000000"/>
          <w:szCs w:val="20"/>
        </w:rPr>
        <w:t>. Na třetím stupni klasifikaci bylo v rámci České republiky rozlišeno 14 krajů.</w:t>
      </w:r>
    </w:p>
    <w:p w:rsidR="00317116" w:rsidRDefault="00317116" w:rsidP="00C404E2">
      <w:pPr>
        <w:tabs>
          <w:tab w:val="left" w:pos="567"/>
        </w:tabs>
        <w:autoSpaceDE w:val="0"/>
        <w:autoSpaceDN w:val="0"/>
        <w:adjustRightInd w:val="0"/>
        <w:spacing w:after="120"/>
        <w:rPr>
          <w:rFonts w:cs="Arial"/>
          <w:color w:val="000000"/>
          <w:szCs w:val="20"/>
        </w:rPr>
      </w:pPr>
      <w:r>
        <w:rPr>
          <w:rFonts w:cs="Arial"/>
          <w:b/>
          <w:bCs/>
          <w:color w:val="000000"/>
          <w:szCs w:val="20"/>
        </w:rPr>
        <w:t xml:space="preserve">velikostní skupiny </w:t>
      </w:r>
      <w:r>
        <w:rPr>
          <w:rFonts w:cs="Arial"/>
          <w:bCs/>
          <w:color w:val="000000"/>
          <w:szCs w:val="20"/>
        </w:rPr>
        <w:t xml:space="preserve">rozlišující </w:t>
      </w:r>
      <w:r w:rsidR="002B47DE">
        <w:rPr>
          <w:rFonts w:cs="Arial"/>
          <w:bCs/>
          <w:color w:val="000000"/>
          <w:szCs w:val="20"/>
        </w:rPr>
        <w:t>čtyři</w:t>
      </w:r>
      <w:r>
        <w:rPr>
          <w:rFonts w:cs="Arial"/>
          <w:bCs/>
          <w:color w:val="000000"/>
          <w:szCs w:val="20"/>
        </w:rPr>
        <w:t xml:space="preserve"> kategorie na základě </w:t>
      </w:r>
      <w:r>
        <w:rPr>
          <w:rFonts w:cs="Arial"/>
          <w:color w:val="000000"/>
          <w:szCs w:val="20"/>
        </w:rPr>
        <w:t xml:space="preserve">počtu zaměstnanců: </w:t>
      </w:r>
    </w:p>
    <w:p w:rsidR="00317116" w:rsidRDefault="00317116" w:rsidP="00C404E2">
      <w:pPr>
        <w:numPr>
          <w:ilvl w:val="0"/>
          <w:numId w:val="15"/>
        </w:numPr>
        <w:tabs>
          <w:tab w:val="left" w:pos="567"/>
        </w:tabs>
        <w:autoSpaceDE w:val="0"/>
        <w:autoSpaceDN w:val="0"/>
        <w:adjustRightInd w:val="0"/>
        <w:spacing w:after="60" w:line="276" w:lineRule="auto"/>
        <w:ind w:left="714" w:hanging="357"/>
        <w:rPr>
          <w:rFonts w:cs="Arial"/>
          <w:color w:val="000000"/>
          <w:szCs w:val="20"/>
        </w:rPr>
      </w:pPr>
      <w:r>
        <w:rPr>
          <w:rFonts w:cs="Arial"/>
          <w:color w:val="000000"/>
          <w:szCs w:val="20"/>
        </w:rPr>
        <w:t>0–9 zaměstnanců (mikro),</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10–49 zaměstnanců (malé),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50–249 zaměstnanců (střední),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250 a více zaměstnanců (velké).</w:t>
      </w:r>
    </w:p>
    <w:p w:rsidR="00317116" w:rsidRPr="00EE17B2" w:rsidRDefault="00317116" w:rsidP="00E36444">
      <w:pPr>
        <w:tabs>
          <w:tab w:val="left" w:pos="567"/>
        </w:tabs>
        <w:spacing w:before="120"/>
        <w:rPr>
          <w:rFonts w:cs="Arial"/>
        </w:rPr>
      </w:pPr>
      <w:r>
        <w:rPr>
          <w:rFonts w:cs="Arial"/>
          <w:b/>
          <w:color w:val="000000"/>
          <w:szCs w:val="20"/>
        </w:rPr>
        <w:t>k</w:t>
      </w:r>
      <w:r>
        <w:rPr>
          <w:rFonts w:cs="Arial"/>
          <w:b/>
          <w:bCs/>
          <w:color w:val="000000"/>
          <w:szCs w:val="20"/>
        </w:rPr>
        <w:t xml:space="preserve">lasifikace ekonomických činností </w:t>
      </w:r>
      <w:r>
        <w:rPr>
          <w:rFonts w:cs="Arial"/>
          <w:bCs/>
          <w:color w:val="000000"/>
          <w:szCs w:val="20"/>
        </w:rPr>
        <w:t>(</w:t>
      </w:r>
      <w:r>
        <w:rPr>
          <w:rFonts w:cs="Arial"/>
          <w:color w:val="000000"/>
          <w:szCs w:val="20"/>
        </w:rPr>
        <w:t>CZ-NACE)</w:t>
      </w:r>
      <w:r w:rsidR="003F0157">
        <w:rPr>
          <w:rFonts w:cs="Arial"/>
          <w:color w:val="000000"/>
          <w:szCs w:val="20"/>
        </w:rPr>
        <w:t>.</w:t>
      </w:r>
    </w:p>
    <w:p w:rsidR="00346AF5" w:rsidRDefault="00664C18" w:rsidP="00317116">
      <w:pPr>
        <w:tabs>
          <w:tab w:val="left" w:pos="567"/>
        </w:tabs>
      </w:pPr>
      <w:r w:rsidRPr="00664C18">
        <w:rPr>
          <w:b/>
        </w:rPr>
        <w:t>značky použité v tabulkách publikace</w:t>
      </w:r>
      <w:r>
        <w:t>:</w:t>
      </w:r>
    </w:p>
    <w:p w:rsidR="00664C18" w:rsidRDefault="00664C18" w:rsidP="004755D8">
      <w:pPr>
        <w:tabs>
          <w:tab w:val="left" w:pos="567"/>
        </w:tabs>
        <w:spacing w:after="0"/>
      </w:pPr>
      <w:r>
        <w:t>-</w:t>
      </w:r>
      <w:r>
        <w:tab/>
        <w:t>ležatá čárka na místě čísla značí, že se jev nevyskytoval</w:t>
      </w:r>
    </w:p>
    <w:sectPr w:rsidR="00664C18" w:rsidSect="00EE5560">
      <w:headerReference w:type="even" r:id="rId9"/>
      <w:headerReference w:type="default" r:id="rId10"/>
      <w:footerReference w:type="even" r:id="rId11"/>
      <w:footerReference w:type="default" r:id="rId12"/>
      <w:pgSz w:w="11906" w:h="16838" w:code="9"/>
      <w:pgMar w:top="1134" w:right="1134" w:bottom="1418" w:left="1134" w:header="680" w:footer="68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91" w:rsidRDefault="00AE3291" w:rsidP="00E71A58">
      <w:r>
        <w:separator/>
      </w:r>
    </w:p>
  </w:endnote>
  <w:endnote w:type="continuationSeparator" w:id="0">
    <w:p w:rsidR="00AE3291" w:rsidRDefault="00AE329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3D7360" w:rsidP="00A418BC">
    <w:pPr>
      <w:pStyle w:val="Zpat"/>
      <w:rPr>
        <w:szCs w:val="16"/>
      </w:rPr>
    </w:pPr>
    <w:r>
      <w:rPr>
        <w:szCs w:val="16"/>
        <w:lang w:eastAsia="cs-CZ"/>
      </w:rPr>
      <w:drawing>
        <wp:anchor distT="0" distB="0" distL="114300" distR="114300" simplePos="0" relativeHeight="251658752" behindDoc="0" locked="0" layoutInCell="1" allowOverlap="1" wp14:anchorId="2E3B78EA" wp14:editId="3A9A798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1A7855">
      <w:rPr>
        <w:szCs w:val="16"/>
      </w:rPr>
      <w:t>6</w:t>
    </w:r>
    <w:r w:rsidR="005647BF" w:rsidRPr="00932443">
      <w:rPr>
        <w:szCs w:val="16"/>
      </w:rPr>
      <w:fldChar w:fldCharType="end"/>
    </w:r>
    <w:r w:rsidR="005647BF" w:rsidRPr="00932443">
      <w:rPr>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3D7360" w:rsidP="00A418BC">
    <w:pPr>
      <w:pStyle w:val="Zpat"/>
      <w:rPr>
        <w:szCs w:val="16"/>
      </w:rPr>
    </w:pPr>
    <w:r>
      <w:rPr>
        <w:szCs w:val="16"/>
        <w:lang w:eastAsia="cs-CZ"/>
      </w:rPr>
      <w:drawing>
        <wp:anchor distT="0" distB="0" distL="114300" distR="114300" simplePos="0" relativeHeight="251656704" behindDoc="0" locked="0" layoutInCell="1" allowOverlap="1" wp14:anchorId="5336208A" wp14:editId="5E8B33C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1A7855">
      <w:rPr>
        <w:rStyle w:val="ZpatChar"/>
        <w:szCs w:val="16"/>
      </w:rPr>
      <w:t>5</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91" w:rsidRDefault="00AE3291" w:rsidP="00E71A58">
      <w:r>
        <w:separator/>
      </w:r>
    </w:p>
  </w:footnote>
  <w:footnote w:type="continuationSeparator" w:id="0">
    <w:p w:rsidR="00AE3291" w:rsidRDefault="00AE3291" w:rsidP="00E71A58">
      <w:r>
        <w:continuationSeparator/>
      </w:r>
    </w:p>
  </w:footnote>
  <w:footnote w:id="1">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6A2632">
        <w:rPr>
          <w:rFonts w:cs="Arial"/>
          <w:color w:val="000000"/>
          <w:sz w:val="18"/>
          <w:szCs w:val="16"/>
        </w:rPr>
        <w:t>Šetření o licencích je součástí Programu statistických zjišťování, který je každoročně stanoven a zveřejněn vyhláškou ČSÚ podle zákona č. 89/1995 Sb., o státní statistické službě, v platném znění.</w:t>
      </w:r>
    </w:p>
  </w:footnote>
  <w:footnote w:id="2">
    <w:p w:rsidR="00317116" w:rsidRDefault="00317116" w:rsidP="00317116">
      <w:pPr>
        <w:pStyle w:val="Textpoznpodarou"/>
        <w:spacing w:after="120"/>
        <w:rPr>
          <w:rFonts w:cs="Arial"/>
          <w:sz w:val="16"/>
          <w:szCs w:val="16"/>
        </w:rPr>
      </w:pPr>
      <w:r w:rsidRPr="006A2632">
        <w:rPr>
          <w:rStyle w:val="Znakapoznpodarou"/>
          <w:rFonts w:cs="Arial"/>
          <w:sz w:val="18"/>
          <w:szCs w:val="16"/>
        </w:rPr>
        <w:footnoteRef/>
      </w:r>
      <w:r w:rsidRPr="006A2632">
        <w:rPr>
          <w:rFonts w:cs="Arial"/>
          <w:sz w:val="18"/>
          <w:szCs w:val="16"/>
        </w:rPr>
        <w:t xml:space="preserve"> Zákon č. 89/2012 Sb., občanský zákoník používá k rozlišení stejných konceptů odlišnou terminologii. V § 2360 užívá výrazů </w:t>
      </w:r>
      <w:r w:rsidRPr="006A2632">
        <w:rPr>
          <w:rFonts w:cs="Arial"/>
          <w:b/>
          <w:sz w:val="18"/>
          <w:szCs w:val="16"/>
        </w:rPr>
        <w:t>výhradní</w:t>
      </w:r>
      <w:r w:rsidRPr="006A2632">
        <w:rPr>
          <w:rFonts w:cs="Arial"/>
          <w:sz w:val="18"/>
          <w:szCs w:val="16"/>
        </w:rPr>
        <w:t xml:space="preserve"> a </w:t>
      </w:r>
      <w:r w:rsidRPr="006A2632">
        <w:rPr>
          <w:rFonts w:cs="Arial"/>
          <w:b/>
          <w:sz w:val="18"/>
          <w:szCs w:val="16"/>
        </w:rPr>
        <w:t>nevýhradní</w:t>
      </w:r>
      <w:r w:rsidRPr="006A2632">
        <w:rPr>
          <w:rFonts w:cs="Arial"/>
          <w:sz w:val="18"/>
          <w:szCs w:val="16"/>
        </w:rPr>
        <w:t xml:space="preserve"> licence. Jedná se o synonyma.</w:t>
      </w:r>
    </w:p>
  </w:footnote>
  <w:footnote w:id="3">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Úřad průmyslového vlastnictví provádí o udělení patentu řízení na základě patentové přihlášky podané na předtištěném formuláři a popisu patentu vymezujícího předmět, pro nějž se ochrana požaduje.</w:t>
      </w:r>
    </w:p>
  </w:footnote>
  <w:footnote w:id="4">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Za podmínek stanovených Zákonem č. 527/1990 Sb., o vynálezech a zlepšovacích návrzích, ve znění pozdějších předpisů</w:t>
      </w:r>
      <w:r w:rsidRPr="006A2632">
        <w:rPr>
          <w:rFonts w:cs="Arial"/>
          <w:sz w:val="18"/>
          <w:szCs w:val="16"/>
          <w:lang w:val="en-US"/>
        </w:rPr>
        <w:t>.</w:t>
      </w:r>
    </w:p>
  </w:footnote>
  <w:footnote w:id="5">
    <w:p w:rsidR="00317116" w:rsidRPr="006A2632" w:rsidRDefault="00317116" w:rsidP="00317116">
      <w:pPr>
        <w:autoSpaceDE w:val="0"/>
        <w:autoSpaceDN w:val="0"/>
        <w:adjustRightInd w:val="0"/>
        <w:spacing w:after="120" w:line="240" w:lineRule="auto"/>
        <w:rPr>
          <w:rFonts w:cs="Arial"/>
          <w:color w:val="000000"/>
          <w:sz w:val="18"/>
          <w:szCs w:val="16"/>
        </w:rPr>
      </w:pPr>
      <w:r w:rsidRPr="006A2632">
        <w:rPr>
          <w:rStyle w:val="Znakapoznpodarou"/>
          <w:rFonts w:cs="Arial"/>
          <w:sz w:val="18"/>
          <w:szCs w:val="16"/>
        </w:rPr>
        <w:footnoteRef/>
      </w:r>
      <w:r w:rsidRPr="006A2632">
        <w:rPr>
          <w:rFonts w:cs="Arial"/>
          <w:sz w:val="18"/>
          <w:szCs w:val="16"/>
        </w:rPr>
        <w:t xml:space="preserve"> Dle § 3 Zákona 597/1990 Sb. nelze za patenty považovat také </w:t>
      </w:r>
      <w:r w:rsidRPr="006A2632">
        <w:rPr>
          <w:rFonts w:cs="Arial"/>
          <w:color w:val="000000"/>
          <w:sz w:val="18"/>
          <w:szCs w:val="16"/>
        </w:rPr>
        <w:t>objevy, vědecké teorie a matematické metody, estetické výtvory, plány, pravidla a způsoby vykonávání duševní činnosti, hraní her nebo vykonáván obchodní činnosti, jakož i počítačové programy, nové odrůdy rostlin a plemena zvířat a způsoby léčení lidí a zvířat.</w:t>
      </w:r>
    </w:p>
  </w:footnote>
  <w:footnote w:id="6">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V legislativě jsou užitné vzory vymezeny Zákonem 478/1992 Sb. o užitných vzorech.</w:t>
      </w:r>
    </w:p>
  </w:footnote>
  <w:footnote w:id="7">
    <w:p w:rsidR="00317116" w:rsidRPr="006A2632" w:rsidRDefault="00317116" w:rsidP="00317116">
      <w:pPr>
        <w:pStyle w:val="Textpoznpodarou"/>
        <w:spacing w:after="120"/>
        <w:rPr>
          <w:rFonts w:cs="Arial"/>
          <w:sz w:val="18"/>
          <w:szCs w:val="16"/>
          <w:lang w:val="en-US"/>
        </w:rPr>
      </w:pPr>
      <w:r w:rsidRPr="006A2632">
        <w:rPr>
          <w:rStyle w:val="Znakapoznpodarou"/>
          <w:rFonts w:cs="Arial"/>
          <w:sz w:val="18"/>
          <w:szCs w:val="16"/>
        </w:rPr>
        <w:footnoteRef/>
      </w:r>
      <w:r w:rsidRPr="006A2632">
        <w:rPr>
          <w:rFonts w:cs="Arial"/>
          <w:sz w:val="18"/>
          <w:szCs w:val="16"/>
        </w:rPr>
        <w:t xml:space="preserve"> V souladu se Zákonem 478/1992 Sb. o užitných vzorech nelze za technická řešení v daném případě považovat objevy, vědecké teorie a matematické metody, plány, pravidla a způsoby vykonávání duševní činnosti, počítačové programy či pouhé uvedení informace. Užitnými vzory současně nelze (dle § 3 zákona) chránit technická řešení, která jsou v rozporu s obecními zájmy (…), odrůdy rostlin a plemena zvířat, jakož i biologické reproduktivní materiály, způsoby výroby nebo pracovní činnosti.</w:t>
      </w:r>
    </w:p>
  </w:footnote>
  <w:footnote w:id="8">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V legislativě jsou průmyslové vzory vymezeny Zákonem 207/2000 Sb. o ochraně průmyslových vzorů a o změně zákona č. 527/1990 Sb., o vynálezech, průmyslových vzorech a zlepšovacích návrzích, ve znění pozdějších předpisů.</w:t>
      </w:r>
    </w:p>
  </w:footnote>
  <w:footnote w:id="9">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Dle § 4 Zákona 207/2000 Sb. lze průmyslový vzor považovat za nový, nebyl-li před dnem podání přihlášky či vzniku práva přednosti zpřístupněn veřejnosti shodný vzor. Průmyslové vzory se přitom považují za shodné, liší-li se pouze nepatrně.</w:t>
      </w:r>
    </w:p>
  </w:footnote>
  <w:footnote w:id="10">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V legislativě je ochrana práv k odrůdám rostlin a plamen zvířat řešena Zákonem 132/1989 Sb. o ochraně práv k novým odrůdám rostlin a plemenům zvířat ve znění Zákona č. 93/1996 Sb. a Zákona č. 206/2000 Sb. Zákon se vztahuje na odrůdy a plemena hospodářsky významných druhů rostlin a zvířat, jejichž seznam stanoví obecně závazný předpis.</w:t>
      </w:r>
    </w:p>
  </w:footnote>
  <w:footnote w:id="11">
    <w:p w:rsidR="00317116" w:rsidRDefault="00317116" w:rsidP="00317116">
      <w:pPr>
        <w:pStyle w:val="Textpoznpodarou"/>
        <w:spacing w:after="0"/>
      </w:pPr>
      <w:r w:rsidRPr="006A2632">
        <w:rPr>
          <w:rStyle w:val="Znakapoznpodarou"/>
          <w:rFonts w:cs="Arial"/>
          <w:sz w:val="18"/>
          <w:szCs w:val="18"/>
        </w:rPr>
        <w:footnoteRef/>
      </w:r>
      <w:r w:rsidRPr="006A2632">
        <w:rPr>
          <w:rFonts w:cs="Arial"/>
          <w:sz w:val="18"/>
          <w:szCs w:val="18"/>
        </w:rPr>
        <w:t xml:space="preserve"> Při zjišťování je využita alfabetická klasifikace zemí CZ-GEONOM.</w:t>
      </w:r>
      <w:r w:rsidRPr="000D5828">
        <w:t xml:space="preserve"> </w:t>
      </w:r>
    </w:p>
    <w:p w:rsidR="00317116" w:rsidRPr="006A2632" w:rsidRDefault="00B43507" w:rsidP="00317116">
      <w:pPr>
        <w:pStyle w:val="Textpoznpodarou"/>
        <w:spacing w:after="120"/>
        <w:rPr>
          <w:rFonts w:cs="Arial"/>
          <w:sz w:val="18"/>
          <w:szCs w:val="18"/>
        </w:rPr>
      </w:pPr>
      <w:r>
        <w:rPr>
          <w:rFonts w:cs="Arial"/>
          <w:sz w:val="18"/>
          <w:szCs w:val="18"/>
        </w:rPr>
        <w:t xml:space="preserve">    </w:t>
      </w:r>
      <w:hyperlink r:id="rId1" w:history="1">
        <w:r w:rsidRPr="00E451F4">
          <w:rPr>
            <w:rStyle w:val="Hypertextovodkaz"/>
            <w:rFonts w:cs="Arial"/>
            <w:sz w:val="18"/>
            <w:szCs w:val="18"/>
          </w:rPr>
          <w:t>https://www.czso.cz/csu/czso/klasifikace_zemi_-cz_geonom-</w:t>
        </w:r>
      </w:hyperlink>
      <w:r>
        <w:rPr>
          <w:rFonts w:cs="Arial"/>
          <w:sz w:val="18"/>
          <w:szCs w:val="18"/>
        </w:rPr>
        <w:t xml:space="preserve"> </w:t>
      </w:r>
    </w:p>
  </w:footnote>
  <w:footnote w:id="12">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2" w:history="1">
        <w:r w:rsidRPr="006A2632">
          <w:rPr>
            <w:rStyle w:val="Hypertextovodkaz"/>
            <w:rFonts w:cs="Arial"/>
            <w:sz w:val="18"/>
            <w:szCs w:val="18"/>
          </w:rPr>
          <w:t>http://apl.czso.cz/iSMS/cisdet.jsp?kodcis=5565</w:t>
        </w:r>
      </w:hyperlink>
    </w:p>
  </w:footnote>
  <w:footnote w:id="13">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3" w:history="1">
        <w:r w:rsidRPr="006A2632">
          <w:rPr>
            <w:rStyle w:val="Hypertextovodkaz"/>
            <w:rFonts w:cs="Arial"/>
            <w:sz w:val="18"/>
            <w:szCs w:val="18"/>
          </w:rPr>
          <w:t>https://www.czso.cz/csu/czso/klasifikace_ekonomickych_cinnosti_cz_nace</w:t>
        </w:r>
      </w:hyperlink>
    </w:p>
  </w:footnote>
  <w:footnote w:id="14">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w:t>
      </w:r>
      <w:hyperlink r:id="rId4" w:history="1">
        <w:r w:rsidRPr="006A2632">
          <w:rPr>
            <w:rStyle w:val="Hypertextovodkaz"/>
            <w:rFonts w:cs="Arial"/>
            <w:sz w:val="18"/>
            <w:szCs w:val="18"/>
          </w:rPr>
          <w:t>https://www.czso.cz/csu/czso/klasifikace_uzemnich_statistickych_jednotek_-cz_nuts-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515C74" w:rsidRPr="0095151A" w:rsidRDefault="00515C74" w:rsidP="0095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B5752E" w:rsidRPr="006F5416" w:rsidRDefault="00B5752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601"/>
    <w:multiLevelType w:val="hybridMultilevel"/>
    <w:tmpl w:val="627E15D6"/>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C10F2E"/>
    <w:multiLevelType w:val="hybridMultilevel"/>
    <w:tmpl w:val="C9D2085A"/>
    <w:lvl w:ilvl="0" w:tplc="5328BC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A4FA6"/>
    <w:multiLevelType w:val="hybridMultilevel"/>
    <w:tmpl w:val="A9EA1950"/>
    <w:lvl w:ilvl="0" w:tplc="B00EB8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B3BF5"/>
    <w:multiLevelType w:val="hybridMultilevel"/>
    <w:tmpl w:val="2C9E2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E04F78"/>
    <w:multiLevelType w:val="hybridMultilevel"/>
    <w:tmpl w:val="D4CC24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965840"/>
    <w:multiLevelType w:val="hybridMultilevel"/>
    <w:tmpl w:val="A2D43CE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71F3E"/>
    <w:multiLevelType w:val="hybridMultilevel"/>
    <w:tmpl w:val="A1FEFBE4"/>
    <w:lvl w:ilvl="0" w:tplc="26EC9270">
      <w:start w:val="1"/>
      <w:numFmt w:val="lowerRoman"/>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A6CDF"/>
    <w:multiLevelType w:val="hybridMultilevel"/>
    <w:tmpl w:val="612070A6"/>
    <w:lvl w:ilvl="0" w:tplc="11D6C5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3820"/>
    <w:multiLevelType w:val="hybridMultilevel"/>
    <w:tmpl w:val="C8C0EC08"/>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6"/>
  </w:num>
  <w:num w:numId="14">
    <w:abstractNumId w:val="14"/>
  </w:num>
  <w:num w:numId="15">
    <w:abstractNumId w:val="17"/>
  </w:num>
  <w:num w:numId="16">
    <w:abstractNumId w:val="18"/>
  </w:num>
  <w:num w:numId="17">
    <w:abstractNumId w:val="10"/>
  </w:num>
  <w:num w:numId="18">
    <w:abstractNumId w:val="21"/>
  </w:num>
  <w:num w:numId="19">
    <w:abstractNumId w:val="13"/>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4D5A"/>
    <w:rsid w:val="000056D5"/>
    <w:rsid w:val="0000639B"/>
    <w:rsid w:val="0000767A"/>
    <w:rsid w:val="00007FA2"/>
    <w:rsid w:val="00010702"/>
    <w:rsid w:val="00011A48"/>
    <w:rsid w:val="00011D88"/>
    <w:rsid w:val="000234D6"/>
    <w:rsid w:val="00023D29"/>
    <w:rsid w:val="00026389"/>
    <w:rsid w:val="00031AE0"/>
    <w:rsid w:val="000322EF"/>
    <w:rsid w:val="00033C72"/>
    <w:rsid w:val="00033FCD"/>
    <w:rsid w:val="00040A57"/>
    <w:rsid w:val="00041CEC"/>
    <w:rsid w:val="00042DC1"/>
    <w:rsid w:val="0004694F"/>
    <w:rsid w:val="000522E4"/>
    <w:rsid w:val="0005314E"/>
    <w:rsid w:val="00053727"/>
    <w:rsid w:val="000545B9"/>
    <w:rsid w:val="00055950"/>
    <w:rsid w:val="00060F55"/>
    <w:rsid w:val="000610E1"/>
    <w:rsid w:val="00062EC5"/>
    <w:rsid w:val="00062F22"/>
    <w:rsid w:val="0006389A"/>
    <w:rsid w:val="00063CE6"/>
    <w:rsid w:val="000656A2"/>
    <w:rsid w:val="000712B3"/>
    <w:rsid w:val="0008263E"/>
    <w:rsid w:val="00082C19"/>
    <w:rsid w:val="00085395"/>
    <w:rsid w:val="00087634"/>
    <w:rsid w:val="00087F2B"/>
    <w:rsid w:val="000974D1"/>
    <w:rsid w:val="0009799E"/>
    <w:rsid w:val="000A1183"/>
    <w:rsid w:val="000A1602"/>
    <w:rsid w:val="000A256D"/>
    <w:rsid w:val="000A3A2C"/>
    <w:rsid w:val="000A6060"/>
    <w:rsid w:val="000B5A54"/>
    <w:rsid w:val="000C3408"/>
    <w:rsid w:val="000C6AFD"/>
    <w:rsid w:val="000D5637"/>
    <w:rsid w:val="000D7CAA"/>
    <w:rsid w:val="000D7E8C"/>
    <w:rsid w:val="000E6FBD"/>
    <w:rsid w:val="000E7040"/>
    <w:rsid w:val="00100F5C"/>
    <w:rsid w:val="00104C4C"/>
    <w:rsid w:val="0012192F"/>
    <w:rsid w:val="001231F6"/>
    <w:rsid w:val="0012546F"/>
    <w:rsid w:val="00125D69"/>
    <w:rsid w:val="00126D42"/>
    <w:rsid w:val="001367B2"/>
    <w:rsid w:val="00137C48"/>
    <w:rsid w:val="001405FA"/>
    <w:rsid w:val="001425C3"/>
    <w:rsid w:val="00142EC9"/>
    <w:rsid w:val="00147159"/>
    <w:rsid w:val="00150AC2"/>
    <w:rsid w:val="001515AC"/>
    <w:rsid w:val="00153D46"/>
    <w:rsid w:val="0015640E"/>
    <w:rsid w:val="0016256B"/>
    <w:rsid w:val="00163793"/>
    <w:rsid w:val="00165022"/>
    <w:rsid w:val="001706D6"/>
    <w:rsid w:val="001714F2"/>
    <w:rsid w:val="001769BF"/>
    <w:rsid w:val="00184B08"/>
    <w:rsid w:val="00184DDC"/>
    <w:rsid w:val="00185010"/>
    <w:rsid w:val="00190F53"/>
    <w:rsid w:val="00197C2E"/>
    <w:rsid w:val="001A09BC"/>
    <w:rsid w:val="001A552F"/>
    <w:rsid w:val="001A7855"/>
    <w:rsid w:val="001B2CA9"/>
    <w:rsid w:val="001B3110"/>
    <w:rsid w:val="001B4729"/>
    <w:rsid w:val="001B6C09"/>
    <w:rsid w:val="001C05CD"/>
    <w:rsid w:val="001C2955"/>
    <w:rsid w:val="001D68B2"/>
    <w:rsid w:val="001D78C4"/>
    <w:rsid w:val="001E0B14"/>
    <w:rsid w:val="001E7D19"/>
    <w:rsid w:val="001F0B5B"/>
    <w:rsid w:val="001F2B72"/>
    <w:rsid w:val="001F4597"/>
    <w:rsid w:val="00204CC7"/>
    <w:rsid w:val="00205DC6"/>
    <w:rsid w:val="0020613B"/>
    <w:rsid w:val="002118B9"/>
    <w:rsid w:val="00217C5B"/>
    <w:rsid w:val="0022139E"/>
    <w:rsid w:val="002252E0"/>
    <w:rsid w:val="002255F6"/>
    <w:rsid w:val="00227850"/>
    <w:rsid w:val="00227A53"/>
    <w:rsid w:val="00230C6E"/>
    <w:rsid w:val="00236443"/>
    <w:rsid w:val="00241353"/>
    <w:rsid w:val="002419E7"/>
    <w:rsid w:val="002436BA"/>
    <w:rsid w:val="00244A15"/>
    <w:rsid w:val="00247319"/>
    <w:rsid w:val="0024799E"/>
    <w:rsid w:val="00253C0F"/>
    <w:rsid w:val="00271465"/>
    <w:rsid w:val="00285412"/>
    <w:rsid w:val="002936A7"/>
    <w:rsid w:val="002A16D4"/>
    <w:rsid w:val="002A230C"/>
    <w:rsid w:val="002A76C0"/>
    <w:rsid w:val="002A7D3B"/>
    <w:rsid w:val="002B0571"/>
    <w:rsid w:val="002B47DE"/>
    <w:rsid w:val="002C43BD"/>
    <w:rsid w:val="002D0E59"/>
    <w:rsid w:val="002E02A1"/>
    <w:rsid w:val="002E4E4C"/>
    <w:rsid w:val="002F5411"/>
    <w:rsid w:val="00304771"/>
    <w:rsid w:val="003052D4"/>
    <w:rsid w:val="00306C5B"/>
    <w:rsid w:val="00317097"/>
    <w:rsid w:val="00317116"/>
    <w:rsid w:val="00320135"/>
    <w:rsid w:val="003209D6"/>
    <w:rsid w:val="00321924"/>
    <w:rsid w:val="00324870"/>
    <w:rsid w:val="0032656E"/>
    <w:rsid w:val="00332190"/>
    <w:rsid w:val="00342446"/>
    <w:rsid w:val="00344668"/>
    <w:rsid w:val="003462D9"/>
    <w:rsid w:val="00346AF5"/>
    <w:rsid w:val="00351E5D"/>
    <w:rsid w:val="00360C86"/>
    <w:rsid w:val="003657F3"/>
    <w:rsid w:val="0036609D"/>
    <w:rsid w:val="00371128"/>
    <w:rsid w:val="00376EA3"/>
    <w:rsid w:val="003818DC"/>
    <w:rsid w:val="00384327"/>
    <w:rsid w:val="00385D98"/>
    <w:rsid w:val="0038796D"/>
    <w:rsid w:val="00397B10"/>
    <w:rsid w:val="003A2B4D"/>
    <w:rsid w:val="003A478C"/>
    <w:rsid w:val="003A5525"/>
    <w:rsid w:val="003A6B38"/>
    <w:rsid w:val="003B516B"/>
    <w:rsid w:val="003B5A32"/>
    <w:rsid w:val="003B659A"/>
    <w:rsid w:val="003C0034"/>
    <w:rsid w:val="003C0BB1"/>
    <w:rsid w:val="003C3490"/>
    <w:rsid w:val="003C4989"/>
    <w:rsid w:val="003D6920"/>
    <w:rsid w:val="003D7360"/>
    <w:rsid w:val="003E2014"/>
    <w:rsid w:val="003E2FEB"/>
    <w:rsid w:val="003E4C91"/>
    <w:rsid w:val="003E64EC"/>
    <w:rsid w:val="003F0157"/>
    <w:rsid w:val="003F07C0"/>
    <w:rsid w:val="003F313C"/>
    <w:rsid w:val="003F4B2C"/>
    <w:rsid w:val="003F551C"/>
    <w:rsid w:val="003F7D23"/>
    <w:rsid w:val="00400C42"/>
    <w:rsid w:val="00407C13"/>
    <w:rsid w:val="00407E59"/>
    <w:rsid w:val="00407EF7"/>
    <w:rsid w:val="00410638"/>
    <w:rsid w:val="004135F4"/>
    <w:rsid w:val="00432A58"/>
    <w:rsid w:val="00434617"/>
    <w:rsid w:val="004369A9"/>
    <w:rsid w:val="00440900"/>
    <w:rsid w:val="00441813"/>
    <w:rsid w:val="004441A0"/>
    <w:rsid w:val="00446BD4"/>
    <w:rsid w:val="0045006B"/>
    <w:rsid w:val="00460FB3"/>
    <w:rsid w:val="004755D8"/>
    <w:rsid w:val="00476240"/>
    <w:rsid w:val="00476439"/>
    <w:rsid w:val="004767D3"/>
    <w:rsid w:val="004770A0"/>
    <w:rsid w:val="0047735C"/>
    <w:rsid w:val="004776BC"/>
    <w:rsid w:val="0048139F"/>
    <w:rsid w:val="004816FC"/>
    <w:rsid w:val="00481E40"/>
    <w:rsid w:val="00484ECE"/>
    <w:rsid w:val="004915CB"/>
    <w:rsid w:val="004924DC"/>
    <w:rsid w:val="00492D50"/>
    <w:rsid w:val="004A14E4"/>
    <w:rsid w:val="004A3212"/>
    <w:rsid w:val="004A61C5"/>
    <w:rsid w:val="004A77DF"/>
    <w:rsid w:val="004B1417"/>
    <w:rsid w:val="004B4839"/>
    <w:rsid w:val="004B55B7"/>
    <w:rsid w:val="004B6468"/>
    <w:rsid w:val="004C17F9"/>
    <w:rsid w:val="004C2624"/>
    <w:rsid w:val="004C384C"/>
    <w:rsid w:val="004C3867"/>
    <w:rsid w:val="004C4CD0"/>
    <w:rsid w:val="004C70DC"/>
    <w:rsid w:val="004D002F"/>
    <w:rsid w:val="004D0211"/>
    <w:rsid w:val="004D0794"/>
    <w:rsid w:val="004D589D"/>
    <w:rsid w:val="004D6F11"/>
    <w:rsid w:val="004E494F"/>
    <w:rsid w:val="004E5DF2"/>
    <w:rsid w:val="004F06F5"/>
    <w:rsid w:val="004F33A0"/>
    <w:rsid w:val="005108C0"/>
    <w:rsid w:val="00510E9A"/>
    <w:rsid w:val="00511679"/>
    <w:rsid w:val="00511873"/>
    <w:rsid w:val="00512A2F"/>
    <w:rsid w:val="00513B7E"/>
    <w:rsid w:val="005156A2"/>
    <w:rsid w:val="00515C74"/>
    <w:rsid w:val="0052007E"/>
    <w:rsid w:val="005218A2"/>
    <w:rsid w:val="0052337A"/>
    <w:rsid w:val="00523429"/>
    <w:rsid w:val="00525137"/>
    <w:rsid w:val="005251DD"/>
    <w:rsid w:val="00532592"/>
    <w:rsid w:val="00532CE7"/>
    <w:rsid w:val="0053324C"/>
    <w:rsid w:val="00534A28"/>
    <w:rsid w:val="0053725B"/>
    <w:rsid w:val="00541508"/>
    <w:rsid w:val="00543568"/>
    <w:rsid w:val="00546589"/>
    <w:rsid w:val="0055599F"/>
    <w:rsid w:val="00556D68"/>
    <w:rsid w:val="005647BF"/>
    <w:rsid w:val="0057364B"/>
    <w:rsid w:val="00574773"/>
    <w:rsid w:val="0057647A"/>
    <w:rsid w:val="00577D9B"/>
    <w:rsid w:val="00583FFD"/>
    <w:rsid w:val="005911BE"/>
    <w:rsid w:val="00593152"/>
    <w:rsid w:val="005A10F2"/>
    <w:rsid w:val="005A21E0"/>
    <w:rsid w:val="005A28FF"/>
    <w:rsid w:val="005A3DF8"/>
    <w:rsid w:val="005A5549"/>
    <w:rsid w:val="005A63AE"/>
    <w:rsid w:val="005B121D"/>
    <w:rsid w:val="005B400B"/>
    <w:rsid w:val="005C06ED"/>
    <w:rsid w:val="005C0A06"/>
    <w:rsid w:val="005C13EF"/>
    <w:rsid w:val="005C5114"/>
    <w:rsid w:val="005D5802"/>
    <w:rsid w:val="005D7890"/>
    <w:rsid w:val="005E7C78"/>
    <w:rsid w:val="005F3EB1"/>
    <w:rsid w:val="005F5469"/>
    <w:rsid w:val="005F566C"/>
    <w:rsid w:val="00604307"/>
    <w:rsid w:val="0060487F"/>
    <w:rsid w:val="00604EAD"/>
    <w:rsid w:val="006104FB"/>
    <w:rsid w:val="00612A2F"/>
    <w:rsid w:val="0061483F"/>
    <w:rsid w:val="00615DC1"/>
    <w:rsid w:val="00616E05"/>
    <w:rsid w:val="00624093"/>
    <w:rsid w:val="006404A7"/>
    <w:rsid w:val="006451E4"/>
    <w:rsid w:val="00645B33"/>
    <w:rsid w:val="006516CB"/>
    <w:rsid w:val="006532AF"/>
    <w:rsid w:val="00657E87"/>
    <w:rsid w:val="00664803"/>
    <w:rsid w:val="00664C18"/>
    <w:rsid w:val="00665BA4"/>
    <w:rsid w:val="00667AF2"/>
    <w:rsid w:val="00670686"/>
    <w:rsid w:val="006710C9"/>
    <w:rsid w:val="00674D89"/>
    <w:rsid w:val="00675E37"/>
    <w:rsid w:val="00677696"/>
    <w:rsid w:val="0068174E"/>
    <w:rsid w:val="00681DCE"/>
    <w:rsid w:val="0068260E"/>
    <w:rsid w:val="00693745"/>
    <w:rsid w:val="006944BA"/>
    <w:rsid w:val="00695BEF"/>
    <w:rsid w:val="006977F6"/>
    <w:rsid w:val="00697A13"/>
    <w:rsid w:val="006A0E0E"/>
    <w:rsid w:val="006A109C"/>
    <w:rsid w:val="006A14A9"/>
    <w:rsid w:val="006A3CBB"/>
    <w:rsid w:val="006B344A"/>
    <w:rsid w:val="006B519D"/>
    <w:rsid w:val="006B78D8"/>
    <w:rsid w:val="006C113F"/>
    <w:rsid w:val="006C123E"/>
    <w:rsid w:val="006C28B1"/>
    <w:rsid w:val="006C56D4"/>
    <w:rsid w:val="006C6924"/>
    <w:rsid w:val="006C7CA6"/>
    <w:rsid w:val="006D3E8A"/>
    <w:rsid w:val="006D61F6"/>
    <w:rsid w:val="006E152D"/>
    <w:rsid w:val="006E279A"/>
    <w:rsid w:val="006E313B"/>
    <w:rsid w:val="006E70C5"/>
    <w:rsid w:val="006F5416"/>
    <w:rsid w:val="00703765"/>
    <w:rsid w:val="00706831"/>
    <w:rsid w:val="00706AD4"/>
    <w:rsid w:val="007140BE"/>
    <w:rsid w:val="007211F5"/>
    <w:rsid w:val="007219BE"/>
    <w:rsid w:val="00722DB9"/>
    <w:rsid w:val="00725BB5"/>
    <w:rsid w:val="00730AE8"/>
    <w:rsid w:val="007337E9"/>
    <w:rsid w:val="0073678A"/>
    <w:rsid w:val="00741493"/>
    <w:rsid w:val="00752180"/>
    <w:rsid w:val="00755202"/>
    <w:rsid w:val="00755D3A"/>
    <w:rsid w:val="007578D3"/>
    <w:rsid w:val="007609C6"/>
    <w:rsid w:val="0076175D"/>
    <w:rsid w:val="0076521E"/>
    <w:rsid w:val="007661E9"/>
    <w:rsid w:val="00767767"/>
    <w:rsid w:val="00776169"/>
    <w:rsid w:val="00776527"/>
    <w:rsid w:val="00780EF1"/>
    <w:rsid w:val="00790764"/>
    <w:rsid w:val="007918A9"/>
    <w:rsid w:val="00792632"/>
    <w:rsid w:val="0079453C"/>
    <w:rsid w:val="00794677"/>
    <w:rsid w:val="007A68D1"/>
    <w:rsid w:val="007B41B6"/>
    <w:rsid w:val="007B4E42"/>
    <w:rsid w:val="007B6689"/>
    <w:rsid w:val="007D40DF"/>
    <w:rsid w:val="007E0012"/>
    <w:rsid w:val="007E0FFE"/>
    <w:rsid w:val="007E7E61"/>
    <w:rsid w:val="007E7F7F"/>
    <w:rsid w:val="007F0845"/>
    <w:rsid w:val="0080233E"/>
    <w:rsid w:val="00807C82"/>
    <w:rsid w:val="00816905"/>
    <w:rsid w:val="00816B0F"/>
    <w:rsid w:val="00817727"/>
    <w:rsid w:val="00821FF6"/>
    <w:rsid w:val="00823C4B"/>
    <w:rsid w:val="00825983"/>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330"/>
    <w:rsid w:val="00865E4C"/>
    <w:rsid w:val="008701E4"/>
    <w:rsid w:val="008721F7"/>
    <w:rsid w:val="00875A32"/>
    <w:rsid w:val="00876086"/>
    <w:rsid w:val="00886A4F"/>
    <w:rsid w:val="008873D4"/>
    <w:rsid w:val="00893E85"/>
    <w:rsid w:val="00894031"/>
    <w:rsid w:val="00897F3F"/>
    <w:rsid w:val="008B39A6"/>
    <w:rsid w:val="008B732A"/>
    <w:rsid w:val="008B7C02"/>
    <w:rsid w:val="008B7D2B"/>
    <w:rsid w:val="008C0049"/>
    <w:rsid w:val="008C0E88"/>
    <w:rsid w:val="008D1E6A"/>
    <w:rsid w:val="008D2A16"/>
    <w:rsid w:val="008D5E01"/>
    <w:rsid w:val="008E2C57"/>
    <w:rsid w:val="008E31FF"/>
    <w:rsid w:val="008E639F"/>
    <w:rsid w:val="008E6F06"/>
    <w:rsid w:val="008F029B"/>
    <w:rsid w:val="008F3FC9"/>
    <w:rsid w:val="008F585B"/>
    <w:rsid w:val="009003A8"/>
    <w:rsid w:val="00902500"/>
    <w:rsid w:val="00902B62"/>
    <w:rsid w:val="00902EFF"/>
    <w:rsid w:val="00906401"/>
    <w:rsid w:val="0091155E"/>
    <w:rsid w:val="00912A92"/>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0A8B"/>
    <w:rsid w:val="00962AE0"/>
    <w:rsid w:val="0096698B"/>
    <w:rsid w:val="00966D14"/>
    <w:rsid w:val="00974923"/>
    <w:rsid w:val="00980D3D"/>
    <w:rsid w:val="0098111B"/>
    <w:rsid w:val="00984A96"/>
    <w:rsid w:val="00985107"/>
    <w:rsid w:val="00987A30"/>
    <w:rsid w:val="00992CF3"/>
    <w:rsid w:val="00993995"/>
    <w:rsid w:val="009968D6"/>
    <w:rsid w:val="009A1CAB"/>
    <w:rsid w:val="009A60D1"/>
    <w:rsid w:val="009B3643"/>
    <w:rsid w:val="009B6FD3"/>
    <w:rsid w:val="009C1750"/>
    <w:rsid w:val="009C2E29"/>
    <w:rsid w:val="009C554B"/>
    <w:rsid w:val="009C69A3"/>
    <w:rsid w:val="009C719E"/>
    <w:rsid w:val="009D2056"/>
    <w:rsid w:val="009D3ACD"/>
    <w:rsid w:val="009D4097"/>
    <w:rsid w:val="009E5273"/>
    <w:rsid w:val="009E5DDB"/>
    <w:rsid w:val="009F4CA7"/>
    <w:rsid w:val="009F61B0"/>
    <w:rsid w:val="00A10D66"/>
    <w:rsid w:val="00A12D46"/>
    <w:rsid w:val="00A14114"/>
    <w:rsid w:val="00A16413"/>
    <w:rsid w:val="00A23E43"/>
    <w:rsid w:val="00A30F65"/>
    <w:rsid w:val="00A377AD"/>
    <w:rsid w:val="00A418BC"/>
    <w:rsid w:val="00A41E79"/>
    <w:rsid w:val="00A42021"/>
    <w:rsid w:val="00A453DA"/>
    <w:rsid w:val="00A46DE0"/>
    <w:rsid w:val="00A50D73"/>
    <w:rsid w:val="00A52CAD"/>
    <w:rsid w:val="00A530F0"/>
    <w:rsid w:val="00A53FC7"/>
    <w:rsid w:val="00A57BA5"/>
    <w:rsid w:val="00A61904"/>
    <w:rsid w:val="00A62CE1"/>
    <w:rsid w:val="00A6741E"/>
    <w:rsid w:val="00A75E40"/>
    <w:rsid w:val="00A77D1D"/>
    <w:rsid w:val="00A85269"/>
    <w:rsid w:val="00A857C0"/>
    <w:rsid w:val="00A87010"/>
    <w:rsid w:val="00A90277"/>
    <w:rsid w:val="00A927AC"/>
    <w:rsid w:val="00AA1280"/>
    <w:rsid w:val="00AA2659"/>
    <w:rsid w:val="00AA2996"/>
    <w:rsid w:val="00AA52BF"/>
    <w:rsid w:val="00AA559A"/>
    <w:rsid w:val="00AB2AF1"/>
    <w:rsid w:val="00AC68AC"/>
    <w:rsid w:val="00AD306C"/>
    <w:rsid w:val="00AD50C9"/>
    <w:rsid w:val="00AE071E"/>
    <w:rsid w:val="00AE09B3"/>
    <w:rsid w:val="00AE16F1"/>
    <w:rsid w:val="00AE1A83"/>
    <w:rsid w:val="00AE3291"/>
    <w:rsid w:val="00AE4B9E"/>
    <w:rsid w:val="00AE61BC"/>
    <w:rsid w:val="00AF1805"/>
    <w:rsid w:val="00AF5B49"/>
    <w:rsid w:val="00AF61DE"/>
    <w:rsid w:val="00B00913"/>
    <w:rsid w:val="00B01593"/>
    <w:rsid w:val="00B02366"/>
    <w:rsid w:val="00B02587"/>
    <w:rsid w:val="00B10A4D"/>
    <w:rsid w:val="00B17E71"/>
    <w:rsid w:val="00B17FDE"/>
    <w:rsid w:val="00B2379C"/>
    <w:rsid w:val="00B2687D"/>
    <w:rsid w:val="00B32DDB"/>
    <w:rsid w:val="00B34528"/>
    <w:rsid w:val="00B402FC"/>
    <w:rsid w:val="00B43507"/>
    <w:rsid w:val="00B46604"/>
    <w:rsid w:val="00B530CD"/>
    <w:rsid w:val="00B55F5E"/>
    <w:rsid w:val="00B567F9"/>
    <w:rsid w:val="00B5752E"/>
    <w:rsid w:val="00B63A11"/>
    <w:rsid w:val="00B64C24"/>
    <w:rsid w:val="00B6608F"/>
    <w:rsid w:val="00B675B7"/>
    <w:rsid w:val="00B679FB"/>
    <w:rsid w:val="00B76D1E"/>
    <w:rsid w:val="00B80EC6"/>
    <w:rsid w:val="00B8462B"/>
    <w:rsid w:val="00B92D1D"/>
    <w:rsid w:val="00B938C5"/>
    <w:rsid w:val="00B95940"/>
    <w:rsid w:val="00BA563B"/>
    <w:rsid w:val="00BB46F3"/>
    <w:rsid w:val="00BB4CB1"/>
    <w:rsid w:val="00BB4F98"/>
    <w:rsid w:val="00BB6C34"/>
    <w:rsid w:val="00BB7E11"/>
    <w:rsid w:val="00BC0E2F"/>
    <w:rsid w:val="00BC20DA"/>
    <w:rsid w:val="00BC3ED1"/>
    <w:rsid w:val="00BC4CD8"/>
    <w:rsid w:val="00BC7154"/>
    <w:rsid w:val="00BD2A98"/>
    <w:rsid w:val="00BD366B"/>
    <w:rsid w:val="00BD6D50"/>
    <w:rsid w:val="00BE0221"/>
    <w:rsid w:val="00BE18B9"/>
    <w:rsid w:val="00BE2495"/>
    <w:rsid w:val="00BE50CF"/>
    <w:rsid w:val="00BF1578"/>
    <w:rsid w:val="00C17CC2"/>
    <w:rsid w:val="00C21F94"/>
    <w:rsid w:val="00C23641"/>
    <w:rsid w:val="00C27913"/>
    <w:rsid w:val="00C30901"/>
    <w:rsid w:val="00C33B68"/>
    <w:rsid w:val="00C36A79"/>
    <w:rsid w:val="00C404E2"/>
    <w:rsid w:val="00C405D4"/>
    <w:rsid w:val="00C4513B"/>
    <w:rsid w:val="00C45975"/>
    <w:rsid w:val="00C51CF3"/>
    <w:rsid w:val="00C52906"/>
    <w:rsid w:val="00C53448"/>
    <w:rsid w:val="00C54697"/>
    <w:rsid w:val="00C73885"/>
    <w:rsid w:val="00C746DC"/>
    <w:rsid w:val="00C747B1"/>
    <w:rsid w:val="00C82191"/>
    <w:rsid w:val="00C90CF4"/>
    <w:rsid w:val="00C92EB6"/>
    <w:rsid w:val="00C93389"/>
    <w:rsid w:val="00CA321C"/>
    <w:rsid w:val="00CB4930"/>
    <w:rsid w:val="00CC13A1"/>
    <w:rsid w:val="00CC2E7D"/>
    <w:rsid w:val="00CC406B"/>
    <w:rsid w:val="00CD10A5"/>
    <w:rsid w:val="00CD2076"/>
    <w:rsid w:val="00CD4688"/>
    <w:rsid w:val="00CE1569"/>
    <w:rsid w:val="00CE1976"/>
    <w:rsid w:val="00CE292A"/>
    <w:rsid w:val="00CE670B"/>
    <w:rsid w:val="00CF51EC"/>
    <w:rsid w:val="00CF73AE"/>
    <w:rsid w:val="00D040DD"/>
    <w:rsid w:val="00D13986"/>
    <w:rsid w:val="00D235B7"/>
    <w:rsid w:val="00D25F28"/>
    <w:rsid w:val="00D27973"/>
    <w:rsid w:val="00D365E7"/>
    <w:rsid w:val="00D42AAA"/>
    <w:rsid w:val="00D465A2"/>
    <w:rsid w:val="00D50F46"/>
    <w:rsid w:val="00D570E1"/>
    <w:rsid w:val="00D60128"/>
    <w:rsid w:val="00D66223"/>
    <w:rsid w:val="00D8084C"/>
    <w:rsid w:val="00D91B06"/>
    <w:rsid w:val="00D97AE5"/>
    <w:rsid w:val="00DA3172"/>
    <w:rsid w:val="00DA3469"/>
    <w:rsid w:val="00DA7C0C"/>
    <w:rsid w:val="00DB2EC8"/>
    <w:rsid w:val="00DC5B3B"/>
    <w:rsid w:val="00DC6D8D"/>
    <w:rsid w:val="00DC7176"/>
    <w:rsid w:val="00DD129F"/>
    <w:rsid w:val="00DE5C97"/>
    <w:rsid w:val="00DF42FF"/>
    <w:rsid w:val="00DF6B4B"/>
    <w:rsid w:val="00E0076B"/>
    <w:rsid w:val="00E01C0E"/>
    <w:rsid w:val="00E03F9A"/>
    <w:rsid w:val="00E04694"/>
    <w:rsid w:val="00E1183D"/>
    <w:rsid w:val="00E12B1E"/>
    <w:rsid w:val="00E13997"/>
    <w:rsid w:val="00E17262"/>
    <w:rsid w:val="00E253A2"/>
    <w:rsid w:val="00E311C5"/>
    <w:rsid w:val="00E3309D"/>
    <w:rsid w:val="00E36444"/>
    <w:rsid w:val="00E50156"/>
    <w:rsid w:val="00E53470"/>
    <w:rsid w:val="00E539F6"/>
    <w:rsid w:val="00E6519D"/>
    <w:rsid w:val="00E67696"/>
    <w:rsid w:val="00E71A58"/>
    <w:rsid w:val="00E72A7A"/>
    <w:rsid w:val="00E75C94"/>
    <w:rsid w:val="00E87AC4"/>
    <w:rsid w:val="00E93820"/>
    <w:rsid w:val="00E95BAE"/>
    <w:rsid w:val="00EA0C68"/>
    <w:rsid w:val="00EA32BC"/>
    <w:rsid w:val="00EA4709"/>
    <w:rsid w:val="00EA632C"/>
    <w:rsid w:val="00EB4511"/>
    <w:rsid w:val="00EC03D7"/>
    <w:rsid w:val="00EC2D63"/>
    <w:rsid w:val="00EC617C"/>
    <w:rsid w:val="00ED62C6"/>
    <w:rsid w:val="00ED64C1"/>
    <w:rsid w:val="00EE3446"/>
    <w:rsid w:val="00EE3E78"/>
    <w:rsid w:val="00EE4B1B"/>
    <w:rsid w:val="00EE5560"/>
    <w:rsid w:val="00EF150D"/>
    <w:rsid w:val="00EF1F5A"/>
    <w:rsid w:val="00EF302A"/>
    <w:rsid w:val="00EF47BF"/>
    <w:rsid w:val="00EF639D"/>
    <w:rsid w:val="00F00DA2"/>
    <w:rsid w:val="00F04811"/>
    <w:rsid w:val="00F0488C"/>
    <w:rsid w:val="00F10F11"/>
    <w:rsid w:val="00F15AAA"/>
    <w:rsid w:val="00F15BEF"/>
    <w:rsid w:val="00F23D77"/>
    <w:rsid w:val="00F24407"/>
    <w:rsid w:val="00F2460A"/>
    <w:rsid w:val="00F24FAA"/>
    <w:rsid w:val="00F3364D"/>
    <w:rsid w:val="00F437CC"/>
    <w:rsid w:val="00F47067"/>
    <w:rsid w:val="00F525EB"/>
    <w:rsid w:val="00F63DDE"/>
    <w:rsid w:val="00F63FB7"/>
    <w:rsid w:val="00F649D2"/>
    <w:rsid w:val="00F64D5F"/>
    <w:rsid w:val="00F6602B"/>
    <w:rsid w:val="00F704D2"/>
    <w:rsid w:val="00F73A0C"/>
    <w:rsid w:val="00F756DB"/>
    <w:rsid w:val="00F768E1"/>
    <w:rsid w:val="00F85066"/>
    <w:rsid w:val="00F8543A"/>
    <w:rsid w:val="00F867B0"/>
    <w:rsid w:val="00F93C46"/>
    <w:rsid w:val="00FA5D4D"/>
    <w:rsid w:val="00FA64FF"/>
    <w:rsid w:val="00FB0EE2"/>
    <w:rsid w:val="00FB2275"/>
    <w:rsid w:val="00FB542E"/>
    <w:rsid w:val="00FC0C1F"/>
    <w:rsid w:val="00FC0E5F"/>
    <w:rsid w:val="00FC1A95"/>
    <w:rsid w:val="00FC56DE"/>
    <w:rsid w:val="00FC684B"/>
    <w:rsid w:val="00FC783A"/>
    <w:rsid w:val="00FD3265"/>
    <w:rsid w:val="00FD61EB"/>
    <w:rsid w:val="00FE25B7"/>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ECC5FCD8-3EDC-497B-851C-FF0B358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paragraph" w:styleId="Odstavecseseznamem">
    <w:name w:val="List Paragraph"/>
    <w:basedOn w:val="Normln"/>
    <w:uiPriority w:val="34"/>
    <w:qFormat/>
    <w:rsid w:val="00317116"/>
    <w:pPr>
      <w:spacing w:before="120" w:after="200" w:line="276" w:lineRule="auto"/>
      <w:ind w:left="720"/>
      <w:jc w:val="left"/>
    </w:pPr>
    <w:rPr>
      <w:rFonts w:eastAsia="Calibri"/>
      <w:szCs w:val="22"/>
      <w:lang w:eastAsia="en-US"/>
    </w:rPr>
  </w:style>
  <w:style w:type="character" w:styleId="Sledovanodkaz">
    <w:name w:val="FollowedHyperlink"/>
    <w:basedOn w:val="Standardnpsmoodstavce"/>
    <w:uiPriority w:val="99"/>
    <w:semiHidden/>
    <w:unhideWhenUsed/>
    <w:rsid w:val="002B4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v.cz/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klasifikace_ekonomickych_cinnosti_cz_nace" TargetMode="External"/><Relationship Id="rId2" Type="http://schemas.openxmlformats.org/officeDocument/2006/relationships/hyperlink" Target="http://apl.czso.cz/iSMS/cisdet.jsp?kodcis=5565" TargetMode="External"/><Relationship Id="rId1" Type="http://schemas.openxmlformats.org/officeDocument/2006/relationships/hyperlink" Target="https://www.czso.cz/csu/czso/klasifikace_zemi_-cz_geonom-" TargetMode="External"/><Relationship Id="rId4" Type="http://schemas.openxmlformats.org/officeDocument/2006/relationships/hyperlink" Target="https://www.czso.cz/csu/czso/klasifikace_uzemnich_statistickych_jednotek_-cz_nu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F1FD-A259-4415-ACFD-1561EACD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182</TotalTime>
  <Pages>5</Pages>
  <Words>1815</Words>
  <Characters>10710</Characters>
  <Application>Microsoft Office Word</Application>
  <DocSecurity>0</DocSecurity>
  <Lines>89</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Eliáš Karel</cp:lastModifiedBy>
  <cp:revision>44</cp:revision>
  <cp:lastPrinted>2021-10-25T11:54:00Z</cp:lastPrinted>
  <dcterms:created xsi:type="dcterms:W3CDTF">2017-10-11T13:25:00Z</dcterms:created>
  <dcterms:modified xsi:type="dcterms:W3CDTF">2023-10-19T10:12:00Z</dcterms:modified>
</cp:coreProperties>
</file>